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F0A0A" w14:textId="2262D056" w:rsidR="004160C5" w:rsidRDefault="003C7A19" w:rsidP="003C7A19">
      <w:pPr>
        <w:rPr>
          <w:b/>
          <w:bCs/>
        </w:rPr>
      </w:pPr>
      <w:r w:rsidRPr="003C7A19">
        <w:rPr>
          <w:b/>
          <w:bCs/>
          <w:sz w:val="22"/>
          <w:szCs w:val="22"/>
        </w:rPr>
        <w:t>DECLARACIÓN DE ACCESIBILIDAD DEL PORTAL DE TRANSPARENCIA DE PROMOTUR TURISMO CANARIAS, S.A.</w:t>
      </w:r>
    </w:p>
    <w:p w14:paraId="6905914B" w14:textId="77777777" w:rsidR="003C7A19" w:rsidRDefault="003C7A19" w:rsidP="004160C5">
      <w:pPr>
        <w:ind w:left="360"/>
        <w:rPr>
          <w:b/>
          <w:bCs/>
        </w:rPr>
      </w:pPr>
    </w:p>
    <w:p w14:paraId="39E67997" w14:textId="77777777" w:rsidR="003C7A19" w:rsidRPr="004160C5" w:rsidRDefault="003C7A19" w:rsidP="004160C5">
      <w:pPr>
        <w:ind w:left="360"/>
        <w:rPr>
          <w:b/>
          <w:bCs/>
        </w:rPr>
      </w:pPr>
    </w:p>
    <w:p w14:paraId="29F75C69" w14:textId="77777777" w:rsidR="004160C5" w:rsidRPr="004160C5" w:rsidRDefault="004160C5" w:rsidP="004160C5">
      <w:pPr>
        <w:jc w:val="both"/>
        <w:rPr>
          <w:sz w:val="22"/>
          <w:szCs w:val="22"/>
        </w:rPr>
      </w:pPr>
      <w:r w:rsidRPr="004160C5">
        <w:rPr>
          <w:b/>
          <w:bCs/>
          <w:sz w:val="22"/>
          <w:szCs w:val="22"/>
        </w:rPr>
        <w:t>Promotur Turismo Canarias, S.A</w:t>
      </w:r>
      <w:r w:rsidRPr="004160C5">
        <w:rPr>
          <w:sz w:val="22"/>
          <w:szCs w:val="22"/>
        </w:rPr>
        <w:t>. (en adelante Promotur</w:t>
      </w:r>
      <w:proofErr w:type="gramStart"/>
      <w:r w:rsidRPr="004160C5">
        <w:rPr>
          <w:sz w:val="22"/>
          <w:szCs w:val="22"/>
        </w:rPr>
        <w:t>) ,</w:t>
      </w:r>
      <w:proofErr w:type="gramEnd"/>
      <w:r w:rsidRPr="004160C5">
        <w:rPr>
          <w:sz w:val="22"/>
          <w:szCs w:val="22"/>
        </w:rPr>
        <w:t xml:space="preserve"> en su claro compromiso con la accesibilidad y prestar siempre el mejor servicio público posible, se compromete a hacer accesibles sus sitios web, de conformidad con el  </w:t>
      </w:r>
      <w:hyperlink r:id="rId8" w:tgtFrame="_blank" w:history="1">
        <w:r w:rsidRPr="004160C5">
          <w:rPr>
            <w:rStyle w:val="Hipervnculo"/>
            <w:sz w:val="22"/>
            <w:szCs w:val="22"/>
          </w:rPr>
          <w:t>Real Decreto 1112/2018, de 7 de septiembre, sobre accesibilidad de los sitios web y aplicaciones para dispositivos móviles del sector público</w:t>
        </w:r>
      </w:hyperlink>
      <w:r w:rsidRPr="004160C5">
        <w:rPr>
          <w:sz w:val="22"/>
          <w:szCs w:val="22"/>
        </w:rPr>
        <w:t>, (en adelante, Real Decreto 1112/2018).</w:t>
      </w:r>
    </w:p>
    <w:p w14:paraId="11A0EDD5" w14:textId="77777777" w:rsidR="004160C5" w:rsidRDefault="004160C5" w:rsidP="004160C5">
      <w:pPr>
        <w:jc w:val="both"/>
        <w:rPr>
          <w:sz w:val="22"/>
          <w:szCs w:val="22"/>
        </w:rPr>
      </w:pPr>
      <w:r w:rsidRPr="004160C5">
        <w:rPr>
          <w:sz w:val="22"/>
          <w:szCs w:val="22"/>
        </w:rPr>
        <w:t> </w:t>
      </w:r>
    </w:p>
    <w:p w14:paraId="47FF4225" w14:textId="77777777" w:rsidR="003C7A19" w:rsidRPr="004160C5" w:rsidRDefault="003C7A19" w:rsidP="004160C5">
      <w:pPr>
        <w:jc w:val="both"/>
        <w:rPr>
          <w:sz w:val="22"/>
          <w:szCs w:val="22"/>
        </w:rPr>
      </w:pPr>
    </w:p>
    <w:p w14:paraId="65D0B501" w14:textId="77777777" w:rsidR="004160C5" w:rsidRPr="004160C5" w:rsidRDefault="004160C5" w:rsidP="004160C5">
      <w:pPr>
        <w:jc w:val="both"/>
        <w:rPr>
          <w:sz w:val="22"/>
          <w:szCs w:val="22"/>
        </w:rPr>
      </w:pPr>
      <w:r w:rsidRPr="004160C5">
        <w:rPr>
          <w:sz w:val="22"/>
          <w:szCs w:val="22"/>
        </w:rPr>
        <w:t>La accesibilidad promueve uno de los principios esenciales de la web, su universalidad, puesto que:</w:t>
      </w:r>
    </w:p>
    <w:p w14:paraId="12BCE326" w14:textId="77777777" w:rsidR="004160C5" w:rsidRPr="004160C5" w:rsidRDefault="004160C5" w:rsidP="004160C5">
      <w:pPr>
        <w:numPr>
          <w:ilvl w:val="0"/>
          <w:numId w:val="43"/>
        </w:numPr>
        <w:jc w:val="both"/>
        <w:rPr>
          <w:sz w:val="22"/>
          <w:szCs w:val="22"/>
        </w:rPr>
      </w:pPr>
      <w:r w:rsidRPr="004160C5">
        <w:rPr>
          <w:sz w:val="22"/>
          <w:szCs w:val="22"/>
        </w:rPr>
        <w:t>Facilita el acceso de las personas con discapacidad, personas mayores y, en general, de todos los usuarios.</w:t>
      </w:r>
    </w:p>
    <w:p w14:paraId="7362DEFA" w14:textId="77777777" w:rsidR="004160C5" w:rsidRPr="004160C5" w:rsidRDefault="004160C5" w:rsidP="004160C5">
      <w:pPr>
        <w:numPr>
          <w:ilvl w:val="0"/>
          <w:numId w:val="43"/>
        </w:numPr>
        <w:jc w:val="both"/>
        <w:rPr>
          <w:sz w:val="22"/>
          <w:szCs w:val="22"/>
        </w:rPr>
      </w:pPr>
      <w:r w:rsidRPr="004160C5">
        <w:rPr>
          <w:sz w:val="22"/>
          <w:szCs w:val="22"/>
        </w:rPr>
        <w:t>Permite el acceso con diferentes navegadores, dispositivos, etc.</w:t>
      </w:r>
    </w:p>
    <w:p w14:paraId="3311032C" w14:textId="77777777" w:rsidR="004160C5" w:rsidRPr="004160C5" w:rsidRDefault="004160C5" w:rsidP="004160C5">
      <w:pPr>
        <w:numPr>
          <w:ilvl w:val="0"/>
          <w:numId w:val="43"/>
        </w:numPr>
        <w:jc w:val="both"/>
        <w:rPr>
          <w:sz w:val="22"/>
          <w:szCs w:val="22"/>
        </w:rPr>
      </w:pPr>
      <w:r w:rsidRPr="004160C5">
        <w:rPr>
          <w:sz w:val="22"/>
          <w:szCs w:val="22"/>
        </w:rPr>
        <w:t>Conlleva contenidos más claros y estructurados</w:t>
      </w:r>
    </w:p>
    <w:p w14:paraId="2EB38D9F" w14:textId="77777777" w:rsidR="004160C5" w:rsidRPr="004160C5" w:rsidRDefault="004160C5" w:rsidP="004160C5">
      <w:pPr>
        <w:numPr>
          <w:ilvl w:val="0"/>
          <w:numId w:val="43"/>
        </w:numPr>
        <w:jc w:val="both"/>
        <w:rPr>
          <w:sz w:val="22"/>
          <w:szCs w:val="22"/>
        </w:rPr>
      </w:pPr>
      <w:r w:rsidRPr="004160C5">
        <w:rPr>
          <w:sz w:val="22"/>
          <w:szCs w:val="22"/>
        </w:rPr>
        <w:t>Mejora la navegación y la experiencia del usuario</w:t>
      </w:r>
    </w:p>
    <w:p w14:paraId="394CD00C" w14:textId="77777777" w:rsidR="004160C5" w:rsidRDefault="004160C5" w:rsidP="004160C5">
      <w:pPr>
        <w:jc w:val="both"/>
        <w:rPr>
          <w:sz w:val="22"/>
          <w:szCs w:val="22"/>
        </w:rPr>
      </w:pPr>
      <w:r w:rsidRPr="004160C5">
        <w:rPr>
          <w:sz w:val="22"/>
          <w:szCs w:val="22"/>
        </w:rPr>
        <w:t> </w:t>
      </w:r>
    </w:p>
    <w:p w14:paraId="6578D85C" w14:textId="77777777" w:rsidR="003C7A19" w:rsidRPr="004160C5" w:rsidRDefault="003C7A19" w:rsidP="004160C5">
      <w:pPr>
        <w:jc w:val="both"/>
        <w:rPr>
          <w:sz w:val="22"/>
          <w:szCs w:val="22"/>
        </w:rPr>
      </w:pPr>
    </w:p>
    <w:p w14:paraId="52D63A8B" w14:textId="77777777" w:rsidR="004160C5" w:rsidRPr="004160C5" w:rsidRDefault="004160C5" w:rsidP="004160C5">
      <w:pPr>
        <w:jc w:val="both"/>
        <w:rPr>
          <w:sz w:val="22"/>
          <w:szCs w:val="22"/>
        </w:rPr>
      </w:pPr>
      <w:r w:rsidRPr="004160C5">
        <w:rPr>
          <w:sz w:val="22"/>
          <w:szCs w:val="22"/>
        </w:rPr>
        <w:t>Para conseguir estos objetivos se han aplicado los siguientes estándares:</w:t>
      </w:r>
    </w:p>
    <w:p w14:paraId="7F90CCB2" w14:textId="77777777" w:rsidR="004160C5" w:rsidRPr="004160C5" w:rsidRDefault="004160C5" w:rsidP="004160C5">
      <w:pPr>
        <w:numPr>
          <w:ilvl w:val="0"/>
          <w:numId w:val="44"/>
        </w:numPr>
        <w:jc w:val="both"/>
        <w:rPr>
          <w:sz w:val="22"/>
          <w:szCs w:val="22"/>
        </w:rPr>
      </w:pPr>
      <w:r w:rsidRPr="004160C5">
        <w:rPr>
          <w:sz w:val="22"/>
          <w:szCs w:val="22"/>
        </w:rPr>
        <w:t>Separación entre código y presentación basándose en estándares W3C: XHTML Transicional 1.0 y CSS 2.1 válidos</w:t>
      </w:r>
    </w:p>
    <w:p w14:paraId="7109BF93" w14:textId="77777777" w:rsidR="004160C5" w:rsidRPr="004160C5" w:rsidRDefault="004160C5" w:rsidP="004160C5">
      <w:pPr>
        <w:numPr>
          <w:ilvl w:val="0"/>
          <w:numId w:val="44"/>
        </w:numPr>
        <w:jc w:val="both"/>
        <w:rPr>
          <w:sz w:val="22"/>
          <w:szCs w:val="22"/>
        </w:rPr>
      </w:pPr>
      <w:r w:rsidRPr="004160C5">
        <w:rPr>
          <w:sz w:val="22"/>
          <w:szCs w:val="22"/>
        </w:rPr>
        <w:t>Pautas de Accesibilidad para el Contenido Web (WCAG 2.0), publicadas por la Iniciativa de Accesibilidad Web (WAI) del W3C en su nivel de adecuación Doble-A</w:t>
      </w:r>
    </w:p>
    <w:p w14:paraId="1E074E6F" w14:textId="77777777" w:rsidR="004160C5" w:rsidRPr="004160C5" w:rsidRDefault="004160C5" w:rsidP="004160C5">
      <w:pPr>
        <w:numPr>
          <w:ilvl w:val="0"/>
          <w:numId w:val="44"/>
        </w:numPr>
        <w:jc w:val="both"/>
        <w:rPr>
          <w:sz w:val="22"/>
          <w:szCs w:val="22"/>
        </w:rPr>
      </w:pPr>
      <w:r w:rsidRPr="004160C5">
        <w:rPr>
          <w:sz w:val="22"/>
          <w:szCs w:val="22"/>
        </w:rPr>
        <w:t>Norma UNE 139803:2012, tal y como establece la legislación española en materia de accesibilidad Web</w:t>
      </w:r>
    </w:p>
    <w:p w14:paraId="1958BEAF" w14:textId="77777777" w:rsidR="004160C5" w:rsidRPr="004160C5" w:rsidRDefault="004160C5" w:rsidP="004160C5">
      <w:pPr>
        <w:jc w:val="both"/>
        <w:rPr>
          <w:sz w:val="22"/>
          <w:szCs w:val="22"/>
        </w:rPr>
      </w:pPr>
      <w:r w:rsidRPr="004160C5">
        <w:rPr>
          <w:sz w:val="22"/>
          <w:szCs w:val="22"/>
        </w:rPr>
        <w:t>La presente declaración de accesibilidad se aplica a </w:t>
      </w:r>
      <w:hyperlink r:id="rId9" w:history="1">
        <w:r w:rsidRPr="004160C5">
          <w:rPr>
            <w:rStyle w:val="Hipervnculo"/>
            <w:sz w:val="22"/>
            <w:szCs w:val="22"/>
          </w:rPr>
          <w:t>https://transparencia.turismodeislascanarias.com/</w:t>
        </w:r>
      </w:hyperlink>
      <w:r w:rsidRPr="004160C5">
        <w:rPr>
          <w:sz w:val="22"/>
          <w:szCs w:val="22"/>
        </w:rPr>
        <w:t> , excluyendo los contenidos incrustados provenientes de otros dominios.</w:t>
      </w:r>
    </w:p>
    <w:p w14:paraId="7C98088D" w14:textId="77777777" w:rsidR="004160C5" w:rsidRPr="004160C5" w:rsidRDefault="004160C5" w:rsidP="004160C5">
      <w:pPr>
        <w:jc w:val="both"/>
        <w:rPr>
          <w:sz w:val="22"/>
          <w:szCs w:val="22"/>
        </w:rPr>
      </w:pPr>
      <w:r w:rsidRPr="004160C5">
        <w:rPr>
          <w:sz w:val="22"/>
          <w:szCs w:val="22"/>
        </w:rPr>
        <w:t> </w:t>
      </w:r>
    </w:p>
    <w:p w14:paraId="6F8D0647" w14:textId="77777777" w:rsidR="004160C5" w:rsidRPr="004160C5" w:rsidRDefault="004160C5" w:rsidP="004160C5">
      <w:pPr>
        <w:jc w:val="both"/>
        <w:rPr>
          <w:sz w:val="22"/>
          <w:szCs w:val="22"/>
        </w:rPr>
      </w:pPr>
      <w:r w:rsidRPr="004160C5">
        <w:rPr>
          <w:b/>
          <w:bCs/>
          <w:i/>
          <w:iCs/>
          <w:sz w:val="22"/>
          <w:szCs w:val="22"/>
        </w:rPr>
        <w:t xml:space="preserve">Situación de </w:t>
      </w:r>
      <w:proofErr w:type="gramStart"/>
      <w:r w:rsidRPr="004160C5">
        <w:rPr>
          <w:b/>
          <w:bCs/>
          <w:i/>
          <w:iCs/>
          <w:sz w:val="22"/>
          <w:szCs w:val="22"/>
        </w:rPr>
        <w:t>cumplimiento :</w:t>
      </w:r>
      <w:proofErr w:type="gramEnd"/>
    </w:p>
    <w:p w14:paraId="1036B1C8" w14:textId="77777777" w:rsidR="004160C5" w:rsidRPr="004160C5" w:rsidRDefault="004160C5" w:rsidP="004160C5">
      <w:pPr>
        <w:jc w:val="both"/>
        <w:rPr>
          <w:sz w:val="22"/>
          <w:szCs w:val="22"/>
        </w:rPr>
      </w:pPr>
      <w:r w:rsidRPr="004160C5">
        <w:rPr>
          <w:sz w:val="22"/>
          <w:szCs w:val="22"/>
        </w:rPr>
        <w:t> </w:t>
      </w:r>
    </w:p>
    <w:p w14:paraId="1D4EECFF" w14:textId="77777777" w:rsidR="004160C5" w:rsidRPr="004160C5" w:rsidRDefault="004160C5" w:rsidP="004160C5">
      <w:pPr>
        <w:jc w:val="both"/>
        <w:rPr>
          <w:sz w:val="22"/>
          <w:szCs w:val="22"/>
        </w:rPr>
      </w:pPr>
      <w:r w:rsidRPr="004160C5">
        <w:rPr>
          <w:b/>
          <w:bCs/>
          <w:i/>
          <w:iCs/>
          <w:sz w:val="22"/>
          <w:szCs w:val="22"/>
        </w:rPr>
        <w:t>Promotur</w:t>
      </w:r>
      <w:r w:rsidRPr="004160C5">
        <w:rPr>
          <w:sz w:val="22"/>
          <w:szCs w:val="22"/>
        </w:rPr>
        <w:t> se compromete a continuar trabajando para que se reduzcan al máximo las diversas barreras de accesibilidad que actualmente pueden quedar por resolver en este sitio web. </w:t>
      </w:r>
    </w:p>
    <w:p w14:paraId="77E6B3F9" w14:textId="77777777" w:rsidR="004160C5" w:rsidRPr="004160C5" w:rsidRDefault="004160C5" w:rsidP="004160C5">
      <w:pPr>
        <w:jc w:val="both"/>
        <w:rPr>
          <w:sz w:val="22"/>
          <w:szCs w:val="22"/>
        </w:rPr>
      </w:pPr>
      <w:r w:rsidRPr="004160C5">
        <w:rPr>
          <w:sz w:val="22"/>
          <w:szCs w:val="22"/>
        </w:rPr>
        <w:t> </w:t>
      </w:r>
    </w:p>
    <w:p w14:paraId="68934048" w14:textId="77777777" w:rsidR="004160C5" w:rsidRPr="004160C5" w:rsidRDefault="004160C5" w:rsidP="004160C5">
      <w:pPr>
        <w:jc w:val="both"/>
        <w:rPr>
          <w:sz w:val="22"/>
          <w:szCs w:val="22"/>
        </w:rPr>
      </w:pPr>
      <w:r w:rsidRPr="004160C5">
        <w:rPr>
          <w:sz w:val="22"/>
          <w:szCs w:val="22"/>
        </w:rPr>
        <w:t>Este sitio web es</w:t>
      </w:r>
      <w:r w:rsidRPr="004160C5">
        <w:rPr>
          <w:b/>
          <w:bCs/>
          <w:sz w:val="22"/>
          <w:szCs w:val="22"/>
        </w:rPr>
        <w:t> parcialmente conforme </w:t>
      </w:r>
      <w:r w:rsidRPr="004160C5">
        <w:rPr>
          <w:sz w:val="22"/>
          <w:szCs w:val="22"/>
        </w:rPr>
        <w:t>con el Real Decreto 1112/2018 debido a las excepciones y a la falta de conformidad de los aspectos que se indican a continuación.</w:t>
      </w:r>
    </w:p>
    <w:p w14:paraId="7415E87D" w14:textId="77777777" w:rsidR="004160C5" w:rsidRPr="004160C5" w:rsidRDefault="004160C5" w:rsidP="004160C5">
      <w:pPr>
        <w:numPr>
          <w:ilvl w:val="0"/>
          <w:numId w:val="45"/>
        </w:numPr>
        <w:jc w:val="both"/>
        <w:rPr>
          <w:sz w:val="22"/>
          <w:szCs w:val="22"/>
        </w:rPr>
      </w:pPr>
      <w:r w:rsidRPr="004160C5">
        <w:rPr>
          <w:sz w:val="22"/>
          <w:szCs w:val="22"/>
        </w:rPr>
        <w:t>Visibilidad de textos en imágenes</w:t>
      </w:r>
    </w:p>
    <w:p w14:paraId="0784F78E" w14:textId="77777777" w:rsidR="004160C5" w:rsidRPr="004160C5" w:rsidRDefault="004160C5" w:rsidP="004160C5">
      <w:pPr>
        <w:numPr>
          <w:ilvl w:val="0"/>
          <w:numId w:val="45"/>
        </w:numPr>
        <w:jc w:val="both"/>
        <w:rPr>
          <w:sz w:val="22"/>
          <w:szCs w:val="22"/>
        </w:rPr>
      </w:pPr>
      <w:r w:rsidRPr="004160C5">
        <w:rPr>
          <w:sz w:val="22"/>
          <w:szCs w:val="22"/>
        </w:rPr>
        <w:t>Contrastes de textos sobre imágenes o fondos con color</w:t>
      </w:r>
    </w:p>
    <w:p w14:paraId="1319A4AE" w14:textId="77777777" w:rsidR="004160C5" w:rsidRPr="004160C5" w:rsidRDefault="004160C5" w:rsidP="004160C5">
      <w:pPr>
        <w:numPr>
          <w:ilvl w:val="0"/>
          <w:numId w:val="45"/>
        </w:numPr>
        <w:jc w:val="both"/>
        <w:rPr>
          <w:sz w:val="22"/>
          <w:szCs w:val="22"/>
        </w:rPr>
      </w:pPr>
      <w:r w:rsidRPr="004160C5">
        <w:rPr>
          <w:sz w:val="22"/>
          <w:szCs w:val="22"/>
        </w:rPr>
        <w:t>Agrupación estructural de contenido en tablas</w:t>
      </w:r>
    </w:p>
    <w:p w14:paraId="59CF737D" w14:textId="77777777" w:rsidR="004160C5" w:rsidRPr="004160C5" w:rsidRDefault="004160C5" w:rsidP="004160C5">
      <w:pPr>
        <w:jc w:val="both"/>
        <w:rPr>
          <w:sz w:val="22"/>
          <w:szCs w:val="22"/>
        </w:rPr>
      </w:pPr>
      <w:r w:rsidRPr="004160C5">
        <w:rPr>
          <w:sz w:val="22"/>
          <w:szCs w:val="22"/>
        </w:rPr>
        <w:t>La corrección de la identificación de contenido en tablas se encuentra en curso.</w:t>
      </w:r>
    </w:p>
    <w:p w14:paraId="068E58CE" w14:textId="77777777" w:rsidR="004160C5" w:rsidRPr="004160C5" w:rsidRDefault="004160C5" w:rsidP="004160C5">
      <w:pPr>
        <w:jc w:val="both"/>
        <w:rPr>
          <w:sz w:val="22"/>
          <w:szCs w:val="22"/>
        </w:rPr>
      </w:pPr>
      <w:r w:rsidRPr="004160C5">
        <w:rPr>
          <w:sz w:val="22"/>
          <w:szCs w:val="22"/>
        </w:rPr>
        <w:t> </w:t>
      </w:r>
    </w:p>
    <w:p w14:paraId="1DF19AE0" w14:textId="77777777" w:rsidR="004160C5" w:rsidRPr="004160C5" w:rsidRDefault="004160C5" w:rsidP="004160C5">
      <w:pPr>
        <w:jc w:val="both"/>
        <w:rPr>
          <w:sz w:val="22"/>
          <w:szCs w:val="22"/>
        </w:rPr>
      </w:pPr>
      <w:r w:rsidRPr="004160C5">
        <w:rPr>
          <w:b/>
          <w:bCs/>
          <w:i/>
          <w:iCs/>
          <w:sz w:val="22"/>
          <w:szCs w:val="22"/>
        </w:rPr>
        <w:t>Contenido que no entra dentro del ámbito de la legislación aplicable </w:t>
      </w:r>
    </w:p>
    <w:p w14:paraId="58CF3427" w14:textId="77777777" w:rsidR="004160C5" w:rsidRPr="004160C5" w:rsidRDefault="004160C5" w:rsidP="004160C5">
      <w:pPr>
        <w:jc w:val="both"/>
        <w:rPr>
          <w:sz w:val="22"/>
          <w:szCs w:val="22"/>
        </w:rPr>
      </w:pPr>
      <w:r w:rsidRPr="004160C5">
        <w:rPr>
          <w:sz w:val="22"/>
          <w:szCs w:val="22"/>
        </w:rPr>
        <w:t>Puede que existan archivos ofimáticos en PDF u otros formatos publicados antes del 20 de septiembre de 2018, fecha de la entrada en vigor de este real decreto, que no cumplan en su totalidad de todos los requisitos de accesibilidad.</w:t>
      </w:r>
    </w:p>
    <w:p w14:paraId="20109F86" w14:textId="77777777" w:rsidR="004160C5" w:rsidRPr="004160C5" w:rsidRDefault="004160C5" w:rsidP="004160C5">
      <w:pPr>
        <w:jc w:val="both"/>
        <w:rPr>
          <w:sz w:val="22"/>
          <w:szCs w:val="22"/>
        </w:rPr>
      </w:pPr>
      <w:r w:rsidRPr="004160C5">
        <w:rPr>
          <w:sz w:val="22"/>
          <w:szCs w:val="22"/>
        </w:rPr>
        <w:t xml:space="preserve">Si detecta alguna barrera en la web, tiene alguna duda o reclamación en relación con la accesibilidad de </w:t>
      </w:r>
      <w:proofErr w:type="gramStart"/>
      <w:r w:rsidRPr="004160C5">
        <w:rPr>
          <w:sz w:val="22"/>
          <w:szCs w:val="22"/>
        </w:rPr>
        <w:t>la misma</w:t>
      </w:r>
      <w:proofErr w:type="gramEnd"/>
      <w:r w:rsidRPr="004160C5">
        <w:rPr>
          <w:sz w:val="22"/>
          <w:szCs w:val="22"/>
        </w:rPr>
        <w:t>, puede realizar comunicaciones sobre requisitos de accesibilidad (artículo 10.2.a) del Real Decreto 1112/2018, de 7 de septiembre) como, por ejemplo:</w:t>
      </w:r>
    </w:p>
    <w:p w14:paraId="38C4ABFA" w14:textId="77777777" w:rsidR="004160C5" w:rsidRPr="004160C5" w:rsidRDefault="004160C5" w:rsidP="004160C5">
      <w:pPr>
        <w:numPr>
          <w:ilvl w:val="0"/>
          <w:numId w:val="46"/>
        </w:numPr>
        <w:jc w:val="both"/>
        <w:rPr>
          <w:sz w:val="22"/>
          <w:szCs w:val="22"/>
        </w:rPr>
      </w:pPr>
      <w:r w:rsidRPr="004160C5">
        <w:rPr>
          <w:sz w:val="22"/>
          <w:szCs w:val="22"/>
        </w:rPr>
        <w:lastRenderedPageBreak/>
        <w:t>Informar sobre cualquier posible incumplimiento por parte de este sitio web.</w:t>
      </w:r>
    </w:p>
    <w:p w14:paraId="6C06568E" w14:textId="77777777" w:rsidR="004160C5" w:rsidRPr="004160C5" w:rsidRDefault="004160C5" w:rsidP="004160C5">
      <w:pPr>
        <w:numPr>
          <w:ilvl w:val="0"/>
          <w:numId w:val="46"/>
        </w:numPr>
        <w:jc w:val="both"/>
        <w:rPr>
          <w:sz w:val="22"/>
          <w:szCs w:val="22"/>
        </w:rPr>
      </w:pPr>
      <w:r w:rsidRPr="004160C5">
        <w:rPr>
          <w:sz w:val="22"/>
          <w:szCs w:val="22"/>
        </w:rPr>
        <w:t>Transmitir otras dificultades de acceso al contenido.</w:t>
      </w:r>
    </w:p>
    <w:p w14:paraId="4A338364" w14:textId="77777777" w:rsidR="004160C5" w:rsidRPr="004160C5" w:rsidRDefault="004160C5" w:rsidP="004160C5">
      <w:pPr>
        <w:jc w:val="both"/>
        <w:rPr>
          <w:sz w:val="22"/>
          <w:szCs w:val="22"/>
        </w:rPr>
      </w:pPr>
      <w:r w:rsidRPr="004160C5">
        <w:rPr>
          <w:sz w:val="22"/>
          <w:szCs w:val="22"/>
        </w:rPr>
        <w:t>Dichas comunicaciones pueden realizarse a través de las siguientes vías:</w:t>
      </w:r>
    </w:p>
    <w:p w14:paraId="35446C45" w14:textId="77777777" w:rsidR="004160C5" w:rsidRPr="004160C5" w:rsidRDefault="004160C5" w:rsidP="004160C5">
      <w:pPr>
        <w:numPr>
          <w:ilvl w:val="0"/>
          <w:numId w:val="47"/>
        </w:numPr>
        <w:jc w:val="both"/>
        <w:rPr>
          <w:sz w:val="22"/>
          <w:szCs w:val="22"/>
        </w:rPr>
      </w:pPr>
      <w:r w:rsidRPr="004160C5">
        <w:rPr>
          <w:sz w:val="22"/>
          <w:szCs w:val="22"/>
        </w:rPr>
        <w:t>Correo electrónico: </w:t>
      </w:r>
      <w:hyperlink r:id="rId10" w:history="1">
        <w:r w:rsidRPr="004160C5">
          <w:rPr>
            <w:rStyle w:val="Hipervnculo"/>
            <w:sz w:val="22"/>
            <w:szCs w:val="22"/>
          </w:rPr>
          <w:t>transparencia@turismodecanarias.com</w:t>
        </w:r>
      </w:hyperlink>
    </w:p>
    <w:p w14:paraId="1CFA5DD9" w14:textId="77777777" w:rsidR="004160C5" w:rsidRPr="004160C5" w:rsidRDefault="004160C5" w:rsidP="004160C5">
      <w:pPr>
        <w:numPr>
          <w:ilvl w:val="0"/>
          <w:numId w:val="47"/>
        </w:numPr>
        <w:jc w:val="both"/>
        <w:rPr>
          <w:sz w:val="22"/>
          <w:szCs w:val="22"/>
        </w:rPr>
      </w:pPr>
      <w:r w:rsidRPr="004160C5">
        <w:rPr>
          <w:sz w:val="22"/>
          <w:szCs w:val="22"/>
        </w:rPr>
        <w:t>Teléfono: 928290579</w:t>
      </w:r>
    </w:p>
    <w:p w14:paraId="4BEF0BF2" w14:textId="77777777" w:rsidR="004160C5" w:rsidRPr="004160C5" w:rsidRDefault="004160C5" w:rsidP="004160C5">
      <w:pPr>
        <w:jc w:val="both"/>
        <w:rPr>
          <w:sz w:val="22"/>
          <w:szCs w:val="22"/>
        </w:rPr>
      </w:pPr>
      <w:r w:rsidRPr="004160C5">
        <w:rPr>
          <w:sz w:val="22"/>
          <w:szCs w:val="22"/>
        </w:rPr>
        <w:t>Igualmente usted puede presentar:</w:t>
      </w:r>
    </w:p>
    <w:p w14:paraId="2CAA3302" w14:textId="77777777" w:rsidR="004160C5" w:rsidRPr="004160C5" w:rsidRDefault="004160C5" w:rsidP="004160C5">
      <w:pPr>
        <w:numPr>
          <w:ilvl w:val="0"/>
          <w:numId w:val="48"/>
        </w:numPr>
        <w:jc w:val="both"/>
        <w:rPr>
          <w:sz w:val="22"/>
          <w:szCs w:val="22"/>
        </w:rPr>
      </w:pPr>
      <w:r w:rsidRPr="004160C5">
        <w:rPr>
          <w:sz w:val="22"/>
          <w:szCs w:val="22"/>
        </w:rPr>
        <w:t>Una queja relativa al cumplimiento de los requisitos del RD 1112/2018.</w:t>
      </w:r>
    </w:p>
    <w:p w14:paraId="1873A361" w14:textId="77777777" w:rsidR="004160C5" w:rsidRPr="004160C5" w:rsidRDefault="004160C5" w:rsidP="004160C5">
      <w:pPr>
        <w:numPr>
          <w:ilvl w:val="0"/>
          <w:numId w:val="48"/>
        </w:numPr>
        <w:jc w:val="both"/>
        <w:rPr>
          <w:sz w:val="22"/>
          <w:szCs w:val="22"/>
        </w:rPr>
      </w:pPr>
      <w:r w:rsidRPr="004160C5">
        <w:rPr>
          <w:sz w:val="22"/>
          <w:szCs w:val="22"/>
        </w:rPr>
        <w:t>Una solicitud de información accesible relativa a:</w:t>
      </w:r>
    </w:p>
    <w:p w14:paraId="274F76F0" w14:textId="77777777" w:rsidR="004160C5" w:rsidRPr="004160C5" w:rsidRDefault="004160C5" w:rsidP="004160C5">
      <w:pPr>
        <w:numPr>
          <w:ilvl w:val="1"/>
          <w:numId w:val="48"/>
        </w:numPr>
        <w:jc w:val="both"/>
        <w:rPr>
          <w:sz w:val="22"/>
          <w:szCs w:val="22"/>
        </w:rPr>
      </w:pPr>
      <w:r w:rsidRPr="004160C5">
        <w:rPr>
          <w:sz w:val="22"/>
          <w:szCs w:val="22"/>
        </w:rPr>
        <w:t>Contenidos que están excluidos del ámbito de aplicación del RD 1112/2018 según lo establecido por el artículo 3, apartado 4.</w:t>
      </w:r>
    </w:p>
    <w:p w14:paraId="2E929F98" w14:textId="77777777" w:rsidR="004160C5" w:rsidRPr="004160C5" w:rsidRDefault="004160C5" w:rsidP="004160C5">
      <w:pPr>
        <w:numPr>
          <w:ilvl w:val="1"/>
          <w:numId w:val="48"/>
        </w:numPr>
        <w:jc w:val="both"/>
        <w:rPr>
          <w:sz w:val="22"/>
          <w:szCs w:val="22"/>
        </w:rPr>
      </w:pPr>
      <w:r w:rsidRPr="004160C5">
        <w:rPr>
          <w:sz w:val="22"/>
          <w:szCs w:val="22"/>
        </w:rPr>
        <w:t>Contenidos que están exentos del cumplimiento de los requisitos de accesibilidad por imponer una carga desproporcionada.</w:t>
      </w:r>
    </w:p>
    <w:p w14:paraId="4A014BDB" w14:textId="77777777" w:rsidR="004160C5" w:rsidRPr="004160C5" w:rsidRDefault="004160C5" w:rsidP="004160C5">
      <w:pPr>
        <w:jc w:val="both"/>
        <w:rPr>
          <w:sz w:val="22"/>
          <w:szCs w:val="22"/>
        </w:rPr>
      </w:pPr>
      <w:r w:rsidRPr="004160C5">
        <w:rPr>
          <w:sz w:val="22"/>
          <w:szCs w:val="22"/>
        </w:rPr>
        <w:t>En la solicitud de información accesible, se debe concretar, con toda claridad, los hechos, razones y petición que permitan constatar que se trata de una solicitud razonable y legítima.</w:t>
      </w:r>
    </w:p>
    <w:p w14:paraId="2EC7EEE5" w14:textId="77777777" w:rsidR="004160C5" w:rsidRPr="004160C5" w:rsidRDefault="004160C5" w:rsidP="004160C5">
      <w:pPr>
        <w:jc w:val="both"/>
        <w:rPr>
          <w:sz w:val="22"/>
          <w:szCs w:val="22"/>
        </w:rPr>
      </w:pPr>
      <w:r w:rsidRPr="004160C5">
        <w:rPr>
          <w:sz w:val="22"/>
          <w:szCs w:val="22"/>
        </w:rPr>
        <w:t> </w:t>
      </w:r>
    </w:p>
    <w:p w14:paraId="472494F8" w14:textId="77777777" w:rsidR="004160C5" w:rsidRPr="004160C5" w:rsidRDefault="004160C5" w:rsidP="004160C5">
      <w:pPr>
        <w:jc w:val="both"/>
        <w:rPr>
          <w:sz w:val="22"/>
          <w:szCs w:val="22"/>
        </w:rPr>
      </w:pPr>
      <w:r w:rsidRPr="004160C5">
        <w:rPr>
          <w:sz w:val="22"/>
          <w:szCs w:val="22"/>
        </w:rPr>
        <w:t>Las solicitudes de información accesible y quejas se pueden presentar a través de </w:t>
      </w:r>
      <w:hyperlink r:id="rId11" w:history="1">
        <w:r w:rsidRPr="004160C5">
          <w:rPr>
            <w:rStyle w:val="Hipervnculo"/>
            <w:sz w:val="22"/>
            <w:szCs w:val="22"/>
          </w:rPr>
          <w:t>Solicitud de información accesible y quejas</w:t>
        </w:r>
      </w:hyperlink>
      <w:r w:rsidRPr="004160C5">
        <w:rPr>
          <w:sz w:val="22"/>
          <w:szCs w:val="22"/>
        </w:rPr>
        <w:t>, así como del resto de opciones recogidas en la Ley 39/ 2015, de 1 de octubre, del Procedimiento Administrativo Común de las Administraciones Públicas.</w:t>
      </w:r>
    </w:p>
    <w:p w14:paraId="6173B666" w14:textId="77777777" w:rsidR="004160C5" w:rsidRPr="004160C5" w:rsidRDefault="004160C5" w:rsidP="004160C5">
      <w:pPr>
        <w:jc w:val="both"/>
        <w:rPr>
          <w:sz w:val="22"/>
          <w:szCs w:val="22"/>
        </w:rPr>
      </w:pPr>
      <w:r w:rsidRPr="004160C5">
        <w:rPr>
          <w:sz w:val="22"/>
          <w:szCs w:val="22"/>
        </w:rPr>
        <w:t> </w:t>
      </w:r>
    </w:p>
    <w:p w14:paraId="2F294BC2" w14:textId="77777777" w:rsidR="004160C5" w:rsidRPr="004160C5" w:rsidRDefault="004160C5" w:rsidP="004160C5">
      <w:pPr>
        <w:jc w:val="both"/>
        <w:rPr>
          <w:sz w:val="22"/>
          <w:szCs w:val="22"/>
        </w:rPr>
      </w:pPr>
      <w:r w:rsidRPr="004160C5">
        <w:rPr>
          <w:sz w:val="22"/>
          <w:szCs w:val="22"/>
        </w:rPr>
        <w:t>Las comunicaciones, quejas y solicitudes de información accesible serán recibidas y tratadas por la Unidad Responsable de Accesibilidad de Promotur.</w:t>
      </w:r>
    </w:p>
    <w:p w14:paraId="5E4C301C" w14:textId="77777777" w:rsidR="004160C5" w:rsidRPr="004160C5" w:rsidRDefault="004160C5" w:rsidP="004160C5">
      <w:pPr>
        <w:jc w:val="both"/>
        <w:rPr>
          <w:sz w:val="22"/>
          <w:szCs w:val="22"/>
        </w:rPr>
      </w:pPr>
      <w:r w:rsidRPr="004160C5">
        <w:rPr>
          <w:sz w:val="22"/>
          <w:szCs w:val="22"/>
        </w:rPr>
        <w:t> </w:t>
      </w:r>
    </w:p>
    <w:p w14:paraId="2BDE8BD3" w14:textId="77777777" w:rsidR="004160C5" w:rsidRPr="004160C5" w:rsidRDefault="004160C5" w:rsidP="004160C5">
      <w:pPr>
        <w:jc w:val="both"/>
        <w:rPr>
          <w:sz w:val="22"/>
          <w:szCs w:val="22"/>
        </w:rPr>
      </w:pPr>
      <w:r w:rsidRPr="004160C5">
        <w:rPr>
          <w:b/>
          <w:bCs/>
          <w:sz w:val="22"/>
          <w:szCs w:val="22"/>
        </w:rPr>
        <w:t>Procedimiento de aplicación</w:t>
      </w:r>
    </w:p>
    <w:p w14:paraId="13A6D57A" w14:textId="77777777" w:rsidR="004160C5" w:rsidRPr="004160C5" w:rsidRDefault="004160C5" w:rsidP="004160C5">
      <w:pPr>
        <w:jc w:val="both"/>
        <w:rPr>
          <w:sz w:val="22"/>
          <w:szCs w:val="22"/>
        </w:rPr>
      </w:pPr>
      <w:r w:rsidRPr="004160C5">
        <w:rPr>
          <w:sz w:val="22"/>
          <w:szCs w:val="22"/>
        </w:rPr>
        <w:t>Si una vez realizada una solicitud de información accesible o queja, esta hubiera sido desestimada, no se estuviera de acuerdo con la decisión adoptada, o la respuesta no cumpliera los requisitos contemplados en el artículo 12.5, la persona interesada podrá iniciar una reclamación. Igualmente se podrá iniciar una reclamación en el caso de que haya trascurrido el plazo de veinte días hábiles sin haber obtenido respuesta.</w:t>
      </w:r>
    </w:p>
    <w:p w14:paraId="0258692A" w14:textId="77777777" w:rsidR="004160C5" w:rsidRPr="004160C5" w:rsidRDefault="004160C5" w:rsidP="004160C5">
      <w:pPr>
        <w:jc w:val="both"/>
        <w:rPr>
          <w:sz w:val="22"/>
          <w:szCs w:val="22"/>
        </w:rPr>
      </w:pPr>
      <w:r w:rsidRPr="004160C5">
        <w:rPr>
          <w:sz w:val="22"/>
          <w:szCs w:val="22"/>
        </w:rPr>
        <w:t> </w:t>
      </w:r>
    </w:p>
    <w:p w14:paraId="14C71A72" w14:textId="77777777" w:rsidR="004160C5" w:rsidRPr="004160C5" w:rsidRDefault="004160C5" w:rsidP="004160C5">
      <w:pPr>
        <w:jc w:val="both"/>
        <w:rPr>
          <w:sz w:val="22"/>
          <w:szCs w:val="22"/>
        </w:rPr>
      </w:pPr>
      <w:r w:rsidRPr="004160C5">
        <w:rPr>
          <w:sz w:val="22"/>
          <w:szCs w:val="22"/>
        </w:rPr>
        <w:t>La reclamación puede ser presentada a través de la </w:t>
      </w:r>
      <w:hyperlink r:id="rId12" w:history="1">
        <w:r w:rsidRPr="004160C5">
          <w:rPr>
            <w:rStyle w:val="Hipervnculo"/>
            <w:sz w:val="22"/>
            <w:szCs w:val="22"/>
          </w:rPr>
          <w:t>Reclamación de accesibilidad</w:t>
        </w:r>
      </w:hyperlink>
      <w:r w:rsidRPr="004160C5">
        <w:rPr>
          <w:sz w:val="22"/>
          <w:szCs w:val="22"/>
        </w:rPr>
        <w:t xml:space="preserve">, así como en el resto de </w:t>
      </w:r>
      <w:proofErr w:type="gramStart"/>
      <w:r w:rsidRPr="004160C5">
        <w:rPr>
          <w:sz w:val="22"/>
          <w:szCs w:val="22"/>
        </w:rPr>
        <w:t>opciones</w:t>
      </w:r>
      <w:proofErr w:type="gramEnd"/>
      <w:r w:rsidRPr="004160C5">
        <w:rPr>
          <w:sz w:val="22"/>
          <w:szCs w:val="22"/>
        </w:rPr>
        <w:t xml:space="preserve"> recogidas en la Ley 39/ 2015, de 1 de octubre, del Procedimiento Administrativo Común de las Administraciones Públicas.</w:t>
      </w:r>
    </w:p>
    <w:p w14:paraId="354E4502" w14:textId="77777777" w:rsidR="004160C5" w:rsidRPr="004160C5" w:rsidRDefault="004160C5" w:rsidP="004160C5">
      <w:pPr>
        <w:jc w:val="both"/>
        <w:rPr>
          <w:sz w:val="22"/>
          <w:szCs w:val="22"/>
        </w:rPr>
      </w:pPr>
      <w:r w:rsidRPr="004160C5">
        <w:rPr>
          <w:sz w:val="22"/>
          <w:szCs w:val="22"/>
        </w:rPr>
        <w:t> </w:t>
      </w:r>
    </w:p>
    <w:p w14:paraId="16BA340C" w14:textId="77777777" w:rsidR="004160C5" w:rsidRPr="004160C5" w:rsidRDefault="004160C5" w:rsidP="004160C5">
      <w:pPr>
        <w:jc w:val="both"/>
        <w:rPr>
          <w:sz w:val="22"/>
          <w:szCs w:val="22"/>
        </w:rPr>
      </w:pPr>
      <w:r w:rsidRPr="004160C5">
        <w:rPr>
          <w:sz w:val="22"/>
          <w:szCs w:val="22"/>
        </w:rPr>
        <w:t>Las reclamaciones serán recibidas y tratadas por la Unidad Responsable de Accesibilidad del Gobierno de Canarias.</w:t>
      </w:r>
    </w:p>
    <w:p w14:paraId="006B6D6E" w14:textId="77777777" w:rsidR="004160C5" w:rsidRPr="004160C5" w:rsidRDefault="004160C5" w:rsidP="004160C5">
      <w:pPr>
        <w:jc w:val="both"/>
        <w:rPr>
          <w:sz w:val="22"/>
          <w:szCs w:val="22"/>
        </w:rPr>
      </w:pPr>
      <w:r w:rsidRPr="004160C5">
        <w:rPr>
          <w:sz w:val="22"/>
          <w:szCs w:val="22"/>
        </w:rPr>
        <w:t> </w:t>
      </w:r>
    </w:p>
    <w:p w14:paraId="3451C9DD" w14:textId="77777777" w:rsidR="004160C5" w:rsidRPr="004160C5" w:rsidRDefault="004160C5" w:rsidP="004160C5">
      <w:pPr>
        <w:jc w:val="both"/>
        <w:rPr>
          <w:sz w:val="22"/>
          <w:szCs w:val="22"/>
        </w:rPr>
      </w:pPr>
      <w:r w:rsidRPr="004160C5">
        <w:rPr>
          <w:b/>
          <w:bCs/>
          <w:sz w:val="22"/>
          <w:szCs w:val="22"/>
        </w:rPr>
        <w:t>Contenido Opcional</w:t>
      </w:r>
    </w:p>
    <w:p w14:paraId="40B9DFE7" w14:textId="77777777" w:rsidR="004160C5" w:rsidRPr="004160C5" w:rsidRDefault="004160C5" w:rsidP="004160C5">
      <w:pPr>
        <w:jc w:val="both"/>
        <w:rPr>
          <w:sz w:val="22"/>
          <w:szCs w:val="22"/>
        </w:rPr>
      </w:pPr>
      <w:r w:rsidRPr="004160C5">
        <w:rPr>
          <w:sz w:val="22"/>
          <w:szCs w:val="22"/>
        </w:rPr>
        <w:t> </w:t>
      </w:r>
    </w:p>
    <w:p w14:paraId="35CF843D" w14:textId="77777777" w:rsidR="004160C5" w:rsidRPr="004160C5" w:rsidRDefault="004160C5" w:rsidP="004160C5">
      <w:pPr>
        <w:jc w:val="both"/>
        <w:rPr>
          <w:sz w:val="22"/>
          <w:szCs w:val="22"/>
        </w:rPr>
      </w:pPr>
      <w:r w:rsidRPr="004160C5">
        <w:rPr>
          <w:b/>
          <w:bCs/>
          <w:sz w:val="22"/>
          <w:szCs w:val="22"/>
        </w:rPr>
        <w:t>Cómo cambiar el color, estilos y tipografía:</w:t>
      </w:r>
    </w:p>
    <w:p w14:paraId="7510D5C0" w14:textId="77777777" w:rsidR="004160C5" w:rsidRPr="004160C5" w:rsidRDefault="004160C5" w:rsidP="004160C5">
      <w:pPr>
        <w:jc w:val="both"/>
        <w:rPr>
          <w:sz w:val="22"/>
          <w:szCs w:val="22"/>
        </w:rPr>
      </w:pPr>
      <w:r w:rsidRPr="004160C5">
        <w:rPr>
          <w:sz w:val="22"/>
          <w:szCs w:val="22"/>
        </w:rPr>
        <w:t xml:space="preserve">A </w:t>
      </w:r>
      <w:proofErr w:type="gramStart"/>
      <w:r w:rsidRPr="004160C5">
        <w:rPr>
          <w:sz w:val="22"/>
          <w:szCs w:val="22"/>
        </w:rPr>
        <w:t>continuación</w:t>
      </w:r>
      <w:proofErr w:type="gramEnd"/>
      <w:r w:rsidRPr="004160C5">
        <w:rPr>
          <w:sz w:val="22"/>
          <w:szCs w:val="22"/>
        </w:rPr>
        <w:t xml:space="preserve"> se indica cómo cambiar los colores, los estilos y la tipografía de las páginas del navegador según las preferencias o necesidades:</w:t>
      </w:r>
    </w:p>
    <w:tbl>
      <w:tblPr>
        <w:tblW w:w="9195" w:type="dxa"/>
        <w:tblBorders>
          <w:top w:val="outset" w:sz="6" w:space="0" w:color="auto"/>
          <w:left w:val="outset" w:sz="6" w:space="0" w:color="auto"/>
          <w:bottom w:val="outset" w:sz="6" w:space="0" w:color="auto"/>
          <w:right w:val="outset" w:sz="6" w:space="0" w:color="auto"/>
        </w:tblBorders>
        <w:shd w:val="clear" w:color="auto" w:fill="EEEFF4"/>
        <w:tblCellMar>
          <w:top w:w="15" w:type="dxa"/>
          <w:left w:w="15" w:type="dxa"/>
          <w:bottom w:w="15" w:type="dxa"/>
          <w:right w:w="15" w:type="dxa"/>
        </w:tblCellMar>
        <w:tblLook w:val="04A0" w:firstRow="1" w:lastRow="0" w:firstColumn="1" w:lastColumn="0" w:noHBand="0" w:noVBand="1"/>
      </w:tblPr>
      <w:tblGrid>
        <w:gridCol w:w="1800"/>
        <w:gridCol w:w="7395"/>
      </w:tblGrid>
      <w:tr w:rsidR="004160C5" w:rsidRPr="004160C5" w14:paraId="7732B906" w14:textId="77777777" w:rsidTr="004160C5">
        <w:trPr>
          <w:tblHeader/>
        </w:trPr>
        <w:tc>
          <w:tcPr>
            <w:tcW w:w="1515" w:type="dxa"/>
            <w:tcBorders>
              <w:top w:val="outset" w:sz="6" w:space="0" w:color="auto"/>
              <w:left w:val="outset" w:sz="6" w:space="0" w:color="auto"/>
              <w:bottom w:val="outset" w:sz="6" w:space="0" w:color="auto"/>
              <w:right w:val="outset" w:sz="6" w:space="0" w:color="auto"/>
            </w:tcBorders>
            <w:shd w:val="clear" w:color="auto" w:fill="EEEFF4"/>
            <w:tcMar>
              <w:top w:w="0" w:type="dxa"/>
              <w:left w:w="0" w:type="dxa"/>
              <w:bottom w:w="0" w:type="dxa"/>
              <w:right w:w="0" w:type="dxa"/>
            </w:tcMar>
            <w:vAlign w:val="center"/>
            <w:hideMark/>
          </w:tcPr>
          <w:p w14:paraId="21E50C6E" w14:textId="77777777" w:rsidR="004160C5" w:rsidRPr="004160C5" w:rsidRDefault="004160C5" w:rsidP="004160C5">
            <w:pPr>
              <w:jc w:val="both"/>
              <w:rPr>
                <w:sz w:val="22"/>
                <w:szCs w:val="22"/>
              </w:rPr>
            </w:pPr>
            <w:r w:rsidRPr="004160C5">
              <w:rPr>
                <w:b/>
                <w:bCs/>
                <w:sz w:val="22"/>
                <w:szCs w:val="22"/>
              </w:rPr>
              <w:t>Navegador</w:t>
            </w:r>
          </w:p>
        </w:tc>
        <w:tc>
          <w:tcPr>
            <w:tcW w:w="6225" w:type="dxa"/>
            <w:tcBorders>
              <w:top w:val="outset" w:sz="6" w:space="0" w:color="auto"/>
              <w:left w:val="outset" w:sz="6" w:space="0" w:color="auto"/>
              <w:bottom w:val="outset" w:sz="6" w:space="0" w:color="auto"/>
              <w:right w:val="outset" w:sz="6" w:space="0" w:color="auto"/>
            </w:tcBorders>
            <w:shd w:val="clear" w:color="auto" w:fill="EEEFF4"/>
            <w:tcMar>
              <w:top w:w="0" w:type="dxa"/>
              <w:left w:w="0" w:type="dxa"/>
              <w:bottom w:w="0" w:type="dxa"/>
              <w:right w:w="0" w:type="dxa"/>
            </w:tcMar>
            <w:vAlign w:val="center"/>
            <w:hideMark/>
          </w:tcPr>
          <w:p w14:paraId="6B1A9E2B" w14:textId="77777777" w:rsidR="004160C5" w:rsidRPr="004160C5" w:rsidRDefault="004160C5" w:rsidP="004160C5">
            <w:pPr>
              <w:jc w:val="both"/>
              <w:rPr>
                <w:sz w:val="22"/>
                <w:szCs w:val="22"/>
              </w:rPr>
            </w:pPr>
            <w:r w:rsidRPr="004160C5">
              <w:rPr>
                <w:b/>
                <w:bCs/>
                <w:sz w:val="22"/>
                <w:szCs w:val="22"/>
              </w:rPr>
              <w:t>Pasos</w:t>
            </w:r>
          </w:p>
        </w:tc>
      </w:tr>
      <w:tr w:rsidR="004160C5" w:rsidRPr="004160C5" w14:paraId="5E2F6754" w14:textId="77777777" w:rsidTr="004160C5">
        <w:tc>
          <w:tcPr>
            <w:tcW w:w="1515" w:type="dxa"/>
            <w:tcBorders>
              <w:top w:val="outset" w:sz="6" w:space="0" w:color="auto"/>
              <w:left w:val="outset" w:sz="6" w:space="0" w:color="auto"/>
              <w:bottom w:val="outset" w:sz="6" w:space="0" w:color="auto"/>
              <w:right w:val="outset" w:sz="6" w:space="0" w:color="auto"/>
            </w:tcBorders>
            <w:shd w:val="clear" w:color="auto" w:fill="EEEFF4"/>
            <w:tcMar>
              <w:top w:w="0" w:type="dxa"/>
              <w:left w:w="0" w:type="dxa"/>
              <w:bottom w:w="0" w:type="dxa"/>
              <w:right w:w="0" w:type="dxa"/>
            </w:tcMar>
            <w:vAlign w:val="center"/>
            <w:hideMark/>
          </w:tcPr>
          <w:p w14:paraId="6FF12079" w14:textId="77777777" w:rsidR="004160C5" w:rsidRPr="004160C5" w:rsidRDefault="004160C5" w:rsidP="004160C5">
            <w:pPr>
              <w:jc w:val="both"/>
              <w:rPr>
                <w:sz w:val="22"/>
                <w:szCs w:val="22"/>
              </w:rPr>
            </w:pPr>
            <w:r w:rsidRPr="004160C5">
              <w:rPr>
                <w:sz w:val="22"/>
                <w:szCs w:val="22"/>
              </w:rPr>
              <w:t>Explorer</w:t>
            </w:r>
          </w:p>
        </w:tc>
        <w:tc>
          <w:tcPr>
            <w:tcW w:w="6225" w:type="dxa"/>
            <w:tcBorders>
              <w:top w:val="outset" w:sz="6" w:space="0" w:color="auto"/>
              <w:left w:val="outset" w:sz="6" w:space="0" w:color="auto"/>
              <w:bottom w:val="outset" w:sz="6" w:space="0" w:color="auto"/>
              <w:right w:val="outset" w:sz="6" w:space="0" w:color="auto"/>
            </w:tcBorders>
            <w:shd w:val="clear" w:color="auto" w:fill="EEEFF4"/>
            <w:tcMar>
              <w:top w:w="0" w:type="dxa"/>
              <w:left w:w="0" w:type="dxa"/>
              <w:bottom w:w="0" w:type="dxa"/>
              <w:right w:w="0" w:type="dxa"/>
            </w:tcMar>
            <w:vAlign w:val="center"/>
            <w:hideMark/>
          </w:tcPr>
          <w:p w14:paraId="1077C78F" w14:textId="77777777" w:rsidR="004160C5" w:rsidRPr="004160C5" w:rsidRDefault="004160C5" w:rsidP="004160C5">
            <w:pPr>
              <w:jc w:val="both"/>
              <w:rPr>
                <w:sz w:val="22"/>
                <w:szCs w:val="22"/>
              </w:rPr>
            </w:pPr>
            <w:r w:rsidRPr="004160C5">
              <w:rPr>
                <w:sz w:val="22"/>
                <w:szCs w:val="22"/>
              </w:rPr>
              <w:t>Herramientas &gt; Opciones de internet &gt; pestaña «General» &gt; Botón «Accesibilidad» &gt; Activar alguna de las casillas de «Omitir</w:t>
            </w:r>
            <w:proofErr w:type="gramStart"/>
            <w:r w:rsidRPr="004160C5">
              <w:rPr>
                <w:sz w:val="22"/>
                <w:szCs w:val="22"/>
              </w:rPr>
              <w:t>… »</w:t>
            </w:r>
            <w:proofErr w:type="gramEnd"/>
            <w:r w:rsidRPr="004160C5">
              <w:rPr>
                <w:sz w:val="22"/>
                <w:szCs w:val="22"/>
              </w:rPr>
              <w:t> </w:t>
            </w:r>
          </w:p>
        </w:tc>
      </w:tr>
      <w:tr w:rsidR="004160C5" w:rsidRPr="004160C5" w14:paraId="536133F1" w14:textId="77777777" w:rsidTr="004160C5">
        <w:tc>
          <w:tcPr>
            <w:tcW w:w="1515" w:type="dxa"/>
            <w:tcBorders>
              <w:top w:val="outset" w:sz="6" w:space="0" w:color="auto"/>
              <w:left w:val="outset" w:sz="6" w:space="0" w:color="auto"/>
              <w:bottom w:val="outset" w:sz="6" w:space="0" w:color="auto"/>
              <w:right w:val="outset" w:sz="6" w:space="0" w:color="auto"/>
            </w:tcBorders>
            <w:shd w:val="clear" w:color="auto" w:fill="EEEFF4"/>
            <w:tcMar>
              <w:top w:w="0" w:type="dxa"/>
              <w:left w:w="0" w:type="dxa"/>
              <w:bottom w:w="0" w:type="dxa"/>
              <w:right w:w="0" w:type="dxa"/>
            </w:tcMar>
            <w:vAlign w:val="center"/>
            <w:hideMark/>
          </w:tcPr>
          <w:p w14:paraId="5B9BEC10" w14:textId="77777777" w:rsidR="004160C5" w:rsidRPr="004160C5" w:rsidRDefault="004160C5" w:rsidP="004160C5">
            <w:pPr>
              <w:jc w:val="both"/>
              <w:rPr>
                <w:sz w:val="22"/>
                <w:szCs w:val="22"/>
              </w:rPr>
            </w:pPr>
            <w:r w:rsidRPr="004160C5">
              <w:rPr>
                <w:sz w:val="22"/>
                <w:szCs w:val="22"/>
              </w:rPr>
              <w:t>Firefox</w:t>
            </w:r>
          </w:p>
        </w:tc>
        <w:tc>
          <w:tcPr>
            <w:tcW w:w="6225" w:type="dxa"/>
            <w:tcBorders>
              <w:top w:val="outset" w:sz="6" w:space="0" w:color="auto"/>
              <w:left w:val="outset" w:sz="6" w:space="0" w:color="auto"/>
              <w:bottom w:val="outset" w:sz="6" w:space="0" w:color="auto"/>
              <w:right w:val="outset" w:sz="6" w:space="0" w:color="auto"/>
            </w:tcBorders>
            <w:shd w:val="clear" w:color="auto" w:fill="EEEFF4"/>
            <w:tcMar>
              <w:top w:w="0" w:type="dxa"/>
              <w:left w:w="0" w:type="dxa"/>
              <w:bottom w:w="0" w:type="dxa"/>
              <w:right w:w="0" w:type="dxa"/>
            </w:tcMar>
            <w:vAlign w:val="center"/>
            <w:hideMark/>
          </w:tcPr>
          <w:p w14:paraId="07BC06E5" w14:textId="77777777" w:rsidR="004160C5" w:rsidRPr="004160C5" w:rsidRDefault="004160C5" w:rsidP="004160C5">
            <w:pPr>
              <w:jc w:val="both"/>
              <w:rPr>
                <w:sz w:val="22"/>
                <w:szCs w:val="22"/>
              </w:rPr>
            </w:pPr>
            <w:r w:rsidRPr="004160C5">
              <w:rPr>
                <w:sz w:val="22"/>
                <w:szCs w:val="22"/>
              </w:rPr>
              <w:t>Herramientas &gt; Opciones &gt; sección «Idioma y apariencia»</w:t>
            </w:r>
          </w:p>
        </w:tc>
      </w:tr>
      <w:tr w:rsidR="004160C5" w:rsidRPr="004160C5" w14:paraId="65AB2463" w14:textId="77777777" w:rsidTr="004160C5">
        <w:tc>
          <w:tcPr>
            <w:tcW w:w="1515" w:type="dxa"/>
            <w:tcBorders>
              <w:top w:val="outset" w:sz="6" w:space="0" w:color="auto"/>
              <w:left w:val="outset" w:sz="6" w:space="0" w:color="auto"/>
              <w:bottom w:val="outset" w:sz="6" w:space="0" w:color="auto"/>
              <w:right w:val="outset" w:sz="6" w:space="0" w:color="auto"/>
            </w:tcBorders>
            <w:shd w:val="clear" w:color="auto" w:fill="EEEFF4"/>
            <w:tcMar>
              <w:top w:w="0" w:type="dxa"/>
              <w:left w:w="0" w:type="dxa"/>
              <w:bottom w:w="0" w:type="dxa"/>
              <w:right w:w="0" w:type="dxa"/>
            </w:tcMar>
            <w:vAlign w:val="center"/>
            <w:hideMark/>
          </w:tcPr>
          <w:p w14:paraId="53127998" w14:textId="77777777" w:rsidR="004160C5" w:rsidRPr="004160C5" w:rsidRDefault="004160C5" w:rsidP="004160C5">
            <w:pPr>
              <w:jc w:val="both"/>
              <w:rPr>
                <w:sz w:val="22"/>
                <w:szCs w:val="22"/>
              </w:rPr>
            </w:pPr>
            <w:r w:rsidRPr="004160C5">
              <w:rPr>
                <w:sz w:val="22"/>
                <w:szCs w:val="22"/>
              </w:rPr>
              <w:t>Chrome</w:t>
            </w:r>
          </w:p>
        </w:tc>
        <w:tc>
          <w:tcPr>
            <w:tcW w:w="6225" w:type="dxa"/>
            <w:tcBorders>
              <w:top w:val="outset" w:sz="6" w:space="0" w:color="auto"/>
              <w:left w:val="outset" w:sz="6" w:space="0" w:color="auto"/>
              <w:bottom w:val="outset" w:sz="6" w:space="0" w:color="auto"/>
              <w:right w:val="outset" w:sz="6" w:space="0" w:color="auto"/>
            </w:tcBorders>
            <w:shd w:val="clear" w:color="auto" w:fill="EEEFF4"/>
            <w:tcMar>
              <w:top w:w="0" w:type="dxa"/>
              <w:left w:w="0" w:type="dxa"/>
              <w:bottom w:w="0" w:type="dxa"/>
              <w:right w:w="0" w:type="dxa"/>
            </w:tcMar>
            <w:vAlign w:val="center"/>
            <w:hideMark/>
          </w:tcPr>
          <w:p w14:paraId="06CF9C48" w14:textId="77777777" w:rsidR="004160C5" w:rsidRPr="004160C5" w:rsidRDefault="004160C5" w:rsidP="004160C5">
            <w:pPr>
              <w:jc w:val="both"/>
              <w:rPr>
                <w:sz w:val="22"/>
                <w:szCs w:val="22"/>
              </w:rPr>
            </w:pPr>
            <w:r w:rsidRPr="004160C5">
              <w:rPr>
                <w:sz w:val="22"/>
                <w:szCs w:val="22"/>
              </w:rPr>
              <w:t>Configuración &gt; sección «Aspecto» &gt; Botón «Personalizar fuentes</w:t>
            </w:r>
            <w:proofErr w:type="gramStart"/>
            <w:r w:rsidRPr="004160C5">
              <w:rPr>
                <w:sz w:val="22"/>
                <w:szCs w:val="22"/>
              </w:rPr>
              <w:t>… »</w:t>
            </w:r>
            <w:proofErr w:type="gramEnd"/>
          </w:p>
        </w:tc>
      </w:tr>
      <w:tr w:rsidR="004160C5" w:rsidRPr="004160C5" w14:paraId="0CB3ADA6" w14:textId="77777777" w:rsidTr="004160C5">
        <w:tc>
          <w:tcPr>
            <w:tcW w:w="1515" w:type="dxa"/>
            <w:tcBorders>
              <w:top w:val="outset" w:sz="6" w:space="0" w:color="auto"/>
              <w:left w:val="outset" w:sz="6" w:space="0" w:color="auto"/>
              <w:bottom w:val="outset" w:sz="6" w:space="0" w:color="auto"/>
              <w:right w:val="outset" w:sz="6" w:space="0" w:color="auto"/>
            </w:tcBorders>
            <w:shd w:val="clear" w:color="auto" w:fill="EEEFF4"/>
            <w:tcMar>
              <w:top w:w="0" w:type="dxa"/>
              <w:left w:w="0" w:type="dxa"/>
              <w:bottom w:w="0" w:type="dxa"/>
              <w:right w:w="0" w:type="dxa"/>
            </w:tcMar>
            <w:vAlign w:val="center"/>
            <w:hideMark/>
          </w:tcPr>
          <w:p w14:paraId="719FC693" w14:textId="77777777" w:rsidR="004160C5" w:rsidRPr="004160C5" w:rsidRDefault="004160C5" w:rsidP="004160C5">
            <w:pPr>
              <w:jc w:val="both"/>
              <w:rPr>
                <w:sz w:val="22"/>
                <w:szCs w:val="22"/>
              </w:rPr>
            </w:pPr>
            <w:r w:rsidRPr="004160C5">
              <w:rPr>
                <w:sz w:val="22"/>
                <w:szCs w:val="22"/>
              </w:rPr>
              <w:t>Safari</w:t>
            </w:r>
          </w:p>
        </w:tc>
        <w:tc>
          <w:tcPr>
            <w:tcW w:w="6225" w:type="dxa"/>
            <w:tcBorders>
              <w:top w:val="outset" w:sz="6" w:space="0" w:color="auto"/>
              <w:left w:val="outset" w:sz="6" w:space="0" w:color="auto"/>
              <w:bottom w:val="outset" w:sz="6" w:space="0" w:color="auto"/>
              <w:right w:val="outset" w:sz="6" w:space="0" w:color="auto"/>
            </w:tcBorders>
            <w:shd w:val="clear" w:color="auto" w:fill="EEEFF4"/>
            <w:tcMar>
              <w:top w:w="0" w:type="dxa"/>
              <w:left w:w="0" w:type="dxa"/>
              <w:bottom w:w="0" w:type="dxa"/>
              <w:right w:w="0" w:type="dxa"/>
            </w:tcMar>
            <w:vAlign w:val="center"/>
            <w:hideMark/>
          </w:tcPr>
          <w:p w14:paraId="1991E2BA" w14:textId="77777777" w:rsidR="004160C5" w:rsidRPr="004160C5" w:rsidRDefault="004160C5" w:rsidP="004160C5">
            <w:pPr>
              <w:jc w:val="both"/>
              <w:rPr>
                <w:sz w:val="22"/>
                <w:szCs w:val="22"/>
              </w:rPr>
            </w:pPr>
            <w:r w:rsidRPr="004160C5">
              <w:rPr>
                <w:sz w:val="22"/>
                <w:szCs w:val="22"/>
              </w:rPr>
              <w:t>Preferencias &gt; pestaña «Avanzado»</w:t>
            </w:r>
          </w:p>
        </w:tc>
      </w:tr>
      <w:tr w:rsidR="004160C5" w:rsidRPr="004160C5" w14:paraId="40277E75" w14:textId="77777777" w:rsidTr="004160C5">
        <w:tc>
          <w:tcPr>
            <w:tcW w:w="1515" w:type="dxa"/>
            <w:tcBorders>
              <w:top w:val="outset" w:sz="6" w:space="0" w:color="auto"/>
              <w:left w:val="outset" w:sz="6" w:space="0" w:color="auto"/>
              <w:bottom w:val="outset" w:sz="6" w:space="0" w:color="auto"/>
              <w:right w:val="outset" w:sz="6" w:space="0" w:color="auto"/>
            </w:tcBorders>
            <w:shd w:val="clear" w:color="auto" w:fill="EEEFF4"/>
            <w:tcMar>
              <w:top w:w="0" w:type="dxa"/>
              <w:left w:w="0" w:type="dxa"/>
              <w:bottom w:w="0" w:type="dxa"/>
              <w:right w:w="0" w:type="dxa"/>
            </w:tcMar>
            <w:vAlign w:val="center"/>
            <w:hideMark/>
          </w:tcPr>
          <w:p w14:paraId="641975FF" w14:textId="77777777" w:rsidR="004160C5" w:rsidRPr="004160C5" w:rsidRDefault="004160C5" w:rsidP="004160C5">
            <w:pPr>
              <w:jc w:val="both"/>
              <w:rPr>
                <w:sz w:val="22"/>
                <w:szCs w:val="22"/>
              </w:rPr>
            </w:pPr>
            <w:r w:rsidRPr="004160C5">
              <w:rPr>
                <w:sz w:val="22"/>
                <w:szCs w:val="22"/>
              </w:rPr>
              <w:t>Opera</w:t>
            </w:r>
          </w:p>
        </w:tc>
        <w:tc>
          <w:tcPr>
            <w:tcW w:w="6225" w:type="dxa"/>
            <w:tcBorders>
              <w:top w:val="outset" w:sz="6" w:space="0" w:color="auto"/>
              <w:left w:val="outset" w:sz="6" w:space="0" w:color="auto"/>
              <w:bottom w:val="outset" w:sz="6" w:space="0" w:color="auto"/>
              <w:right w:val="outset" w:sz="6" w:space="0" w:color="auto"/>
            </w:tcBorders>
            <w:shd w:val="clear" w:color="auto" w:fill="EEEFF4"/>
            <w:tcMar>
              <w:top w:w="0" w:type="dxa"/>
              <w:left w:w="0" w:type="dxa"/>
              <w:bottom w:w="0" w:type="dxa"/>
              <w:right w:w="0" w:type="dxa"/>
            </w:tcMar>
            <w:vAlign w:val="center"/>
            <w:hideMark/>
          </w:tcPr>
          <w:p w14:paraId="3FD0966C" w14:textId="77777777" w:rsidR="004160C5" w:rsidRPr="004160C5" w:rsidRDefault="004160C5" w:rsidP="004160C5">
            <w:pPr>
              <w:jc w:val="both"/>
              <w:rPr>
                <w:sz w:val="22"/>
                <w:szCs w:val="22"/>
              </w:rPr>
            </w:pPr>
            <w:r w:rsidRPr="004160C5">
              <w:rPr>
                <w:sz w:val="22"/>
                <w:szCs w:val="22"/>
              </w:rPr>
              <w:t>Configuración &gt; Opciones &gt; Pestaña «Páginas web»</w:t>
            </w:r>
          </w:p>
        </w:tc>
      </w:tr>
    </w:tbl>
    <w:p w14:paraId="462B2472" w14:textId="77777777" w:rsidR="004160C5" w:rsidRPr="004160C5" w:rsidRDefault="004160C5" w:rsidP="004160C5">
      <w:pPr>
        <w:jc w:val="both"/>
        <w:rPr>
          <w:sz w:val="22"/>
          <w:szCs w:val="22"/>
        </w:rPr>
      </w:pPr>
      <w:r w:rsidRPr="004160C5">
        <w:rPr>
          <w:sz w:val="22"/>
          <w:szCs w:val="22"/>
        </w:rPr>
        <w:t> </w:t>
      </w:r>
    </w:p>
    <w:p w14:paraId="35DAAFA7" w14:textId="76DC0224" w:rsidR="004160C5" w:rsidRPr="004160C5" w:rsidRDefault="004160C5" w:rsidP="004160C5">
      <w:pPr>
        <w:jc w:val="both"/>
        <w:rPr>
          <w:sz w:val="22"/>
          <w:szCs w:val="22"/>
        </w:rPr>
      </w:pPr>
      <w:r w:rsidRPr="004160C5">
        <w:rPr>
          <w:sz w:val="22"/>
          <w:szCs w:val="22"/>
        </w:rPr>
        <w:lastRenderedPageBreak/>
        <w:t> </w:t>
      </w:r>
    </w:p>
    <w:p w14:paraId="21917AC7" w14:textId="77777777" w:rsidR="004160C5" w:rsidRPr="004160C5" w:rsidRDefault="004160C5" w:rsidP="004160C5">
      <w:pPr>
        <w:jc w:val="both"/>
        <w:rPr>
          <w:sz w:val="22"/>
          <w:szCs w:val="22"/>
        </w:rPr>
      </w:pPr>
      <w:r w:rsidRPr="004160C5">
        <w:rPr>
          <w:b/>
          <w:bCs/>
          <w:sz w:val="22"/>
          <w:szCs w:val="22"/>
        </w:rPr>
        <w:t>Cómo cambiar el contraste alto:</w:t>
      </w:r>
    </w:p>
    <w:p w14:paraId="651FF5BD" w14:textId="77777777" w:rsidR="004160C5" w:rsidRPr="004160C5" w:rsidRDefault="004160C5" w:rsidP="004160C5">
      <w:pPr>
        <w:jc w:val="both"/>
        <w:rPr>
          <w:sz w:val="22"/>
          <w:szCs w:val="22"/>
        </w:rPr>
      </w:pPr>
      <w:r w:rsidRPr="004160C5">
        <w:rPr>
          <w:sz w:val="22"/>
          <w:szCs w:val="22"/>
        </w:rPr>
        <w:t>Para configurar el ordenador en contraste alto se deberán seguir, según el sistema operativo, las siguientes combinaciones:</w:t>
      </w:r>
    </w:p>
    <w:p w14:paraId="16233E83" w14:textId="77777777" w:rsidR="004160C5" w:rsidRPr="004160C5" w:rsidRDefault="004160C5" w:rsidP="004160C5">
      <w:pPr>
        <w:numPr>
          <w:ilvl w:val="0"/>
          <w:numId w:val="49"/>
        </w:numPr>
        <w:jc w:val="both"/>
        <w:rPr>
          <w:sz w:val="22"/>
          <w:szCs w:val="22"/>
        </w:rPr>
      </w:pPr>
      <w:r w:rsidRPr="004160C5">
        <w:rPr>
          <w:sz w:val="22"/>
          <w:szCs w:val="22"/>
        </w:rPr>
        <w:t xml:space="preserve">En Windows, con la combinación de teclas Shift o Mayúscula + Alt + tecla de imprimir pantalla, </w:t>
      </w:r>
      <w:proofErr w:type="gramStart"/>
      <w:r w:rsidRPr="004160C5">
        <w:rPr>
          <w:sz w:val="22"/>
          <w:szCs w:val="22"/>
        </w:rPr>
        <w:t>o  Tablón</w:t>
      </w:r>
      <w:proofErr w:type="gramEnd"/>
      <w:r w:rsidRPr="004160C5">
        <w:rPr>
          <w:sz w:val="22"/>
          <w:szCs w:val="22"/>
        </w:rPr>
        <w:t xml:space="preserve"> de control, ir al Centro de actividad y configurar contraste alto</w:t>
      </w:r>
    </w:p>
    <w:p w14:paraId="6121DBD0" w14:textId="77777777" w:rsidR="004160C5" w:rsidRPr="004160C5" w:rsidRDefault="004160C5" w:rsidP="004160C5">
      <w:pPr>
        <w:numPr>
          <w:ilvl w:val="0"/>
          <w:numId w:val="49"/>
        </w:numPr>
        <w:jc w:val="both"/>
        <w:rPr>
          <w:sz w:val="22"/>
          <w:szCs w:val="22"/>
        </w:rPr>
      </w:pPr>
      <w:r w:rsidRPr="004160C5">
        <w:rPr>
          <w:sz w:val="22"/>
          <w:szCs w:val="22"/>
        </w:rPr>
        <w:t>En OS para Mac, ir a Accesibilidad y en la sección «Pantalla» activar la casilla «Invertir colores»</w:t>
      </w:r>
    </w:p>
    <w:p w14:paraId="6AFAAB8D" w14:textId="77777777" w:rsidR="004160C5" w:rsidRPr="004160C5" w:rsidRDefault="004160C5" w:rsidP="004160C5">
      <w:pPr>
        <w:numPr>
          <w:ilvl w:val="0"/>
          <w:numId w:val="49"/>
        </w:numPr>
        <w:jc w:val="both"/>
        <w:rPr>
          <w:sz w:val="22"/>
          <w:szCs w:val="22"/>
        </w:rPr>
      </w:pPr>
      <w:r w:rsidRPr="004160C5">
        <w:rPr>
          <w:sz w:val="22"/>
          <w:szCs w:val="22"/>
        </w:rPr>
        <w:t xml:space="preserve">En Linux </w:t>
      </w:r>
      <w:proofErr w:type="spellStart"/>
      <w:r w:rsidRPr="004160C5">
        <w:rPr>
          <w:sz w:val="22"/>
          <w:szCs w:val="22"/>
        </w:rPr>
        <w:t>Gnome</w:t>
      </w:r>
      <w:proofErr w:type="spellEnd"/>
      <w:r w:rsidRPr="004160C5">
        <w:rPr>
          <w:sz w:val="22"/>
          <w:szCs w:val="22"/>
        </w:rPr>
        <w:t>, ir a Sistemas, de allí a Preferencias y posteriormente a Apariencia, seleccionando algunos de los temas de contraste alto</w:t>
      </w:r>
    </w:p>
    <w:p w14:paraId="6A3B1C0E" w14:textId="77777777" w:rsidR="003C7A19" w:rsidRDefault="003C7A19" w:rsidP="004160C5">
      <w:pPr>
        <w:jc w:val="both"/>
        <w:rPr>
          <w:b/>
          <w:bCs/>
          <w:sz w:val="22"/>
          <w:szCs w:val="22"/>
        </w:rPr>
      </w:pPr>
    </w:p>
    <w:p w14:paraId="2D943D21" w14:textId="714B20ED" w:rsidR="004160C5" w:rsidRPr="004160C5" w:rsidRDefault="004160C5" w:rsidP="004160C5">
      <w:pPr>
        <w:jc w:val="both"/>
        <w:rPr>
          <w:sz w:val="22"/>
          <w:szCs w:val="22"/>
        </w:rPr>
      </w:pPr>
      <w:r w:rsidRPr="004160C5">
        <w:rPr>
          <w:b/>
          <w:bCs/>
          <w:sz w:val="22"/>
          <w:szCs w:val="22"/>
        </w:rPr>
        <w:t>Cómo cambiar el tamaño del texto:</w:t>
      </w:r>
    </w:p>
    <w:p w14:paraId="2AF9ED09" w14:textId="77777777" w:rsidR="004160C5" w:rsidRPr="004160C5" w:rsidRDefault="004160C5" w:rsidP="004160C5">
      <w:pPr>
        <w:jc w:val="both"/>
        <w:rPr>
          <w:sz w:val="22"/>
          <w:szCs w:val="22"/>
        </w:rPr>
      </w:pPr>
      <w:r w:rsidRPr="004160C5">
        <w:rPr>
          <w:sz w:val="22"/>
          <w:szCs w:val="22"/>
        </w:rPr>
        <w:t>El usuario puede elegir el tamaño del texto que convenga. Esta acción puede llevarse a cabo de diferentes maneras según el navegador.</w:t>
      </w:r>
    </w:p>
    <w:p w14:paraId="51074823" w14:textId="77777777" w:rsidR="004160C5" w:rsidRPr="004160C5" w:rsidRDefault="004160C5" w:rsidP="004160C5">
      <w:pPr>
        <w:jc w:val="both"/>
        <w:rPr>
          <w:sz w:val="22"/>
          <w:szCs w:val="22"/>
        </w:rPr>
      </w:pPr>
      <w:r w:rsidRPr="004160C5">
        <w:rPr>
          <w:sz w:val="22"/>
          <w:szCs w:val="22"/>
        </w:rPr>
        <w:t>La forma más sencilla es usando la combinación de teclas, común para la mayoría de los navegadores:</w:t>
      </w:r>
    </w:p>
    <w:p w14:paraId="1F6746B3" w14:textId="77777777" w:rsidR="004160C5" w:rsidRPr="004160C5" w:rsidRDefault="004160C5" w:rsidP="004160C5">
      <w:pPr>
        <w:numPr>
          <w:ilvl w:val="0"/>
          <w:numId w:val="50"/>
        </w:numPr>
        <w:jc w:val="both"/>
        <w:rPr>
          <w:sz w:val="22"/>
          <w:szCs w:val="22"/>
        </w:rPr>
      </w:pPr>
      <w:r w:rsidRPr="004160C5">
        <w:rPr>
          <w:sz w:val="22"/>
          <w:szCs w:val="22"/>
        </w:rPr>
        <w:t>CTRL y + para aumentar el tamaño del texto</w:t>
      </w:r>
    </w:p>
    <w:p w14:paraId="58100EA7" w14:textId="77777777" w:rsidR="004160C5" w:rsidRPr="004160C5" w:rsidRDefault="004160C5" w:rsidP="004160C5">
      <w:pPr>
        <w:numPr>
          <w:ilvl w:val="0"/>
          <w:numId w:val="50"/>
        </w:numPr>
        <w:jc w:val="both"/>
        <w:rPr>
          <w:sz w:val="22"/>
          <w:szCs w:val="22"/>
        </w:rPr>
      </w:pPr>
      <w:r w:rsidRPr="004160C5">
        <w:rPr>
          <w:sz w:val="22"/>
          <w:szCs w:val="22"/>
        </w:rPr>
        <w:t>CTRL y – para reducir el tamaño del texto</w:t>
      </w:r>
    </w:p>
    <w:p w14:paraId="7B0EFD66" w14:textId="77777777" w:rsidR="004160C5" w:rsidRPr="004160C5" w:rsidRDefault="004160C5" w:rsidP="004160C5">
      <w:pPr>
        <w:jc w:val="both"/>
        <w:rPr>
          <w:sz w:val="22"/>
          <w:szCs w:val="22"/>
        </w:rPr>
      </w:pPr>
      <w:r w:rsidRPr="004160C5">
        <w:rPr>
          <w:sz w:val="22"/>
          <w:szCs w:val="22"/>
        </w:rPr>
        <w:t>Y de forma específica en los diferentes navegadores:</w:t>
      </w:r>
    </w:p>
    <w:tbl>
      <w:tblPr>
        <w:tblW w:w="9195" w:type="dxa"/>
        <w:tblBorders>
          <w:top w:val="outset" w:sz="6" w:space="0" w:color="auto"/>
          <w:left w:val="outset" w:sz="6" w:space="0" w:color="auto"/>
          <w:bottom w:val="outset" w:sz="6" w:space="0" w:color="auto"/>
          <w:right w:val="outset" w:sz="6" w:space="0" w:color="auto"/>
        </w:tblBorders>
        <w:shd w:val="clear" w:color="auto" w:fill="EEEFF4"/>
        <w:tblCellMar>
          <w:top w:w="15" w:type="dxa"/>
          <w:left w:w="15" w:type="dxa"/>
          <w:bottom w:w="15" w:type="dxa"/>
          <w:right w:w="15" w:type="dxa"/>
        </w:tblCellMar>
        <w:tblLook w:val="04A0" w:firstRow="1" w:lastRow="0" w:firstColumn="1" w:lastColumn="0" w:noHBand="0" w:noVBand="1"/>
      </w:tblPr>
      <w:tblGrid>
        <w:gridCol w:w="1800"/>
        <w:gridCol w:w="7395"/>
      </w:tblGrid>
      <w:tr w:rsidR="004160C5" w:rsidRPr="004160C5" w14:paraId="62A62E89" w14:textId="77777777" w:rsidTr="004160C5">
        <w:trPr>
          <w:tblHeader/>
        </w:trPr>
        <w:tc>
          <w:tcPr>
            <w:tcW w:w="1515" w:type="dxa"/>
            <w:tcBorders>
              <w:top w:val="outset" w:sz="6" w:space="0" w:color="auto"/>
              <w:left w:val="outset" w:sz="6" w:space="0" w:color="auto"/>
              <w:bottom w:val="outset" w:sz="6" w:space="0" w:color="auto"/>
              <w:right w:val="outset" w:sz="6" w:space="0" w:color="auto"/>
            </w:tcBorders>
            <w:shd w:val="clear" w:color="auto" w:fill="EEEFF4"/>
            <w:tcMar>
              <w:top w:w="0" w:type="dxa"/>
              <w:left w:w="0" w:type="dxa"/>
              <w:bottom w:w="0" w:type="dxa"/>
              <w:right w:w="0" w:type="dxa"/>
            </w:tcMar>
            <w:vAlign w:val="center"/>
            <w:hideMark/>
          </w:tcPr>
          <w:p w14:paraId="091C1F01" w14:textId="77777777" w:rsidR="004160C5" w:rsidRPr="004160C5" w:rsidRDefault="004160C5" w:rsidP="004160C5">
            <w:pPr>
              <w:jc w:val="both"/>
              <w:rPr>
                <w:sz w:val="22"/>
                <w:szCs w:val="22"/>
              </w:rPr>
            </w:pPr>
            <w:r w:rsidRPr="004160C5">
              <w:rPr>
                <w:b/>
                <w:bCs/>
                <w:sz w:val="22"/>
                <w:szCs w:val="22"/>
              </w:rPr>
              <w:t>Navegador</w:t>
            </w:r>
          </w:p>
        </w:tc>
        <w:tc>
          <w:tcPr>
            <w:tcW w:w="6225" w:type="dxa"/>
            <w:tcBorders>
              <w:top w:val="outset" w:sz="6" w:space="0" w:color="auto"/>
              <w:left w:val="outset" w:sz="6" w:space="0" w:color="auto"/>
              <w:bottom w:val="outset" w:sz="6" w:space="0" w:color="auto"/>
              <w:right w:val="outset" w:sz="6" w:space="0" w:color="auto"/>
            </w:tcBorders>
            <w:shd w:val="clear" w:color="auto" w:fill="EEEFF4"/>
            <w:tcMar>
              <w:top w:w="0" w:type="dxa"/>
              <w:left w:w="0" w:type="dxa"/>
              <w:bottom w:w="0" w:type="dxa"/>
              <w:right w:w="0" w:type="dxa"/>
            </w:tcMar>
            <w:vAlign w:val="center"/>
            <w:hideMark/>
          </w:tcPr>
          <w:p w14:paraId="16DE210A" w14:textId="77777777" w:rsidR="004160C5" w:rsidRPr="004160C5" w:rsidRDefault="004160C5" w:rsidP="004160C5">
            <w:pPr>
              <w:jc w:val="both"/>
              <w:rPr>
                <w:sz w:val="22"/>
                <w:szCs w:val="22"/>
              </w:rPr>
            </w:pPr>
            <w:r w:rsidRPr="004160C5">
              <w:rPr>
                <w:b/>
                <w:bCs/>
                <w:sz w:val="22"/>
                <w:szCs w:val="22"/>
              </w:rPr>
              <w:t>Pasos</w:t>
            </w:r>
          </w:p>
        </w:tc>
      </w:tr>
      <w:tr w:rsidR="004160C5" w:rsidRPr="004160C5" w14:paraId="4AD377E3" w14:textId="77777777" w:rsidTr="004160C5">
        <w:tc>
          <w:tcPr>
            <w:tcW w:w="1515" w:type="dxa"/>
            <w:tcBorders>
              <w:top w:val="outset" w:sz="6" w:space="0" w:color="auto"/>
              <w:left w:val="outset" w:sz="6" w:space="0" w:color="auto"/>
              <w:bottom w:val="outset" w:sz="6" w:space="0" w:color="auto"/>
              <w:right w:val="outset" w:sz="6" w:space="0" w:color="auto"/>
            </w:tcBorders>
            <w:shd w:val="clear" w:color="auto" w:fill="EEEFF4"/>
            <w:tcMar>
              <w:top w:w="0" w:type="dxa"/>
              <w:left w:w="0" w:type="dxa"/>
              <w:bottom w:w="0" w:type="dxa"/>
              <w:right w:w="0" w:type="dxa"/>
            </w:tcMar>
            <w:vAlign w:val="center"/>
            <w:hideMark/>
          </w:tcPr>
          <w:p w14:paraId="1C541690" w14:textId="77777777" w:rsidR="004160C5" w:rsidRPr="004160C5" w:rsidRDefault="004160C5" w:rsidP="004160C5">
            <w:pPr>
              <w:jc w:val="both"/>
              <w:rPr>
                <w:sz w:val="22"/>
                <w:szCs w:val="22"/>
              </w:rPr>
            </w:pPr>
            <w:r w:rsidRPr="004160C5">
              <w:rPr>
                <w:sz w:val="22"/>
                <w:szCs w:val="22"/>
              </w:rPr>
              <w:t>Explorer</w:t>
            </w:r>
          </w:p>
        </w:tc>
        <w:tc>
          <w:tcPr>
            <w:tcW w:w="6225" w:type="dxa"/>
            <w:tcBorders>
              <w:top w:val="outset" w:sz="6" w:space="0" w:color="auto"/>
              <w:left w:val="outset" w:sz="6" w:space="0" w:color="auto"/>
              <w:bottom w:val="outset" w:sz="6" w:space="0" w:color="auto"/>
              <w:right w:val="outset" w:sz="6" w:space="0" w:color="auto"/>
            </w:tcBorders>
            <w:shd w:val="clear" w:color="auto" w:fill="EEEFF4"/>
            <w:tcMar>
              <w:top w:w="0" w:type="dxa"/>
              <w:left w:w="0" w:type="dxa"/>
              <w:bottom w:w="0" w:type="dxa"/>
              <w:right w:w="0" w:type="dxa"/>
            </w:tcMar>
            <w:vAlign w:val="center"/>
            <w:hideMark/>
          </w:tcPr>
          <w:p w14:paraId="60F24F27" w14:textId="77777777" w:rsidR="004160C5" w:rsidRPr="004160C5" w:rsidRDefault="004160C5" w:rsidP="004160C5">
            <w:pPr>
              <w:jc w:val="both"/>
              <w:rPr>
                <w:sz w:val="22"/>
                <w:szCs w:val="22"/>
              </w:rPr>
            </w:pPr>
            <w:r w:rsidRPr="004160C5">
              <w:rPr>
                <w:sz w:val="22"/>
                <w:szCs w:val="22"/>
              </w:rPr>
              <w:t>Ver &gt; Tamaño del texto</w:t>
            </w:r>
          </w:p>
        </w:tc>
      </w:tr>
      <w:tr w:rsidR="004160C5" w:rsidRPr="004160C5" w14:paraId="0AFCB7BD" w14:textId="77777777" w:rsidTr="004160C5">
        <w:tc>
          <w:tcPr>
            <w:tcW w:w="1515" w:type="dxa"/>
            <w:tcBorders>
              <w:top w:val="outset" w:sz="6" w:space="0" w:color="auto"/>
              <w:left w:val="outset" w:sz="6" w:space="0" w:color="auto"/>
              <w:bottom w:val="outset" w:sz="6" w:space="0" w:color="auto"/>
              <w:right w:val="outset" w:sz="6" w:space="0" w:color="auto"/>
            </w:tcBorders>
            <w:shd w:val="clear" w:color="auto" w:fill="EEEFF4"/>
            <w:tcMar>
              <w:top w:w="0" w:type="dxa"/>
              <w:left w:w="0" w:type="dxa"/>
              <w:bottom w:w="0" w:type="dxa"/>
              <w:right w:w="0" w:type="dxa"/>
            </w:tcMar>
            <w:vAlign w:val="center"/>
            <w:hideMark/>
          </w:tcPr>
          <w:p w14:paraId="2DAB2ECF" w14:textId="77777777" w:rsidR="004160C5" w:rsidRPr="004160C5" w:rsidRDefault="004160C5" w:rsidP="004160C5">
            <w:pPr>
              <w:jc w:val="both"/>
              <w:rPr>
                <w:sz w:val="22"/>
                <w:szCs w:val="22"/>
              </w:rPr>
            </w:pPr>
            <w:r w:rsidRPr="004160C5">
              <w:rPr>
                <w:sz w:val="22"/>
                <w:szCs w:val="22"/>
              </w:rPr>
              <w:t>Firefox</w:t>
            </w:r>
          </w:p>
        </w:tc>
        <w:tc>
          <w:tcPr>
            <w:tcW w:w="6225" w:type="dxa"/>
            <w:tcBorders>
              <w:top w:val="outset" w:sz="6" w:space="0" w:color="auto"/>
              <w:left w:val="outset" w:sz="6" w:space="0" w:color="auto"/>
              <w:bottom w:val="outset" w:sz="6" w:space="0" w:color="auto"/>
              <w:right w:val="outset" w:sz="6" w:space="0" w:color="auto"/>
            </w:tcBorders>
            <w:shd w:val="clear" w:color="auto" w:fill="EEEFF4"/>
            <w:tcMar>
              <w:top w:w="0" w:type="dxa"/>
              <w:left w:w="0" w:type="dxa"/>
              <w:bottom w:w="0" w:type="dxa"/>
              <w:right w:w="0" w:type="dxa"/>
            </w:tcMar>
            <w:vAlign w:val="center"/>
            <w:hideMark/>
          </w:tcPr>
          <w:p w14:paraId="1B2F91E5" w14:textId="77777777" w:rsidR="004160C5" w:rsidRPr="004160C5" w:rsidRDefault="004160C5" w:rsidP="004160C5">
            <w:pPr>
              <w:jc w:val="both"/>
              <w:rPr>
                <w:sz w:val="22"/>
                <w:szCs w:val="22"/>
              </w:rPr>
            </w:pPr>
            <w:r w:rsidRPr="004160C5">
              <w:rPr>
                <w:sz w:val="22"/>
                <w:szCs w:val="22"/>
              </w:rPr>
              <w:t>Ver &gt; Tamaño</w:t>
            </w:r>
          </w:p>
        </w:tc>
      </w:tr>
      <w:tr w:rsidR="004160C5" w:rsidRPr="004160C5" w14:paraId="7700AC5C" w14:textId="77777777" w:rsidTr="004160C5">
        <w:tc>
          <w:tcPr>
            <w:tcW w:w="1515" w:type="dxa"/>
            <w:tcBorders>
              <w:top w:val="outset" w:sz="6" w:space="0" w:color="auto"/>
              <w:left w:val="outset" w:sz="6" w:space="0" w:color="auto"/>
              <w:bottom w:val="outset" w:sz="6" w:space="0" w:color="auto"/>
              <w:right w:val="outset" w:sz="6" w:space="0" w:color="auto"/>
            </w:tcBorders>
            <w:shd w:val="clear" w:color="auto" w:fill="EEEFF4"/>
            <w:tcMar>
              <w:top w:w="0" w:type="dxa"/>
              <w:left w:w="0" w:type="dxa"/>
              <w:bottom w:w="0" w:type="dxa"/>
              <w:right w:w="0" w:type="dxa"/>
            </w:tcMar>
            <w:vAlign w:val="center"/>
            <w:hideMark/>
          </w:tcPr>
          <w:p w14:paraId="1C219452" w14:textId="77777777" w:rsidR="004160C5" w:rsidRPr="004160C5" w:rsidRDefault="004160C5" w:rsidP="004160C5">
            <w:pPr>
              <w:jc w:val="both"/>
              <w:rPr>
                <w:sz w:val="22"/>
                <w:szCs w:val="22"/>
              </w:rPr>
            </w:pPr>
            <w:r w:rsidRPr="004160C5">
              <w:rPr>
                <w:sz w:val="22"/>
                <w:szCs w:val="22"/>
              </w:rPr>
              <w:t>Chrome</w:t>
            </w:r>
          </w:p>
        </w:tc>
        <w:tc>
          <w:tcPr>
            <w:tcW w:w="6225" w:type="dxa"/>
            <w:tcBorders>
              <w:top w:val="outset" w:sz="6" w:space="0" w:color="auto"/>
              <w:left w:val="outset" w:sz="6" w:space="0" w:color="auto"/>
              <w:bottom w:val="outset" w:sz="6" w:space="0" w:color="auto"/>
              <w:right w:val="outset" w:sz="6" w:space="0" w:color="auto"/>
            </w:tcBorders>
            <w:shd w:val="clear" w:color="auto" w:fill="EEEFF4"/>
            <w:tcMar>
              <w:top w:w="0" w:type="dxa"/>
              <w:left w:w="0" w:type="dxa"/>
              <w:bottom w:w="0" w:type="dxa"/>
              <w:right w:w="0" w:type="dxa"/>
            </w:tcMar>
            <w:vAlign w:val="center"/>
            <w:hideMark/>
          </w:tcPr>
          <w:p w14:paraId="4F43CC47" w14:textId="77777777" w:rsidR="004160C5" w:rsidRPr="004160C5" w:rsidRDefault="004160C5" w:rsidP="004160C5">
            <w:pPr>
              <w:jc w:val="both"/>
              <w:rPr>
                <w:sz w:val="22"/>
                <w:szCs w:val="22"/>
              </w:rPr>
            </w:pPr>
            <w:r w:rsidRPr="004160C5">
              <w:rPr>
                <w:sz w:val="22"/>
                <w:szCs w:val="22"/>
              </w:rPr>
              <w:t>Icono llave inglesa &gt; Opciones &gt; Avanzada &gt; Contenido web &gt; Tamaño fuente</w:t>
            </w:r>
          </w:p>
        </w:tc>
      </w:tr>
      <w:tr w:rsidR="004160C5" w:rsidRPr="004160C5" w14:paraId="12431E89" w14:textId="77777777" w:rsidTr="004160C5">
        <w:tc>
          <w:tcPr>
            <w:tcW w:w="1515" w:type="dxa"/>
            <w:tcBorders>
              <w:top w:val="outset" w:sz="6" w:space="0" w:color="auto"/>
              <w:left w:val="outset" w:sz="6" w:space="0" w:color="auto"/>
              <w:bottom w:val="outset" w:sz="6" w:space="0" w:color="auto"/>
              <w:right w:val="outset" w:sz="6" w:space="0" w:color="auto"/>
            </w:tcBorders>
            <w:shd w:val="clear" w:color="auto" w:fill="EEEFF4"/>
            <w:tcMar>
              <w:top w:w="0" w:type="dxa"/>
              <w:left w:w="0" w:type="dxa"/>
              <w:bottom w:w="0" w:type="dxa"/>
              <w:right w:w="0" w:type="dxa"/>
            </w:tcMar>
            <w:vAlign w:val="center"/>
            <w:hideMark/>
          </w:tcPr>
          <w:p w14:paraId="6FE14D30" w14:textId="77777777" w:rsidR="004160C5" w:rsidRPr="004160C5" w:rsidRDefault="004160C5" w:rsidP="004160C5">
            <w:pPr>
              <w:jc w:val="both"/>
              <w:rPr>
                <w:sz w:val="22"/>
                <w:szCs w:val="22"/>
              </w:rPr>
            </w:pPr>
            <w:r w:rsidRPr="004160C5">
              <w:rPr>
                <w:sz w:val="22"/>
                <w:szCs w:val="22"/>
              </w:rPr>
              <w:t>Safari</w:t>
            </w:r>
          </w:p>
        </w:tc>
        <w:tc>
          <w:tcPr>
            <w:tcW w:w="6225" w:type="dxa"/>
            <w:tcBorders>
              <w:top w:val="outset" w:sz="6" w:space="0" w:color="auto"/>
              <w:left w:val="outset" w:sz="6" w:space="0" w:color="auto"/>
              <w:bottom w:val="outset" w:sz="6" w:space="0" w:color="auto"/>
              <w:right w:val="outset" w:sz="6" w:space="0" w:color="auto"/>
            </w:tcBorders>
            <w:shd w:val="clear" w:color="auto" w:fill="EEEFF4"/>
            <w:tcMar>
              <w:top w:w="0" w:type="dxa"/>
              <w:left w:w="0" w:type="dxa"/>
              <w:bottom w:w="0" w:type="dxa"/>
              <w:right w:w="0" w:type="dxa"/>
            </w:tcMar>
            <w:vAlign w:val="center"/>
            <w:hideMark/>
          </w:tcPr>
          <w:p w14:paraId="315B2FBC" w14:textId="77777777" w:rsidR="004160C5" w:rsidRPr="004160C5" w:rsidRDefault="004160C5" w:rsidP="004160C5">
            <w:pPr>
              <w:jc w:val="both"/>
              <w:rPr>
                <w:sz w:val="22"/>
                <w:szCs w:val="22"/>
              </w:rPr>
            </w:pPr>
            <w:r w:rsidRPr="004160C5">
              <w:rPr>
                <w:sz w:val="22"/>
                <w:szCs w:val="22"/>
              </w:rPr>
              <w:t>Visualización &gt; ampliar/reducir</w:t>
            </w:r>
          </w:p>
        </w:tc>
      </w:tr>
      <w:tr w:rsidR="004160C5" w:rsidRPr="004160C5" w14:paraId="666F9FE2" w14:textId="77777777" w:rsidTr="004160C5">
        <w:tc>
          <w:tcPr>
            <w:tcW w:w="1515" w:type="dxa"/>
            <w:tcBorders>
              <w:top w:val="outset" w:sz="6" w:space="0" w:color="auto"/>
              <w:left w:val="outset" w:sz="6" w:space="0" w:color="auto"/>
              <w:bottom w:val="outset" w:sz="6" w:space="0" w:color="auto"/>
              <w:right w:val="outset" w:sz="6" w:space="0" w:color="auto"/>
            </w:tcBorders>
            <w:shd w:val="clear" w:color="auto" w:fill="EEEFF4"/>
            <w:tcMar>
              <w:top w:w="0" w:type="dxa"/>
              <w:left w:w="0" w:type="dxa"/>
              <w:bottom w:w="0" w:type="dxa"/>
              <w:right w:w="0" w:type="dxa"/>
            </w:tcMar>
            <w:vAlign w:val="center"/>
            <w:hideMark/>
          </w:tcPr>
          <w:p w14:paraId="33F71C14" w14:textId="77777777" w:rsidR="004160C5" w:rsidRPr="004160C5" w:rsidRDefault="004160C5" w:rsidP="004160C5">
            <w:pPr>
              <w:jc w:val="both"/>
              <w:rPr>
                <w:sz w:val="22"/>
                <w:szCs w:val="22"/>
              </w:rPr>
            </w:pPr>
            <w:r w:rsidRPr="004160C5">
              <w:rPr>
                <w:sz w:val="22"/>
                <w:szCs w:val="22"/>
              </w:rPr>
              <w:t>Opera</w:t>
            </w:r>
          </w:p>
        </w:tc>
        <w:tc>
          <w:tcPr>
            <w:tcW w:w="6225" w:type="dxa"/>
            <w:tcBorders>
              <w:top w:val="outset" w:sz="6" w:space="0" w:color="auto"/>
              <w:left w:val="outset" w:sz="6" w:space="0" w:color="auto"/>
              <w:bottom w:val="outset" w:sz="6" w:space="0" w:color="auto"/>
              <w:right w:val="outset" w:sz="6" w:space="0" w:color="auto"/>
            </w:tcBorders>
            <w:shd w:val="clear" w:color="auto" w:fill="EEEFF4"/>
            <w:tcMar>
              <w:top w:w="0" w:type="dxa"/>
              <w:left w:w="0" w:type="dxa"/>
              <w:bottom w:w="0" w:type="dxa"/>
              <w:right w:w="0" w:type="dxa"/>
            </w:tcMar>
            <w:vAlign w:val="center"/>
            <w:hideMark/>
          </w:tcPr>
          <w:p w14:paraId="29FCE87C" w14:textId="77777777" w:rsidR="004160C5" w:rsidRPr="004160C5" w:rsidRDefault="004160C5" w:rsidP="004160C5">
            <w:pPr>
              <w:jc w:val="both"/>
              <w:rPr>
                <w:sz w:val="22"/>
                <w:szCs w:val="22"/>
              </w:rPr>
            </w:pPr>
            <w:r w:rsidRPr="004160C5">
              <w:rPr>
                <w:sz w:val="22"/>
                <w:szCs w:val="22"/>
              </w:rPr>
              <w:t>Ver &gt; escala</w:t>
            </w:r>
          </w:p>
        </w:tc>
      </w:tr>
    </w:tbl>
    <w:p w14:paraId="63557BD7" w14:textId="77777777" w:rsidR="004160C5" w:rsidRPr="004160C5" w:rsidRDefault="004160C5" w:rsidP="004160C5">
      <w:pPr>
        <w:jc w:val="both"/>
        <w:rPr>
          <w:sz w:val="22"/>
          <w:szCs w:val="22"/>
        </w:rPr>
      </w:pPr>
      <w:r w:rsidRPr="004160C5">
        <w:rPr>
          <w:sz w:val="22"/>
          <w:szCs w:val="22"/>
        </w:rPr>
        <w:t> </w:t>
      </w:r>
    </w:p>
    <w:p w14:paraId="617CBFAB" w14:textId="77777777" w:rsidR="004160C5" w:rsidRPr="004160C5" w:rsidRDefault="004160C5" w:rsidP="004160C5">
      <w:pPr>
        <w:jc w:val="both"/>
        <w:rPr>
          <w:sz w:val="22"/>
          <w:szCs w:val="22"/>
        </w:rPr>
      </w:pPr>
      <w:r w:rsidRPr="004160C5">
        <w:rPr>
          <w:b/>
          <w:bCs/>
          <w:sz w:val="22"/>
          <w:szCs w:val="22"/>
        </w:rPr>
        <w:t>-&gt; Preparación de la presente declaración de accesibilidad </w:t>
      </w:r>
    </w:p>
    <w:p w14:paraId="09D1F7CA" w14:textId="77777777" w:rsidR="004160C5" w:rsidRPr="004160C5" w:rsidRDefault="004160C5" w:rsidP="004160C5">
      <w:pPr>
        <w:jc w:val="both"/>
        <w:rPr>
          <w:sz w:val="22"/>
          <w:szCs w:val="22"/>
        </w:rPr>
      </w:pPr>
      <w:r w:rsidRPr="004160C5">
        <w:rPr>
          <w:sz w:val="22"/>
          <w:szCs w:val="22"/>
        </w:rPr>
        <w:t> </w:t>
      </w:r>
    </w:p>
    <w:p w14:paraId="571BACBD" w14:textId="77777777" w:rsidR="004160C5" w:rsidRPr="004160C5" w:rsidRDefault="004160C5" w:rsidP="004160C5">
      <w:pPr>
        <w:jc w:val="both"/>
        <w:rPr>
          <w:sz w:val="22"/>
          <w:szCs w:val="22"/>
        </w:rPr>
      </w:pPr>
      <w:r w:rsidRPr="004160C5">
        <w:rPr>
          <w:b/>
          <w:bCs/>
          <w:sz w:val="22"/>
          <w:szCs w:val="22"/>
        </w:rPr>
        <w:t>La presente declaración fue preparada el 3 de diciembre de 2024 y última revisión el 10 de abril de 2025. </w:t>
      </w:r>
    </w:p>
    <w:p w14:paraId="5BBEBCE1" w14:textId="77777777" w:rsidR="004160C5" w:rsidRPr="004160C5" w:rsidRDefault="004160C5" w:rsidP="004160C5">
      <w:pPr>
        <w:jc w:val="both"/>
        <w:rPr>
          <w:sz w:val="22"/>
          <w:szCs w:val="22"/>
        </w:rPr>
      </w:pPr>
      <w:r w:rsidRPr="004160C5">
        <w:rPr>
          <w:sz w:val="22"/>
          <w:szCs w:val="22"/>
        </w:rPr>
        <w:t> </w:t>
      </w:r>
    </w:p>
    <w:p w14:paraId="3F60E4FF" w14:textId="77777777" w:rsidR="004160C5" w:rsidRPr="004160C5" w:rsidRDefault="004160C5" w:rsidP="004160C5">
      <w:pPr>
        <w:jc w:val="both"/>
        <w:rPr>
          <w:sz w:val="22"/>
          <w:szCs w:val="22"/>
        </w:rPr>
      </w:pPr>
      <w:r w:rsidRPr="004160C5">
        <w:rPr>
          <w:b/>
          <w:bCs/>
          <w:sz w:val="22"/>
          <w:szCs w:val="22"/>
        </w:rPr>
        <w:t>El método empleado para preparar revisión y actualización de la declaración ha sido una autoevaluación llevada a cabo a petición de Promotur con recursos externos concretamente por su proveedor de servicios tecnológicos, </w:t>
      </w:r>
      <w:hyperlink r:id="rId13" w:history="1">
        <w:r w:rsidRPr="004160C5">
          <w:rPr>
            <w:rStyle w:val="Hipervnculo"/>
            <w:b/>
            <w:bCs/>
            <w:sz w:val="22"/>
            <w:szCs w:val="22"/>
          </w:rPr>
          <w:t>AYESA </w:t>
        </w:r>
      </w:hyperlink>
    </w:p>
    <w:p w14:paraId="033DDBA3" w14:textId="77777777" w:rsidR="004160C5" w:rsidRPr="004160C5" w:rsidRDefault="004160C5" w:rsidP="004160C5">
      <w:pPr>
        <w:jc w:val="both"/>
        <w:rPr>
          <w:sz w:val="22"/>
          <w:szCs w:val="22"/>
        </w:rPr>
      </w:pPr>
      <w:r w:rsidRPr="004160C5">
        <w:rPr>
          <w:sz w:val="22"/>
          <w:szCs w:val="22"/>
        </w:rPr>
        <w:t> </w:t>
      </w:r>
    </w:p>
    <w:p w14:paraId="2129D5C4" w14:textId="521BA0E7" w:rsidR="00CA29A9" w:rsidRPr="003C7A19" w:rsidRDefault="00CA29A9" w:rsidP="004160C5">
      <w:pPr>
        <w:jc w:val="both"/>
        <w:rPr>
          <w:sz w:val="22"/>
          <w:szCs w:val="22"/>
        </w:rPr>
      </w:pPr>
    </w:p>
    <w:sectPr w:rsidR="00CA29A9" w:rsidRPr="003C7A19" w:rsidSect="007B1A4B">
      <w:headerReference w:type="even" r:id="rId14"/>
      <w:headerReference w:type="default" r:id="rId15"/>
      <w:footerReference w:type="even" r:id="rId16"/>
      <w:footerReference w:type="default" r:id="rId17"/>
      <w:headerReference w:type="first" r:id="rId18"/>
      <w:footerReference w:type="first" r:id="rId19"/>
      <w:pgSz w:w="11900" w:h="16840"/>
      <w:pgMar w:top="1701" w:right="1134" w:bottom="1701" w:left="1701" w:header="387" w:footer="139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2F05D" w14:textId="77777777" w:rsidR="00093FA5" w:rsidRDefault="00093FA5" w:rsidP="00A06021">
      <w:r>
        <w:separator/>
      </w:r>
    </w:p>
  </w:endnote>
  <w:endnote w:type="continuationSeparator" w:id="0">
    <w:p w14:paraId="65158ED3" w14:textId="77777777" w:rsidR="00093FA5" w:rsidRDefault="00093FA5" w:rsidP="00A0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ABE42" w14:textId="77777777" w:rsidR="00205407" w:rsidRDefault="002054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22615"/>
      <w:docPartObj>
        <w:docPartGallery w:val="Page Numbers (Bottom of Page)"/>
        <w:docPartUnique/>
      </w:docPartObj>
    </w:sdtPr>
    <w:sdtEndPr/>
    <w:sdtContent>
      <w:sdt>
        <w:sdtPr>
          <w:id w:val="-1259218990"/>
          <w:docPartObj>
            <w:docPartGallery w:val="Page Numbers (Top of Page)"/>
            <w:docPartUnique/>
          </w:docPartObj>
        </w:sdtPr>
        <w:sdtEndPr/>
        <w:sdtContent>
          <w:p w14:paraId="79530331" w14:textId="77777777" w:rsidR="00B33A26" w:rsidRDefault="00920E21" w:rsidP="00416FC5">
            <w:pPr>
              <w:pStyle w:val="Piedepgina"/>
              <w:jc w:val="right"/>
            </w:pPr>
            <w:r>
              <w:t xml:space="preserve">Página </w:t>
            </w:r>
            <w:r>
              <w:fldChar w:fldCharType="begin"/>
            </w:r>
            <w:r>
              <w:instrText>PAGE</w:instrText>
            </w:r>
            <w:r>
              <w:fldChar w:fldCharType="separate"/>
            </w:r>
            <w:r>
              <w:t>2</w:t>
            </w:r>
            <w:r>
              <w:fldChar w:fldCharType="end"/>
            </w:r>
            <w:r>
              <w:t xml:space="preserve"> de </w:t>
            </w:r>
            <w:r>
              <w:fldChar w:fldCharType="begin"/>
            </w:r>
            <w:r>
              <w:instrText>NUMPAGES</w:instrText>
            </w:r>
            <w:r>
              <w:fldChar w:fldCharType="separate"/>
            </w:r>
            <w:r>
              <w:t>2</w:t>
            </w:r>
            <w: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27B76" w14:textId="1C1A8F50" w:rsidR="00B33A26" w:rsidRDefault="00205407" w:rsidP="00A06021">
    <w:pPr>
      <w:pStyle w:val="Piedepgina"/>
    </w:pPr>
    <w:r>
      <w:rPr>
        <w:noProof/>
      </w:rPr>
      <w:drawing>
        <wp:anchor distT="0" distB="0" distL="114300" distR="114300" simplePos="0" relativeHeight="251674624" behindDoc="0" locked="0" layoutInCell="1" allowOverlap="1" wp14:anchorId="119020FF" wp14:editId="2ED27CFB">
          <wp:simplePos x="0" y="0"/>
          <wp:positionH relativeFrom="column">
            <wp:posOffset>72390</wp:posOffset>
          </wp:positionH>
          <wp:positionV relativeFrom="paragraph">
            <wp:posOffset>54610</wp:posOffset>
          </wp:positionV>
          <wp:extent cx="5602605" cy="524510"/>
          <wp:effectExtent l="0" t="0" r="0" b="8890"/>
          <wp:wrapNone/>
          <wp:docPr id="13502105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2605" cy="52451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4C9CD" w14:textId="77777777" w:rsidR="00093FA5" w:rsidRDefault="00093FA5" w:rsidP="00A06021">
      <w:r>
        <w:separator/>
      </w:r>
    </w:p>
  </w:footnote>
  <w:footnote w:type="continuationSeparator" w:id="0">
    <w:p w14:paraId="6CF8EB15" w14:textId="77777777" w:rsidR="00093FA5" w:rsidRDefault="00093FA5" w:rsidP="00A06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DFBA0" w14:textId="77777777" w:rsidR="00205407" w:rsidRDefault="002054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EF5F2" w14:textId="77777777" w:rsidR="00481B8A" w:rsidRPr="00481B8A" w:rsidRDefault="00481B8A" w:rsidP="00481B8A">
    <w:pPr>
      <w:pStyle w:val="Encabezado"/>
      <w:ind w:left="-1701"/>
    </w:pPr>
    <w:r>
      <w:rPr>
        <w:b/>
        <w:noProof/>
      </w:rPr>
      <w:drawing>
        <wp:inline distT="0" distB="0" distL="0" distR="0" wp14:anchorId="7E2C5AC8" wp14:editId="06A3B055">
          <wp:extent cx="8381784" cy="1177056"/>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a:extLst>
                      <a:ext uri="{28A0092B-C50C-407E-A947-70E740481C1C}">
                        <a14:useLocalDpi xmlns:a14="http://schemas.microsoft.com/office/drawing/2010/main" val="0"/>
                      </a:ext>
                    </a:extLst>
                  </a:blip>
                  <a:stretch>
                    <a:fillRect/>
                  </a:stretch>
                </pic:blipFill>
                <pic:spPr>
                  <a:xfrm>
                    <a:off x="0" y="0"/>
                    <a:ext cx="8562106" cy="120237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C908B" w14:textId="16D3CBA1" w:rsidR="007804E8" w:rsidRDefault="00F6248F" w:rsidP="00F6248F">
    <w:pPr>
      <w:pStyle w:val="Encabezado"/>
      <w:ind w:left="-1701"/>
    </w:pPr>
    <w:r>
      <w:rPr>
        <w:b/>
        <w:noProof/>
      </w:rPr>
      <w:drawing>
        <wp:inline distT="0" distB="0" distL="0" distR="0" wp14:anchorId="50B06227" wp14:editId="56378C72">
          <wp:extent cx="8073657" cy="113467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a:extLst>
                      <a:ext uri="{28A0092B-C50C-407E-A947-70E740481C1C}">
                        <a14:useLocalDpi xmlns:a14="http://schemas.microsoft.com/office/drawing/2010/main" val="0"/>
                      </a:ext>
                    </a:extLst>
                  </a:blip>
                  <a:stretch>
                    <a:fillRect/>
                  </a:stretch>
                </pic:blipFill>
                <pic:spPr>
                  <a:xfrm>
                    <a:off x="0" y="0"/>
                    <a:ext cx="8438652" cy="1185972"/>
                  </a:xfrm>
                  <a:prstGeom prst="rect">
                    <a:avLst/>
                  </a:prstGeom>
                </pic:spPr>
              </pic:pic>
            </a:graphicData>
          </a:graphic>
        </wp:inline>
      </w:drawing>
    </w:r>
    <w:r w:rsidR="00C113FE">
      <w:rPr>
        <w:b/>
        <w:noProof/>
      </w:rPr>
      <w:drawing>
        <wp:anchor distT="0" distB="0" distL="114300" distR="114300" simplePos="0" relativeHeight="251665408" behindDoc="1" locked="1" layoutInCell="1" allowOverlap="1" wp14:anchorId="68F250B2" wp14:editId="19E36196">
          <wp:simplePos x="0" y="0"/>
          <wp:positionH relativeFrom="column">
            <wp:posOffset>-1102995</wp:posOffset>
          </wp:positionH>
          <wp:positionV relativeFrom="page">
            <wp:posOffset>1697990</wp:posOffset>
          </wp:positionV>
          <wp:extent cx="640715" cy="694753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ireccion-04-04.jpg"/>
                  <pic:cNvPicPr/>
                </pic:nvPicPr>
                <pic:blipFill rotWithShape="1">
                  <a:blip r:embed="rId2">
                    <a:extLst>
                      <a:ext uri="{28A0092B-C50C-407E-A947-70E740481C1C}">
                        <a14:useLocalDpi xmlns:a14="http://schemas.microsoft.com/office/drawing/2010/main" val="0"/>
                      </a:ext>
                    </a:extLst>
                  </a:blip>
                  <a:srcRect r="22461"/>
                  <a:stretch/>
                </pic:blipFill>
                <pic:spPr bwMode="auto">
                  <a:xfrm>
                    <a:off x="0" y="0"/>
                    <a:ext cx="640715" cy="694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3381"/>
    <w:multiLevelType w:val="multilevel"/>
    <w:tmpl w:val="5182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3687A"/>
    <w:multiLevelType w:val="hybridMultilevel"/>
    <w:tmpl w:val="02E45DD0"/>
    <w:numStyleLink w:val="Estiloimportado1"/>
  </w:abstractNum>
  <w:abstractNum w:abstractNumId="2" w15:restartNumberingAfterBreak="0">
    <w:nsid w:val="0C3D3BA9"/>
    <w:multiLevelType w:val="multilevel"/>
    <w:tmpl w:val="0B00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1045A"/>
    <w:multiLevelType w:val="hybridMultilevel"/>
    <w:tmpl w:val="5644CA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F157D6"/>
    <w:multiLevelType w:val="multilevel"/>
    <w:tmpl w:val="E0F2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05932"/>
    <w:multiLevelType w:val="hybridMultilevel"/>
    <w:tmpl w:val="2F24D73C"/>
    <w:styleLink w:val="Estiloimportado10"/>
    <w:lvl w:ilvl="0" w:tplc="DB0AA3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1" w:tplc="E618BD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2" w:tplc="E17288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3" w:tplc="ECC25C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4" w:tplc="531E2D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5" w:tplc="1756899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6" w:tplc="BA7A6C5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7" w:tplc="A45A9D2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8" w:tplc="11DEE6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abstractNum>
  <w:abstractNum w:abstractNumId="6" w15:restartNumberingAfterBreak="0">
    <w:nsid w:val="11D555A1"/>
    <w:multiLevelType w:val="multilevel"/>
    <w:tmpl w:val="B1E6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DB15CF"/>
    <w:multiLevelType w:val="hybridMultilevel"/>
    <w:tmpl w:val="968875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9F3717"/>
    <w:multiLevelType w:val="hybridMultilevel"/>
    <w:tmpl w:val="43903E14"/>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96B4B61"/>
    <w:multiLevelType w:val="hybridMultilevel"/>
    <w:tmpl w:val="1E7279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D8B1681"/>
    <w:multiLevelType w:val="multilevel"/>
    <w:tmpl w:val="5DF4EF0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773580"/>
    <w:multiLevelType w:val="hybridMultilevel"/>
    <w:tmpl w:val="A848855C"/>
    <w:lvl w:ilvl="0" w:tplc="A77A6FE8">
      <w:start w:val="1"/>
      <w:numFmt w:val="bullet"/>
      <w:pStyle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AAC1BC9"/>
    <w:multiLevelType w:val="hybridMultilevel"/>
    <w:tmpl w:val="3B9EA8DA"/>
    <w:numStyleLink w:val="Estiloimportado3"/>
  </w:abstractNum>
  <w:abstractNum w:abstractNumId="13" w15:restartNumberingAfterBreak="0">
    <w:nsid w:val="3D2B65F3"/>
    <w:multiLevelType w:val="hybridMultilevel"/>
    <w:tmpl w:val="C0400C68"/>
    <w:lvl w:ilvl="0" w:tplc="0C0A000F">
      <w:start w:val="1"/>
      <w:numFmt w:val="decimal"/>
      <w:lvlText w:val="%1."/>
      <w:lvlJc w:val="left"/>
      <w:pPr>
        <w:ind w:left="786" w:hanging="360"/>
      </w:p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4" w15:restartNumberingAfterBreak="0">
    <w:nsid w:val="40D61C80"/>
    <w:multiLevelType w:val="hybridMultilevel"/>
    <w:tmpl w:val="02E45DD0"/>
    <w:styleLink w:val="Estiloimportado1"/>
    <w:lvl w:ilvl="0" w:tplc="73BC6A76">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C3C8824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5F0367E">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3" w:tplc="0CB265F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EE6C9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9223C4">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6" w:tplc="9F6689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BE56F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3EC11C0">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26E4720"/>
    <w:multiLevelType w:val="hybridMultilevel"/>
    <w:tmpl w:val="E656F49C"/>
    <w:lvl w:ilvl="0" w:tplc="E98EACA0">
      <w:start w:val="8"/>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713753D"/>
    <w:multiLevelType w:val="hybridMultilevel"/>
    <w:tmpl w:val="2F24D73C"/>
    <w:numStyleLink w:val="Estiloimportado10"/>
  </w:abstractNum>
  <w:abstractNum w:abstractNumId="17" w15:restartNumberingAfterBreak="0">
    <w:nsid w:val="4A2D6904"/>
    <w:multiLevelType w:val="multilevel"/>
    <w:tmpl w:val="190C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301437"/>
    <w:multiLevelType w:val="multilevel"/>
    <w:tmpl w:val="67BE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D0733C"/>
    <w:multiLevelType w:val="hybridMultilevel"/>
    <w:tmpl w:val="E4A41A8C"/>
    <w:lvl w:ilvl="0" w:tplc="4CB2ACFC">
      <w:start w:val="1"/>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84D382F"/>
    <w:multiLevelType w:val="multilevel"/>
    <w:tmpl w:val="63B0E85C"/>
    <w:lvl w:ilvl="0">
      <w:start w:val="1"/>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15:restartNumberingAfterBreak="0">
    <w:nsid w:val="6975037F"/>
    <w:multiLevelType w:val="hybridMultilevel"/>
    <w:tmpl w:val="9E908FF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6A005ED7"/>
    <w:multiLevelType w:val="hybridMultilevel"/>
    <w:tmpl w:val="3B9EA8DA"/>
    <w:styleLink w:val="Estiloimportado3"/>
    <w:lvl w:ilvl="0" w:tplc="4200485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43A0B856">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F40F9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E2F376">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s>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2EDAC6">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7A80E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EE68A2">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s>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70D122">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3A0F7C">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33F037D"/>
    <w:multiLevelType w:val="hybridMultilevel"/>
    <w:tmpl w:val="0C30E8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40A798F"/>
    <w:multiLevelType w:val="hybridMultilevel"/>
    <w:tmpl w:val="5F98D09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77315483"/>
    <w:multiLevelType w:val="hybridMultilevel"/>
    <w:tmpl w:val="87DA5F04"/>
    <w:lvl w:ilvl="0" w:tplc="0C0A0011">
      <w:start w:val="1"/>
      <w:numFmt w:val="decimal"/>
      <w:lvlText w:val="%1)"/>
      <w:lvlJc w:val="left"/>
      <w:pPr>
        <w:ind w:left="786" w:hanging="360"/>
      </w:p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6" w15:restartNumberingAfterBreak="0">
    <w:nsid w:val="78941CF2"/>
    <w:multiLevelType w:val="multilevel"/>
    <w:tmpl w:val="5582E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4D28E1"/>
    <w:multiLevelType w:val="multilevel"/>
    <w:tmpl w:val="DB887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917F3B"/>
    <w:multiLevelType w:val="multilevel"/>
    <w:tmpl w:val="B0DA2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993642"/>
    <w:multiLevelType w:val="hybridMultilevel"/>
    <w:tmpl w:val="A308D14E"/>
    <w:lvl w:ilvl="0" w:tplc="E3503592">
      <w:start w:val="1"/>
      <w:numFmt w:val="lowerLetter"/>
      <w:lvlText w:val="%1)"/>
      <w:lvlJc w:val="left"/>
      <w:pPr>
        <w:ind w:left="750" w:hanging="360"/>
      </w:pPr>
      <w:rPr>
        <w:rFonts w:hint="default"/>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num w:numId="1" w16cid:durableId="370419354">
    <w:abstractNumId w:val="14"/>
  </w:num>
  <w:num w:numId="2" w16cid:durableId="1920479487">
    <w:abstractNumId w:val="1"/>
  </w:num>
  <w:num w:numId="3" w16cid:durableId="995651194">
    <w:abstractNumId w:val="8"/>
  </w:num>
  <w:num w:numId="4" w16cid:durableId="889924049">
    <w:abstractNumId w:val="8"/>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5" w16cid:durableId="627786817">
    <w:abstractNumId w:val="1"/>
    <w:lvlOverride w:ilvl="0">
      <w:startOverride w:val="2"/>
      <w:lvl w:ilvl="0" w:tplc="8FDC8D84">
        <w:start w:val="2"/>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5E8FAE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B2CE290">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BA0DA6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40C964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13673FA">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3BEA69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BEE731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7F6DD2E">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363211810">
    <w:abstractNumId w:val="8"/>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 w16cid:durableId="38167647">
    <w:abstractNumId w:val="8"/>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8" w16cid:durableId="1129082070">
    <w:abstractNumId w:val="8"/>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9" w16cid:durableId="2056540667">
    <w:abstractNumId w:val="8"/>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16cid:durableId="1568683571">
    <w:abstractNumId w:val="1"/>
    <w:lvlOverride w:ilvl="0">
      <w:startOverride w:val="3"/>
      <w:lvl w:ilvl="0" w:tplc="8FDC8D84">
        <w:start w:val="3"/>
        <w:numFmt w:val="decimal"/>
        <w:lvlText w:val="%1."/>
        <w:lvlJc w:val="left"/>
        <w:pPr>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65E8FAEC">
        <w:start w:val="1"/>
        <w:numFmt w:val="lowerLetter"/>
        <w:lvlText w:val="%2."/>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B2CE290">
        <w:start w:val="1"/>
        <w:numFmt w:val="lowerRoman"/>
        <w:lvlText w:val="%3."/>
        <w:lvlJc w:val="left"/>
        <w:pPr>
          <w:ind w:left="180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BA0DA64">
        <w:start w:val="1"/>
        <w:numFmt w:val="decimal"/>
        <w:lvlText w:val="%4."/>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C40C964C">
        <w:start w:val="1"/>
        <w:numFmt w:val="lowerLetter"/>
        <w:lvlText w:val="%5."/>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813673FA">
        <w:start w:val="1"/>
        <w:numFmt w:val="lowerRoman"/>
        <w:lvlText w:val="%6."/>
        <w:lvlJc w:val="left"/>
        <w:pPr>
          <w:ind w:left="396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D3BEA69C">
        <w:start w:val="1"/>
        <w:numFmt w:val="decimal"/>
        <w:lvlText w:val="%7."/>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4BEE7310">
        <w:start w:val="1"/>
        <w:numFmt w:val="lowerLetter"/>
        <w:lvlText w:val="%8."/>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C7F6DD2E">
        <w:start w:val="1"/>
        <w:numFmt w:val="lowerRoman"/>
        <w:lvlText w:val="%9."/>
        <w:lvlJc w:val="left"/>
        <w:pPr>
          <w:ind w:left="612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16cid:durableId="176505270">
    <w:abstractNumId w:val="5"/>
  </w:num>
  <w:num w:numId="12" w16cid:durableId="465901224">
    <w:abstractNumId w:val="16"/>
  </w:num>
  <w:num w:numId="13" w16cid:durableId="1356540647">
    <w:abstractNumId w:val="16"/>
    <w:lvlOverride w:ilvl="0">
      <w:lvl w:ilvl="0" w:tplc="39B4374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5352FD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8EEC893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EF4E3C8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EE90906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6E4CEA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426CA5D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519C4A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6A94246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4" w16cid:durableId="635109614">
    <w:abstractNumId w:val="1"/>
    <w:lvlOverride w:ilvl="0">
      <w:startOverride w:val="4"/>
      <w:lvl w:ilvl="0" w:tplc="8FDC8D84">
        <w:start w:val="4"/>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5E8FAE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B2CE290">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BA0DA6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40C964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13673FA">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3BEA69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BEE731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7F6DD2E">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16cid:durableId="1630090796">
    <w:abstractNumId w:val="8"/>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6" w16cid:durableId="274800318">
    <w:abstractNumId w:val="8"/>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7" w16cid:durableId="1407918205">
    <w:abstractNumId w:val="8"/>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8" w16cid:durableId="467209832">
    <w:abstractNumId w:val="22"/>
  </w:num>
  <w:num w:numId="19" w16cid:durableId="665669612">
    <w:abstractNumId w:val="12"/>
  </w:num>
  <w:num w:numId="20" w16cid:durableId="1320422202">
    <w:abstractNumId w:val="1"/>
    <w:lvlOverride w:ilvl="0">
      <w:startOverride w:val="5"/>
      <w:lvl w:ilvl="0" w:tplc="8FDC8D84">
        <w:start w:val="5"/>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5E8FAE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B2CE290">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BA0DA6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40C964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13673FA">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3BEA69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BEE731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7F6DD2E">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16cid:durableId="273756874">
    <w:abstractNumId w:val="8"/>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2" w16cid:durableId="1325861963">
    <w:abstractNumId w:val="8"/>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3" w16cid:durableId="190268524">
    <w:abstractNumId w:val="8"/>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4" w16cid:durableId="1344014663">
    <w:abstractNumId w:val="8"/>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5" w16cid:durableId="13002001">
    <w:abstractNumId w:val="8"/>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6" w16cid:durableId="2080978236">
    <w:abstractNumId w:val="8"/>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7" w16cid:durableId="1606499515">
    <w:abstractNumId w:val="8"/>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8" w16cid:durableId="1474521886">
    <w:abstractNumId w:val="8"/>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9" w16cid:durableId="1230732934">
    <w:abstractNumId w:val="29"/>
  </w:num>
  <w:num w:numId="30" w16cid:durableId="1177841802">
    <w:abstractNumId w:val="10"/>
  </w:num>
  <w:num w:numId="31" w16cid:durableId="874191841">
    <w:abstractNumId w:val="11"/>
  </w:num>
  <w:num w:numId="32" w16cid:durableId="534970937">
    <w:abstractNumId w:val="21"/>
  </w:num>
  <w:num w:numId="33" w16cid:durableId="1997757583">
    <w:abstractNumId w:val="24"/>
  </w:num>
  <w:num w:numId="34" w16cid:durableId="394205530">
    <w:abstractNumId w:val="13"/>
  </w:num>
  <w:num w:numId="35" w16cid:durableId="2093812331">
    <w:abstractNumId w:val="25"/>
  </w:num>
  <w:num w:numId="36" w16cid:durableId="19599013">
    <w:abstractNumId w:val="15"/>
  </w:num>
  <w:num w:numId="37" w16cid:durableId="1292713432">
    <w:abstractNumId w:val="3"/>
  </w:num>
  <w:num w:numId="38" w16cid:durableId="1460103625">
    <w:abstractNumId w:val="7"/>
  </w:num>
  <w:num w:numId="39" w16cid:durableId="2111509817">
    <w:abstractNumId w:val="9"/>
  </w:num>
  <w:num w:numId="40" w16cid:durableId="2059815977">
    <w:abstractNumId w:val="23"/>
  </w:num>
  <w:num w:numId="41" w16cid:durableId="1729718419">
    <w:abstractNumId w:val="20"/>
  </w:num>
  <w:num w:numId="42" w16cid:durableId="902525386">
    <w:abstractNumId w:val="19"/>
  </w:num>
  <w:num w:numId="43" w16cid:durableId="988095655">
    <w:abstractNumId w:val="6"/>
  </w:num>
  <w:num w:numId="44" w16cid:durableId="876743022">
    <w:abstractNumId w:val="18"/>
  </w:num>
  <w:num w:numId="45" w16cid:durableId="738594946">
    <w:abstractNumId w:val="26"/>
  </w:num>
  <w:num w:numId="46" w16cid:durableId="1318262144">
    <w:abstractNumId w:val="0"/>
  </w:num>
  <w:num w:numId="47" w16cid:durableId="642582948">
    <w:abstractNumId w:val="2"/>
  </w:num>
  <w:num w:numId="48" w16cid:durableId="1221138874">
    <w:abstractNumId w:val="27"/>
  </w:num>
  <w:num w:numId="49" w16cid:durableId="1230531888">
    <w:abstractNumId w:val="17"/>
  </w:num>
  <w:num w:numId="50" w16cid:durableId="46993212">
    <w:abstractNumId w:val="4"/>
  </w:num>
  <w:num w:numId="51" w16cid:durableId="8074757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26"/>
    <w:rsid w:val="00061F97"/>
    <w:rsid w:val="000868A4"/>
    <w:rsid w:val="00093FA5"/>
    <w:rsid w:val="000940A0"/>
    <w:rsid w:val="000942C6"/>
    <w:rsid w:val="000A1698"/>
    <w:rsid w:val="001000DF"/>
    <w:rsid w:val="0016385C"/>
    <w:rsid w:val="00171681"/>
    <w:rsid w:val="001A27C0"/>
    <w:rsid w:val="001D63F5"/>
    <w:rsid w:val="001F7A68"/>
    <w:rsid w:val="00200238"/>
    <w:rsid w:val="00203B25"/>
    <w:rsid w:val="00204098"/>
    <w:rsid w:val="00205407"/>
    <w:rsid w:val="002174D8"/>
    <w:rsid w:val="00232D19"/>
    <w:rsid w:val="0027108F"/>
    <w:rsid w:val="00274CE3"/>
    <w:rsid w:val="002778B5"/>
    <w:rsid w:val="00291B23"/>
    <w:rsid w:val="002D1F38"/>
    <w:rsid w:val="002E33F3"/>
    <w:rsid w:val="00306A4F"/>
    <w:rsid w:val="003C7A19"/>
    <w:rsid w:val="003D3F6E"/>
    <w:rsid w:val="004160C5"/>
    <w:rsid w:val="00416FC5"/>
    <w:rsid w:val="00421F84"/>
    <w:rsid w:val="00434D78"/>
    <w:rsid w:val="0044471E"/>
    <w:rsid w:val="00467E76"/>
    <w:rsid w:val="00481B8A"/>
    <w:rsid w:val="004908DE"/>
    <w:rsid w:val="00497BA8"/>
    <w:rsid w:val="004B7FF4"/>
    <w:rsid w:val="004E713A"/>
    <w:rsid w:val="004F1DAA"/>
    <w:rsid w:val="00525DEC"/>
    <w:rsid w:val="00530981"/>
    <w:rsid w:val="005434FC"/>
    <w:rsid w:val="00546AFE"/>
    <w:rsid w:val="00554F11"/>
    <w:rsid w:val="005A1CFC"/>
    <w:rsid w:val="00605AA3"/>
    <w:rsid w:val="00612C28"/>
    <w:rsid w:val="0062346F"/>
    <w:rsid w:val="00662FF6"/>
    <w:rsid w:val="006A5D06"/>
    <w:rsid w:val="006A5F77"/>
    <w:rsid w:val="006B379D"/>
    <w:rsid w:val="006B789B"/>
    <w:rsid w:val="006D502E"/>
    <w:rsid w:val="006E011E"/>
    <w:rsid w:val="006F5361"/>
    <w:rsid w:val="0070586D"/>
    <w:rsid w:val="00725D74"/>
    <w:rsid w:val="0072632B"/>
    <w:rsid w:val="007523FE"/>
    <w:rsid w:val="0075646D"/>
    <w:rsid w:val="0075792A"/>
    <w:rsid w:val="007804E8"/>
    <w:rsid w:val="0078563B"/>
    <w:rsid w:val="00787B38"/>
    <w:rsid w:val="007973E4"/>
    <w:rsid w:val="007B1A4B"/>
    <w:rsid w:val="007F48B7"/>
    <w:rsid w:val="008057F3"/>
    <w:rsid w:val="00807933"/>
    <w:rsid w:val="00813C69"/>
    <w:rsid w:val="00822710"/>
    <w:rsid w:val="008B4094"/>
    <w:rsid w:val="008D7FF4"/>
    <w:rsid w:val="008E0429"/>
    <w:rsid w:val="008F635C"/>
    <w:rsid w:val="00920E21"/>
    <w:rsid w:val="00964D0D"/>
    <w:rsid w:val="00991F63"/>
    <w:rsid w:val="009A4A35"/>
    <w:rsid w:val="009C2346"/>
    <w:rsid w:val="009C2CBA"/>
    <w:rsid w:val="009E101D"/>
    <w:rsid w:val="00A06021"/>
    <w:rsid w:val="00A62EFB"/>
    <w:rsid w:val="00A648CF"/>
    <w:rsid w:val="00A72C36"/>
    <w:rsid w:val="00A95AD9"/>
    <w:rsid w:val="00B166A0"/>
    <w:rsid w:val="00B2247B"/>
    <w:rsid w:val="00B33A26"/>
    <w:rsid w:val="00B4191B"/>
    <w:rsid w:val="00B53FBE"/>
    <w:rsid w:val="00B84CC7"/>
    <w:rsid w:val="00BA74DA"/>
    <w:rsid w:val="00BB1340"/>
    <w:rsid w:val="00BD7ACB"/>
    <w:rsid w:val="00BF47F0"/>
    <w:rsid w:val="00C113FE"/>
    <w:rsid w:val="00C87A7F"/>
    <w:rsid w:val="00C90531"/>
    <w:rsid w:val="00C95AAF"/>
    <w:rsid w:val="00CA29A9"/>
    <w:rsid w:val="00CE06FF"/>
    <w:rsid w:val="00CE3CAE"/>
    <w:rsid w:val="00D06769"/>
    <w:rsid w:val="00D524A7"/>
    <w:rsid w:val="00D80D91"/>
    <w:rsid w:val="00D95B27"/>
    <w:rsid w:val="00DC4B4F"/>
    <w:rsid w:val="00DF3680"/>
    <w:rsid w:val="00E04BA0"/>
    <w:rsid w:val="00E15B19"/>
    <w:rsid w:val="00E2762C"/>
    <w:rsid w:val="00E32D7C"/>
    <w:rsid w:val="00E72AE3"/>
    <w:rsid w:val="00EA6809"/>
    <w:rsid w:val="00EC5B36"/>
    <w:rsid w:val="00ED2050"/>
    <w:rsid w:val="00F335F3"/>
    <w:rsid w:val="00F6248F"/>
    <w:rsid w:val="00F86F16"/>
    <w:rsid w:val="00F939D0"/>
    <w:rsid w:val="00FC01E3"/>
    <w:rsid w:val="00FD1BE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1C601A"/>
  <w14:defaultImageDpi w14:val="32767"/>
  <w15:chartTrackingRefBased/>
  <w15:docId w15:val="{367DCE92-BC8C-4B51-B6BF-AB0A36E7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524A7"/>
    <w:pPr>
      <w:pBdr>
        <w:top w:val="nil"/>
        <w:left w:val="nil"/>
        <w:bottom w:val="nil"/>
        <w:right w:val="nil"/>
        <w:between w:val="nil"/>
        <w:bar w:val="nil"/>
      </w:pBdr>
      <w:outlineLvl w:val="2"/>
    </w:pPr>
    <w:rPr>
      <w:rFonts w:ascii="Arial" w:eastAsia="Cambria" w:hAnsi="Arial" w:cs="Arial"/>
      <w:color w:val="000000"/>
      <w:u w:color="000000"/>
      <w:bdr w:val="nil"/>
      <w:lang w:val="es-ES" w:eastAsia="es-ES_tradnl"/>
    </w:rPr>
  </w:style>
  <w:style w:type="paragraph" w:styleId="Ttulo1">
    <w:name w:val="heading 1"/>
    <w:basedOn w:val="Prrafodelista"/>
    <w:next w:val="Normal"/>
    <w:link w:val="Ttulo1Car"/>
    <w:uiPriority w:val="9"/>
    <w:qFormat/>
    <w:rsid w:val="00A06021"/>
    <w:pPr>
      <w:numPr>
        <w:numId w:val="30"/>
      </w:numPr>
      <w:outlineLvl w:val="0"/>
    </w:pPr>
    <w:rPr>
      <w:rFonts w:ascii="Arial" w:hAnsi="Arial" w:cs="Arial"/>
      <w:b/>
    </w:rPr>
  </w:style>
  <w:style w:type="paragraph" w:styleId="Ttulo2">
    <w:name w:val="heading 2"/>
    <w:basedOn w:val="Ttulo1"/>
    <w:next w:val="Normal"/>
    <w:link w:val="Ttulo2Car"/>
    <w:uiPriority w:val="9"/>
    <w:unhideWhenUsed/>
    <w:qFormat/>
    <w:rsid w:val="00A06021"/>
    <w:pPr>
      <w:numPr>
        <w:ilvl w:val="1"/>
      </w:numPr>
      <w:outlineLvl w:val="1"/>
    </w:pPr>
  </w:style>
  <w:style w:type="paragraph" w:styleId="Ttulo3">
    <w:name w:val="heading 3"/>
    <w:basedOn w:val="Ttulo2"/>
    <w:next w:val="Normal"/>
    <w:link w:val="Ttulo3Car"/>
    <w:uiPriority w:val="9"/>
    <w:unhideWhenUsed/>
    <w:qFormat/>
    <w:rsid w:val="00A06021"/>
    <w:pPr>
      <w:numPr>
        <w:ilvl w:val="2"/>
      </w:numPr>
      <w:outlineLvl w:val="2"/>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4E8"/>
    <w:pPr>
      <w:tabs>
        <w:tab w:val="center" w:pos="4252"/>
        <w:tab w:val="right" w:pos="8504"/>
      </w:tabs>
    </w:pPr>
  </w:style>
  <w:style w:type="character" w:customStyle="1" w:styleId="EncabezadoCar">
    <w:name w:val="Encabezado Car"/>
    <w:basedOn w:val="Fuentedeprrafopredeter"/>
    <w:link w:val="Encabezado"/>
    <w:uiPriority w:val="99"/>
    <w:rsid w:val="007804E8"/>
    <w:rPr>
      <w:rFonts w:eastAsiaTheme="minorEastAsia"/>
    </w:rPr>
  </w:style>
  <w:style w:type="paragraph" w:styleId="Piedepgina">
    <w:name w:val="footer"/>
    <w:basedOn w:val="Normal"/>
    <w:link w:val="PiedepginaCar"/>
    <w:uiPriority w:val="99"/>
    <w:unhideWhenUsed/>
    <w:rsid w:val="007804E8"/>
    <w:pPr>
      <w:tabs>
        <w:tab w:val="center" w:pos="4252"/>
        <w:tab w:val="right" w:pos="8504"/>
      </w:tabs>
    </w:pPr>
  </w:style>
  <w:style w:type="character" w:customStyle="1" w:styleId="PiedepginaCar">
    <w:name w:val="Pie de página Car"/>
    <w:basedOn w:val="Fuentedeprrafopredeter"/>
    <w:link w:val="Piedepgina"/>
    <w:uiPriority w:val="99"/>
    <w:rsid w:val="007804E8"/>
    <w:rPr>
      <w:rFonts w:eastAsiaTheme="minorEastAsia"/>
    </w:rPr>
  </w:style>
  <w:style w:type="paragraph" w:customStyle="1" w:styleId="Cuerpo">
    <w:name w:val="Cuerpo"/>
    <w:rsid w:val="0075646D"/>
    <w:pPr>
      <w:pBdr>
        <w:top w:val="nil"/>
        <w:left w:val="nil"/>
        <w:bottom w:val="nil"/>
        <w:right w:val="nil"/>
        <w:between w:val="nil"/>
        <w:bar w:val="nil"/>
      </w:pBdr>
    </w:pPr>
    <w:rPr>
      <w:rFonts w:ascii="Cambria" w:eastAsia="Cambria" w:hAnsi="Cambria" w:cs="Cambria"/>
      <w:color w:val="000000"/>
      <w:u w:color="000000"/>
      <w:bdr w:val="nil"/>
      <w:lang w:eastAsia="es-ES_tradnl"/>
    </w:rPr>
  </w:style>
  <w:style w:type="character" w:customStyle="1" w:styleId="Ninguno">
    <w:name w:val="Ninguno"/>
    <w:rsid w:val="0075646D"/>
    <w:rPr>
      <w:lang w:val="es-ES_tradnl"/>
    </w:rPr>
  </w:style>
  <w:style w:type="paragraph" w:styleId="Prrafodelista">
    <w:name w:val="List Paragraph"/>
    <w:link w:val="PrrafodelistaCar"/>
    <w:qFormat/>
    <w:rsid w:val="0075646D"/>
    <w:pPr>
      <w:pBdr>
        <w:top w:val="nil"/>
        <w:left w:val="nil"/>
        <w:bottom w:val="nil"/>
        <w:right w:val="nil"/>
        <w:between w:val="nil"/>
        <w:bar w:val="nil"/>
      </w:pBdr>
      <w:ind w:left="720"/>
    </w:pPr>
    <w:rPr>
      <w:rFonts w:ascii="Cambria" w:eastAsia="Cambria" w:hAnsi="Cambria" w:cs="Cambria"/>
      <w:color w:val="000000"/>
      <w:u w:color="000000"/>
      <w:bdr w:val="nil"/>
      <w:lang w:eastAsia="es-ES_tradnl"/>
    </w:rPr>
  </w:style>
  <w:style w:type="numbering" w:customStyle="1" w:styleId="Estiloimportado1">
    <w:name w:val="Estilo importado 1"/>
    <w:rsid w:val="0075646D"/>
    <w:pPr>
      <w:numPr>
        <w:numId w:val="1"/>
      </w:numPr>
    </w:pPr>
  </w:style>
  <w:style w:type="character" w:customStyle="1" w:styleId="Hyperlink0">
    <w:name w:val="Hyperlink.0"/>
    <w:basedOn w:val="Hipervnculo"/>
    <w:rsid w:val="0075646D"/>
    <w:rPr>
      <w:color w:val="0000FF"/>
      <w:u w:val="single" w:color="0000FF"/>
    </w:rPr>
  </w:style>
  <w:style w:type="numbering" w:customStyle="1" w:styleId="Estiloimportado10">
    <w:name w:val="Estilo importado 1.0"/>
    <w:rsid w:val="0075646D"/>
    <w:pPr>
      <w:numPr>
        <w:numId w:val="11"/>
      </w:numPr>
    </w:pPr>
  </w:style>
  <w:style w:type="character" w:customStyle="1" w:styleId="Hyperlink1">
    <w:name w:val="Hyperlink.1"/>
    <w:basedOn w:val="Hyperlink0"/>
    <w:rsid w:val="0075646D"/>
    <w:rPr>
      <w:color w:val="000000"/>
      <w:u w:val="single" w:color="0000FF"/>
    </w:rPr>
  </w:style>
  <w:style w:type="numbering" w:customStyle="1" w:styleId="Estiloimportado3">
    <w:name w:val="Estilo importado 3"/>
    <w:rsid w:val="0075646D"/>
    <w:pPr>
      <w:numPr>
        <w:numId w:val="18"/>
      </w:numPr>
    </w:pPr>
  </w:style>
  <w:style w:type="paragraph" w:customStyle="1" w:styleId="Poromisin">
    <w:name w:val="Por omisión"/>
    <w:rsid w:val="0075646D"/>
    <w:pPr>
      <w:pBdr>
        <w:top w:val="nil"/>
        <w:left w:val="nil"/>
        <w:bottom w:val="nil"/>
        <w:right w:val="nil"/>
        <w:between w:val="nil"/>
        <w:bar w:val="nil"/>
      </w:pBdr>
    </w:pPr>
    <w:rPr>
      <w:rFonts w:ascii="Helvetica Neue" w:eastAsia="Helvetica Neue" w:hAnsi="Helvetica Neue" w:cs="Helvetica Neue"/>
      <w:color w:val="000000"/>
      <w:sz w:val="22"/>
      <w:szCs w:val="22"/>
      <w:bdr w:val="nil"/>
      <w:lang w:eastAsia="es-ES_tradnl"/>
    </w:rPr>
  </w:style>
  <w:style w:type="character" w:styleId="Hipervnculo">
    <w:name w:val="Hyperlink"/>
    <w:basedOn w:val="Fuentedeprrafopredeter"/>
    <w:uiPriority w:val="99"/>
    <w:unhideWhenUsed/>
    <w:rsid w:val="0075646D"/>
    <w:rPr>
      <w:color w:val="0563C1" w:themeColor="hyperlink"/>
      <w:u w:val="single"/>
    </w:rPr>
  </w:style>
  <w:style w:type="character" w:customStyle="1" w:styleId="Ttulo1Car">
    <w:name w:val="Título 1 Car"/>
    <w:basedOn w:val="Fuentedeprrafopredeter"/>
    <w:link w:val="Ttulo1"/>
    <w:uiPriority w:val="9"/>
    <w:rsid w:val="00A06021"/>
    <w:rPr>
      <w:rFonts w:ascii="Arial" w:eastAsia="Cambria" w:hAnsi="Arial" w:cs="Arial"/>
      <w:b/>
      <w:color w:val="000000"/>
      <w:u w:color="000000"/>
      <w:bdr w:val="nil"/>
      <w:lang w:eastAsia="es-ES_tradnl"/>
    </w:rPr>
  </w:style>
  <w:style w:type="character" w:customStyle="1" w:styleId="Ttulo2Car">
    <w:name w:val="Título 2 Car"/>
    <w:basedOn w:val="Fuentedeprrafopredeter"/>
    <w:link w:val="Ttulo2"/>
    <w:uiPriority w:val="9"/>
    <w:rsid w:val="00A06021"/>
    <w:rPr>
      <w:rFonts w:ascii="Arial" w:eastAsia="Cambria" w:hAnsi="Arial" w:cs="Arial"/>
      <w:b/>
      <w:color w:val="000000"/>
      <w:u w:color="000000"/>
      <w:bdr w:val="nil"/>
      <w:lang w:eastAsia="es-ES_tradnl"/>
    </w:rPr>
  </w:style>
  <w:style w:type="character" w:customStyle="1" w:styleId="Ttulo3Car">
    <w:name w:val="Título 3 Car"/>
    <w:basedOn w:val="Fuentedeprrafopredeter"/>
    <w:link w:val="Ttulo3"/>
    <w:uiPriority w:val="9"/>
    <w:rsid w:val="00A06021"/>
    <w:rPr>
      <w:rFonts w:ascii="Arial" w:eastAsia="Cambria" w:hAnsi="Arial" w:cs="Arial"/>
      <w:b/>
      <w:color w:val="000000"/>
      <w:u w:color="000000"/>
      <w:bdr w:val="nil"/>
      <w:lang w:eastAsia="es-ES_tradnl"/>
    </w:rPr>
  </w:style>
  <w:style w:type="paragraph" w:customStyle="1" w:styleId="bullet">
    <w:name w:val="bullet"/>
    <w:basedOn w:val="Prrafodelista"/>
    <w:link w:val="bulletCar"/>
    <w:rsid w:val="00D95B27"/>
    <w:pPr>
      <w:numPr>
        <w:numId w:val="31"/>
      </w:num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rPr>
  </w:style>
  <w:style w:type="character" w:customStyle="1" w:styleId="PrrafodelistaCar">
    <w:name w:val="Párrafo de lista Car"/>
    <w:basedOn w:val="Fuentedeprrafopredeter"/>
    <w:link w:val="Prrafodelista"/>
    <w:rsid w:val="00D95B27"/>
    <w:rPr>
      <w:rFonts w:ascii="Cambria" w:eastAsia="Cambria" w:hAnsi="Cambria" w:cs="Cambria"/>
      <w:color w:val="000000"/>
      <w:u w:color="000000"/>
      <w:bdr w:val="nil"/>
      <w:lang w:eastAsia="es-ES_tradnl"/>
    </w:rPr>
  </w:style>
  <w:style w:type="character" w:customStyle="1" w:styleId="bulletCar">
    <w:name w:val="bullet Car"/>
    <w:basedOn w:val="PrrafodelistaCar"/>
    <w:link w:val="bullet"/>
    <w:rsid w:val="00D95B27"/>
    <w:rPr>
      <w:rFonts w:ascii="Arial" w:eastAsia="Cambria" w:hAnsi="Arial" w:cs="Arial"/>
      <w:color w:val="000000"/>
      <w:u w:color="000000"/>
      <w:bdr w:val="nil"/>
      <w:lang w:eastAsia="es-ES_tradnl"/>
    </w:rPr>
  </w:style>
  <w:style w:type="paragraph" w:styleId="Textodeglobo">
    <w:name w:val="Balloon Text"/>
    <w:basedOn w:val="Normal"/>
    <w:link w:val="TextodegloboCar"/>
    <w:uiPriority w:val="99"/>
    <w:semiHidden/>
    <w:unhideWhenUsed/>
    <w:rsid w:val="00481B8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81B8A"/>
    <w:rPr>
      <w:rFonts w:ascii="Times New Roman" w:eastAsia="Cambria" w:hAnsi="Times New Roman" w:cs="Times New Roman"/>
      <w:color w:val="000000"/>
      <w:sz w:val="18"/>
      <w:szCs w:val="18"/>
      <w:u w:color="000000"/>
      <w:bdr w:val="nil"/>
      <w:lang w:val="es-ES" w:eastAsia="es-ES_tradnl"/>
    </w:rPr>
  </w:style>
  <w:style w:type="paragraph" w:customStyle="1" w:styleId="Default">
    <w:name w:val="Default"/>
    <w:rsid w:val="007B1A4B"/>
    <w:pPr>
      <w:autoSpaceDE w:val="0"/>
      <w:autoSpaceDN w:val="0"/>
      <w:adjustRightInd w:val="0"/>
    </w:pPr>
    <w:rPr>
      <w:rFonts w:ascii="Arial" w:eastAsia="Times New Roman" w:hAnsi="Arial" w:cs="Arial"/>
      <w:color w:val="000000"/>
      <w:lang w:val="es-ES" w:eastAsia="es-ES"/>
    </w:rPr>
  </w:style>
  <w:style w:type="table" w:styleId="Tablaconcuadrcula">
    <w:name w:val="Table Grid"/>
    <w:basedOn w:val="Tablanormal"/>
    <w:uiPriority w:val="59"/>
    <w:rsid w:val="007B1A4B"/>
    <w:rPr>
      <w:rFonts w:ascii="Calibri" w:eastAsia="Times New Roman" w:hAnsi="Calibri" w:cs="Times New Roman"/>
      <w:sz w:val="20"/>
      <w:szCs w:val="20"/>
      <w:lang w:eastAsia="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delmarcadordeposicin">
    <w:name w:val="Placeholder Text"/>
    <w:basedOn w:val="Fuentedeprrafopredeter"/>
    <w:uiPriority w:val="99"/>
    <w:semiHidden/>
    <w:rsid w:val="007B1A4B"/>
    <w:rPr>
      <w:color w:val="808080"/>
    </w:rPr>
  </w:style>
  <w:style w:type="character" w:styleId="Textoennegrita">
    <w:name w:val="Strong"/>
    <w:basedOn w:val="Fuentedeprrafopredeter"/>
    <w:uiPriority w:val="22"/>
    <w:qFormat/>
    <w:rsid w:val="002E33F3"/>
    <w:rPr>
      <w:b/>
      <w:bCs/>
    </w:rPr>
  </w:style>
  <w:style w:type="character" w:customStyle="1" w:styleId="normaltextrun">
    <w:name w:val="normaltextrun"/>
    <w:basedOn w:val="Fuentedeprrafopredeter"/>
    <w:rsid w:val="006B379D"/>
  </w:style>
  <w:style w:type="character" w:customStyle="1" w:styleId="eop">
    <w:name w:val="eop"/>
    <w:basedOn w:val="Fuentedeprrafopredeter"/>
    <w:rsid w:val="006B379D"/>
  </w:style>
  <w:style w:type="paragraph" w:styleId="Textonotapie">
    <w:name w:val="footnote text"/>
    <w:basedOn w:val="Normal"/>
    <w:link w:val="TextonotapieCar"/>
    <w:rsid w:val="00530981"/>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outlineLvl w:val="9"/>
    </w:pPr>
    <w:rPr>
      <w:rFonts w:ascii="Calibri" w:eastAsia="Calibri" w:hAnsi="Calibri" w:cs="Times New Roman"/>
      <w:color w:val="auto"/>
      <w:sz w:val="20"/>
      <w:szCs w:val="20"/>
      <w:bdr w:val="none" w:sz="0" w:space="0" w:color="auto"/>
      <w:lang w:eastAsia="en-US"/>
    </w:rPr>
  </w:style>
  <w:style w:type="character" w:customStyle="1" w:styleId="TextonotapieCar">
    <w:name w:val="Texto nota pie Car"/>
    <w:basedOn w:val="Fuentedeprrafopredeter"/>
    <w:link w:val="Textonotapie"/>
    <w:rsid w:val="00530981"/>
    <w:rPr>
      <w:rFonts w:ascii="Calibri" w:eastAsia="Calibri" w:hAnsi="Calibri" w:cs="Times New Roman"/>
      <w:sz w:val="20"/>
      <w:szCs w:val="20"/>
      <w:lang w:val="es-ES"/>
    </w:rPr>
  </w:style>
  <w:style w:type="character" w:styleId="Refdenotaalpie">
    <w:name w:val="footnote reference"/>
    <w:basedOn w:val="Fuentedeprrafopredeter"/>
    <w:rsid w:val="00530981"/>
    <w:rPr>
      <w:position w:val="0"/>
      <w:vertAlign w:val="superscript"/>
    </w:rPr>
  </w:style>
  <w:style w:type="paragraph" w:customStyle="1" w:styleId="punt2">
    <w:name w:val="punt2"/>
    <w:basedOn w:val="Normal"/>
    <w:next w:val="Normal"/>
    <w:rsid w:val="00530981"/>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spacing w:before="60" w:after="120"/>
      <w:textAlignment w:val="baseline"/>
      <w:outlineLvl w:val="9"/>
    </w:pPr>
    <w:rPr>
      <w:rFonts w:eastAsia="Times New Roman" w:cs="Times New Roman"/>
      <w:b/>
      <w:color w:val="auto"/>
      <w:sz w:val="20"/>
      <w:szCs w:val="20"/>
      <w:bdr w:val="none" w:sz="0" w:space="0" w:color="auto"/>
      <w:lang w:val="es-ES_tradnl" w:eastAsia="en-US"/>
    </w:rPr>
  </w:style>
  <w:style w:type="paragraph" w:customStyle="1" w:styleId="Standard">
    <w:name w:val="Standard"/>
    <w:rsid w:val="00530981"/>
    <w:pPr>
      <w:suppressAutoHyphens/>
      <w:autoSpaceDN w:val="0"/>
    </w:pPr>
    <w:rPr>
      <w:rFonts w:ascii="Times New Roman" w:eastAsia="Times New Roman" w:hAnsi="Times New Roman" w:cs="Times New Roman"/>
      <w:kern w:val="3"/>
      <w:sz w:val="28"/>
      <w:szCs w:val="20"/>
      <w:lang w:val="es-ES" w:eastAsia="zh-CN"/>
    </w:rPr>
  </w:style>
  <w:style w:type="character" w:styleId="Mencinsinresolver">
    <w:name w:val="Unresolved Mention"/>
    <w:basedOn w:val="Fuentedeprrafopredeter"/>
    <w:uiPriority w:val="99"/>
    <w:rsid w:val="00416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77111">
      <w:bodyDiv w:val="1"/>
      <w:marLeft w:val="0"/>
      <w:marRight w:val="0"/>
      <w:marTop w:val="0"/>
      <w:marBottom w:val="0"/>
      <w:divBdr>
        <w:top w:val="none" w:sz="0" w:space="0" w:color="auto"/>
        <w:left w:val="none" w:sz="0" w:space="0" w:color="auto"/>
        <w:bottom w:val="none" w:sz="0" w:space="0" w:color="auto"/>
        <w:right w:val="none" w:sz="0" w:space="0" w:color="auto"/>
      </w:divBdr>
      <w:divsChild>
        <w:div w:id="1252930137">
          <w:marLeft w:val="0"/>
          <w:marRight w:val="0"/>
          <w:marTop w:val="0"/>
          <w:marBottom w:val="0"/>
          <w:divBdr>
            <w:top w:val="none" w:sz="0" w:space="0" w:color="auto"/>
            <w:left w:val="none" w:sz="0" w:space="0" w:color="auto"/>
            <w:bottom w:val="none" w:sz="0" w:space="0" w:color="auto"/>
            <w:right w:val="none" w:sz="0" w:space="0" w:color="auto"/>
          </w:divBdr>
        </w:div>
      </w:divsChild>
    </w:div>
    <w:div w:id="908345963">
      <w:bodyDiv w:val="1"/>
      <w:marLeft w:val="0"/>
      <w:marRight w:val="0"/>
      <w:marTop w:val="0"/>
      <w:marBottom w:val="0"/>
      <w:divBdr>
        <w:top w:val="none" w:sz="0" w:space="0" w:color="auto"/>
        <w:left w:val="none" w:sz="0" w:space="0" w:color="auto"/>
        <w:bottom w:val="none" w:sz="0" w:space="0" w:color="auto"/>
        <w:right w:val="none" w:sz="0" w:space="0" w:color="auto"/>
      </w:divBdr>
    </w:div>
    <w:div w:id="922881235">
      <w:bodyDiv w:val="1"/>
      <w:marLeft w:val="0"/>
      <w:marRight w:val="0"/>
      <w:marTop w:val="0"/>
      <w:marBottom w:val="0"/>
      <w:divBdr>
        <w:top w:val="none" w:sz="0" w:space="0" w:color="auto"/>
        <w:left w:val="none" w:sz="0" w:space="0" w:color="auto"/>
        <w:bottom w:val="none" w:sz="0" w:space="0" w:color="auto"/>
        <w:right w:val="none" w:sz="0" w:space="0" w:color="auto"/>
      </w:divBdr>
      <w:divsChild>
        <w:div w:id="1003975337">
          <w:marLeft w:val="0"/>
          <w:marRight w:val="0"/>
          <w:marTop w:val="0"/>
          <w:marBottom w:val="0"/>
          <w:divBdr>
            <w:top w:val="none" w:sz="0" w:space="0" w:color="auto"/>
            <w:left w:val="none" w:sz="0" w:space="0" w:color="auto"/>
            <w:bottom w:val="none" w:sz="0" w:space="0" w:color="auto"/>
            <w:right w:val="none" w:sz="0" w:space="0" w:color="auto"/>
          </w:divBdr>
        </w:div>
      </w:divsChild>
    </w:div>
    <w:div w:id="1757090764">
      <w:bodyDiv w:val="1"/>
      <w:marLeft w:val="0"/>
      <w:marRight w:val="0"/>
      <w:marTop w:val="0"/>
      <w:marBottom w:val="0"/>
      <w:divBdr>
        <w:top w:val="none" w:sz="0" w:space="0" w:color="auto"/>
        <w:left w:val="none" w:sz="0" w:space="0" w:color="auto"/>
        <w:bottom w:val="none" w:sz="0" w:space="0" w:color="auto"/>
        <w:right w:val="none" w:sz="0" w:space="0" w:color="auto"/>
      </w:divBdr>
    </w:div>
    <w:div w:id="2080133694">
      <w:bodyDiv w:val="1"/>
      <w:marLeft w:val="0"/>
      <w:marRight w:val="0"/>
      <w:marTop w:val="0"/>
      <w:marBottom w:val="0"/>
      <w:divBdr>
        <w:top w:val="none" w:sz="0" w:space="0" w:color="auto"/>
        <w:left w:val="none" w:sz="0" w:space="0" w:color="auto"/>
        <w:bottom w:val="none" w:sz="0" w:space="0" w:color="auto"/>
        <w:right w:val="none" w:sz="0" w:space="0" w:color="auto"/>
      </w:divBdr>
      <w:divsChild>
        <w:div w:id="577374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18-12699" TargetMode="External"/><Relationship Id="rId13" Type="http://schemas.openxmlformats.org/officeDocument/2006/relationships/hyperlink" Target="https://www.aye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ede.gobiernodecanarias.org/sede/procedimientos_servicios/tramites/742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gobiernodecanarias.org/sede/procedimientos_servicios/tramites/742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ransparencia@turismodecanarias.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transparencia.turismodeislascanarias.com/"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8C5BD-26E7-504A-ACCE-686C902A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1138</Words>
  <Characters>6264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García-Tuñón Rodríguez</dc:creator>
  <cp:keywords/>
  <dc:description/>
  <cp:lastModifiedBy>Alejandro Nicolás Montesdeoca Sánchez</cp:lastModifiedBy>
  <cp:revision>10</cp:revision>
  <cp:lastPrinted>2021-05-17T08:39:00Z</cp:lastPrinted>
  <dcterms:created xsi:type="dcterms:W3CDTF">2021-05-17T08:39:00Z</dcterms:created>
  <dcterms:modified xsi:type="dcterms:W3CDTF">2025-04-22T08:29:00Z</dcterms:modified>
</cp:coreProperties>
</file>