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494"/>
      </w:tblGrid>
      <w:tr w:rsidR="006219C8" w:rsidRPr="00167786" w14:paraId="36A53492" w14:textId="77777777" w:rsidTr="006219C8">
        <w:trPr>
          <w:trHeight w:val="633"/>
        </w:trPr>
        <w:tc>
          <w:tcPr>
            <w:tcW w:w="8494" w:type="dxa"/>
            <w:shd w:val="clear" w:color="auto" w:fill="8496B0" w:themeFill="text2" w:themeFillTint="99"/>
          </w:tcPr>
          <w:p w14:paraId="4107538B" w14:textId="77777777" w:rsidR="006219C8" w:rsidRPr="00167786" w:rsidRDefault="006219C8" w:rsidP="006219C8">
            <w:pPr>
              <w:jc w:val="center"/>
              <w:rPr>
                <w:rFonts w:ascii="Arial" w:hAnsi="Arial" w:cs="Arial"/>
                <w:b/>
                <w:bCs/>
              </w:rPr>
            </w:pPr>
            <w:r w:rsidRPr="00167786">
              <w:rPr>
                <w:rFonts w:ascii="Arial" w:hAnsi="Arial" w:cs="Arial"/>
                <w:b/>
                <w:bCs/>
              </w:rPr>
              <w:t xml:space="preserve">PREGUNTAS FRECUENTES EN EL MARCO DE LICITACIONES </w:t>
            </w:r>
          </w:p>
          <w:p w14:paraId="1E7CD933" w14:textId="4325A879" w:rsidR="006219C8" w:rsidRPr="00167786" w:rsidRDefault="006219C8" w:rsidP="006219C8">
            <w:pPr>
              <w:jc w:val="center"/>
              <w:rPr>
                <w:rFonts w:ascii="Arial" w:hAnsi="Arial" w:cs="Arial"/>
                <w:b/>
                <w:bCs/>
              </w:rPr>
            </w:pPr>
            <w:r w:rsidRPr="00167786">
              <w:rPr>
                <w:rFonts w:ascii="Arial" w:hAnsi="Arial" w:cs="Arial"/>
                <w:b/>
                <w:bCs/>
              </w:rPr>
              <w:t>(</w:t>
            </w:r>
            <w:proofErr w:type="spellStart"/>
            <w:r w:rsidRPr="00167786">
              <w:rPr>
                <w:rFonts w:ascii="Arial" w:hAnsi="Arial" w:cs="Arial"/>
                <w:b/>
                <w:bCs/>
              </w:rPr>
              <w:t>FAQs</w:t>
            </w:r>
            <w:proofErr w:type="spellEnd"/>
            <w:r w:rsidRPr="00167786">
              <w:rPr>
                <w:rFonts w:ascii="Arial" w:hAnsi="Arial" w:cs="Arial"/>
                <w:b/>
                <w:bCs/>
              </w:rPr>
              <w:t>)</w:t>
            </w:r>
          </w:p>
        </w:tc>
      </w:tr>
    </w:tbl>
    <w:p w14:paraId="3897DDB0" w14:textId="64F81917" w:rsidR="006219C8" w:rsidRPr="00167786" w:rsidRDefault="006219C8" w:rsidP="00D9561F">
      <w:pPr>
        <w:jc w:val="center"/>
        <w:rPr>
          <w:rFonts w:ascii="Arial" w:hAnsi="Arial" w:cs="Arial"/>
          <w:b/>
          <w:bCs/>
        </w:rPr>
      </w:pPr>
    </w:p>
    <w:tbl>
      <w:tblPr>
        <w:tblStyle w:val="Tablaconcuadrcula"/>
        <w:tblW w:w="0" w:type="auto"/>
        <w:tblLook w:val="04A0" w:firstRow="1" w:lastRow="0" w:firstColumn="1" w:lastColumn="0" w:noHBand="0" w:noVBand="1"/>
      </w:tblPr>
      <w:tblGrid>
        <w:gridCol w:w="8494"/>
      </w:tblGrid>
      <w:tr w:rsidR="006219C8" w:rsidRPr="00167786" w14:paraId="75150CBE" w14:textId="77777777" w:rsidTr="006219C8">
        <w:tc>
          <w:tcPr>
            <w:tcW w:w="8494" w:type="dxa"/>
            <w:shd w:val="clear" w:color="auto" w:fill="D5DCE4" w:themeFill="text2" w:themeFillTint="33"/>
          </w:tcPr>
          <w:p w14:paraId="3668FF40" w14:textId="73F04E48" w:rsidR="006219C8" w:rsidRPr="00167786" w:rsidRDefault="006219C8" w:rsidP="00D9561F">
            <w:pPr>
              <w:jc w:val="center"/>
              <w:rPr>
                <w:rFonts w:ascii="Arial" w:hAnsi="Arial" w:cs="Arial"/>
                <w:b/>
                <w:bCs/>
              </w:rPr>
            </w:pPr>
            <w:r w:rsidRPr="00167786">
              <w:rPr>
                <w:rFonts w:ascii="Arial" w:hAnsi="Arial" w:cs="Arial"/>
                <w:b/>
                <w:bCs/>
              </w:rPr>
              <w:t>PREGUNTAS EN FASE DE PRESENTACIÓN DE OFERTAS</w:t>
            </w:r>
          </w:p>
        </w:tc>
      </w:tr>
    </w:tbl>
    <w:p w14:paraId="75FC3854" w14:textId="77777777" w:rsidR="006219C8" w:rsidRPr="00167786" w:rsidRDefault="006219C8" w:rsidP="006219C8">
      <w:pPr>
        <w:spacing w:before="240"/>
        <w:jc w:val="both"/>
        <w:rPr>
          <w:rFonts w:ascii="Arial" w:hAnsi="Arial" w:cs="Arial"/>
        </w:rPr>
      </w:pPr>
    </w:p>
    <w:p w14:paraId="11904FBC" w14:textId="1A040583" w:rsidR="006219C8" w:rsidRPr="00167786" w:rsidRDefault="006219C8" w:rsidP="006219C8">
      <w:pPr>
        <w:spacing w:after="0" w:line="240" w:lineRule="auto"/>
        <w:jc w:val="both"/>
        <w:rPr>
          <w:rFonts w:ascii="Arial" w:hAnsi="Arial" w:cs="Arial"/>
          <w:b/>
          <w:bCs/>
        </w:rPr>
      </w:pPr>
      <w:r w:rsidRPr="00167786">
        <w:rPr>
          <w:rFonts w:ascii="Arial" w:hAnsi="Arial" w:cs="Arial"/>
          <w:b/>
          <w:bCs/>
        </w:rPr>
        <w:t>PREGUNTA NÚM. 1:</w:t>
      </w:r>
    </w:p>
    <w:p w14:paraId="2754362D" w14:textId="77777777" w:rsidR="006219C8" w:rsidRPr="00167786" w:rsidRDefault="006219C8" w:rsidP="006219C8">
      <w:pPr>
        <w:spacing w:after="0" w:line="240" w:lineRule="auto"/>
        <w:jc w:val="both"/>
        <w:rPr>
          <w:rFonts w:ascii="Arial" w:hAnsi="Arial" w:cs="Arial"/>
          <w:b/>
          <w:bCs/>
        </w:rPr>
      </w:pPr>
    </w:p>
    <w:p w14:paraId="375FD912" w14:textId="2B770F3D" w:rsidR="00626018" w:rsidRPr="00167786" w:rsidRDefault="00D5190E" w:rsidP="006219C8">
      <w:pPr>
        <w:spacing w:after="0" w:line="240" w:lineRule="auto"/>
        <w:jc w:val="both"/>
        <w:rPr>
          <w:rFonts w:ascii="Arial" w:hAnsi="Arial" w:cs="Arial"/>
          <w:i/>
          <w:iCs/>
        </w:rPr>
      </w:pPr>
      <w:proofErr w:type="gramStart"/>
      <w:r w:rsidRPr="00167786">
        <w:rPr>
          <w:rFonts w:ascii="Arial" w:hAnsi="Arial" w:cs="Arial"/>
          <w:i/>
          <w:iCs/>
        </w:rPr>
        <w:t>E</w:t>
      </w:r>
      <w:r w:rsidR="00D9561F" w:rsidRPr="00167786">
        <w:rPr>
          <w:rFonts w:ascii="Arial" w:hAnsi="Arial" w:cs="Arial"/>
          <w:i/>
          <w:iCs/>
        </w:rPr>
        <w:t>n relación al</w:t>
      </w:r>
      <w:proofErr w:type="gramEnd"/>
      <w:r w:rsidR="00D9561F" w:rsidRPr="00167786">
        <w:rPr>
          <w:rFonts w:ascii="Arial" w:hAnsi="Arial" w:cs="Arial"/>
          <w:i/>
          <w:iCs/>
        </w:rPr>
        <w:t xml:space="preserve"> requisito de disponibilidad horaria exigido en los pliegos</w:t>
      </w:r>
      <w:r w:rsidRPr="00167786">
        <w:rPr>
          <w:rFonts w:ascii="Arial" w:hAnsi="Arial" w:cs="Arial"/>
          <w:i/>
          <w:iCs/>
        </w:rPr>
        <w:t xml:space="preserve">, ¿cuál es el horario de atención de la oficina de PROMOTUR? </w:t>
      </w:r>
    </w:p>
    <w:p w14:paraId="657FD76C" w14:textId="4195EEAA" w:rsidR="006219C8" w:rsidRPr="00167786" w:rsidRDefault="006219C8" w:rsidP="006219C8">
      <w:pPr>
        <w:pStyle w:val="xmsonormal"/>
        <w:shd w:val="clear" w:color="auto" w:fill="FFFFFF"/>
        <w:jc w:val="both"/>
        <w:rPr>
          <w:rFonts w:ascii="Arial" w:hAnsi="Arial" w:cs="Arial"/>
          <w:i/>
          <w:iCs/>
          <w:color w:val="201F1E"/>
        </w:rPr>
      </w:pPr>
    </w:p>
    <w:p w14:paraId="2FF1B9A3" w14:textId="77777777" w:rsidR="006219C8" w:rsidRPr="00167786" w:rsidRDefault="006219C8" w:rsidP="006219C8">
      <w:pPr>
        <w:pStyle w:val="xmsonormal"/>
        <w:shd w:val="clear" w:color="auto" w:fill="FFFFFF"/>
        <w:jc w:val="both"/>
        <w:rPr>
          <w:rFonts w:ascii="Arial" w:hAnsi="Arial" w:cs="Arial"/>
          <w:i/>
          <w:iCs/>
          <w:color w:val="201F1E"/>
        </w:rPr>
      </w:pPr>
    </w:p>
    <w:p w14:paraId="7C646534" w14:textId="0231A331" w:rsidR="006219C8" w:rsidRPr="00167786" w:rsidRDefault="006219C8" w:rsidP="006219C8">
      <w:pPr>
        <w:pStyle w:val="xmsonormal"/>
        <w:jc w:val="both"/>
        <w:rPr>
          <w:rFonts w:ascii="Arial" w:hAnsi="Arial" w:cs="Arial"/>
          <w:b/>
          <w:bCs/>
          <w:color w:val="201F1E"/>
        </w:rPr>
      </w:pPr>
      <w:r w:rsidRPr="00167786">
        <w:rPr>
          <w:rFonts w:ascii="Arial" w:hAnsi="Arial" w:cs="Arial"/>
          <w:b/>
          <w:bCs/>
          <w:color w:val="201F1E"/>
        </w:rPr>
        <w:t>RESPUESTA:</w:t>
      </w:r>
    </w:p>
    <w:p w14:paraId="259433DA" w14:textId="77777777" w:rsidR="006219C8" w:rsidRPr="00167786" w:rsidRDefault="006219C8" w:rsidP="006219C8">
      <w:pPr>
        <w:pStyle w:val="xmsonormal"/>
        <w:shd w:val="clear" w:color="auto" w:fill="FFFFFF"/>
        <w:jc w:val="both"/>
        <w:rPr>
          <w:rFonts w:ascii="Arial" w:hAnsi="Arial" w:cs="Arial"/>
          <w:i/>
          <w:iCs/>
          <w:color w:val="201F1E"/>
        </w:rPr>
      </w:pPr>
    </w:p>
    <w:p w14:paraId="564FE9BB" w14:textId="7CA5F532" w:rsidR="006219C8" w:rsidRPr="00167786" w:rsidRDefault="004B408E" w:rsidP="006219C8">
      <w:pPr>
        <w:pStyle w:val="xmsonormal"/>
        <w:shd w:val="clear" w:color="auto" w:fill="FFFFFF"/>
        <w:jc w:val="both"/>
        <w:rPr>
          <w:rFonts w:ascii="Arial" w:hAnsi="Arial" w:cs="Arial"/>
          <w:color w:val="201F1E"/>
        </w:rPr>
      </w:pPr>
      <w:r w:rsidRPr="00167786">
        <w:rPr>
          <w:rFonts w:ascii="Arial" w:hAnsi="Arial" w:cs="Arial"/>
          <w:color w:val="201F1E"/>
        </w:rPr>
        <w:t>Los Pliegos establecen como una de las condiciones de ejecución de los servicios una disponibilidad permanente y directa con la entidad contratante, para garantizar el mejor desarrollo de los servicios objeto de los contratos que se deriven de la ejecución</w:t>
      </w:r>
      <w:r w:rsidR="004637EB" w:rsidRPr="00167786">
        <w:rPr>
          <w:rFonts w:ascii="Arial" w:hAnsi="Arial" w:cs="Arial"/>
          <w:color w:val="201F1E"/>
        </w:rPr>
        <w:t xml:space="preserve"> del contrato, siendo la </w:t>
      </w:r>
      <w:r w:rsidRPr="00167786">
        <w:rPr>
          <w:rFonts w:ascii="Arial" w:hAnsi="Arial" w:cs="Arial"/>
          <w:color w:val="201F1E"/>
        </w:rPr>
        <w:t>mínima equivalente al del horario de oficina de las empresas que resulten adjudicatarias de los contratos derivados de la licitación de tales lotes, que no podrá ser inferior a 8 horas diarias de lunes a viernes</w:t>
      </w:r>
      <w:r w:rsidR="00AF260B" w:rsidRPr="00167786">
        <w:rPr>
          <w:rFonts w:ascii="Arial" w:hAnsi="Arial" w:cs="Arial"/>
          <w:color w:val="201F1E"/>
        </w:rPr>
        <w:t>/domingo</w:t>
      </w:r>
      <w:r w:rsidRPr="00167786">
        <w:rPr>
          <w:rFonts w:ascii="Arial" w:hAnsi="Arial" w:cs="Arial"/>
          <w:color w:val="201F1E"/>
        </w:rPr>
        <w:t xml:space="preserve">, este horario de atención se refiere al de la contratista, no al de </w:t>
      </w:r>
      <w:proofErr w:type="spellStart"/>
      <w:r w:rsidRPr="00167786">
        <w:rPr>
          <w:rFonts w:ascii="Arial" w:hAnsi="Arial" w:cs="Arial"/>
          <w:color w:val="201F1E"/>
        </w:rPr>
        <w:t>Promotur</w:t>
      </w:r>
      <w:proofErr w:type="spellEnd"/>
      <w:r w:rsidRPr="00167786">
        <w:rPr>
          <w:rFonts w:ascii="Arial" w:hAnsi="Arial" w:cs="Arial"/>
          <w:color w:val="201F1E"/>
        </w:rPr>
        <w:t xml:space="preserve"> (que es de lunes a viernes de 8 a 15 horas, horario insular). No obstante</w:t>
      </w:r>
      <w:r w:rsidR="00C95E1C">
        <w:rPr>
          <w:rFonts w:ascii="Arial" w:hAnsi="Arial" w:cs="Arial"/>
          <w:color w:val="201F1E"/>
        </w:rPr>
        <w:t>,</w:t>
      </w:r>
      <w:r w:rsidRPr="00167786">
        <w:rPr>
          <w:rFonts w:ascii="Arial" w:hAnsi="Arial" w:cs="Arial"/>
          <w:color w:val="201F1E"/>
        </w:rPr>
        <w:t xml:space="preserve"> y en todo caso, </w:t>
      </w:r>
      <w:r w:rsidR="00C95E1C">
        <w:rPr>
          <w:rFonts w:ascii="Arial" w:hAnsi="Arial" w:cs="Arial"/>
          <w:color w:val="201F1E"/>
        </w:rPr>
        <w:t>l</w:t>
      </w:r>
      <w:r w:rsidRPr="00167786">
        <w:rPr>
          <w:rFonts w:ascii="Arial" w:hAnsi="Arial" w:cs="Arial"/>
          <w:color w:val="201F1E"/>
        </w:rPr>
        <w:t>a disponibilidad del contratista debe ser</w:t>
      </w:r>
      <w:r w:rsidR="00C95E1C">
        <w:rPr>
          <w:rFonts w:ascii="Arial" w:hAnsi="Arial" w:cs="Arial"/>
          <w:color w:val="201F1E"/>
        </w:rPr>
        <w:t xml:space="preserve">, </w:t>
      </w:r>
      <w:r w:rsidR="00AF260B" w:rsidRPr="00167786">
        <w:rPr>
          <w:rFonts w:ascii="Arial" w:hAnsi="Arial" w:cs="Arial"/>
          <w:color w:val="201F1E"/>
        </w:rPr>
        <w:t>al menos</w:t>
      </w:r>
      <w:r w:rsidR="00C95E1C">
        <w:rPr>
          <w:rFonts w:ascii="Arial" w:hAnsi="Arial" w:cs="Arial"/>
          <w:color w:val="201F1E"/>
        </w:rPr>
        <w:t>,</w:t>
      </w:r>
      <w:r w:rsidR="00AF260B" w:rsidRPr="00167786">
        <w:rPr>
          <w:rFonts w:ascii="Arial" w:hAnsi="Arial" w:cs="Arial"/>
          <w:color w:val="201F1E"/>
        </w:rPr>
        <w:t xml:space="preserve"> de la indicada</w:t>
      </w:r>
      <w:r w:rsidR="00C95E1C">
        <w:rPr>
          <w:rFonts w:ascii="Arial" w:hAnsi="Arial" w:cs="Arial"/>
          <w:color w:val="201F1E"/>
        </w:rPr>
        <w:t xml:space="preserve"> para la entidad contratante</w:t>
      </w:r>
      <w:r w:rsidR="00D5190E" w:rsidRPr="00167786">
        <w:rPr>
          <w:rFonts w:ascii="Arial" w:hAnsi="Arial" w:cs="Arial"/>
          <w:color w:val="201F1E"/>
        </w:rPr>
        <w:t>.</w:t>
      </w:r>
    </w:p>
    <w:p w14:paraId="14B341BA" w14:textId="3BED2D93" w:rsidR="006219C8" w:rsidRPr="00167786" w:rsidRDefault="006219C8" w:rsidP="006219C8">
      <w:pPr>
        <w:pStyle w:val="xmsonormal"/>
        <w:shd w:val="clear" w:color="auto" w:fill="FFFFFF"/>
        <w:jc w:val="both"/>
        <w:rPr>
          <w:rFonts w:ascii="Arial" w:hAnsi="Arial" w:cs="Arial"/>
          <w:color w:val="201F1E"/>
        </w:rPr>
      </w:pPr>
    </w:p>
    <w:p w14:paraId="14FA324D" w14:textId="5D687BE7" w:rsidR="006219C8" w:rsidRPr="00167786" w:rsidRDefault="006219C8" w:rsidP="006219C8">
      <w:pPr>
        <w:pStyle w:val="xmsonormal"/>
        <w:shd w:val="clear" w:color="auto" w:fill="FFFFFF"/>
        <w:jc w:val="both"/>
        <w:rPr>
          <w:rFonts w:ascii="Arial" w:hAnsi="Arial" w:cs="Arial"/>
          <w:color w:val="201F1E"/>
        </w:rPr>
      </w:pPr>
    </w:p>
    <w:p w14:paraId="0C663526" w14:textId="48119951" w:rsidR="006219C8" w:rsidRPr="00167786" w:rsidRDefault="006219C8" w:rsidP="006219C8">
      <w:pPr>
        <w:pStyle w:val="xmsonormal"/>
        <w:shd w:val="clear" w:color="auto" w:fill="FFFFFF"/>
        <w:jc w:val="both"/>
        <w:rPr>
          <w:rFonts w:ascii="Arial" w:hAnsi="Arial" w:cs="Arial"/>
          <w:color w:val="201F1E"/>
        </w:rPr>
      </w:pPr>
    </w:p>
    <w:p w14:paraId="6633A033" w14:textId="6595B452" w:rsidR="006219C8" w:rsidRPr="00167786" w:rsidRDefault="006219C8" w:rsidP="006219C8">
      <w:pPr>
        <w:pStyle w:val="xmsonormal"/>
        <w:shd w:val="clear" w:color="auto" w:fill="FFFFFF"/>
        <w:jc w:val="both"/>
        <w:rPr>
          <w:rFonts w:ascii="Arial" w:hAnsi="Arial" w:cs="Arial"/>
          <w:b/>
          <w:bCs/>
          <w:color w:val="201F1E"/>
        </w:rPr>
      </w:pPr>
    </w:p>
    <w:p w14:paraId="3B3387EE" w14:textId="5F320453" w:rsidR="006219C8" w:rsidRPr="00167786" w:rsidRDefault="006219C8" w:rsidP="006219C8">
      <w:pPr>
        <w:pStyle w:val="xmsonormal"/>
        <w:shd w:val="clear" w:color="auto" w:fill="FFFFFF"/>
        <w:jc w:val="both"/>
        <w:rPr>
          <w:rFonts w:ascii="Arial" w:hAnsi="Arial" w:cs="Arial"/>
          <w:b/>
          <w:bCs/>
          <w:color w:val="201F1E"/>
        </w:rPr>
      </w:pPr>
      <w:r w:rsidRPr="00167786">
        <w:rPr>
          <w:rFonts w:ascii="Arial" w:hAnsi="Arial" w:cs="Arial"/>
          <w:b/>
          <w:bCs/>
          <w:color w:val="201F1E"/>
        </w:rPr>
        <w:t>PREGUNTA NÚM. 2:</w:t>
      </w:r>
    </w:p>
    <w:p w14:paraId="6B030BA6" w14:textId="77777777" w:rsidR="006219C8" w:rsidRPr="00167786" w:rsidRDefault="006219C8" w:rsidP="006219C8">
      <w:pPr>
        <w:spacing w:after="0" w:line="240" w:lineRule="auto"/>
        <w:jc w:val="both"/>
        <w:rPr>
          <w:rFonts w:ascii="Arial" w:hAnsi="Arial" w:cs="Arial"/>
          <w:i/>
          <w:iCs/>
        </w:rPr>
      </w:pPr>
    </w:p>
    <w:p w14:paraId="1DF8B3A2" w14:textId="5740C644" w:rsidR="00D9561F" w:rsidRPr="00167786" w:rsidRDefault="00D9561F" w:rsidP="006219C8">
      <w:pPr>
        <w:spacing w:after="0" w:line="240" w:lineRule="auto"/>
        <w:jc w:val="both"/>
        <w:rPr>
          <w:rFonts w:ascii="Arial" w:hAnsi="Arial" w:cs="Arial"/>
          <w:i/>
          <w:iCs/>
        </w:rPr>
      </w:pPr>
      <w:r w:rsidRPr="00167786">
        <w:rPr>
          <w:rFonts w:ascii="Arial" w:hAnsi="Arial" w:cs="Arial"/>
          <w:i/>
          <w:iCs/>
        </w:rPr>
        <w:t>Respecto a las exigencias de los pliegos relativas a la no contaminación de sobres y a los medios mínimos que se deben adscribir a la ejecución del contrato, entendemos que tenemos que declarar que subscribiremos los medios necesarios</w:t>
      </w:r>
      <w:r w:rsidR="00626018" w:rsidRPr="00167786">
        <w:rPr>
          <w:rFonts w:ascii="Arial" w:hAnsi="Arial" w:cs="Arial"/>
          <w:i/>
          <w:iCs/>
        </w:rPr>
        <w:t>,</w:t>
      </w:r>
      <w:r w:rsidRPr="00167786">
        <w:rPr>
          <w:rFonts w:ascii="Arial" w:hAnsi="Arial" w:cs="Arial"/>
          <w:i/>
          <w:iCs/>
        </w:rPr>
        <w:t xml:space="preserve"> pero no describirlos para no proporcionar información de otros sobres, ¿es correcto?</w:t>
      </w:r>
    </w:p>
    <w:p w14:paraId="2FD2EBB7" w14:textId="6EE2BD30" w:rsidR="006219C8" w:rsidRPr="00167786" w:rsidRDefault="006219C8" w:rsidP="006219C8">
      <w:pPr>
        <w:spacing w:after="0" w:line="240" w:lineRule="auto"/>
        <w:jc w:val="both"/>
        <w:rPr>
          <w:rFonts w:ascii="Arial" w:hAnsi="Arial" w:cs="Arial"/>
          <w:b/>
          <w:bCs/>
        </w:rPr>
      </w:pPr>
    </w:p>
    <w:p w14:paraId="0B80CB35" w14:textId="77777777" w:rsidR="006219C8" w:rsidRPr="00167786" w:rsidRDefault="006219C8" w:rsidP="006219C8">
      <w:pPr>
        <w:spacing w:after="0" w:line="240" w:lineRule="auto"/>
        <w:jc w:val="both"/>
        <w:rPr>
          <w:rFonts w:ascii="Arial" w:hAnsi="Arial" w:cs="Arial"/>
          <w:b/>
          <w:bCs/>
        </w:rPr>
      </w:pPr>
    </w:p>
    <w:p w14:paraId="53C007C2" w14:textId="64AF300A" w:rsidR="006219C8" w:rsidRPr="00167786" w:rsidRDefault="006219C8" w:rsidP="006219C8">
      <w:pPr>
        <w:spacing w:after="0" w:line="240" w:lineRule="auto"/>
        <w:jc w:val="both"/>
        <w:rPr>
          <w:rFonts w:ascii="Arial" w:hAnsi="Arial" w:cs="Arial"/>
          <w:b/>
          <w:bCs/>
        </w:rPr>
      </w:pPr>
      <w:r w:rsidRPr="00167786">
        <w:rPr>
          <w:rFonts w:ascii="Arial" w:hAnsi="Arial" w:cs="Arial"/>
          <w:b/>
          <w:bCs/>
        </w:rPr>
        <w:t>RESPUESTA:</w:t>
      </w:r>
    </w:p>
    <w:p w14:paraId="1720F609" w14:textId="77777777" w:rsidR="006219C8" w:rsidRPr="00167786" w:rsidRDefault="006219C8" w:rsidP="006219C8">
      <w:pPr>
        <w:spacing w:after="0" w:line="240" w:lineRule="auto"/>
        <w:jc w:val="both"/>
        <w:rPr>
          <w:rFonts w:ascii="Arial" w:hAnsi="Arial" w:cs="Arial"/>
        </w:rPr>
      </w:pPr>
    </w:p>
    <w:p w14:paraId="3E5EC904" w14:textId="670071F7" w:rsidR="00626018" w:rsidRPr="00167786" w:rsidRDefault="00626018" w:rsidP="006219C8">
      <w:pPr>
        <w:spacing w:after="0" w:line="240" w:lineRule="auto"/>
        <w:jc w:val="both"/>
        <w:rPr>
          <w:rFonts w:ascii="Arial" w:hAnsi="Arial" w:cs="Arial"/>
        </w:rPr>
      </w:pPr>
      <w:r w:rsidRPr="00167786">
        <w:rPr>
          <w:rFonts w:ascii="Arial" w:hAnsi="Arial" w:cs="Arial"/>
        </w:rPr>
        <w:t>Es correcto.</w:t>
      </w:r>
    </w:p>
    <w:p w14:paraId="13213C54" w14:textId="77777777" w:rsidR="006219C8" w:rsidRPr="00167786" w:rsidRDefault="006219C8" w:rsidP="006219C8">
      <w:pPr>
        <w:jc w:val="both"/>
        <w:rPr>
          <w:rFonts w:ascii="Arial" w:hAnsi="Arial" w:cs="Arial"/>
        </w:rPr>
      </w:pPr>
    </w:p>
    <w:p w14:paraId="057D0FE2" w14:textId="49A99D87" w:rsidR="006219C8" w:rsidRPr="00167786" w:rsidRDefault="006219C8" w:rsidP="006219C8">
      <w:pPr>
        <w:jc w:val="both"/>
        <w:rPr>
          <w:rFonts w:ascii="Arial" w:hAnsi="Arial" w:cs="Arial"/>
        </w:rPr>
      </w:pPr>
    </w:p>
    <w:p w14:paraId="10DDCCC8" w14:textId="476876D3" w:rsidR="006219C8" w:rsidRPr="00167786" w:rsidRDefault="006219C8" w:rsidP="006219C8">
      <w:pPr>
        <w:jc w:val="both"/>
        <w:rPr>
          <w:rFonts w:ascii="Arial" w:hAnsi="Arial" w:cs="Arial"/>
          <w:b/>
          <w:bCs/>
        </w:rPr>
      </w:pPr>
      <w:r w:rsidRPr="00167786">
        <w:rPr>
          <w:rFonts w:ascii="Arial" w:hAnsi="Arial" w:cs="Arial"/>
          <w:b/>
          <w:bCs/>
        </w:rPr>
        <w:t>PREGUNTA NÚM. 3</w:t>
      </w:r>
    </w:p>
    <w:p w14:paraId="3211D018" w14:textId="668B80EC" w:rsidR="00D9561F" w:rsidRPr="00167786" w:rsidRDefault="00D9561F" w:rsidP="006219C8">
      <w:pPr>
        <w:jc w:val="both"/>
        <w:rPr>
          <w:rFonts w:ascii="Arial" w:hAnsi="Arial" w:cs="Arial"/>
          <w:i/>
          <w:iCs/>
        </w:rPr>
      </w:pPr>
      <w:r w:rsidRPr="00167786">
        <w:rPr>
          <w:rFonts w:ascii="Arial" w:hAnsi="Arial" w:cs="Arial"/>
          <w:i/>
          <w:iCs/>
        </w:rPr>
        <w:t>¿Las mejoras previstas en los pliegos se evaluarán con un sí/no, dando el máximo de puntuación del criterio a los licitadores que contesten que sí o por un número mínimo de x respecto a lo que se ofrece la mejora?</w:t>
      </w:r>
    </w:p>
    <w:p w14:paraId="4B9F0F73" w14:textId="77777777" w:rsidR="006219C8" w:rsidRDefault="006219C8" w:rsidP="00E463A0">
      <w:pPr>
        <w:jc w:val="both"/>
        <w:rPr>
          <w:rFonts w:ascii="Arial" w:hAnsi="Arial" w:cs="Arial"/>
        </w:rPr>
      </w:pPr>
    </w:p>
    <w:p w14:paraId="65141B3A" w14:textId="77777777" w:rsidR="00ED6C28" w:rsidRPr="00167786" w:rsidRDefault="00ED6C28" w:rsidP="00E463A0">
      <w:pPr>
        <w:jc w:val="both"/>
        <w:rPr>
          <w:rFonts w:ascii="Arial" w:hAnsi="Arial" w:cs="Arial"/>
        </w:rPr>
      </w:pPr>
    </w:p>
    <w:p w14:paraId="6AA1AD04" w14:textId="061AB97D" w:rsidR="006219C8" w:rsidRPr="00167786" w:rsidRDefault="006219C8" w:rsidP="00E463A0">
      <w:pPr>
        <w:jc w:val="both"/>
        <w:rPr>
          <w:rFonts w:ascii="Arial" w:hAnsi="Arial" w:cs="Arial"/>
          <w:b/>
          <w:bCs/>
        </w:rPr>
      </w:pPr>
      <w:r w:rsidRPr="00167786">
        <w:rPr>
          <w:rFonts w:ascii="Arial" w:hAnsi="Arial" w:cs="Arial"/>
          <w:b/>
          <w:bCs/>
        </w:rPr>
        <w:lastRenderedPageBreak/>
        <w:t>RESPUESTA:</w:t>
      </w:r>
    </w:p>
    <w:p w14:paraId="682F11B8" w14:textId="553335BC" w:rsidR="002D3491" w:rsidRPr="00167786" w:rsidRDefault="00E463A0" w:rsidP="00E463A0">
      <w:pPr>
        <w:jc w:val="both"/>
        <w:rPr>
          <w:rFonts w:ascii="Arial" w:hAnsi="Arial" w:cs="Arial"/>
        </w:rPr>
      </w:pPr>
      <w:r w:rsidRPr="00167786">
        <w:rPr>
          <w:rFonts w:ascii="Arial" w:hAnsi="Arial" w:cs="Arial"/>
        </w:rPr>
        <w:t>Efectivamente</w:t>
      </w:r>
      <w:r w:rsidR="002D3491" w:rsidRPr="00167786">
        <w:rPr>
          <w:rFonts w:ascii="Arial" w:hAnsi="Arial" w:cs="Arial"/>
        </w:rPr>
        <w:t xml:space="preserve">, la mejora se puede ofertar o no; en el supuesto de que un licitador la oferte, obtendrá la puntuación indicada en los pliegos. Al respecto, procede recordar que dicha oferta será vinculante en todos sus puntos, quedando obligado a su cumplimiento en caso de </w:t>
      </w:r>
      <w:r w:rsidR="00C95E1C">
        <w:rPr>
          <w:rFonts w:ascii="Arial" w:hAnsi="Arial" w:cs="Arial"/>
        </w:rPr>
        <w:t>resultar</w:t>
      </w:r>
      <w:r w:rsidR="002D3491" w:rsidRPr="00167786">
        <w:rPr>
          <w:rFonts w:ascii="Arial" w:hAnsi="Arial" w:cs="Arial"/>
        </w:rPr>
        <w:t xml:space="preserve"> adjudicatario del contrato.</w:t>
      </w:r>
    </w:p>
    <w:p w14:paraId="2A5ED3F4" w14:textId="12F60100" w:rsidR="006219C8" w:rsidRPr="00167786" w:rsidRDefault="006219C8" w:rsidP="00E463A0">
      <w:pPr>
        <w:jc w:val="both"/>
        <w:rPr>
          <w:rFonts w:ascii="Arial" w:hAnsi="Arial" w:cs="Arial"/>
        </w:rPr>
      </w:pPr>
    </w:p>
    <w:p w14:paraId="029109D0" w14:textId="11321581" w:rsidR="006219C8" w:rsidRPr="00167786" w:rsidRDefault="006219C8" w:rsidP="00E463A0">
      <w:pPr>
        <w:jc w:val="both"/>
        <w:rPr>
          <w:rFonts w:ascii="Arial" w:hAnsi="Arial" w:cs="Arial"/>
        </w:rPr>
      </w:pPr>
    </w:p>
    <w:p w14:paraId="496FBE65" w14:textId="0EB11854" w:rsidR="006219C8" w:rsidRPr="00167786" w:rsidRDefault="006219C8" w:rsidP="00E463A0">
      <w:pPr>
        <w:jc w:val="both"/>
        <w:rPr>
          <w:rFonts w:ascii="Arial" w:hAnsi="Arial" w:cs="Arial"/>
          <w:b/>
          <w:bCs/>
        </w:rPr>
      </w:pPr>
      <w:r w:rsidRPr="00167786">
        <w:rPr>
          <w:rFonts w:ascii="Arial" w:hAnsi="Arial" w:cs="Arial"/>
          <w:b/>
          <w:bCs/>
        </w:rPr>
        <w:t>PREGUNTA NÚM. 4:</w:t>
      </w:r>
    </w:p>
    <w:p w14:paraId="5748C243" w14:textId="3CED5547" w:rsidR="00D9561F" w:rsidRPr="00167786" w:rsidRDefault="00D9561F" w:rsidP="006219C8">
      <w:pPr>
        <w:jc w:val="both"/>
        <w:rPr>
          <w:rFonts w:ascii="Arial" w:hAnsi="Arial" w:cs="Arial"/>
          <w:i/>
          <w:iCs/>
        </w:rPr>
      </w:pPr>
      <w:r w:rsidRPr="00167786">
        <w:rPr>
          <w:rFonts w:ascii="Arial" w:hAnsi="Arial" w:cs="Arial"/>
          <w:i/>
          <w:iCs/>
        </w:rPr>
        <w:t>¿Es obligatorio tener certificaciones ISO o sólo no puntuaría en caso de no disponerse de ellas?</w:t>
      </w:r>
    </w:p>
    <w:p w14:paraId="6015C6B8" w14:textId="77777777" w:rsidR="006219C8" w:rsidRPr="00167786" w:rsidRDefault="006219C8" w:rsidP="00D9561F">
      <w:pPr>
        <w:jc w:val="both"/>
        <w:rPr>
          <w:rFonts w:ascii="Arial" w:hAnsi="Arial" w:cs="Arial"/>
          <w:i/>
          <w:iCs/>
        </w:rPr>
      </w:pPr>
    </w:p>
    <w:p w14:paraId="376C9A04" w14:textId="06F8971B" w:rsidR="006219C8" w:rsidRPr="00167786" w:rsidRDefault="006219C8" w:rsidP="00D9561F">
      <w:pPr>
        <w:jc w:val="both"/>
        <w:rPr>
          <w:rFonts w:ascii="Arial" w:hAnsi="Arial" w:cs="Arial"/>
          <w:b/>
          <w:bCs/>
        </w:rPr>
      </w:pPr>
      <w:r w:rsidRPr="00167786">
        <w:rPr>
          <w:rFonts w:ascii="Arial" w:hAnsi="Arial" w:cs="Arial"/>
          <w:b/>
          <w:bCs/>
        </w:rPr>
        <w:t>RESPUESTA:</w:t>
      </w:r>
    </w:p>
    <w:p w14:paraId="63F6CE53" w14:textId="175682BC" w:rsidR="00D9561F" w:rsidRPr="00997287" w:rsidRDefault="00D9561F" w:rsidP="00D9561F">
      <w:pPr>
        <w:jc w:val="both"/>
        <w:rPr>
          <w:rFonts w:ascii="Arial" w:hAnsi="Arial" w:cs="Arial"/>
          <w:u w:val="single"/>
        </w:rPr>
      </w:pPr>
      <w:r w:rsidRPr="00167786">
        <w:rPr>
          <w:rFonts w:ascii="Arial" w:hAnsi="Arial" w:cs="Arial"/>
        </w:rPr>
        <w:t xml:space="preserve">Tal y como se desprende del tenor literal de los artículos 93 y 94 de la Ley 9/2017, de 8 de noviembre, de Contratos del Sector Público, así como </w:t>
      </w:r>
      <w:r w:rsidR="00C95E1C">
        <w:rPr>
          <w:rFonts w:ascii="Arial" w:hAnsi="Arial" w:cs="Arial"/>
        </w:rPr>
        <w:t>d</w:t>
      </w:r>
      <w:r w:rsidRPr="00167786">
        <w:rPr>
          <w:rFonts w:ascii="Arial" w:hAnsi="Arial" w:cs="Arial"/>
        </w:rPr>
        <w:t xml:space="preserve">el artículo 62 de la Directiva 2014/24/UE del Parlamento Europeo y del Consejo, de 26 de febrero de 2014, sobre contratación pública y por la que se deroga la Directiva 2004/18/CE, </w:t>
      </w:r>
      <w:r w:rsidR="00C95E1C">
        <w:rPr>
          <w:rFonts w:ascii="Arial" w:hAnsi="Arial" w:cs="Arial"/>
        </w:rPr>
        <w:t xml:space="preserve">en relación a </w:t>
      </w:r>
      <w:r w:rsidRPr="00167786">
        <w:rPr>
          <w:rFonts w:ascii="Arial" w:hAnsi="Arial" w:cs="Arial"/>
        </w:rPr>
        <w:t>la exigencia de presentación de certificados emitidos por organismos independientes que acrediten que el operador económico cumple con determinadas normas de aseguramiento de calidad o de gestión medioambiental, se reconocerán los certificados equivalentes expedidos por organismos establecidos en otros Estados miembros y aceptarán otras pruebas de medidas equivalentes de aseguramiento de la calidad o de gestión medioambiental cuando el operador económico afectado no haya tenido la posibilidad de obtener tales certificados en el plazo fijado por causas no atribuibles al operador económico, siempre que este demuestre que las medidas de aseguramiento de la calidad o de gestión medioambiental que propone se ajustan a las normas de aseguramiento de la calidad o de gestión medioambiental exigidas</w:t>
      </w:r>
      <w:r w:rsidR="00C95E1C">
        <w:rPr>
          <w:rFonts w:ascii="Arial" w:hAnsi="Arial" w:cs="Arial"/>
        </w:rPr>
        <w:t>.</w:t>
      </w:r>
      <w:r w:rsidRPr="00167786">
        <w:rPr>
          <w:rFonts w:ascii="Arial" w:hAnsi="Arial" w:cs="Arial"/>
        </w:rPr>
        <w:t xml:space="preserve"> </w:t>
      </w:r>
      <w:r w:rsidR="00C95E1C">
        <w:rPr>
          <w:rFonts w:ascii="Arial" w:hAnsi="Arial" w:cs="Arial"/>
        </w:rPr>
        <w:t>P</w:t>
      </w:r>
      <w:r w:rsidRPr="00167786">
        <w:rPr>
          <w:rFonts w:ascii="Arial" w:hAnsi="Arial" w:cs="Arial"/>
        </w:rPr>
        <w:t>or lo que</w:t>
      </w:r>
      <w:r w:rsidR="00C95E1C">
        <w:rPr>
          <w:rFonts w:ascii="Arial" w:hAnsi="Arial" w:cs="Arial"/>
        </w:rPr>
        <w:t>,</w:t>
      </w:r>
      <w:r w:rsidRPr="00167786">
        <w:rPr>
          <w:rFonts w:ascii="Arial" w:hAnsi="Arial" w:cs="Arial"/>
        </w:rPr>
        <w:t xml:space="preserve"> es obligatorio disponer de la correspondiente certificación, salvo que se acredite que la imposibilidad de obtener el certificado concernido antes de que finalice el plazo para presentar proposiciones en el marco de la licitación de referencia se debe a causas no imputables a la entidad que pretende licitar, así como que dicha entidad implementa medidas que se ajustan a las normas de aseguramiento de calidad o de gestión medioambiental exigidas por los pliegos, esto es, las Normas ISO 9001 y/o ISO 14001, o equivalentes. </w:t>
      </w:r>
      <w:r w:rsidRPr="00997287">
        <w:rPr>
          <w:rFonts w:ascii="Arial" w:hAnsi="Arial" w:cs="Arial"/>
          <w:u w:val="single"/>
        </w:rPr>
        <w:t>Todo ello, en el caso de que efectivamente el pliego concreto así lo indique.</w:t>
      </w:r>
    </w:p>
    <w:p w14:paraId="68A856F1" w14:textId="64F0280F" w:rsidR="00EC7646" w:rsidRPr="00167786" w:rsidRDefault="00EC7646" w:rsidP="00D9561F">
      <w:pPr>
        <w:jc w:val="both"/>
        <w:rPr>
          <w:rFonts w:ascii="Arial" w:hAnsi="Arial" w:cs="Arial"/>
        </w:rPr>
      </w:pPr>
      <w:r w:rsidRPr="00167786">
        <w:rPr>
          <w:rFonts w:ascii="Arial" w:hAnsi="Arial" w:cs="Arial"/>
        </w:rPr>
        <w:t xml:space="preserve">Por otro lado, procede recordar en este contexto que la certificación de cumplimiento de las Normas ISO 9001 y/o ISO 14001, o equivalentes, al igual que el resto de documentación acreditativa </w:t>
      </w:r>
      <w:r w:rsidR="00D1097C" w:rsidRPr="00167786">
        <w:rPr>
          <w:rFonts w:ascii="Arial" w:hAnsi="Arial" w:cs="Arial"/>
        </w:rPr>
        <w:t>que corresponda,</w:t>
      </w:r>
      <w:r w:rsidRPr="00167786">
        <w:rPr>
          <w:rFonts w:ascii="Arial" w:hAnsi="Arial" w:cs="Arial"/>
        </w:rPr>
        <w:t xml:space="preserve"> podrá requerirse en cualquier momento</w:t>
      </w:r>
      <w:r w:rsidR="00D1097C" w:rsidRPr="00167786">
        <w:rPr>
          <w:rFonts w:ascii="Arial" w:hAnsi="Arial" w:cs="Arial"/>
        </w:rPr>
        <w:t xml:space="preserve"> anterior a la adjudicación del contrato licitado, así como que será requerida en todo caso a la entidad licitadora que resulte propuesta por la mesa de contratación como adjudicataria del contrato</w:t>
      </w:r>
      <w:r w:rsidRPr="00167786">
        <w:rPr>
          <w:rFonts w:ascii="Arial" w:hAnsi="Arial" w:cs="Arial"/>
        </w:rPr>
        <w:t>.</w:t>
      </w:r>
    </w:p>
    <w:p w14:paraId="04E52C07" w14:textId="77777777" w:rsidR="006219C8" w:rsidRPr="00167786" w:rsidRDefault="006219C8" w:rsidP="006219C8">
      <w:pPr>
        <w:jc w:val="both"/>
        <w:rPr>
          <w:rFonts w:ascii="Arial" w:hAnsi="Arial" w:cs="Arial"/>
          <w:b/>
          <w:bCs/>
        </w:rPr>
      </w:pPr>
    </w:p>
    <w:p w14:paraId="57599917" w14:textId="6917A181" w:rsidR="006219C8" w:rsidRPr="00167786" w:rsidRDefault="006219C8" w:rsidP="006219C8">
      <w:pPr>
        <w:jc w:val="both"/>
        <w:rPr>
          <w:rFonts w:ascii="Arial" w:hAnsi="Arial" w:cs="Arial"/>
          <w:b/>
          <w:bCs/>
        </w:rPr>
      </w:pPr>
      <w:r w:rsidRPr="00167786">
        <w:rPr>
          <w:rFonts w:ascii="Arial" w:hAnsi="Arial" w:cs="Arial"/>
          <w:b/>
          <w:bCs/>
        </w:rPr>
        <w:lastRenderedPageBreak/>
        <w:t>PREGUNTA NÚM. 5</w:t>
      </w:r>
    </w:p>
    <w:p w14:paraId="14078D4B" w14:textId="66D6BE90" w:rsidR="00B90CA3" w:rsidRPr="00167786" w:rsidRDefault="00B90CA3" w:rsidP="006219C8">
      <w:pPr>
        <w:jc w:val="both"/>
        <w:rPr>
          <w:rFonts w:ascii="Arial" w:hAnsi="Arial" w:cs="Arial"/>
          <w:i/>
          <w:iCs/>
        </w:rPr>
      </w:pPr>
      <w:r w:rsidRPr="00167786">
        <w:rPr>
          <w:rFonts w:ascii="Arial" w:hAnsi="Arial" w:cs="Arial"/>
          <w:i/>
          <w:iCs/>
        </w:rPr>
        <w:t>En referencia al apartado de "solvencia técnica o profesional" el requisito de certificado de cumplimiento de las Normas ISO 9001 y/o ISO 14001, ¿podría ser suficiente un certificado emitido por la empresa independiente que está llevando a cabo la auditoría interna para la obtención de dichos certificados, si la empresa se encuentra inmersa en dicho proceso?</w:t>
      </w:r>
    </w:p>
    <w:p w14:paraId="56161083" w14:textId="77777777" w:rsidR="006219C8" w:rsidRPr="00167786" w:rsidRDefault="006219C8" w:rsidP="0044108F">
      <w:pPr>
        <w:pStyle w:val="Textosinformato"/>
        <w:spacing w:after="240"/>
        <w:jc w:val="both"/>
        <w:rPr>
          <w:rFonts w:ascii="Arial" w:hAnsi="Arial" w:cs="Arial"/>
          <w:i/>
          <w:iCs/>
          <w:szCs w:val="22"/>
        </w:rPr>
      </w:pPr>
    </w:p>
    <w:p w14:paraId="1A5FA059" w14:textId="7F33D142" w:rsidR="006219C8" w:rsidRPr="00167786" w:rsidRDefault="006219C8" w:rsidP="0044108F">
      <w:pPr>
        <w:pStyle w:val="Textosinformato"/>
        <w:spacing w:after="240"/>
        <w:jc w:val="both"/>
        <w:rPr>
          <w:rFonts w:ascii="Arial" w:hAnsi="Arial" w:cs="Arial"/>
          <w:b/>
          <w:bCs/>
          <w:szCs w:val="22"/>
        </w:rPr>
      </w:pPr>
      <w:r w:rsidRPr="00167786">
        <w:rPr>
          <w:rFonts w:ascii="Arial" w:hAnsi="Arial" w:cs="Arial"/>
          <w:b/>
          <w:bCs/>
          <w:szCs w:val="22"/>
        </w:rPr>
        <w:t>RESPUESTA:</w:t>
      </w:r>
    </w:p>
    <w:p w14:paraId="26A1C56D" w14:textId="09AA532D" w:rsidR="0044108F" w:rsidRPr="00167786" w:rsidRDefault="003F2468" w:rsidP="0044108F">
      <w:pPr>
        <w:pStyle w:val="Textosinformato"/>
        <w:spacing w:after="240"/>
        <w:jc w:val="both"/>
        <w:rPr>
          <w:rFonts w:ascii="Arial" w:hAnsi="Arial" w:cs="Arial"/>
          <w:i/>
          <w:iCs/>
          <w:szCs w:val="22"/>
        </w:rPr>
      </w:pPr>
      <w:r w:rsidRPr="00167786">
        <w:rPr>
          <w:rFonts w:ascii="Arial" w:hAnsi="Arial" w:cs="Arial"/>
          <w:szCs w:val="22"/>
        </w:rPr>
        <w:t>En referencia al apartado de "solvencia técnica o profesional", teniendo en cuenta</w:t>
      </w:r>
      <w:r w:rsidR="00997287">
        <w:rPr>
          <w:rFonts w:ascii="Arial" w:hAnsi="Arial" w:cs="Arial"/>
          <w:szCs w:val="22"/>
        </w:rPr>
        <w:t xml:space="preserve"> lo dispuesto en</w:t>
      </w:r>
      <w:r w:rsidRPr="00167786">
        <w:rPr>
          <w:rFonts w:ascii="Arial" w:hAnsi="Arial" w:cs="Arial"/>
          <w:szCs w:val="22"/>
        </w:rPr>
        <w:t xml:space="preserve"> el artículo 62 de la Directiva 2014/24/UE del Parlamento Europeo y del Consejo, de 26 de febrero de 2014, sobre contratación pública y por la que se deroga la Directiva 2004/18/CE, </w:t>
      </w:r>
      <w:r w:rsidR="00997287">
        <w:rPr>
          <w:rFonts w:ascii="Arial" w:hAnsi="Arial" w:cs="Arial"/>
          <w:szCs w:val="22"/>
        </w:rPr>
        <w:t xml:space="preserve">en relación a </w:t>
      </w:r>
      <w:r w:rsidRPr="00167786">
        <w:rPr>
          <w:rFonts w:ascii="Arial" w:hAnsi="Arial" w:cs="Arial"/>
          <w:szCs w:val="22"/>
        </w:rPr>
        <w:t>la exigencia de presentación de certificados emitidos por organismos independientes que acrediten que el operador económico cumple con determinadas normas de aseguramiento de calidad o de gestión medioambiental, se reconocerán los certificados</w:t>
      </w:r>
      <w:r w:rsidR="00997287">
        <w:rPr>
          <w:rFonts w:ascii="Arial" w:hAnsi="Arial" w:cs="Arial"/>
          <w:szCs w:val="22"/>
        </w:rPr>
        <w:t xml:space="preserve"> emitidos por entidades acreditadas; aquellos</w:t>
      </w:r>
      <w:r w:rsidRPr="00167786">
        <w:rPr>
          <w:rFonts w:ascii="Arial" w:hAnsi="Arial" w:cs="Arial"/>
          <w:szCs w:val="22"/>
        </w:rPr>
        <w:t xml:space="preserve"> equivalentes expedidos por organismos establecidos en otros Estados miembros y </w:t>
      </w:r>
      <w:r w:rsidR="00997287">
        <w:rPr>
          <w:rFonts w:ascii="Arial" w:hAnsi="Arial" w:cs="Arial"/>
          <w:szCs w:val="22"/>
        </w:rPr>
        <w:t xml:space="preserve">se </w:t>
      </w:r>
      <w:r w:rsidRPr="00167786">
        <w:rPr>
          <w:rFonts w:ascii="Arial" w:hAnsi="Arial" w:cs="Arial"/>
          <w:szCs w:val="22"/>
        </w:rPr>
        <w:t>aceptarán otras pruebas de medidas equivalentes de aseguramiento de la calidad o de gestión medioambiental cuando el operador económico afectado no haya tenido la posibilidad de obtener tales certificados en el plazo fijado por causas no atribuibles al operador económico, siempre que este demuestre que las medidas de aseguramiento de la calidad o de gestión medioambiental que propone se ajustan a las normas de aseguramiento de la calidad o de gestión medioambiental exigidas</w:t>
      </w:r>
      <w:r w:rsidR="00997287">
        <w:rPr>
          <w:rFonts w:ascii="Arial" w:hAnsi="Arial" w:cs="Arial"/>
          <w:szCs w:val="22"/>
        </w:rPr>
        <w:t>. P</w:t>
      </w:r>
      <w:r w:rsidRPr="00167786">
        <w:rPr>
          <w:rFonts w:ascii="Arial" w:hAnsi="Arial" w:cs="Arial"/>
          <w:szCs w:val="22"/>
        </w:rPr>
        <w:t>or lo que</w:t>
      </w:r>
      <w:r w:rsidR="00997287">
        <w:rPr>
          <w:rFonts w:ascii="Arial" w:hAnsi="Arial" w:cs="Arial"/>
          <w:szCs w:val="22"/>
        </w:rPr>
        <w:t>,</w:t>
      </w:r>
      <w:r w:rsidRPr="00167786">
        <w:rPr>
          <w:rFonts w:ascii="Arial" w:hAnsi="Arial" w:cs="Arial"/>
          <w:szCs w:val="22"/>
        </w:rPr>
        <w:t xml:space="preserve"> no es suficiente que la entidad que pretenda licitar esté en proceso de obtención de alguno de los mismos, sino que debe acreditar que la imposibilidad de obtener el certificado concernido antes de que finalice el plazo para presentar proposiciones en el marco de la licitación de referencia se debe a causas no imputables a la entidad que pretende licitar, así como que dicha entidad implementa medidas que se ajustan a las normas de aseguramiento de calidad o de gestión medioambiental exigidas</w:t>
      </w:r>
      <w:r w:rsidR="00997287">
        <w:rPr>
          <w:rFonts w:ascii="Arial" w:hAnsi="Arial" w:cs="Arial"/>
          <w:szCs w:val="22"/>
        </w:rPr>
        <w:t>,</w:t>
      </w:r>
      <w:r w:rsidRPr="00167786">
        <w:rPr>
          <w:rFonts w:ascii="Arial" w:hAnsi="Arial" w:cs="Arial"/>
          <w:szCs w:val="22"/>
        </w:rPr>
        <w:t xml:space="preserve"> </w:t>
      </w:r>
      <w:r w:rsidR="00997287">
        <w:rPr>
          <w:rFonts w:ascii="Arial" w:hAnsi="Arial" w:cs="Arial"/>
          <w:szCs w:val="22"/>
        </w:rPr>
        <w:t xml:space="preserve">en su caso, </w:t>
      </w:r>
      <w:r w:rsidRPr="00167786">
        <w:rPr>
          <w:rFonts w:ascii="Arial" w:hAnsi="Arial" w:cs="Arial"/>
          <w:szCs w:val="22"/>
        </w:rPr>
        <w:t>por los pliegos, esto es, las Normas ISO 9001 y/o ISO 14001, o equivalentes</w:t>
      </w:r>
      <w:r w:rsidRPr="00167786">
        <w:rPr>
          <w:rFonts w:ascii="Arial" w:hAnsi="Arial" w:cs="Arial"/>
          <w:i/>
          <w:iCs/>
          <w:szCs w:val="22"/>
        </w:rPr>
        <w:t>.</w:t>
      </w:r>
    </w:p>
    <w:p w14:paraId="7155FFA0" w14:textId="77777777" w:rsidR="00997287" w:rsidRDefault="00997287" w:rsidP="006219C8">
      <w:pPr>
        <w:jc w:val="both"/>
        <w:rPr>
          <w:rFonts w:ascii="Arial" w:hAnsi="Arial" w:cs="Arial"/>
          <w:b/>
          <w:bCs/>
        </w:rPr>
      </w:pPr>
    </w:p>
    <w:p w14:paraId="02A67E3D" w14:textId="77777777" w:rsidR="00ED6C28" w:rsidRDefault="00ED6C28" w:rsidP="006219C8">
      <w:pPr>
        <w:jc w:val="both"/>
        <w:rPr>
          <w:rFonts w:ascii="Arial" w:hAnsi="Arial" w:cs="Arial"/>
          <w:b/>
          <w:bCs/>
        </w:rPr>
      </w:pPr>
    </w:p>
    <w:p w14:paraId="28EDBC61" w14:textId="70E08B89" w:rsidR="006219C8" w:rsidRPr="00167786" w:rsidRDefault="006219C8" w:rsidP="006219C8">
      <w:pPr>
        <w:jc w:val="both"/>
        <w:rPr>
          <w:rFonts w:ascii="Arial" w:hAnsi="Arial" w:cs="Arial"/>
          <w:b/>
          <w:bCs/>
        </w:rPr>
      </w:pPr>
      <w:r w:rsidRPr="00167786">
        <w:rPr>
          <w:rFonts w:ascii="Arial" w:hAnsi="Arial" w:cs="Arial"/>
          <w:b/>
          <w:bCs/>
        </w:rPr>
        <w:t>PREGUNTA NÚM. 6</w:t>
      </w:r>
    </w:p>
    <w:p w14:paraId="3D453CA1" w14:textId="2925C470" w:rsidR="006D569A" w:rsidRPr="00167786" w:rsidRDefault="006D569A" w:rsidP="006219C8">
      <w:pPr>
        <w:jc w:val="both"/>
        <w:rPr>
          <w:rFonts w:ascii="Arial" w:hAnsi="Arial" w:cs="Arial"/>
          <w:i/>
          <w:iCs/>
        </w:rPr>
      </w:pPr>
      <w:r w:rsidRPr="00167786">
        <w:rPr>
          <w:rFonts w:ascii="Arial" w:hAnsi="Arial" w:cs="Arial"/>
          <w:i/>
          <w:iCs/>
        </w:rPr>
        <w:t>¿En qué sobre hay que incluir las certificaciones ISO?</w:t>
      </w:r>
    </w:p>
    <w:p w14:paraId="2F5B320A" w14:textId="77777777" w:rsidR="00997287" w:rsidRPr="00167786" w:rsidRDefault="00997287" w:rsidP="00D9561F">
      <w:pPr>
        <w:jc w:val="both"/>
        <w:rPr>
          <w:rFonts w:ascii="Arial" w:hAnsi="Arial" w:cs="Arial"/>
          <w:i/>
          <w:iCs/>
        </w:rPr>
      </w:pPr>
    </w:p>
    <w:p w14:paraId="615084F4" w14:textId="4546E96C" w:rsidR="006219C8" w:rsidRPr="00167786" w:rsidRDefault="006219C8" w:rsidP="00D9561F">
      <w:pPr>
        <w:jc w:val="both"/>
        <w:rPr>
          <w:rFonts w:ascii="Arial" w:hAnsi="Arial" w:cs="Arial"/>
          <w:b/>
          <w:bCs/>
        </w:rPr>
      </w:pPr>
      <w:r w:rsidRPr="00167786">
        <w:rPr>
          <w:rFonts w:ascii="Arial" w:hAnsi="Arial" w:cs="Arial"/>
          <w:b/>
          <w:bCs/>
        </w:rPr>
        <w:t>RESPUESTA:</w:t>
      </w:r>
    </w:p>
    <w:p w14:paraId="549ECDD1" w14:textId="13BDEA30" w:rsidR="00A8761E" w:rsidRDefault="00A8761E" w:rsidP="00D9561F">
      <w:pPr>
        <w:jc w:val="both"/>
        <w:rPr>
          <w:rFonts w:ascii="Arial" w:hAnsi="Arial" w:cs="Arial"/>
        </w:rPr>
      </w:pPr>
      <w:r>
        <w:rPr>
          <w:rFonts w:ascii="Arial" w:hAnsi="Arial" w:cs="Arial"/>
        </w:rPr>
        <w:t>En todo caso habrá que estar a lo dispuesto en la cláusula relativa al contenido de las proposiciones del pliego de cláusulas administrativas particulares, donde vendrá detallado tal extremo.</w:t>
      </w:r>
    </w:p>
    <w:p w14:paraId="0C11ADDD" w14:textId="36E05839" w:rsidR="00A8761E" w:rsidRDefault="00B66311" w:rsidP="00D9561F">
      <w:pPr>
        <w:jc w:val="both"/>
        <w:rPr>
          <w:rFonts w:ascii="Arial" w:hAnsi="Arial" w:cs="Arial"/>
        </w:rPr>
      </w:pPr>
      <w:r>
        <w:rPr>
          <w:rFonts w:ascii="Arial" w:hAnsi="Arial" w:cs="Arial"/>
        </w:rPr>
        <w:t>Téngase en cuenta que e</w:t>
      </w:r>
      <w:r w:rsidR="00D9561F" w:rsidRPr="00167786">
        <w:rPr>
          <w:rFonts w:ascii="Arial" w:hAnsi="Arial" w:cs="Arial"/>
        </w:rPr>
        <w:t>l artículo 140</w:t>
      </w:r>
      <w:r w:rsidR="00A8761E">
        <w:rPr>
          <w:rFonts w:ascii="Arial" w:hAnsi="Arial" w:cs="Arial"/>
        </w:rPr>
        <w:t>.3</w:t>
      </w:r>
      <w:r w:rsidR="00D9561F" w:rsidRPr="00167786">
        <w:rPr>
          <w:rFonts w:ascii="Arial" w:hAnsi="Arial" w:cs="Arial"/>
        </w:rPr>
        <w:t xml:space="preserve"> de la Ley 9/2017, de 8 de noviembre, de Contratos del Sector Público </w:t>
      </w:r>
      <w:r w:rsidR="00A8761E">
        <w:rPr>
          <w:rFonts w:ascii="Arial" w:hAnsi="Arial" w:cs="Arial"/>
        </w:rPr>
        <w:t>dispone que e</w:t>
      </w:r>
      <w:r w:rsidR="00A8761E" w:rsidRPr="00A8761E">
        <w:rPr>
          <w:rFonts w:ascii="Arial" w:hAnsi="Arial" w:cs="Arial"/>
        </w:rPr>
        <w:t>l órgano o la mesa de contratación podrán pedir a los candidatos o licitadores que presenten la totalidad o una parte de los documentos justificativos</w:t>
      </w:r>
      <w:r w:rsidR="00A8761E">
        <w:rPr>
          <w:rFonts w:ascii="Arial" w:hAnsi="Arial" w:cs="Arial"/>
        </w:rPr>
        <w:t>,</w:t>
      </w:r>
      <w:r w:rsidR="00A8761E" w:rsidRPr="00A8761E">
        <w:rPr>
          <w:rFonts w:ascii="Arial" w:hAnsi="Arial" w:cs="Arial"/>
        </w:rPr>
        <w:t xml:space="preserve"> cuando consideren que existen dudas razonables sobre la </w:t>
      </w:r>
      <w:r w:rsidR="00A8761E" w:rsidRPr="00A8761E">
        <w:rPr>
          <w:rFonts w:ascii="Arial" w:hAnsi="Arial" w:cs="Arial"/>
        </w:rPr>
        <w:lastRenderedPageBreak/>
        <w:t>vigencia o fiabilidad de la declaración, cuando resulte necesario para el buen desarrollo del procedimiento y, en todo caso, antes de adjudicar el contrato</w:t>
      </w:r>
      <w:r w:rsidR="00A8761E">
        <w:rPr>
          <w:rFonts w:ascii="Arial" w:hAnsi="Arial" w:cs="Arial"/>
        </w:rPr>
        <w:t>.</w:t>
      </w:r>
    </w:p>
    <w:p w14:paraId="4CEEE6B0" w14:textId="60718A58" w:rsidR="00D9561F" w:rsidRPr="00167786" w:rsidRDefault="00B66311" w:rsidP="00D9561F">
      <w:pPr>
        <w:jc w:val="both"/>
        <w:rPr>
          <w:rFonts w:ascii="Arial" w:hAnsi="Arial" w:cs="Arial"/>
        </w:rPr>
      </w:pPr>
      <w:r>
        <w:rPr>
          <w:rFonts w:ascii="Arial" w:hAnsi="Arial" w:cs="Arial"/>
        </w:rPr>
        <w:t>Al hilo de lo expuesto,</w:t>
      </w:r>
      <w:r w:rsidR="00D9561F" w:rsidRPr="00167786">
        <w:rPr>
          <w:rFonts w:ascii="Arial" w:hAnsi="Arial" w:cs="Arial"/>
        </w:rPr>
        <w:t xml:space="preserve"> </w:t>
      </w:r>
      <w:r>
        <w:rPr>
          <w:rFonts w:ascii="Arial" w:hAnsi="Arial" w:cs="Arial"/>
        </w:rPr>
        <w:t>nótese</w:t>
      </w:r>
      <w:r w:rsidR="00D9561F" w:rsidRPr="00167786">
        <w:rPr>
          <w:rFonts w:ascii="Arial" w:hAnsi="Arial" w:cs="Arial"/>
        </w:rPr>
        <w:t xml:space="preserve"> que en el Documento Europeo Único de Contratación (DEUC) se debe contener una serie de datos, entre ellos, los relativos al cumplimiento de los requisitos previos, </w:t>
      </w:r>
      <w:r>
        <w:rPr>
          <w:rFonts w:ascii="Arial" w:hAnsi="Arial" w:cs="Arial"/>
        </w:rPr>
        <w:t>pudiendo incardinarse</w:t>
      </w:r>
      <w:r w:rsidR="005E59AD">
        <w:rPr>
          <w:rFonts w:ascii="Arial" w:hAnsi="Arial" w:cs="Arial"/>
        </w:rPr>
        <w:t xml:space="preserve"> en ese apartado</w:t>
      </w:r>
      <w:r w:rsidR="00D9561F" w:rsidRPr="00167786">
        <w:rPr>
          <w:rFonts w:ascii="Arial" w:hAnsi="Arial" w:cs="Arial"/>
        </w:rPr>
        <w:t xml:space="preserve"> la posesión de la certificación de cumplimiento de las Normas ISO 9001 y/o ISO 14001, o equivalentes, </w:t>
      </w:r>
      <w:r w:rsidR="005E59AD">
        <w:rPr>
          <w:rFonts w:ascii="Arial" w:hAnsi="Arial" w:cs="Arial"/>
        </w:rPr>
        <w:t>en cuyo caso, deben</w:t>
      </w:r>
      <w:r w:rsidR="00D9561F" w:rsidRPr="00167786">
        <w:rPr>
          <w:rFonts w:ascii="Arial" w:hAnsi="Arial" w:cs="Arial"/>
        </w:rPr>
        <w:t xml:space="preserve"> reflejarse en el apartado correspondiente del DEUC, que </w:t>
      </w:r>
      <w:r w:rsidR="005E59AD">
        <w:rPr>
          <w:rFonts w:ascii="Arial" w:hAnsi="Arial" w:cs="Arial"/>
        </w:rPr>
        <w:t>será</w:t>
      </w:r>
      <w:r w:rsidR="00D9561F" w:rsidRPr="00167786">
        <w:rPr>
          <w:rFonts w:ascii="Arial" w:hAnsi="Arial" w:cs="Arial"/>
        </w:rPr>
        <w:t xml:space="preserve"> presenta</w:t>
      </w:r>
      <w:r w:rsidR="005E59AD">
        <w:rPr>
          <w:rFonts w:ascii="Arial" w:hAnsi="Arial" w:cs="Arial"/>
        </w:rPr>
        <w:t>do</w:t>
      </w:r>
      <w:r w:rsidR="00D9561F" w:rsidRPr="00167786">
        <w:rPr>
          <w:rFonts w:ascii="Arial" w:hAnsi="Arial" w:cs="Arial"/>
        </w:rPr>
        <w:t xml:space="preserve"> dentro del Sobre-Archivo Electrónico n.º 1, sin perjuicio de que la </w:t>
      </w:r>
      <w:r w:rsidR="005E59AD">
        <w:rPr>
          <w:rFonts w:ascii="Arial" w:hAnsi="Arial" w:cs="Arial"/>
        </w:rPr>
        <w:t>M</w:t>
      </w:r>
      <w:r w:rsidR="00D9561F" w:rsidRPr="00167786">
        <w:rPr>
          <w:rFonts w:ascii="Arial" w:hAnsi="Arial" w:cs="Arial"/>
        </w:rPr>
        <w:t>esa de contratación requiera</w:t>
      </w:r>
      <w:r w:rsidR="005E59AD">
        <w:rPr>
          <w:rFonts w:ascii="Arial" w:hAnsi="Arial" w:cs="Arial"/>
        </w:rPr>
        <w:t>,</w:t>
      </w:r>
      <w:r w:rsidR="00D9561F" w:rsidRPr="00167786">
        <w:rPr>
          <w:rFonts w:ascii="Arial" w:hAnsi="Arial" w:cs="Arial"/>
        </w:rPr>
        <w:t xml:space="preserve"> en virtud de lo anterior</w:t>
      </w:r>
      <w:r w:rsidR="005E59AD">
        <w:rPr>
          <w:rFonts w:ascii="Arial" w:hAnsi="Arial" w:cs="Arial"/>
        </w:rPr>
        <w:t>,</w:t>
      </w:r>
      <w:r w:rsidR="00D9561F" w:rsidRPr="00167786">
        <w:rPr>
          <w:rFonts w:ascii="Arial" w:hAnsi="Arial" w:cs="Arial"/>
        </w:rPr>
        <w:t xml:space="preserve"> la documentación acreditativa oportuna</w:t>
      </w:r>
      <w:r>
        <w:rPr>
          <w:rFonts w:ascii="Arial" w:hAnsi="Arial" w:cs="Arial"/>
        </w:rPr>
        <w:t xml:space="preserve"> en momento ulterior</w:t>
      </w:r>
      <w:r w:rsidR="00D9561F" w:rsidRPr="00167786">
        <w:rPr>
          <w:rFonts w:ascii="Arial" w:hAnsi="Arial" w:cs="Arial"/>
        </w:rPr>
        <w:t>.</w:t>
      </w:r>
    </w:p>
    <w:p w14:paraId="66257E2F" w14:textId="77777777" w:rsidR="0055195C" w:rsidRPr="00167786" w:rsidRDefault="0055195C" w:rsidP="006219C8">
      <w:pPr>
        <w:jc w:val="both"/>
        <w:rPr>
          <w:rFonts w:ascii="Arial" w:hAnsi="Arial" w:cs="Arial"/>
        </w:rPr>
      </w:pPr>
    </w:p>
    <w:p w14:paraId="0DC976B1" w14:textId="77777777" w:rsidR="00167786" w:rsidRPr="00167786" w:rsidRDefault="00167786" w:rsidP="00257CA8">
      <w:pPr>
        <w:pStyle w:val="NormalWeb"/>
        <w:shd w:val="clear" w:color="auto" w:fill="FFFFFF"/>
        <w:jc w:val="both"/>
        <w:rPr>
          <w:rFonts w:ascii="Arial" w:eastAsia="Calibri" w:hAnsi="Arial" w:cs="Arial"/>
          <w:lang w:eastAsia="en-US"/>
        </w:rPr>
      </w:pPr>
    </w:p>
    <w:p w14:paraId="38BFFC54" w14:textId="1CAD5CC5" w:rsidR="00167786" w:rsidRPr="00167786" w:rsidRDefault="00167786" w:rsidP="00257CA8">
      <w:pPr>
        <w:pStyle w:val="NormalWeb"/>
        <w:shd w:val="clear" w:color="auto" w:fill="FFFFFF"/>
        <w:jc w:val="both"/>
        <w:rPr>
          <w:rFonts w:ascii="Arial" w:eastAsia="Calibri" w:hAnsi="Arial" w:cs="Arial"/>
          <w:b/>
          <w:bCs/>
          <w:lang w:eastAsia="en-US"/>
        </w:rPr>
      </w:pPr>
      <w:r w:rsidRPr="00167786">
        <w:rPr>
          <w:rFonts w:ascii="Arial" w:eastAsia="Calibri" w:hAnsi="Arial" w:cs="Arial"/>
          <w:b/>
          <w:bCs/>
          <w:lang w:eastAsia="en-US"/>
        </w:rPr>
        <w:t xml:space="preserve">PREGUNTA NÚM. </w:t>
      </w:r>
      <w:r w:rsidR="00ED6C28">
        <w:rPr>
          <w:rFonts w:ascii="Arial" w:eastAsia="Calibri" w:hAnsi="Arial" w:cs="Arial"/>
          <w:b/>
          <w:bCs/>
          <w:lang w:eastAsia="en-US"/>
        </w:rPr>
        <w:t>7:</w:t>
      </w:r>
    </w:p>
    <w:p w14:paraId="4ABDDD3B" w14:textId="77777777" w:rsidR="00167786" w:rsidRPr="00167786" w:rsidRDefault="00167786" w:rsidP="00167786">
      <w:pPr>
        <w:pStyle w:val="NormalWeb"/>
        <w:shd w:val="clear" w:color="auto" w:fill="FFFFFF"/>
        <w:jc w:val="both"/>
        <w:rPr>
          <w:rFonts w:ascii="Arial" w:eastAsia="Calibri" w:hAnsi="Arial" w:cs="Arial"/>
        </w:rPr>
      </w:pPr>
    </w:p>
    <w:p w14:paraId="70DD0715" w14:textId="79A4938E" w:rsidR="00167786" w:rsidRPr="00167786" w:rsidRDefault="00167786" w:rsidP="00167786">
      <w:pPr>
        <w:pStyle w:val="NormalWeb"/>
        <w:shd w:val="clear" w:color="auto" w:fill="FFFFFF"/>
        <w:jc w:val="both"/>
        <w:rPr>
          <w:rFonts w:ascii="Arial" w:eastAsia="Calibri" w:hAnsi="Arial" w:cs="Arial"/>
          <w:i/>
          <w:iCs/>
        </w:rPr>
      </w:pPr>
      <w:r w:rsidRPr="00167786">
        <w:rPr>
          <w:rFonts w:ascii="Arial" w:eastAsia="Calibri" w:hAnsi="Arial" w:cs="Arial"/>
          <w:i/>
          <w:iCs/>
        </w:rPr>
        <w:t>Estamos intentando subir los documentos solicitados en la subsanación a la plataforma y no sabemos bien c</w:t>
      </w:r>
      <w:r w:rsidR="00D973FD">
        <w:rPr>
          <w:rFonts w:ascii="Arial" w:eastAsia="Calibri" w:hAnsi="Arial" w:cs="Arial"/>
          <w:i/>
          <w:iCs/>
        </w:rPr>
        <w:t>ó</w:t>
      </w:r>
      <w:r w:rsidRPr="00167786">
        <w:rPr>
          <w:rFonts w:ascii="Arial" w:eastAsia="Calibri" w:hAnsi="Arial" w:cs="Arial"/>
          <w:i/>
          <w:iCs/>
        </w:rPr>
        <w:t>mo subirlos</w:t>
      </w:r>
    </w:p>
    <w:p w14:paraId="349247F6" w14:textId="77777777" w:rsidR="00167786" w:rsidRPr="00167786" w:rsidRDefault="00167786" w:rsidP="00167786">
      <w:pPr>
        <w:pStyle w:val="NormalWeb"/>
        <w:shd w:val="clear" w:color="auto" w:fill="FFFFFF"/>
        <w:jc w:val="both"/>
        <w:rPr>
          <w:rFonts w:ascii="Arial" w:eastAsia="Calibri" w:hAnsi="Arial" w:cs="Arial"/>
        </w:rPr>
      </w:pPr>
    </w:p>
    <w:p w14:paraId="10671A58" w14:textId="227CC14B" w:rsidR="00167786" w:rsidRPr="00167786" w:rsidRDefault="00167786" w:rsidP="00257CA8">
      <w:pPr>
        <w:pStyle w:val="NormalWeb"/>
        <w:shd w:val="clear" w:color="auto" w:fill="FFFFFF"/>
        <w:jc w:val="both"/>
        <w:rPr>
          <w:rFonts w:ascii="Arial" w:eastAsia="Calibri" w:hAnsi="Arial" w:cs="Arial"/>
          <w:lang w:eastAsia="en-US"/>
        </w:rPr>
      </w:pPr>
    </w:p>
    <w:p w14:paraId="2710288C" w14:textId="450A195F" w:rsidR="00167786" w:rsidRPr="00167786" w:rsidRDefault="00167786" w:rsidP="00257CA8">
      <w:pPr>
        <w:pStyle w:val="NormalWeb"/>
        <w:shd w:val="clear" w:color="auto" w:fill="FFFFFF"/>
        <w:jc w:val="both"/>
        <w:rPr>
          <w:rFonts w:ascii="Arial" w:eastAsia="Calibri" w:hAnsi="Arial" w:cs="Arial"/>
          <w:b/>
          <w:bCs/>
          <w:lang w:eastAsia="en-US"/>
        </w:rPr>
      </w:pPr>
      <w:r w:rsidRPr="00167786">
        <w:rPr>
          <w:rFonts w:ascii="Arial" w:eastAsia="Calibri" w:hAnsi="Arial" w:cs="Arial"/>
          <w:b/>
          <w:bCs/>
          <w:lang w:eastAsia="en-US"/>
        </w:rPr>
        <w:t>RESPUESTA:</w:t>
      </w:r>
    </w:p>
    <w:p w14:paraId="2F7C1EFD" w14:textId="47BDA2B5" w:rsidR="00167786" w:rsidRPr="00167786" w:rsidRDefault="00167786" w:rsidP="00257CA8">
      <w:pPr>
        <w:pStyle w:val="NormalWeb"/>
        <w:shd w:val="clear" w:color="auto" w:fill="FFFFFF"/>
        <w:jc w:val="both"/>
        <w:rPr>
          <w:rFonts w:ascii="Arial" w:eastAsia="Calibri" w:hAnsi="Arial" w:cs="Arial"/>
          <w:lang w:eastAsia="en-US"/>
        </w:rPr>
      </w:pPr>
    </w:p>
    <w:p w14:paraId="308486A8" w14:textId="65886349" w:rsidR="00167786" w:rsidRPr="00167786" w:rsidRDefault="00167786" w:rsidP="00167786">
      <w:pPr>
        <w:pStyle w:val="NormalWeb"/>
        <w:shd w:val="clear" w:color="auto" w:fill="FFFFFF"/>
        <w:jc w:val="both"/>
        <w:rPr>
          <w:rFonts w:ascii="Arial" w:eastAsia="Calibri" w:hAnsi="Arial" w:cs="Arial"/>
        </w:rPr>
      </w:pPr>
      <w:r w:rsidRPr="00167786">
        <w:rPr>
          <w:rFonts w:ascii="Arial" w:eastAsia="Calibri" w:hAnsi="Arial" w:cs="Arial"/>
        </w:rPr>
        <w:t xml:space="preserve">Para presentar la documentación subsanada o aclaratoria, debe seguir en su caso las instrucciones que se contienen en la </w:t>
      </w:r>
      <w:r w:rsidRPr="00645591">
        <w:rPr>
          <w:rFonts w:ascii="Arial" w:eastAsia="Calibri" w:hAnsi="Arial" w:cs="Arial"/>
        </w:rPr>
        <w:t>página 18 y ss.</w:t>
      </w:r>
      <w:r w:rsidRPr="00167786">
        <w:rPr>
          <w:rFonts w:ascii="Arial" w:eastAsia="Calibri" w:hAnsi="Arial" w:cs="Arial"/>
        </w:rPr>
        <w:t xml:space="preserve"> de la </w:t>
      </w:r>
      <w:r w:rsidRPr="00167786">
        <w:rPr>
          <w:rFonts w:ascii="Arial" w:eastAsia="Calibri" w:hAnsi="Arial" w:cs="Arial"/>
          <w:b/>
          <w:bCs/>
        </w:rPr>
        <w:t>Guía Básica del Licitador</w:t>
      </w:r>
      <w:r w:rsidRPr="00167786">
        <w:rPr>
          <w:rFonts w:ascii="Arial" w:eastAsia="Calibri" w:hAnsi="Arial" w:cs="Arial"/>
        </w:rPr>
        <w:t>, (descargable en nuestro Portal de licitación (</w:t>
      </w:r>
      <w:hyperlink r:id="rId7" w:history="1">
        <w:r w:rsidRPr="00167786">
          <w:rPr>
            <w:rStyle w:val="Hipervnculo"/>
            <w:rFonts w:ascii="Arial" w:eastAsia="Calibri" w:hAnsi="Arial" w:cs="Arial"/>
            <w:u w:val="none"/>
          </w:rPr>
          <w:t>https://licitacion.turismodeislascanarias.com</w:t>
        </w:r>
      </w:hyperlink>
      <w:r w:rsidRPr="00167786">
        <w:rPr>
          <w:rFonts w:ascii="Arial" w:eastAsia="Calibri" w:hAnsi="Arial" w:cs="Arial"/>
        </w:rPr>
        <w:t xml:space="preserve"> ) donde también debe presentar la documentación, siendo el proceso de remisión igual que el que en su momento tuvieron que efectuar para la presentación de oferta; teniendo en todo caso en cuenta que deben tener correctamente configurados los requisitos de software y firma electrónica que se indican en la página 3 y ss. de la Guía.</w:t>
      </w:r>
    </w:p>
    <w:p w14:paraId="672EB11F" w14:textId="77777777" w:rsidR="00167786" w:rsidRPr="00167786" w:rsidRDefault="00167786" w:rsidP="00167786">
      <w:pPr>
        <w:pStyle w:val="NormalWeb"/>
        <w:shd w:val="clear" w:color="auto" w:fill="FFFFFF"/>
        <w:jc w:val="both"/>
        <w:rPr>
          <w:rFonts w:ascii="Arial" w:eastAsia="Calibri" w:hAnsi="Arial" w:cs="Arial"/>
        </w:rPr>
      </w:pPr>
    </w:p>
    <w:p w14:paraId="054DE727" w14:textId="77777777" w:rsidR="00167786" w:rsidRPr="00167786" w:rsidRDefault="00167786" w:rsidP="00167786">
      <w:pPr>
        <w:pStyle w:val="NormalWeb"/>
        <w:shd w:val="clear" w:color="auto" w:fill="FFFFFF"/>
        <w:jc w:val="both"/>
        <w:rPr>
          <w:rFonts w:ascii="Arial" w:eastAsia="Calibri" w:hAnsi="Arial" w:cs="Arial"/>
        </w:rPr>
      </w:pPr>
      <w:r w:rsidRPr="00167786">
        <w:rPr>
          <w:rFonts w:ascii="Arial" w:eastAsia="Calibri" w:hAnsi="Arial" w:cs="Arial"/>
        </w:rPr>
        <w:t>Asimismo, en caso de experimentar incidencias de carácter informático aun siguiendo esta guía (y como se indica en la página 41 de la misma), debe ponerse en contacto con el Soporte que la empresa Nexus IT (como empresa desarrolladora de nuestra plataforma de contratación electrónica) proporciona. Para ello, desde el menú el portal de licitación (</w:t>
      </w:r>
      <w:hyperlink r:id="rId8" w:history="1">
        <w:r w:rsidRPr="00167786">
          <w:rPr>
            <w:rStyle w:val="Hipervnculo"/>
            <w:rFonts w:ascii="Arial" w:eastAsia="Calibri" w:hAnsi="Arial" w:cs="Arial"/>
            <w:u w:val="none"/>
          </w:rPr>
          <w:t>https://licitacion.turismodeislascanarias.com</w:t>
        </w:r>
      </w:hyperlink>
      <w:r w:rsidRPr="00167786">
        <w:rPr>
          <w:rFonts w:ascii="Arial" w:eastAsia="Calibri" w:hAnsi="Arial" w:cs="Arial"/>
        </w:rPr>
        <w:t xml:space="preserve"> ), pulsar sobre Licitaciones y luego Soporte empresas (Nueva ventana).</w:t>
      </w:r>
    </w:p>
    <w:p w14:paraId="5117C894" w14:textId="77777777" w:rsidR="00167786" w:rsidRPr="00167786" w:rsidRDefault="00167786" w:rsidP="00257CA8">
      <w:pPr>
        <w:pStyle w:val="NormalWeb"/>
        <w:shd w:val="clear" w:color="auto" w:fill="FFFFFF"/>
        <w:jc w:val="both"/>
        <w:rPr>
          <w:rFonts w:ascii="Arial" w:eastAsia="Calibri" w:hAnsi="Arial" w:cs="Arial"/>
          <w:lang w:eastAsia="en-US"/>
        </w:rPr>
      </w:pPr>
    </w:p>
    <w:p w14:paraId="6884789E" w14:textId="33933F7F" w:rsidR="00C30685" w:rsidRDefault="00C30685" w:rsidP="00257CA8">
      <w:pPr>
        <w:pStyle w:val="NormalWeb"/>
        <w:shd w:val="clear" w:color="auto" w:fill="FFFFFF"/>
        <w:jc w:val="both"/>
        <w:rPr>
          <w:rFonts w:ascii="Arial" w:eastAsia="Calibri" w:hAnsi="Arial" w:cs="Arial"/>
          <w:lang w:eastAsia="en-US"/>
        </w:rPr>
      </w:pPr>
    </w:p>
    <w:p w14:paraId="2F30C53F" w14:textId="77777777" w:rsidR="00ED6C28" w:rsidRPr="00167786" w:rsidRDefault="00ED6C28" w:rsidP="00257CA8">
      <w:pPr>
        <w:pStyle w:val="NormalWeb"/>
        <w:shd w:val="clear" w:color="auto" w:fill="FFFFFF"/>
        <w:jc w:val="both"/>
        <w:rPr>
          <w:rFonts w:ascii="Arial" w:eastAsia="Calibri" w:hAnsi="Arial" w:cs="Arial"/>
          <w:lang w:eastAsia="en-US"/>
        </w:rPr>
      </w:pPr>
    </w:p>
    <w:p w14:paraId="5E33CD42" w14:textId="77777777" w:rsidR="00167786" w:rsidRPr="00167786" w:rsidRDefault="00167786" w:rsidP="00257CA8">
      <w:pPr>
        <w:pStyle w:val="NormalWeb"/>
        <w:shd w:val="clear" w:color="auto" w:fill="FFFFFF"/>
        <w:jc w:val="both"/>
        <w:rPr>
          <w:rFonts w:ascii="Arial" w:eastAsia="Calibri" w:hAnsi="Arial" w:cs="Arial"/>
          <w:b/>
          <w:bCs/>
          <w:lang w:eastAsia="en-US"/>
        </w:rPr>
      </w:pPr>
    </w:p>
    <w:p w14:paraId="32F7BF22" w14:textId="671B2A03" w:rsidR="00167786" w:rsidRPr="00167786" w:rsidRDefault="00167786" w:rsidP="00257CA8">
      <w:pPr>
        <w:pStyle w:val="NormalWeb"/>
        <w:shd w:val="clear" w:color="auto" w:fill="FFFFFF"/>
        <w:jc w:val="both"/>
        <w:rPr>
          <w:rFonts w:ascii="Arial" w:eastAsia="Calibri" w:hAnsi="Arial" w:cs="Arial"/>
          <w:b/>
          <w:bCs/>
          <w:lang w:eastAsia="en-US"/>
        </w:rPr>
      </w:pPr>
      <w:r w:rsidRPr="00167786">
        <w:rPr>
          <w:rFonts w:ascii="Arial" w:eastAsia="Calibri" w:hAnsi="Arial" w:cs="Arial"/>
          <w:b/>
          <w:bCs/>
          <w:lang w:eastAsia="en-US"/>
        </w:rPr>
        <w:t xml:space="preserve">PREGUNTA NÚM. </w:t>
      </w:r>
      <w:r w:rsidR="00ED6C28">
        <w:rPr>
          <w:rFonts w:ascii="Arial" w:eastAsia="Calibri" w:hAnsi="Arial" w:cs="Arial"/>
          <w:b/>
          <w:bCs/>
          <w:lang w:eastAsia="en-US"/>
        </w:rPr>
        <w:t>8:</w:t>
      </w:r>
    </w:p>
    <w:p w14:paraId="4C4B5DAA" w14:textId="025523DE" w:rsidR="00167786" w:rsidRPr="00167786" w:rsidRDefault="00167786" w:rsidP="00257CA8">
      <w:pPr>
        <w:pStyle w:val="NormalWeb"/>
        <w:shd w:val="clear" w:color="auto" w:fill="FFFFFF"/>
        <w:jc w:val="both"/>
        <w:rPr>
          <w:rFonts w:ascii="Arial" w:eastAsia="Calibri" w:hAnsi="Arial" w:cs="Arial"/>
          <w:lang w:eastAsia="en-US"/>
        </w:rPr>
      </w:pPr>
    </w:p>
    <w:p w14:paraId="084E3F12" w14:textId="32EB5247" w:rsidR="00167786" w:rsidRPr="00ED6C28" w:rsidRDefault="00167786" w:rsidP="00167786">
      <w:pPr>
        <w:pStyle w:val="NormalWeb"/>
        <w:shd w:val="clear" w:color="auto" w:fill="FFFFFF"/>
        <w:jc w:val="both"/>
        <w:rPr>
          <w:rFonts w:ascii="Arial" w:eastAsia="Calibri" w:hAnsi="Arial" w:cs="Arial"/>
          <w:i/>
          <w:iCs/>
        </w:rPr>
      </w:pPr>
      <w:r w:rsidRPr="00167786">
        <w:rPr>
          <w:rFonts w:ascii="Arial" w:eastAsia="Calibri" w:hAnsi="Arial" w:cs="Arial"/>
          <w:i/>
          <w:iCs/>
        </w:rPr>
        <w:t>¿Es posible cargar el DEUC aportado en la presentación de ofertas en el enlace web para la cumplimentación de las subsanaciones que ahora se requieren?</w:t>
      </w:r>
    </w:p>
    <w:p w14:paraId="193FA649" w14:textId="77777777" w:rsidR="00167786" w:rsidRPr="00167786" w:rsidRDefault="00167786" w:rsidP="00167786">
      <w:pPr>
        <w:pStyle w:val="NormalWeb"/>
        <w:shd w:val="clear" w:color="auto" w:fill="FFFFFF"/>
        <w:jc w:val="both"/>
        <w:rPr>
          <w:rFonts w:ascii="Arial" w:eastAsia="Calibri" w:hAnsi="Arial" w:cs="Arial"/>
        </w:rPr>
      </w:pPr>
    </w:p>
    <w:p w14:paraId="0812AF35" w14:textId="77668DE1" w:rsidR="00167786" w:rsidRPr="00167786" w:rsidRDefault="00167786" w:rsidP="00167786">
      <w:pPr>
        <w:pStyle w:val="NormalWeb"/>
        <w:shd w:val="clear" w:color="auto" w:fill="FFFFFF"/>
        <w:jc w:val="both"/>
        <w:rPr>
          <w:rFonts w:ascii="Arial" w:eastAsia="Calibri" w:hAnsi="Arial" w:cs="Arial"/>
          <w:b/>
          <w:bCs/>
        </w:rPr>
      </w:pPr>
      <w:r w:rsidRPr="00167786">
        <w:rPr>
          <w:rFonts w:ascii="Arial" w:eastAsia="Calibri" w:hAnsi="Arial" w:cs="Arial"/>
          <w:b/>
          <w:bCs/>
        </w:rPr>
        <w:t>RESPUESTA:</w:t>
      </w:r>
    </w:p>
    <w:p w14:paraId="34495955" w14:textId="77777777" w:rsidR="00167786" w:rsidRPr="00167786" w:rsidRDefault="00167786" w:rsidP="00167786">
      <w:pPr>
        <w:pStyle w:val="NormalWeb"/>
        <w:shd w:val="clear" w:color="auto" w:fill="FFFFFF"/>
        <w:jc w:val="both"/>
        <w:rPr>
          <w:rFonts w:ascii="Arial" w:eastAsia="Calibri" w:hAnsi="Arial" w:cs="Arial"/>
        </w:rPr>
      </w:pPr>
    </w:p>
    <w:p w14:paraId="67CE11F7" w14:textId="4FD833D5" w:rsidR="00167786" w:rsidRPr="00167786" w:rsidRDefault="00167786" w:rsidP="00167786">
      <w:pPr>
        <w:pStyle w:val="NormalWeb"/>
        <w:shd w:val="clear" w:color="auto" w:fill="FFFFFF"/>
        <w:jc w:val="both"/>
        <w:rPr>
          <w:rFonts w:ascii="Arial" w:eastAsia="Calibri" w:hAnsi="Arial" w:cs="Arial"/>
        </w:rPr>
      </w:pPr>
      <w:r w:rsidRPr="00167786">
        <w:rPr>
          <w:rFonts w:ascii="Arial" w:eastAsia="Calibri" w:hAnsi="Arial" w:cs="Arial"/>
        </w:rPr>
        <w:t xml:space="preserve">Le indicamos que ello será posible si, en el momento en que lo cumplimentaron para aportarlo en la fase de presentación de ofertas, se lo descargaron (además de en PDF) en el mismo formato </w:t>
      </w:r>
      <w:proofErr w:type="spellStart"/>
      <w:r w:rsidRPr="00167786">
        <w:rPr>
          <w:rFonts w:ascii="Arial" w:eastAsia="Calibri" w:hAnsi="Arial" w:cs="Arial"/>
          <w:i/>
          <w:iCs/>
        </w:rPr>
        <w:t>xml</w:t>
      </w:r>
      <w:proofErr w:type="spellEnd"/>
      <w:r w:rsidRPr="00167786">
        <w:rPr>
          <w:rFonts w:ascii="Arial" w:eastAsia="Calibri" w:hAnsi="Arial" w:cs="Arial"/>
          <w:i/>
          <w:iCs/>
        </w:rPr>
        <w:t xml:space="preserve">., </w:t>
      </w:r>
      <w:r w:rsidRPr="00167786">
        <w:rPr>
          <w:rFonts w:ascii="Arial" w:eastAsia="Calibri" w:hAnsi="Arial" w:cs="Arial"/>
        </w:rPr>
        <w:t>como se muestra:</w:t>
      </w:r>
    </w:p>
    <w:p w14:paraId="679411E9" w14:textId="77777777" w:rsidR="00167786" w:rsidRPr="00167786" w:rsidRDefault="00167786" w:rsidP="00167786">
      <w:pPr>
        <w:pStyle w:val="NormalWeb"/>
        <w:shd w:val="clear" w:color="auto" w:fill="FFFFFF"/>
        <w:jc w:val="both"/>
        <w:rPr>
          <w:rFonts w:ascii="Arial" w:eastAsia="Calibri" w:hAnsi="Arial" w:cs="Arial"/>
        </w:rPr>
      </w:pPr>
    </w:p>
    <w:p w14:paraId="3680080A" w14:textId="3B7822ED" w:rsidR="00167786" w:rsidRPr="00167786" w:rsidRDefault="00167786" w:rsidP="00167786">
      <w:pPr>
        <w:pStyle w:val="NormalWeb"/>
        <w:shd w:val="clear" w:color="auto" w:fill="FFFFFF"/>
        <w:jc w:val="both"/>
        <w:rPr>
          <w:rFonts w:ascii="Arial" w:eastAsia="Calibri" w:hAnsi="Arial" w:cs="Arial"/>
          <w:i/>
          <w:iCs/>
        </w:rPr>
      </w:pPr>
      <w:r w:rsidRPr="00167786">
        <w:rPr>
          <w:rFonts w:ascii="Arial" w:eastAsia="Calibri" w:hAnsi="Arial" w:cs="Arial"/>
          <w:noProof/>
        </w:rPr>
        <w:drawing>
          <wp:inline distT="0" distB="0" distL="0" distR="0" wp14:anchorId="0559E9BA" wp14:editId="4294CB2F">
            <wp:extent cx="5400040" cy="2891155"/>
            <wp:effectExtent l="0" t="0" r="10160" b="4445"/>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400040" cy="2891155"/>
                    </a:xfrm>
                    <a:prstGeom prst="rect">
                      <a:avLst/>
                    </a:prstGeom>
                    <a:noFill/>
                    <a:ln>
                      <a:noFill/>
                    </a:ln>
                  </pic:spPr>
                </pic:pic>
              </a:graphicData>
            </a:graphic>
          </wp:inline>
        </w:drawing>
      </w:r>
    </w:p>
    <w:p w14:paraId="68C12CCA" w14:textId="77777777" w:rsidR="00167786" w:rsidRPr="00167786" w:rsidRDefault="00167786" w:rsidP="00167786">
      <w:pPr>
        <w:pStyle w:val="NormalWeb"/>
        <w:shd w:val="clear" w:color="auto" w:fill="FFFFFF"/>
        <w:jc w:val="both"/>
        <w:rPr>
          <w:rFonts w:ascii="Arial" w:eastAsia="Calibri" w:hAnsi="Arial" w:cs="Arial"/>
          <w:i/>
          <w:iCs/>
        </w:rPr>
      </w:pPr>
    </w:p>
    <w:p w14:paraId="55E03452" w14:textId="77777777" w:rsidR="00167786" w:rsidRPr="00167786" w:rsidRDefault="00167786" w:rsidP="00167786">
      <w:pPr>
        <w:pStyle w:val="NormalWeb"/>
        <w:shd w:val="clear" w:color="auto" w:fill="FFFFFF"/>
        <w:jc w:val="both"/>
        <w:rPr>
          <w:rFonts w:ascii="Arial" w:eastAsia="Calibri" w:hAnsi="Arial" w:cs="Arial"/>
          <w:i/>
          <w:iCs/>
        </w:rPr>
      </w:pPr>
    </w:p>
    <w:p w14:paraId="1544200F" w14:textId="52B3F4BF" w:rsidR="00167786" w:rsidRPr="00167786" w:rsidRDefault="00167786" w:rsidP="00167786">
      <w:pPr>
        <w:pStyle w:val="NormalWeb"/>
        <w:shd w:val="clear" w:color="auto" w:fill="FFFFFF"/>
        <w:jc w:val="both"/>
        <w:rPr>
          <w:rFonts w:ascii="Arial" w:eastAsia="Calibri" w:hAnsi="Arial" w:cs="Arial"/>
          <w:b/>
          <w:bCs/>
        </w:rPr>
      </w:pPr>
      <w:r w:rsidRPr="00167786">
        <w:rPr>
          <w:rFonts w:ascii="Arial" w:eastAsia="Calibri" w:hAnsi="Arial" w:cs="Arial"/>
        </w:rPr>
        <w:t xml:space="preserve">Ello se explica porque para poder completar el DEUC a través de la web de la UE </w:t>
      </w:r>
      <w:r w:rsidRPr="00167786">
        <w:rPr>
          <w:rFonts w:ascii="Arial" w:eastAsia="Calibri" w:hAnsi="Arial" w:cs="Arial"/>
          <w:b/>
          <w:bCs/>
        </w:rPr>
        <w:t>s</w:t>
      </w:r>
      <w:r w:rsidR="00D973FD">
        <w:rPr>
          <w:rFonts w:ascii="Arial" w:eastAsia="Calibri" w:hAnsi="Arial" w:cs="Arial"/>
          <w:b/>
          <w:bCs/>
        </w:rPr>
        <w:t>o</w:t>
      </w:r>
      <w:r w:rsidRPr="00167786">
        <w:rPr>
          <w:rFonts w:ascii="Arial" w:eastAsia="Calibri" w:hAnsi="Arial" w:cs="Arial"/>
          <w:b/>
          <w:bCs/>
        </w:rPr>
        <w:t>lo son válidos los Modelos de DEUC soportados en este formato:</w:t>
      </w:r>
    </w:p>
    <w:p w14:paraId="718E92FF" w14:textId="77777777" w:rsidR="00167786" w:rsidRPr="00167786" w:rsidRDefault="00167786" w:rsidP="00167786">
      <w:pPr>
        <w:pStyle w:val="NormalWeb"/>
        <w:shd w:val="clear" w:color="auto" w:fill="FFFFFF"/>
        <w:jc w:val="both"/>
        <w:rPr>
          <w:rFonts w:ascii="Arial" w:eastAsia="Calibri" w:hAnsi="Arial" w:cs="Arial"/>
          <w:b/>
          <w:bCs/>
        </w:rPr>
      </w:pPr>
    </w:p>
    <w:p w14:paraId="05AA3FA5" w14:textId="77777777" w:rsidR="00167786" w:rsidRPr="00167786" w:rsidRDefault="00167786" w:rsidP="00167786">
      <w:pPr>
        <w:pStyle w:val="NormalWeb"/>
        <w:shd w:val="clear" w:color="auto" w:fill="FFFFFF"/>
        <w:jc w:val="both"/>
        <w:rPr>
          <w:rFonts w:ascii="Arial" w:eastAsia="Calibri" w:hAnsi="Arial" w:cs="Arial"/>
          <w:b/>
          <w:bCs/>
        </w:rPr>
      </w:pPr>
    </w:p>
    <w:p w14:paraId="6F584BEB" w14:textId="292468D0" w:rsidR="00167786" w:rsidRPr="00167786" w:rsidRDefault="00167786" w:rsidP="00167786">
      <w:pPr>
        <w:pStyle w:val="NormalWeb"/>
        <w:shd w:val="clear" w:color="auto" w:fill="FFFFFF"/>
        <w:jc w:val="both"/>
        <w:rPr>
          <w:rFonts w:ascii="Arial" w:eastAsia="Calibri" w:hAnsi="Arial" w:cs="Arial"/>
          <w:b/>
          <w:bCs/>
        </w:rPr>
      </w:pPr>
      <w:r w:rsidRPr="00167786">
        <w:rPr>
          <w:rFonts w:ascii="Arial" w:eastAsia="Calibri" w:hAnsi="Arial" w:cs="Arial"/>
          <w:noProof/>
        </w:rPr>
        <w:drawing>
          <wp:inline distT="0" distB="0" distL="0" distR="0" wp14:anchorId="656827DC" wp14:editId="63ED7EC0">
            <wp:extent cx="5400040" cy="3304540"/>
            <wp:effectExtent l="0" t="0" r="10160" b="1016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00040" cy="3304540"/>
                    </a:xfrm>
                    <a:prstGeom prst="rect">
                      <a:avLst/>
                    </a:prstGeom>
                    <a:noFill/>
                    <a:ln>
                      <a:noFill/>
                    </a:ln>
                  </pic:spPr>
                </pic:pic>
              </a:graphicData>
            </a:graphic>
          </wp:inline>
        </w:drawing>
      </w:r>
    </w:p>
    <w:p w14:paraId="2965724E" w14:textId="77777777" w:rsidR="00167786" w:rsidRPr="00167786" w:rsidRDefault="00167786" w:rsidP="00167786">
      <w:pPr>
        <w:pStyle w:val="NormalWeb"/>
        <w:shd w:val="clear" w:color="auto" w:fill="FFFFFF"/>
        <w:jc w:val="both"/>
        <w:rPr>
          <w:rFonts w:ascii="Arial" w:eastAsia="Calibri" w:hAnsi="Arial" w:cs="Arial"/>
        </w:rPr>
      </w:pPr>
    </w:p>
    <w:p w14:paraId="4AD1020D" w14:textId="77777777" w:rsidR="00ED6C28" w:rsidRDefault="00ED6C28" w:rsidP="00167786">
      <w:pPr>
        <w:pStyle w:val="NormalWeb"/>
        <w:shd w:val="clear" w:color="auto" w:fill="FFFFFF"/>
        <w:jc w:val="both"/>
        <w:rPr>
          <w:rFonts w:ascii="Arial" w:eastAsia="Calibri" w:hAnsi="Arial" w:cs="Arial"/>
          <w:b/>
          <w:bCs/>
        </w:rPr>
      </w:pPr>
    </w:p>
    <w:p w14:paraId="2F337365" w14:textId="77777777" w:rsidR="00ED6C28" w:rsidRDefault="00ED6C28" w:rsidP="00167786">
      <w:pPr>
        <w:pStyle w:val="NormalWeb"/>
        <w:shd w:val="clear" w:color="auto" w:fill="FFFFFF"/>
        <w:jc w:val="both"/>
        <w:rPr>
          <w:rFonts w:ascii="Arial" w:eastAsia="Calibri" w:hAnsi="Arial" w:cs="Arial"/>
          <w:b/>
          <w:bCs/>
        </w:rPr>
      </w:pPr>
    </w:p>
    <w:p w14:paraId="73874F82" w14:textId="77777777" w:rsidR="00ED6C28" w:rsidRDefault="00ED6C28" w:rsidP="00167786">
      <w:pPr>
        <w:pStyle w:val="NormalWeb"/>
        <w:shd w:val="clear" w:color="auto" w:fill="FFFFFF"/>
        <w:jc w:val="both"/>
        <w:rPr>
          <w:rFonts w:ascii="Arial" w:eastAsia="Calibri" w:hAnsi="Arial" w:cs="Arial"/>
          <w:b/>
          <w:bCs/>
        </w:rPr>
      </w:pPr>
    </w:p>
    <w:p w14:paraId="50DC24D0" w14:textId="77777777" w:rsidR="00ED6C28" w:rsidRDefault="00ED6C28" w:rsidP="00167786">
      <w:pPr>
        <w:pStyle w:val="NormalWeb"/>
        <w:shd w:val="clear" w:color="auto" w:fill="FFFFFF"/>
        <w:jc w:val="both"/>
        <w:rPr>
          <w:rFonts w:ascii="Arial" w:eastAsia="Calibri" w:hAnsi="Arial" w:cs="Arial"/>
          <w:b/>
          <w:bCs/>
        </w:rPr>
      </w:pPr>
    </w:p>
    <w:p w14:paraId="661E49BB" w14:textId="77777777" w:rsidR="00ED6C28" w:rsidRDefault="00ED6C28" w:rsidP="00167786">
      <w:pPr>
        <w:pStyle w:val="NormalWeb"/>
        <w:shd w:val="clear" w:color="auto" w:fill="FFFFFF"/>
        <w:jc w:val="both"/>
        <w:rPr>
          <w:rFonts w:ascii="Arial" w:eastAsia="Calibri" w:hAnsi="Arial" w:cs="Arial"/>
          <w:b/>
          <w:bCs/>
        </w:rPr>
      </w:pPr>
    </w:p>
    <w:p w14:paraId="4946EA17" w14:textId="287D331B" w:rsidR="00C30685" w:rsidRPr="00167786" w:rsidRDefault="00167786" w:rsidP="00167786">
      <w:pPr>
        <w:pStyle w:val="NormalWeb"/>
        <w:shd w:val="clear" w:color="auto" w:fill="FFFFFF"/>
        <w:jc w:val="both"/>
        <w:rPr>
          <w:rFonts w:ascii="Arial" w:eastAsia="Calibri" w:hAnsi="Arial" w:cs="Arial"/>
          <w:b/>
          <w:bCs/>
        </w:rPr>
      </w:pPr>
      <w:r w:rsidRPr="00167786">
        <w:rPr>
          <w:rFonts w:ascii="Arial" w:eastAsia="Calibri" w:hAnsi="Arial" w:cs="Arial"/>
          <w:b/>
          <w:bCs/>
        </w:rPr>
        <w:lastRenderedPageBreak/>
        <w:t xml:space="preserve">PREGUNTA NÚM. </w:t>
      </w:r>
      <w:r w:rsidR="00ED6C28">
        <w:rPr>
          <w:rFonts w:ascii="Arial" w:eastAsia="Calibri" w:hAnsi="Arial" w:cs="Arial"/>
          <w:b/>
          <w:bCs/>
        </w:rPr>
        <w:t>9</w:t>
      </w:r>
      <w:r w:rsidRPr="00167786">
        <w:rPr>
          <w:rFonts w:ascii="Arial" w:eastAsia="Calibri" w:hAnsi="Arial" w:cs="Arial"/>
          <w:b/>
          <w:bCs/>
        </w:rPr>
        <w:t>:</w:t>
      </w:r>
    </w:p>
    <w:p w14:paraId="19D8A9C8" w14:textId="27F60FA3" w:rsidR="00167786" w:rsidRPr="00167786" w:rsidRDefault="00167786" w:rsidP="00167786">
      <w:pPr>
        <w:pStyle w:val="NormalWeb"/>
        <w:shd w:val="clear" w:color="auto" w:fill="FFFFFF"/>
        <w:jc w:val="both"/>
        <w:rPr>
          <w:rFonts w:ascii="Arial" w:eastAsia="Calibri" w:hAnsi="Arial" w:cs="Arial"/>
        </w:rPr>
      </w:pPr>
    </w:p>
    <w:p w14:paraId="25C2999D" w14:textId="6C4B827C" w:rsidR="00167786" w:rsidRPr="00167786" w:rsidRDefault="00167786" w:rsidP="00167786">
      <w:pPr>
        <w:pStyle w:val="NormalWeb"/>
        <w:shd w:val="clear" w:color="auto" w:fill="FFFFFF"/>
        <w:jc w:val="both"/>
        <w:rPr>
          <w:rFonts w:ascii="Arial" w:hAnsi="Arial" w:cs="Arial"/>
          <w:i/>
          <w:iCs/>
        </w:rPr>
      </w:pPr>
      <w:r w:rsidRPr="00167786">
        <w:rPr>
          <w:rFonts w:ascii="Arial" w:hAnsi="Arial" w:cs="Arial"/>
          <w:i/>
          <w:iCs/>
        </w:rPr>
        <w:t>¿Aportando el documento de la clasificación empresarial quedaría acreditada la solvencia económica y financiera?</w:t>
      </w:r>
    </w:p>
    <w:p w14:paraId="5FC8BB4D" w14:textId="32C65403" w:rsidR="00167786" w:rsidRPr="00167786" w:rsidRDefault="00167786" w:rsidP="00167786">
      <w:pPr>
        <w:pStyle w:val="NormalWeb"/>
        <w:shd w:val="clear" w:color="auto" w:fill="FFFFFF"/>
        <w:jc w:val="both"/>
        <w:rPr>
          <w:rFonts w:ascii="Arial" w:hAnsi="Arial" w:cs="Arial"/>
        </w:rPr>
      </w:pPr>
    </w:p>
    <w:p w14:paraId="7D91C529" w14:textId="5C45C06F" w:rsidR="00167786" w:rsidRPr="00167786" w:rsidRDefault="00167786" w:rsidP="00167786">
      <w:pPr>
        <w:pStyle w:val="NormalWeb"/>
        <w:shd w:val="clear" w:color="auto" w:fill="FFFFFF"/>
        <w:jc w:val="both"/>
        <w:rPr>
          <w:rFonts w:ascii="Arial" w:hAnsi="Arial" w:cs="Arial"/>
        </w:rPr>
      </w:pPr>
    </w:p>
    <w:p w14:paraId="7AF45CFB" w14:textId="27D9D2D9" w:rsidR="00167786" w:rsidRPr="00167786" w:rsidRDefault="00167786" w:rsidP="00167786">
      <w:pPr>
        <w:pStyle w:val="NormalWeb"/>
        <w:shd w:val="clear" w:color="auto" w:fill="FFFFFF"/>
        <w:jc w:val="both"/>
        <w:rPr>
          <w:rFonts w:ascii="Arial" w:hAnsi="Arial" w:cs="Arial"/>
          <w:b/>
          <w:bCs/>
        </w:rPr>
      </w:pPr>
      <w:r w:rsidRPr="00167786">
        <w:rPr>
          <w:rFonts w:ascii="Arial" w:hAnsi="Arial" w:cs="Arial"/>
          <w:b/>
          <w:bCs/>
        </w:rPr>
        <w:t>RESPUESTA:</w:t>
      </w:r>
    </w:p>
    <w:p w14:paraId="6A7A95C9" w14:textId="7BD140BE" w:rsidR="00167786" w:rsidRPr="00167786" w:rsidRDefault="00167786" w:rsidP="00167786">
      <w:pPr>
        <w:pStyle w:val="NormalWeb"/>
        <w:shd w:val="clear" w:color="auto" w:fill="FFFFFF"/>
        <w:jc w:val="both"/>
        <w:rPr>
          <w:rFonts w:ascii="Arial" w:hAnsi="Arial" w:cs="Arial"/>
        </w:rPr>
      </w:pPr>
    </w:p>
    <w:p w14:paraId="1D48FC1B" w14:textId="4538A015" w:rsidR="00167786" w:rsidRPr="00167786" w:rsidRDefault="00167786" w:rsidP="00167786">
      <w:pPr>
        <w:spacing w:after="0" w:line="240" w:lineRule="auto"/>
        <w:jc w:val="both"/>
        <w:rPr>
          <w:rFonts w:ascii="Arial" w:eastAsia="Calibri" w:hAnsi="Arial" w:cs="Arial"/>
          <w:color w:val="000000"/>
          <w:lang w:eastAsia="es-ES"/>
        </w:rPr>
      </w:pPr>
      <w:r w:rsidRPr="00167786">
        <w:rPr>
          <w:rFonts w:ascii="Arial" w:eastAsia="Calibri" w:hAnsi="Arial" w:cs="Arial"/>
          <w:color w:val="000000"/>
          <w:lang w:eastAsia="es-ES"/>
        </w:rPr>
        <w:t>Los licitadores deben acreditar su solvencia económica, financiera y técnica:</w:t>
      </w:r>
    </w:p>
    <w:p w14:paraId="13FC5720" w14:textId="77777777" w:rsidR="00167786" w:rsidRPr="00167786" w:rsidRDefault="00167786" w:rsidP="00167786">
      <w:pPr>
        <w:spacing w:after="0" w:line="240" w:lineRule="auto"/>
        <w:jc w:val="both"/>
        <w:rPr>
          <w:rFonts w:ascii="Arial" w:eastAsia="Calibri" w:hAnsi="Arial" w:cs="Arial"/>
          <w:color w:val="000000"/>
          <w:lang w:eastAsia="es-ES"/>
        </w:rPr>
      </w:pPr>
    </w:p>
    <w:p w14:paraId="52A72CC2" w14:textId="09CBF978" w:rsidR="00167786" w:rsidRPr="00167786" w:rsidRDefault="00167786" w:rsidP="00167786">
      <w:pPr>
        <w:spacing w:after="0" w:line="240" w:lineRule="auto"/>
        <w:jc w:val="both"/>
        <w:rPr>
          <w:rFonts w:ascii="Arial" w:eastAsia="Calibri" w:hAnsi="Arial" w:cs="Arial"/>
          <w:color w:val="000000"/>
          <w:lang w:eastAsia="es-ES"/>
        </w:rPr>
      </w:pPr>
      <w:r w:rsidRPr="00167786">
        <w:rPr>
          <w:rFonts w:ascii="Arial" w:eastAsia="Calibri" w:hAnsi="Arial" w:cs="Arial"/>
          <w:color w:val="000000"/>
          <w:lang w:eastAsia="es-ES"/>
        </w:rPr>
        <w:t xml:space="preserve">1º) Bien mediante la clasificación, según el grupo, subgrupo y categoría establecidos en </w:t>
      </w:r>
      <w:r w:rsidR="00FA2441">
        <w:rPr>
          <w:rFonts w:ascii="Arial" w:eastAsia="Calibri" w:hAnsi="Arial" w:cs="Arial"/>
          <w:color w:val="000000"/>
          <w:lang w:eastAsia="es-ES"/>
        </w:rPr>
        <w:t>el</w:t>
      </w:r>
      <w:r w:rsidRPr="00167786">
        <w:rPr>
          <w:rFonts w:ascii="Arial" w:eastAsia="Calibri" w:hAnsi="Arial" w:cs="Arial"/>
          <w:color w:val="000000"/>
          <w:lang w:eastAsia="es-ES"/>
        </w:rPr>
        <w:t xml:space="preserve"> Pliego de Condiciones Administrativas Particulares que rige la licitación; </w:t>
      </w:r>
    </w:p>
    <w:p w14:paraId="726CE8EA" w14:textId="77777777" w:rsidR="00167786" w:rsidRPr="00167786" w:rsidRDefault="00167786" w:rsidP="00167786">
      <w:pPr>
        <w:spacing w:after="0" w:line="240" w:lineRule="auto"/>
        <w:jc w:val="both"/>
        <w:rPr>
          <w:rFonts w:ascii="Arial" w:eastAsia="Calibri" w:hAnsi="Arial" w:cs="Arial"/>
          <w:color w:val="000000"/>
          <w:lang w:eastAsia="es-ES"/>
        </w:rPr>
      </w:pPr>
    </w:p>
    <w:p w14:paraId="57303C10" w14:textId="553A17A0" w:rsidR="00167786" w:rsidRPr="00167786" w:rsidRDefault="00167786" w:rsidP="00167786">
      <w:pPr>
        <w:spacing w:after="0" w:line="240" w:lineRule="auto"/>
        <w:jc w:val="both"/>
        <w:rPr>
          <w:rFonts w:ascii="Arial" w:eastAsia="Calibri" w:hAnsi="Arial" w:cs="Arial"/>
          <w:color w:val="000000"/>
          <w:lang w:eastAsia="es-ES"/>
        </w:rPr>
      </w:pPr>
      <w:r w:rsidRPr="00167786">
        <w:rPr>
          <w:rFonts w:ascii="Arial" w:eastAsia="Calibri" w:hAnsi="Arial" w:cs="Arial"/>
          <w:color w:val="000000"/>
          <w:lang w:eastAsia="es-ES"/>
        </w:rPr>
        <w:t>2º) o bien a través de los medios de justificación se reseñan</w:t>
      </w:r>
      <w:r w:rsidR="00FA2441">
        <w:rPr>
          <w:rFonts w:ascii="Arial" w:eastAsia="Calibri" w:hAnsi="Arial" w:cs="Arial"/>
          <w:color w:val="000000"/>
          <w:lang w:eastAsia="es-ES"/>
        </w:rPr>
        <w:t xml:space="preserve"> igualmente</w:t>
      </w:r>
      <w:r w:rsidRPr="00167786">
        <w:rPr>
          <w:rFonts w:ascii="Arial" w:eastAsia="Calibri" w:hAnsi="Arial" w:cs="Arial"/>
          <w:color w:val="000000"/>
          <w:lang w:eastAsia="es-ES"/>
        </w:rPr>
        <w:t xml:space="preserve"> en </w:t>
      </w:r>
      <w:r w:rsidR="00FA2441">
        <w:rPr>
          <w:rFonts w:ascii="Arial" w:eastAsia="Calibri" w:hAnsi="Arial" w:cs="Arial"/>
          <w:color w:val="000000"/>
          <w:lang w:eastAsia="es-ES"/>
        </w:rPr>
        <w:t>el proprio</w:t>
      </w:r>
      <w:r w:rsidRPr="00167786">
        <w:rPr>
          <w:rFonts w:ascii="Arial" w:eastAsia="Calibri" w:hAnsi="Arial" w:cs="Arial"/>
          <w:color w:val="000000"/>
          <w:lang w:eastAsia="es-ES"/>
        </w:rPr>
        <w:t xml:space="preserve"> pliego</w:t>
      </w:r>
      <w:r w:rsidR="00FA2441">
        <w:rPr>
          <w:rFonts w:ascii="Arial" w:eastAsia="Calibri" w:hAnsi="Arial" w:cs="Arial"/>
          <w:color w:val="000000"/>
          <w:lang w:eastAsia="es-ES"/>
        </w:rPr>
        <w:t>.</w:t>
      </w:r>
    </w:p>
    <w:p w14:paraId="707D10BE" w14:textId="77777777" w:rsidR="00167786" w:rsidRPr="00167786" w:rsidRDefault="00167786" w:rsidP="00167786">
      <w:pPr>
        <w:spacing w:after="0" w:line="240" w:lineRule="auto"/>
        <w:jc w:val="both"/>
        <w:rPr>
          <w:rFonts w:ascii="Arial" w:eastAsia="Calibri" w:hAnsi="Arial" w:cs="Arial"/>
          <w:color w:val="000000"/>
          <w:lang w:eastAsia="es-ES"/>
        </w:rPr>
      </w:pPr>
    </w:p>
    <w:p w14:paraId="783B2901" w14:textId="77777777" w:rsidR="00FA2441" w:rsidRDefault="00FA2441" w:rsidP="00167786">
      <w:pPr>
        <w:spacing w:after="0" w:line="240" w:lineRule="auto"/>
        <w:jc w:val="both"/>
        <w:rPr>
          <w:rFonts w:ascii="Arial" w:eastAsia="Calibri" w:hAnsi="Arial" w:cs="Arial"/>
          <w:color w:val="000000"/>
          <w:lang w:eastAsia="es-ES"/>
        </w:rPr>
      </w:pPr>
      <w:r>
        <w:rPr>
          <w:rFonts w:ascii="Arial" w:eastAsia="Calibri" w:hAnsi="Arial" w:cs="Arial"/>
          <w:color w:val="000000"/>
          <w:lang w:eastAsia="es-ES"/>
        </w:rPr>
        <w:t>De modo tal que, acreditar</w:t>
      </w:r>
      <w:r w:rsidR="00167786" w:rsidRPr="00167786">
        <w:rPr>
          <w:rFonts w:ascii="Arial" w:eastAsia="Calibri" w:hAnsi="Arial" w:cs="Arial"/>
          <w:color w:val="000000"/>
          <w:lang w:eastAsia="es-ES"/>
        </w:rPr>
        <w:t xml:space="preserve"> </w:t>
      </w:r>
      <w:r>
        <w:rPr>
          <w:rFonts w:ascii="Arial" w:eastAsia="Calibri" w:hAnsi="Arial" w:cs="Arial"/>
          <w:color w:val="000000"/>
          <w:lang w:eastAsia="es-ES"/>
        </w:rPr>
        <w:t>un</w:t>
      </w:r>
      <w:r w:rsidR="00167786" w:rsidRPr="00167786">
        <w:rPr>
          <w:rFonts w:ascii="Arial" w:eastAsia="Calibri" w:hAnsi="Arial" w:cs="Arial"/>
          <w:color w:val="000000"/>
          <w:lang w:eastAsia="es-ES"/>
        </w:rPr>
        <w:t xml:space="preserve">a clasificación empresarial, </w:t>
      </w:r>
      <w:r>
        <w:rPr>
          <w:rFonts w:ascii="Arial" w:eastAsia="Calibri" w:hAnsi="Arial" w:cs="Arial"/>
          <w:color w:val="000000"/>
          <w:lang w:eastAsia="es-ES"/>
        </w:rPr>
        <w:t>atendiendo</w:t>
      </w:r>
      <w:r w:rsidR="00167786" w:rsidRPr="00167786">
        <w:rPr>
          <w:rFonts w:ascii="Arial" w:eastAsia="Calibri" w:hAnsi="Arial" w:cs="Arial"/>
          <w:color w:val="000000"/>
          <w:lang w:eastAsia="es-ES"/>
        </w:rPr>
        <w:t xml:space="preserve"> </w:t>
      </w:r>
      <w:r>
        <w:rPr>
          <w:rFonts w:ascii="Arial" w:eastAsia="Calibri" w:hAnsi="Arial" w:cs="Arial"/>
          <w:color w:val="000000"/>
          <w:lang w:eastAsia="es-ES"/>
        </w:rPr>
        <w:t>a</w:t>
      </w:r>
      <w:r w:rsidR="00167786" w:rsidRPr="00167786">
        <w:rPr>
          <w:rFonts w:ascii="Arial" w:eastAsia="Calibri" w:hAnsi="Arial" w:cs="Arial"/>
          <w:color w:val="000000"/>
          <w:lang w:eastAsia="es-ES"/>
        </w:rPr>
        <w:t>l grupo, subgrupo y categoría señalados</w:t>
      </w:r>
      <w:r>
        <w:rPr>
          <w:rFonts w:ascii="Arial" w:eastAsia="Calibri" w:hAnsi="Arial" w:cs="Arial"/>
          <w:color w:val="000000"/>
          <w:lang w:eastAsia="es-ES"/>
        </w:rPr>
        <w:t xml:space="preserve"> que se corresponda con lo indicado</w:t>
      </w:r>
      <w:r w:rsidR="00167786" w:rsidRPr="00167786">
        <w:rPr>
          <w:rFonts w:ascii="Arial" w:eastAsia="Calibri" w:hAnsi="Arial" w:cs="Arial"/>
          <w:color w:val="000000"/>
          <w:lang w:eastAsia="es-ES"/>
        </w:rPr>
        <w:t xml:space="preserve"> en la </w:t>
      </w:r>
      <w:r>
        <w:rPr>
          <w:rFonts w:ascii="Arial" w:eastAsia="Calibri" w:hAnsi="Arial" w:cs="Arial"/>
          <w:color w:val="000000"/>
          <w:lang w:eastAsia="es-ES"/>
        </w:rPr>
        <w:t>c</w:t>
      </w:r>
      <w:r w:rsidR="00167786" w:rsidRPr="00167786">
        <w:rPr>
          <w:rFonts w:ascii="Arial" w:eastAsia="Calibri" w:hAnsi="Arial" w:cs="Arial"/>
          <w:color w:val="000000"/>
          <w:lang w:eastAsia="es-ES"/>
        </w:rPr>
        <w:t>láusula</w:t>
      </w:r>
      <w:r>
        <w:rPr>
          <w:rFonts w:ascii="Arial" w:eastAsia="Calibri" w:hAnsi="Arial" w:cs="Arial"/>
          <w:color w:val="000000"/>
          <w:lang w:eastAsia="es-ES"/>
        </w:rPr>
        <w:t xml:space="preserve"> correspondiente del pliego de cláusulas administrativas particulares</w:t>
      </w:r>
      <w:r w:rsidR="00167786" w:rsidRPr="00167786">
        <w:rPr>
          <w:rFonts w:ascii="Arial" w:eastAsia="Calibri" w:hAnsi="Arial" w:cs="Arial"/>
          <w:color w:val="000000"/>
          <w:lang w:eastAsia="es-ES"/>
        </w:rPr>
        <w:t xml:space="preserve">, </w:t>
      </w:r>
      <w:r>
        <w:rPr>
          <w:rFonts w:ascii="Arial" w:eastAsia="Calibri" w:hAnsi="Arial" w:cs="Arial"/>
          <w:color w:val="000000"/>
          <w:lang w:eastAsia="es-ES"/>
        </w:rPr>
        <w:t>bastaría para acreditar tal extremo.</w:t>
      </w:r>
    </w:p>
    <w:p w14:paraId="38EA1EB6" w14:textId="77777777" w:rsidR="00167786" w:rsidRPr="00167786" w:rsidRDefault="00167786" w:rsidP="00167786">
      <w:pPr>
        <w:spacing w:after="0" w:line="240" w:lineRule="auto"/>
        <w:jc w:val="both"/>
        <w:rPr>
          <w:rFonts w:ascii="Arial" w:eastAsia="Calibri" w:hAnsi="Arial" w:cs="Arial"/>
          <w:color w:val="000000"/>
          <w:lang w:eastAsia="es-ES"/>
        </w:rPr>
      </w:pPr>
    </w:p>
    <w:p w14:paraId="08A8FB65" w14:textId="17B92E87" w:rsidR="00167786" w:rsidRPr="00167786" w:rsidRDefault="00D16FCF" w:rsidP="00167786">
      <w:pPr>
        <w:spacing w:after="0" w:line="240" w:lineRule="auto"/>
        <w:jc w:val="both"/>
        <w:rPr>
          <w:rFonts w:ascii="Arial" w:eastAsia="Calibri" w:hAnsi="Arial" w:cs="Arial"/>
          <w:color w:val="000000"/>
          <w:lang w:eastAsia="es-ES"/>
        </w:rPr>
      </w:pPr>
      <w:r>
        <w:rPr>
          <w:rFonts w:ascii="Arial" w:eastAsia="Calibri" w:hAnsi="Arial" w:cs="Arial"/>
          <w:color w:val="000000"/>
          <w:lang w:eastAsia="es-ES"/>
        </w:rPr>
        <w:t>Ello puede tener lugar mediante</w:t>
      </w:r>
      <w:r w:rsidR="00167786" w:rsidRPr="00167786">
        <w:rPr>
          <w:rFonts w:ascii="Arial" w:eastAsia="Calibri" w:hAnsi="Arial" w:cs="Arial"/>
          <w:color w:val="000000"/>
          <w:lang w:eastAsia="es-ES"/>
        </w:rPr>
        <w:t xml:space="preserve"> </w:t>
      </w:r>
      <w:r w:rsidR="00167786" w:rsidRPr="00167786">
        <w:rPr>
          <w:rFonts w:ascii="Arial" w:eastAsia="Calibri" w:hAnsi="Arial" w:cs="Arial"/>
          <w:color w:val="000000"/>
          <w:spacing w:val="-3"/>
          <w:lang w:eastAsia="es-ES"/>
        </w:rPr>
        <w:t>el ROLECE o Registro de Contratistas de la Comunidad Autónoma de Canarias o de la Comunidad Autónoma donde tenga radicada su domicilio social</w:t>
      </w:r>
      <w:r>
        <w:rPr>
          <w:rFonts w:ascii="Arial" w:eastAsia="Calibri" w:hAnsi="Arial" w:cs="Arial"/>
          <w:color w:val="000000"/>
          <w:spacing w:val="-3"/>
          <w:lang w:eastAsia="es-ES"/>
        </w:rPr>
        <w:t xml:space="preserve">, </w:t>
      </w:r>
      <w:r w:rsidR="00167786" w:rsidRPr="00167786">
        <w:rPr>
          <w:rFonts w:ascii="Arial" w:eastAsia="Calibri" w:hAnsi="Arial" w:cs="Arial"/>
          <w:color w:val="000000"/>
          <w:spacing w:val="-3"/>
          <w:lang w:eastAsia="es-ES"/>
        </w:rPr>
        <w:t xml:space="preserve">siempre que así </w:t>
      </w:r>
      <w:r>
        <w:rPr>
          <w:rFonts w:ascii="Arial" w:eastAsia="Calibri" w:hAnsi="Arial" w:cs="Arial"/>
          <w:color w:val="000000"/>
          <w:spacing w:val="-3"/>
          <w:lang w:eastAsia="es-ES"/>
        </w:rPr>
        <w:t xml:space="preserve">esté </w:t>
      </w:r>
      <w:r w:rsidR="00167786" w:rsidRPr="00167786">
        <w:rPr>
          <w:rFonts w:ascii="Arial" w:eastAsia="Calibri" w:hAnsi="Arial" w:cs="Arial"/>
          <w:color w:val="000000"/>
          <w:spacing w:val="-3"/>
          <w:lang w:eastAsia="es-ES"/>
        </w:rPr>
        <w:t>expresamente reflejado</w:t>
      </w:r>
      <w:r>
        <w:rPr>
          <w:rFonts w:ascii="Arial" w:eastAsia="Calibri" w:hAnsi="Arial" w:cs="Arial"/>
          <w:color w:val="000000"/>
          <w:spacing w:val="-3"/>
          <w:lang w:eastAsia="es-ES"/>
        </w:rPr>
        <w:t xml:space="preserve"> en este</w:t>
      </w:r>
      <w:r w:rsidR="00167786" w:rsidRPr="00167786">
        <w:rPr>
          <w:rFonts w:ascii="Arial" w:eastAsia="Calibri" w:hAnsi="Arial" w:cs="Arial"/>
          <w:color w:val="000000"/>
          <w:spacing w:val="-3"/>
          <w:lang w:eastAsia="es-ES"/>
        </w:rPr>
        <w:t xml:space="preserve"> y salvo prueba en contrario. </w:t>
      </w:r>
    </w:p>
    <w:p w14:paraId="55C10BE9" w14:textId="77777777" w:rsidR="00167786" w:rsidRPr="00167786" w:rsidRDefault="00167786" w:rsidP="00167786">
      <w:pPr>
        <w:spacing w:after="0" w:line="240" w:lineRule="auto"/>
        <w:rPr>
          <w:rFonts w:ascii="Calibri" w:eastAsia="Calibri" w:hAnsi="Calibri" w:cs="Calibri"/>
          <w:color w:val="000000"/>
          <w:lang w:eastAsia="es-ES"/>
        </w:rPr>
      </w:pPr>
    </w:p>
    <w:p w14:paraId="25ADBB7A" w14:textId="77777777" w:rsidR="00167786" w:rsidRPr="00167786" w:rsidRDefault="00167786" w:rsidP="00257CA8">
      <w:pPr>
        <w:pStyle w:val="NormalWeb"/>
        <w:shd w:val="clear" w:color="auto" w:fill="FFFFFF"/>
        <w:jc w:val="both"/>
      </w:pPr>
    </w:p>
    <w:p w14:paraId="4FA448A6" w14:textId="6C83EF8E" w:rsidR="00167786" w:rsidRPr="00167786" w:rsidRDefault="00167786" w:rsidP="00257CA8">
      <w:pPr>
        <w:pStyle w:val="NormalWeb"/>
        <w:shd w:val="clear" w:color="auto" w:fill="FFFFFF"/>
        <w:jc w:val="both"/>
      </w:pPr>
    </w:p>
    <w:p w14:paraId="283C2B27" w14:textId="68C05C05" w:rsidR="008B757A" w:rsidRPr="00167786" w:rsidRDefault="008B757A" w:rsidP="7BD9201F">
      <w:pPr>
        <w:spacing w:after="0" w:line="240" w:lineRule="auto"/>
        <w:jc w:val="both"/>
        <w:rPr>
          <w:rFonts w:ascii="Arial" w:eastAsia="Arial" w:hAnsi="Arial" w:cs="Arial"/>
        </w:rPr>
      </w:pPr>
    </w:p>
    <w:p w14:paraId="03D64195" w14:textId="1C0B06CF" w:rsidR="008B757A" w:rsidRPr="00167786" w:rsidRDefault="008B757A" w:rsidP="7BD9201F">
      <w:pPr>
        <w:spacing w:after="0" w:line="240" w:lineRule="auto"/>
        <w:jc w:val="both"/>
        <w:rPr>
          <w:rFonts w:ascii="Arial" w:eastAsia="Arial" w:hAnsi="Arial" w:cs="Arial"/>
        </w:rPr>
      </w:pPr>
    </w:p>
    <w:p w14:paraId="0A20FD8E" w14:textId="419BB2FF" w:rsidR="008B757A" w:rsidRPr="00167786" w:rsidRDefault="008B757A" w:rsidP="7BD9201F">
      <w:pPr>
        <w:spacing w:after="0" w:line="240" w:lineRule="auto"/>
        <w:jc w:val="both"/>
        <w:rPr>
          <w:rFonts w:ascii="Arial" w:eastAsia="Arial" w:hAnsi="Arial" w:cs="Arial"/>
        </w:rPr>
      </w:pPr>
    </w:p>
    <w:p w14:paraId="5DBCEBBE" w14:textId="6767C50F" w:rsidR="008B757A" w:rsidRPr="00167786" w:rsidRDefault="008B757A" w:rsidP="7BD9201F">
      <w:pPr>
        <w:spacing w:after="0" w:line="240" w:lineRule="auto"/>
        <w:jc w:val="both"/>
        <w:rPr>
          <w:rFonts w:ascii="Arial" w:eastAsia="Arial" w:hAnsi="Arial" w:cs="Arial"/>
        </w:rPr>
      </w:pPr>
    </w:p>
    <w:p w14:paraId="7014DB01" w14:textId="0654A388" w:rsidR="008B757A" w:rsidRPr="00167786" w:rsidRDefault="008B757A" w:rsidP="7BD9201F">
      <w:pPr>
        <w:spacing w:after="0" w:line="240" w:lineRule="auto"/>
        <w:jc w:val="both"/>
        <w:rPr>
          <w:rFonts w:ascii="Arial" w:eastAsia="Arial" w:hAnsi="Arial" w:cs="Arial"/>
        </w:rPr>
      </w:pPr>
    </w:p>
    <w:p w14:paraId="3259BCA2" w14:textId="212AADC7" w:rsidR="008B757A" w:rsidRPr="00167786" w:rsidRDefault="008B757A" w:rsidP="7BD9201F">
      <w:pPr>
        <w:spacing w:after="0" w:line="240" w:lineRule="auto"/>
        <w:jc w:val="both"/>
        <w:rPr>
          <w:rFonts w:ascii="Arial" w:eastAsia="Arial" w:hAnsi="Arial" w:cs="Arial"/>
        </w:rPr>
      </w:pPr>
    </w:p>
    <w:p w14:paraId="5C32EB33" w14:textId="5B9D9F30" w:rsidR="008B757A" w:rsidRPr="00167786" w:rsidRDefault="008B757A" w:rsidP="7BD9201F">
      <w:pPr>
        <w:spacing w:after="0" w:line="240" w:lineRule="auto"/>
        <w:rPr>
          <w:rFonts w:ascii="Arial" w:eastAsia="Calibri" w:hAnsi="Arial" w:cs="Arial"/>
          <w:i/>
          <w:iCs/>
        </w:rPr>
      </w:pPr>
    </w:p>
    <w:p w14:paraId="4C38D6A4" w14:textId="77777777" w:rsidR="008B757A" w:rsidRPr="00167786" w:rsidRDefault="008B757A" w:rsidP="00414FE8">
      <w:pPr>
        <w:spacing w:after="0" w:line="240" w:lineRule="auto"/>
        <w:rPr>
          <w:rFonts w:ascii="Arial" w:eastAsia="Calibri" w:hAnsi="Arial" w:cs="Arial"/>
        </w:rPr>
      </w:pPr>
    </w:p>
    <w:p w14:paraId="1145BEAC" w14:textId="65572D9D" w:rsidR="00D70821" w:rsidRPr="00167786" w:rsidRDefault="00D70821" w:rsidP="008D4B63">
      <w:pPr>
        <w:pStyle w:val="NormalWeb"/>
        <w:shd w:val="clear" w:color="auto" w:fill="FFFFFF"/>
        <w:spacing w:before="240" w:after="240" w:line="257" w:lineRule="atLeast"/>
        <w:jc w:val="both"/>
        <w:rPr>
          <w:rFonts w:ascii="Arial" w:hAnsi="Arial" w:cs="Arial"/>
          <w:color w:val="000000"/>
        </w:rPr>
      </w:pPr>
    </w:p>
    <w:sectPr w:rsidR="00D70821" w:rsidRPr="00167786">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183E" w14:textId="77777777" w:rsidR="002244A2" w:rsidRDefault="002244A2" w:rsidP="00D9561F">
      <w:pPr>
        <w:spacing w:after="0" w:line="240" w:lineRule="auto"/>
      </w:pPr>
      <w:r>
        <w:separator/>
      </w:r>
    </w:p>
  </w:endnote>
  <w:endnote w:type="continuationSeparator" w:id="0">
    <w:p w14:paraId="7EBE0CDD" w14:textId="77777777" w:rsidR="002244A2" w:rsidRDefault="002244A2" w:rsidP="00D9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E016" w14:textId="77777777" w:rsidR="002244A2" w:rsidRDefault="002244A2" w:rsidP="00D9561F">
      <w:pPr>
        <w:spacing w:after="0" w:line="240" w:lineRule="auto"/>
      </w:pPr>
      <w:r>
        <w:separator/>
      </w:r>
    </w:p>
  </w:footnote>
  <w:footnote w:type="continuationSeparator" w:id="0">
    <w:p w14:paraId="57EB537B" w14:textId="77777777" w:rsidR="002244A2" w:rsidRDefault="002244A2" w:rsidP="00D9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CC94" w14:textId="15A8069C" w:rsidR="00D9561F" w:rsidRDefault="00D9561F">
    <w:pPr>
      <w:pStyle w:val="Encabezado"/>
    </w:pPr>
    <w:r>
      <w:rPr>
        <w:noProof/>
      </w:rPr>
      <w:drawing>
        <wp:anchor distT="0" distB="0" distL="114300" distR="114300" simplePos="0" relativeHeight="251661312" behindDoc="0" locked="0" layoutInCell="1" allowOverlap="1" wp14:anchorId="70F5F98E" wp14:editId="56F096C6">
          <wp:simplePos x="0" y="0"/>
          <wp:positionH relativeFrom="page">
            <wp:align>left</wp:align>
          </wp:positionH>
          <wp:positionV relativeFrom="paragraph">
            <wp:posOffset>-316865</wp:posOffset>
          </wp:positionV>
          <wp:extent cx="8072120" cy="1134110"/>
          <wp:effectExtent l="0" t="0" r="0" b="0"/>
          <wp:wrapSquare wrapText="bothSides"/>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120" cy="1134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DA"/>
    <w:multiLevelType w:val="multilevel"/>
    <w:tmpl w:val="D4EA9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506A7"/>
    <w:multiLevelType w:val="multilevel"/>
    <w:tmpl w:val="D48CB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448EE"/>
    <w:multiLevelType w:val="multilevel"/>
    <w:tmpl w:val="2C482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C777B"/>
    <w:multiLevelType w:val="multilevel"/>
    <w:tmpl w:val="04B8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B5D3D"/>
    <w:multiLevelType w:val="multilevel"/>
    <w:tmpl w:val="7856E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76D9E"/>
    <w:multiLevelType w:val="multilevel"/>
    <w:tmpl w:val="0FDA5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45B25"/>
    <w:multiLevelType w:val="multilevel"/>
    <w:tmpl w:val="A31C1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107C6"/>
    <w:multiLevelType w:val="multilevel"/>
    <w:tmpl w:val="D8840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05492D"/>
    <w:multiLevelType w:val="multilevel"/>
    <w:tmpl w:val="0C6A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17D3"/>
    <w:multiLevelType w:val="hybridMultilevel"/>
    <w:tmpl w:val="50181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ED0964"/>
    <w:multiLevelType w:val="multilevel"/>
    <w:tmpl w:val="F90A7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D811A2"/>
    <w:multiLevelType w:val="multilevel"/>
    <w:tmpl w:val="34A4F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A4ABA"/>
    <w:multiLevelType w:val="multilevel"/>
    <w:tmpl w:val="FCFAC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2A17A3"/>
    <w:multiLevelType w:val="hybridMultilevel"/>
    <w:tmpl w:val="66D428F0"/>
    <w:lvl w:ilvl="0" w:tplc="E1E8479E">
      <w:start w:val="1"/>
      <w:numFmt w:val="decimal"/>
      <w:lvlText w:val="%1."/>
      <w:lvlJc w:val="left"/>
      <w:pPr>
        <w:ind w:left="720" w:hanging="360"/>
      </w:pPr>
      <w:rPr>
        <w:rFonts w:hint="default"/>
        <w:b w:val="0"/>
        <w:bCs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429837">
    <w:abstractNumId w:val="13"/>
  </w:num>
  <w:num w:numId="2" w16cid:durableId="28264790">
    <w:abstractNumId w:val="9"/>
  </w:num>
  <w:num w:numId="3" w16cid:durableId="462310767">
    <w:abstractNumId w:val="12"/>
  </w:num>
  <w:num w:numId="4" w16cid:durableId="1514028983">
    <w:abstractNumId w:val="4"/>
  </w:num>
  <w:num w:numId="5" w16cid:durableId="189924960">
    <w:abstractNumId w:val="8"/>
  </w:num>
  <w:num w:numId="6" w16cid:durableId="30568816">
    <w:abstractNumId w:val="2"/>
  </w:num>
  <w:num w:numId="7" w16cid:durableId="213394529">
    <w:abstractNumId w:val="7"/>
  </w:num>
  <w:num w:numId="8" w16cid:durableId="1850869395">
    <w:abstractNumId w:val="0"/>
  </w:num>
  <w:num w:numId="9" w16cid:durableId="1280912187">
    <w:abstractNumId w:val="6"/>
  </w:num>
  <w:num w:numId="10" w16cid:durableId="1682124320">
    <w:abstractNumId w:val="11"/>
  </w:num>
  <w:num w:numId="11" w16cid:durableId="1278876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3175524">
    <w:abstractNumId w:val="10"/>
  </w:num>
  <w:num w:numId="13" w16cid:durableId="1815368102">
    <w:abstractNumId w:val="1"/>
  </w:num>
  <w:num w:numId="14" w16cid:durableId="154108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1F"/>
    <w:rsid w:val="00133E3D"/>
    <w:rsid w:val="00152B42"/>
    <w:rsid w:val="00167786"/>
    <w:rsid w:val="002244A2"/>
    <w:rsid w:val="00224C1E"/>
    <w:rsid w:val="00255C75"/>
    <w:rsid w:val="00257CA8"/>
    <w:rsid w:val="002D3491"/>
    <w:rsid w:val="003A6C94"/>
    <w:rsid w:val="003F2468"/>
    <w:rsid w:val="00414FE8"/>
    <w:rsid w:val="0044108F"/>
    <w:rsid w:val="004637EB"/>
    <w:rsid w:val="00476073"/>
    <w:rsid w:val="004B408E"/>
    <w:rsid w:val="00511D16"/>
    <w:rsid w:val="005305D7"/>
    <w:rsid w:val="0055195C"/>
    <w:rsid w:val="00556FCB"/>
    <w:rsid w:val="005B3FCE"/>
    <w:rsid w:val="005E59AD"/>
    <w:rsid w:val="006219C8"/>
    <w:rsid w:val="00626018"/>
    <w:rsid w:val="00645591"/>
    <w:rsid w:val="006666E8"/>
    <w:rsid w:val="006D569A"/>
    <w:rsid w:val="007E3412"/>
    <w:rsid w:val="007E3F36"/>
    <w:rsid w:val="007F3241"/>
    <w:rsid w:val="0081423B"/>
    <w:rsid w:val="008657B2"/>
    <w:rsid w:val="00872DF6"/>
    <w:rsid w:val="008B757A"/>
    <w:rsid w:val="008D4B63"/>
    <w:rsid w:val="009040D4"/>
    <w:rsid w:val="00906EC7"/>
    <w:rsid w:val="00960687"/>
    <w:rsid w:val="00963A59"/>
    <w:rsid w:val="00997287"/>
    <w:rsid w:val="009F4E37"/>
    <w:rsid w:val="00A02DBF"/>
    <w:rsid w:val="00A13767"/>
    <w:rsid w:val="00A70E77"/>
    <w:rsid w:val="00A8761E"/>
    <w:rsid w:val="00AC0240"/>
    <w:rsid w:val="00AD44BA"/>
    <w:rsid w:val="00AF260B"/>
    <w:rsid w:val="00B55B16"/>
    <w:rsid w:val="00B66311"/>
    <w:rsid w:val="00B90CA3"/>
    <w:rsid w:val="00BB0DE2"/>
    <w:rsid w:val="00C30685"/>
    <w:rsid w:val="00C644C4"/>
    <w:rsid w:val="00C95E1C"/>
    <w:rsid w:val="00CA6CE8"/>
    <w:rsid w:val="00CC4331"/>
    <w:rsid w:val="00D1097C"/>
    <w:rsid w:val="00D16FCF"/>
    <w:rsid w:val="00D407D8"/>
    <w:rsid w:val="00D5190E"/>
    <w:rsid w:val="00D70821"/>
    <w:rsid w:val="00D9561F"/>
    <w:rsid w:val="00D973FD"/>
    <w:rsid w:val="00E463A0"/>
    <w:rsid w:val="00EC7646"/>
    <w:rsid w:val="00ED6C28"/>
    <w:rsid w:val="00F234C0"/>
    <w:rsid w:val="00F532A4"/>
    <w:rsid w:val="00F56D83"/>
    <w:rsid w:val="00FA2441"/>
    <w:rsid w:val="08BE61BE"/>
    <w:rsid w:val="252E12E0"/>
    <w:rsid w:val="2B47EBEC"/>
    <w:rsid w:val="2FC8B819"/>
    <w:rsid w:val="346430B2"/>
    <w:rsid w:val="3C315539"/>
    <w:rsid w:val="40663910"/>
    <w:rsid w:val="4A2A5F47"/>
    <w:rsid w:val="4BF4F218"/>
    <w:rsid w:val="55A77216"/>
    <w:rsid w:val="56C8F5DF"/>
    <w:rsid w:val="57996E43"/>
    <w:rsid w:val="57AF2E7C"/>
    <w:rsid w:val="5B89D658"/>
    <w:rsid w:val="6A7B657C"/>
    <w:rsid w:val="7BD9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9DEB"/>
  <w15:chartTrackingRefBased/>
  <w15:docId w15:val="{A87C8869-7DCA-42B3-9236-17E5D04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56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61F"/>
  </w:style>
  <w:style w:type="paragraph" w:styleId="Piedepgina">
    <w:name w:val="footer"/>
    <w:basedOn w:val="Normal"/>
    <w:link w:val="PiedepginaCar"/>
    <w:uiPriority w:val="99"/>
    <w:unhideWhenUsed/>
    <w:rsid w:val="00D956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61F"/>
  </w:style>
  <w:style w:type="paragraph" w:styleId="Prrafodelista">
    <w:name w:val="List Paragraph"/>
    <w:basedOn w:val="Normal"/>
    <w:uiPriority w:val="34"/>
    <w:qFormat/>
    <w:rsid w:val="00D9561F"/>
    <w:pPr>
      <w:ind w:left="720"/>
      <w:contextualSpacing/>
    </w:pPr>
  </w:style>
  <w:style w:type="paragraph" w:styleId="Textosinformato">
    <w:name w:val="Plain Text"/>
    <w:basedOn w:val="Normal"/>
    <w:link w:val="TextosinformatoCar"/>
    <w:uiPriority w:val="99"/>
    <w:unhideWhenUsed/>
    <w:rsid w:val="00B90CA3"/>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B90CA3"/>
    <w:rPr>
      <w:rFonts w:ascii="Calibri" w:eastAsia="Times New Roman" w:hAnsi="Calibri" w:cs="Times New Roman"/>
      <w:szCs w:val="21"/>
    </w:rPr>
  </w:style>
  <w:style w:type="character" w:styleId="Hipervnculo">
    <w:name w:val="Hyperlink"/>
    <w:basedOn w:val="Fuentedeprrafopredeter"/>
    <w:uiPriority w:val="99"/>
    <w:unhideWhenUsed/>
    <w:rsid w:val="00963A59"/>
    <w:rPr>
      <w:color w:val="0563C1"/>
      <w:u w:val="single"/>
    </w:rPr>
  </w:style>
  <w:style w:type="paragraph" w:customStyle="1" w:styleId="xmsonormal">
    <w:name w:val="x_msonormal"/>
    <w:basedOn w:val="Normal"/>
    <w:rsid w:val="004B408E"/>
    <w:pPr>
      <w:spacing w:after="0" w:line="240" w:lineRule="auto"/>
    </w:pPr>
    <w:rPr>
      <w:rFonts w:ascii="Calibri" w:hAnsi="Calibri" w:cs="Calibri"/>
      <w:lang w:eastAsia="es-ES"/>
    </w:rPr>
  </w:style>
  <w:style w:type="paragraph" w:styleId="NormalWeb">
    <w:name w:val="Normal (Web)"/>
    <w:basedOn w:val="Normal"/>
    <w:uiPriority w:val="99"/>
    <w:unhideWhenUsed/>
    <w:rsid w:val="00C644C4"/>
    <w:pPr>
      <w:spacing w:after="0" w:line="240" w:lineRule="auto"/>
    </w:pPr>
    <w:rPr>
      <w:rFonts w:ascii="Calibri" w:hAnsi="Calibri" w:cs="Calibri"/>
      <w:lang w:eastAsia="es-ES"/>
    </w:rPr>
  </w:style>
  <w:style w:type="table" w:styleId="Tablaconcuadrcula">
    <w:name w:val="Table Grid"/>
    <w:basedOn w:val="Tablanormal"/>
    <w:uiPriority w:val="39"/>
    <w:rsid w:val="00D7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1423B"/>
    <w:rPr>
      <w:color w:val="605E5C"/>
      <w:shd w:val="clear" w:color="auto" w:fill="E1DFDD"/>
    </w:rPr>
  </w:style>
  <w:style w:type="character" w:styleId="Refdecomentario">
    <w:name w:val="annotation reference"/>
    <w:basedOn w:val="Fuentedeprrafopredeter"/>
    <w:uiPriority w:val="99"/>
    <w:semiHidden/>
    <w:unhideWhenUsed/>
    <w:rsid w:val="0055195C"/>
    <w:rPr>
      <w:sz w:val="16"/>
      <w:szCs w:val="16"/>
    </w:rPr>
  </w:style>
  <w:style w:type="paragraph" w:styleId="Textocomentario">
    <w:name w:val="annotation text"/>
    <w:basedOn w:val="Normal"/>
    <w:link w:val="TextocomentarioCar"/>
    <w:uiPriority w:val="99"/>
    <w:unhideWhenUsed/>
    <w:rsid w:val="0055195C"/>
    <w:pPr>
      <w:spacing w:line="240" w:lineRule="auto"/>
    </w:pPr>
    <w:rPr>
      <w:sz w:val="20"/>
      <w:szCs w:val="20"/>
    </w:rPr>
  </w:style>
  <w:style w:type="character" w:customStyle="1" w:styleId="TextocomentarioCar">
    <w:name w:val="Texto comentario Car"/>
    <w:basedOn w:val="Fuentedeprrafopredeter"/>
    <w:link w:val="Textocomentario"/>
    <w:uiPriority w:val="99"/>
    <w:rsid w:val="0055195C"/>
    <w:rPr>
      <w:sz w:val="20"/>
      <w:szCs w:val="20"/>
    </w:rPr>
  </w:style>
  <w:style w:type="paragraph" w:styleId="Asuntodelcomentario">
    <w:name w:val="annotation subject"/>
    <w:basedOn w:val="Textocomentario"/>
    <w:next w:val="Textocomentario"/>
    <w:link w:val="AsuntodelcomentarioCar"/>
    <w:uiPriority w:val="99"/>
    <w:semiHidden/>
    <w:unhideWhenUsed/>
    <w:rsid w:val="0055195C"/>
    <w:rPr>
      <w:b/>
      <w:bCs/>
    </w:rPr>
  </w:style>
  <w:style w:type="character" w:customStyle="1" w:styleId="AsuntodelcomentarioCar">
    <w:name w:val="Asunto del comentario Car"/>
    <w:basedOn w:val="TextocomentarioCar"/>
    <w:link w:val="Asuntodelcomentario"/>
    <w:uiPriority w:val="99"/>
    <w:semiHidden/>
    <w:rsid w:val="00551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268">
      <w:bodyDiv w:val="1"/>
      <w:marLeft w:val="0"/>
      <w:marRight w:val="0"/>
      <w:marTop w:val="0"/>
      <w:marBottom w:val="0"/>
      <w:divBdr>
        <w:top w:val="none" w:sz="0" w:space="0" w:color="auto"/>
        <w:left w:val="none" w:sz="0" w:space="0" w:color="auto"/>
        <w:bottom w:val="none" w:sz="0" w:space="0" w:color="auto"/>
        <w:right w:val="none" w:sz="0" w:space="0" w:color="auto"/>
      </w:divBdr>
    </w:div>
    <w:div w:id="218446473">
      <w:bodyDiv w:val="1"/>
      <w:marLeft w:val="0"/>
      <w:marRight w:val="0"/>
      <w:marTop w:val="0"/>
      <w:marBottom w:val="0"/>
      <w:divBdr>
        <w:top w:val="none" w:sz="0" w:space="0" w:color="auto"/>
        <w:left w:val="none" w:sz="0" w:space="0" w:color="auto"/>
        <w:bottom w:val="none" w:sz="0" w:space="0" w:color="auto"/>
        <w:right w:val="none" w:sz="0" w:space="0" w:color="auto"/>
      </w:divBdr>
    </w:div>
    <w:div w:id="326589815">
      <w:bodyDiv w:val="1"/>
      <w:marLeft w:val="0"/>
      <w:marRight w:val="0"/>
      <w:marTop w:val="0"/>
      <w:marBottom w:val="0"/>
      <w:divBdr>
        <w:top w:val="none" w:sz="0" w:space="0" w:color="auto"/>
        <w:left w:val="none" w:sz="0" w:space="0" w:color="auto"/>
        <w:bottom w:val="none" w:sz="0" w:space="0" w:color="auto"/>
        <w:right w:val="none" w:sz="0" w:space="0" w:color="auto"/>
      </w:divBdr>
    </w:div>
    <w:div w:id="416364701">
      <w:bodyDiv w:val="1"/>
      <w:marLeft w:val="0"/>
      <w:marRight w:val="0"/>
      <w:marTop w:val="0"/>
      <w:marBottom w:val="0"/>
      <w:divBdr>
        <w:top w:val="none" w:sz="0" w:space="0" w:color="auto"/>
        <w:left w:val="none" w:sz="0" w:space="0" w:color="auto"/>
        <w:bottom w:val="none" w:sz="0" w:space="0" w:color="auto"/>
        <w:right w:val="none" w:sz="0" w:space="0" w:color="auto"/>
      </w:divBdr>
    </w:div>
    <w:div w:id="424346052">
      <w:bodyDiv w:val="1"/>
      <w:marLeft w:val="0"/>
      <w:marRight w:val="0"/>
      <w:marTop w:val="0"/>
      <w:marBottom w:val="0"/>
      <w:divBdr>
        <w:top w:val="none" w:sz="0" w:space="0" w:color="auto"/>
        <w:left w:val="none" w:sz="0" w:space="0" w:color="auto"/>
        <w:bottom w:val="none" w:sz="0" w:space="0" w:color="auto"/>
        <w:right w:val="none" w:sz="0" w:space="0" w:color="auto"/>
      </w:divBdr>
    </w:div>
    <w:div w:id="568421948">
      <w:bodyDiv w:val="1"/>
      <w:marLeft w:val="0"/>
      <w:marRight w:val="0"/>
      <w:marTop w:val="0"/>
      <w:marBottom w:val="0"/>
      <w:divBdr>
        <w:top w:val="none" w:sz="0" w:space="0" w:color="auto"/>
        <w:left w:val="none" w:sz="0" w:space="0" w:color="auto"/>
        <w:bottom w:val="none" w:sz="0" w:space="0" w:color="auto"/>
        <w:right w:val="none" w:sz="0" w:space="0" w:color="auto"/>
      </w:divBdr>
    </w:div>
    <w:div w:id="626014005">
      <w:bodyDiv w:val="1"/>
      <w:marLeft w:val="0"/>
      <w:marRight w:val="0"/>
      <w:marTop w:val="0"/>
      <w:marBottom w:val="0"/>
      <w:divBdr>
        <w:top w:val="none" w:sz="0" w:space="0" w:color="auto"/>
        <w:left w:val="none" w:sz="0" w:space="0" w:color="auto"/>
        <w:bottom w:val="none" w:sz="0" w:space="0" w:color="auto"/>
        <w:right w:val="none" w:sz="0" w:space="0" w:color="auto"/>
      </w:divBdr>
    </w:div>
    <w:div w:id="679938331">
      <w:bodyDiv w:val="1"/>
      <w:marLeft w:val="0"/>
      <w:marRight w:val="0"/>
      <w:marTop w:val="0"/>
      <w:marBottom w:val="0"/>
      <w:divBdr>
        <w:top w:val="none" w:sz="0" w:space="0" w:color="auto"/>
        <w:left w:val="none" w:sz="0" w:space="0" w:color="auto"/>
        <w:bottom w:val="none" w:sz="0" w:space="0" w:color="auto"/>
        <w:right w:val="none" w:sz="0" w:space="0" w:color="auto"/>
      </w:divBdr>
    </w:div>
    <w:div w:id="727067996">
      <w:bodyDiv w:val="1"/>
      <w:marLeft w:val="0"/>
      <w:marRight w:val="0"/>
      <w:marTop w:val="0"/>
      <w:marBottom w:val="0"/>
      <w:divBdr>
        <w:top w:val="none" w:sz="0" w:space="0" w:color="auto"/>
        <w:left w:val="none" w:sz="0" w:space="0" w:color="auto"/>
        <w:bottom w:val="none" w:sz="0" w:space="0" w:color="auto"/>
        <w:right w:val="none" w:sz="0" w:space="0" w:color="auto"/>
      </w:divBdr>
    </w:div>
    <w:div w:id="884178110">
      <w:bodyDiv w:val="1"/>
      <w:marLeft w:val="0"/>
      <w:marRight w:val="0"/>
      <w:marTop w:val="0"/>
      <w:marBottom w:val="0"/>
      <w:divBdr>
        <w:top w:val="none" w:sz="0" w:space="0" w:color="auto"/>
        <w:left w:val="none" w:sz="0" w:space="0" w:color="auto"/>
        <w:bottom w:val="none" w:sz="0" w:space="0" w:color="auto"/>
        <w:right w:val="none" w:sz="0" w:space="0" w:color="auto"/>
      </w:divBdr>
    </w:div>
    <w:div w:id="947664207">
      <w:bodyDiv w:val="1"/>
      <w:marLeft w:val="0"/>
      <w:marRight w:val="0"/>
      <w:marTop w:val="0"/>
      <w:marBottom w:val="0"/>
      <w:divBdr>
        <w:top w:val="none" w:sz="0" w:space="0" w:color="auto"/>
        <w:left w:val="none" w:sz="0" w:space="0" w:color="auto"/>
        <w:bottom w:val="none" w:sz="0" w:space="0" w:color="auto"/>
        <w:right w:val="none" w:sz="0" w:space="0" w:color="auto"/>
      </w:divBdr>
    </w:div>
    <w:div w:id="953828220">
      <w:bodyDiv w:val="1"/>
      <w:marLeft w:val="0"/>
      <w:marRight w:val="0"/>
      <w:marTop w:val="0"/>
      <w:marBottom w:val="0"/>
      <w:divBdr>
        <w:top w:val="none" w:sz="0" w:space="0" w:color="auto"/>
        <w:left w:val="none" w:sz="0" w:space="0" w:color="auto"/>
        <w:bottom w:val="none" w:sz="0" w:space="0" w:color="auto"/>
        <w:right w:val="none" w:sz="0" w:space="0" w:color="auto"/>
      </w:divBdr>
    </w:div>
    <w:div w:id="1019508998">
      <w:bodyDiv w:val="1"/>
      <w:marLeft w:val="0"/>
      <w:marRight w:val="0"/>
      <w:marTop w:val="0"/>
      <w:marBottom w:val="0"/>
      <w:divBdr>
        <w:top w:val="none" w:sz="0" w:space="0" w:color="auto"/>
        <w:left w:val="none" w:sz="0" w:space="0" w:color="auto"/>
        <w:bottom w:val="none" w:sz="0" w:space="0" w:color="auto"/>
        <w:right w:val="none" w:sz="0" w:space="0" w:color="auto"/>
      </w:divBdr>
    </w:div>
    <w:div w:id="1145438398">
      <w:bodyDiv w:val="1"/>
      <w:marLeft w:val="0"/>
      <w:marRight w:val="0"/>
      <w:marTop w:val="0"/>
      <w:marBottom w:val="0"/>
      <w:divBdr>
        <w:top w:val="none" w:sz="0" w:space="0" w:color="auto"/>
        <w:left w:val="none" w:sz="0" w:space="0" w:color="auto"/>
        <w:bottom w:val="none" w:sz="0" w:space="0" w:color="auto"/>
        <w:right w:val="none" w:sz="0" w:space="0" w:color="auto"/>
      </w:divBdr>
    </w:div>
    <w:div w:id="1230727191">
      <w:bodyDiv w:val="1"/>
      <w:marLeft w:val="0"/>
      <w:marRight w:val="0"/>
      <w:marTop w:val="0"/>
      <w:marBottom w:val="0"/>
      <w:divBdr>
        <w:top w:val="none" w:sz="0" w:space="0" w:color="auto"/>
        <w:left w:val="none" w:sz="0" w:space="0" w:color="auto"/>
        <w:bottom w:val="none" w:sz="0" w:space="0" w:color="auto"/>
        <w:right w:val="none" w:sz="0" w:space="0" w:color="auto"/>
      </w:divBdr>
    </w:div>
    <w:div w:id="1244802970">
      <w:bodyDiv w:val="1"/>
      <w:marLeft w:val="0"/>
      <w:marRight w:val="0"/>
      <w:marTop w:val="0"/>
      <w:marBottom w:val="0"/>
      <w:divBdr>
        <w:top w:val="none" w:sz="0" w:space="0" w:color="auto"/>
        <w:left w:val="none" w:sz="0" w:space="0" w:color="auto"/>
        <w:bottom w:val="none" w:sz="0" w:space="0" w:color="auto"/>
        <w:right w:val="none" w:sz="0" w:space="0" w:color="auto"/>
      </w:divBdr>
    </w:div>
    <w:div w:id="1344210054">
      <w:bodyDiv w:val="1"/>
      <w:marLeft w:val="0"/>
      <w:marRight w:val="0"/>
      <w:marTop w:val="0"/>
      <w:marBottom w:val="0"/>
      <w:divBdr>
        <w:top w:val="none" w:sz="0" w:space="0" w:color="auto"/>
        <w:left w:val="none" w:sz="0" w:space="0" w:color="auto"/>
        <w:bottom w:val="none" w:sz="0" w:space="0" w:color="auto"/>
        <w:right w:val="none" w:sz="0" w:space="0" w:color="auto"/>
      </w:divBdr>
    </w:div>
    <w:div w:id="1463646715">
      <w:bodyDiv w:val="1"/>
      <w:marLeft w:val="0"/>
      <w:marRight w:val="0"/>
      <w:marTop w:val="0"/>
      <w:marBottom w:val="0"/>
      <w:divBdr>
        <w:top w:val="none" w:sz="0" w:space="0" w:color="auto"/>
        <w:left w:val="none" w:sz="0" w:space="0" w:color="auto"/>
        <w:bottom w:val="none" w:sz="0" w:space="0" w:color="auto"/>
        <w:right w:val="none" w:sz="0" w:space="0" w:color="auto"/>
      </w:divBdr>
    </w:div>
    <w:div w:id="1480880234">
      <w:bodyDiv w:val="1"/>
      <w:marLeft w:val="0"/>
      <w:marRight w:val="0"/>
      <w:marTop w:val="0"/>
      <w:marBottom w:val="0"/>
      <w:divBdr>
        <w:top w:val="none" w:sz="0" w:space="0" w:color="auto"/>
        <w:left w:val="none" w:sz="0" w:space="0" w:color="auto"/>
        <w:bottom w:val="none" w:sz="0" w:space="0" w:color="auto"/>
        <w:right w:val="none" w:sz="0" w:space="0" w:color="auto"/>
      </w:divBdr>
    </w:div>
    <w:div w:id="1761485325">
      <w:bodyDiv w:val="1"/>
      <w:marLeft w:val="0"/>
      <w:marRight w:val="0"/>
      <w:marTop w:val="0"/>
      <w:marBottom w:val="0"/>
      <w:divBdr>
        <w:top w:val="none" w:sz="0" w:space="0" w:color="auto"/>
        <w:left w:val="none" w:sz="0" w:space="0" w:color="auto"/>
        <w:bottom w:val="none" w:sz="0" w:space="0" w:color="auto"/>
        <w:right w:val="none" w:sz="0" w:space="0" w:color="auto"/>
      </w:divBdr>
    </w:div>
    <w:div w:id="1838039371">
      <w:bodyDiv w:val="1"/>
      <w:marLeft w:val="0"/>
      <w:marRight w:val="0"/>
      <w:marTop w:val="0"/>
      <w:marBottom w:val="0"/>
      <w:divBdr>
        <w:top w:val="none" w:sz="0" w:space="0" w:color="auto"/>
        <w:left w:val="none" w:sz="0" w:space="0" w:color="auto"/>
        <w:bottom w:val="none" w:sz="0" w:space="0" w:color="auto"/>
        <w:right w:val="none" w:sz="0" w:space="0" w:color="auto"/>
      </w:divBdr>
    </w:div>
    <w:div w:id="1940749312">
      <w:bodyDiv w:val="1"/>
      <w:marLeft w:val="0"/>
      <w:marRight w:val="0"/>
      <w:marTop w:val="0"/>
      <w:marBottom w:val="0"/>
      <w:divBdr>
        <w:top w:val="none" w:sz="0" w:space="0" w:color="auto"/>
        <w:left w:val="none" w:sz="0" w:space="0" w:color="auto"/>
        <w:bottom w:val="none" w:sz="0" w:space="0" w:color="auto"/>
        <w:right w:val="none" w:sz="0" w:space="0" w:color="auto"/>
      </w:divBdr>
    </w:div>
    <w:div w:id="1996954584">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
    <w:div w:id="20998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cion.turismodeislascanaria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citacion.turismodeislascanarias.com" TargetMode="External"/><Relationship Id="rId12" Type="http://schemas.openxmlformats.org/officeDocument/2006/relationships/image" Target="cid:image002.png@01D85980.99B6F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85980.67C2B85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9081</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Labrador García</dc:creator>
  <cp:keywords/>
  <dc:description/>
  <cp:lastModifiedBy>Marlene Pérez Alfonso</cp:lastModifiedBy>
  <cp:revision>2</cp:revision>
  <dcterms:created xsi:type="dcterms:W3CDTF">2023-10-30T12:49:00Z</dcterms:created>
  <dcterms:modified xsi:type="dcterms:W3CDTF">2023-10-30T12:49:00Z</dcterms:modified>
</cp:coreProperties>
</file>