
<file path=[Content_Types].xml><?xml version="1.0" encoding="utf-8"?>
<Types xmlns="http://schemas.openxmlformats.org/package/2006/content-types">
  <Default Extension="emf" ContentType="image/x-emf"/>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2.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7CD108" w14:textId="77777777" w:rsidR="00022891" w:rsidRDefault="00022891" w:rsidP="00052BF5">
      <w:pPr>
        <w:widowControl w:val="0"/>
        <w:tabs>
          <w:tab w:val="left" w:pos="737"/>
          <w:tab w:val="left" w:pos="1474"/>
          <w:tab w:val="left" w:pos="2324"/>
          <w:tab w:val="left" w:pos="4320"/>
          <w:tab w:val="left" w:pos="5040"/>
          <w:tab w:val="left" w:pos="5760"/>
          <w:tab w:val="left" w:pos="6480"/>
          <w:tab w:val="decimal" w:pos="6520"/>
          <w:tab w:val="left" w:pos="7200"/>
          <w:tab w:val="left" w:pos="7920"/>
          <w:tab w:val="right" w:pos="8505"/>
          <w:tab w:val="left" w:pos="8640"/>
        </w:tabs>
        <w:outlineLvl w:val="9"/>
        <w:rPr>
          <w:b/>
          <w:snapToGrid w:val="0"/>
          <w:sz w:val="20"/>
        </w:rPr>
      </w:pPr>
    </w:p>
    <w:p w14:paraId="2C6BC66C" w14:textId="77777777" w:rsidR="00022891" w:rsidRDefault="00022891" w:rsidP="00052BF5">
      <w:pPr>
        <w:widowControl w:val="0"/>
        <w:tabs>
          <w:tab w:val="left" w:pos="737"/>
          <w:tab w:val="left" w:pos="1474"/>
          <w:tab w:val="left" w:pos="2324"/>
          <w:tab w:val="left" w:pos="4320"/>
          <w:tab w:val="left" w:pos="5040"/>
          <w:tab w:val="left" w:pos="5760"/>
          <w:tab w:val="left" w:pos="6480"/>
          <w:tab w:val="decimal" w:pos="6520"/>
          <w:tab w:val="left" w:pos="7200"/>
          <w:tab w:val="left" w:pos="7920"/>
          <w:tab w:val="right" w:pos="8505"/>
          <w:tab w:val="left" w:pos="8640"/>
        </w:tabs>
        <w:outlineLvl w:val="9"/>
        <w:rPr>
          <w:b/>
          <w:snapToGrid w:val="0"/>
          <w:sz w:val="20"/>
        </w:rPr>
      </w:pPr>
    </w:p>
    <w:p w14:paraId="3DA7DEA6" w14:textId="77777777" w:rsidR="00022891" w:rsidRDefault="00022891" w:rsidP="00052BF5">
      <w:pPr>
        <w:widowControl w:val="0"/>
        <w:tabs>
          <w:tab w:val="left" w:pos="737"/>
          <w:tab w:val="left" w:pos="1474"/>
          <w:tab w:val="left" w:pos="2324"/>
          <w:tab w:val="left" w:pos="4320"/>
          <w:tab w:val="left" w:pos="5040"/>
          <w:tab w:val="left" w:pos="5760"/>
          <w:tab w:val="left" w:pos="6480"/>
          <w:tab w:val="decimal" w:pos="6520"/>
          <w:tab w:val="left" w:pos="7200"/>
          <w:tab w:val="left" w:pos="7920"/>
          <w:tab w:val="right" w:pos="8505"/>
          <w:tab w:val="left" w:pos="8640"/>
        </w:tabs>
        <w:outlineLvl w:val="9"/>
        <w:rPr>
          <w:b/>
          <w:snapToGrid w:val="0"/>
          <w:sz w:val="20"/>
        </w:rPr>
      </w:pPr>
    </w:p>
    <w:p w14:paraId="6C155B3C" w14:textId="77777777" w:rsidR="00022891" w:rsidRDefault="00022891" w:rsidP="00052BF5">
      <w:pPr>
        <w:widowControl w:val="0"/>
        <w:tabs>
          <w:tab w:val="left" w:pos="737"/>
          <w:tab w:val="left" w:pos="1474"/>
          <w:tab w:val="left" w:pos="2324"/>
          <w:tab w:val="left" w:pos="4320"/>
          <w:tab w:val="left" w:pos="5040"/>
          <w:tab w:val="left" w:pos="5760"/>
          <w:tab w:val="left" w:pos="6480"/>
          <w:tab w:val="decimal" w:pos="6520"/>
          <w:tab w:val="left" w:pos="7200"/>
          <w:tab w:val="left" w:pos="7920"/>
          <w:tab w:val="right" w:pos="8505"/>
          <w:tab w:val="left" w:pos="8640"/>
        </w:tabs>
        <w:outlineLvl w:val="9"/>
        <w:rPr>
          <w:b/>
          <w:snapToGrid w:val="0"/>
          <w:sz w:val="20"/>
        </w:rPr>
      </w:pPr>
    </w:p>
    <w:p w14:paraId="0A59F58D" w14:textId="77777777" w:rsidR="00022891" w:rsidRDefault="00022891" w:rsidP="00052BF5">
      <w:pPr>
        <w:widowControl w:val="0"/>
        <w:tabs>
          <w:tab w:val="left" w:pos="737"/>
          <w:tab w:val="left" w:pos="1474"/>
          <w:tab w:val="left" w:pos="2324"/>
          <w:tab w:val="left" w:pos="4320"/>
          <w:tab w:val="left" w:pos="5040"/>
          <w:tab w:val="left" w:pos="5760"/>
          <w:tab w:val="left" w:pos="6480"/>
          <w:tab w:val="decimal" w:pos="6520"/>
          <w:tab w:val="left" w:pos="7200"/>
          <w:tab w:val="left" w:pos="7920"/>
          <w:tab w:val="right" w:pos="8505"/>
          <w:tab w:val="left" w:pos="8640"/>
        </w:tabs>
        <w:outlineLvl w:val="9"/>
        <w:rPr>
          <w:b/>
          <w:snapToGrid w:val="0"/>
          <w:sz w:val="20"/>
        </w:rPr>
      </w:pPr>
    </w:p>
    <w:p w14:paraId="382DD34D" w14:textId="77777777" w:rsidR="00022891" w:rsidRPr="00BA5560" w:rsidRDefault="00022891" w:rsidP="00052BF5">
      <w:pPr>
        <w:widowControl w:val="0"/>
        <w:tabs>
          <w:tab w:val="left" w:pos="737"/>
          <w:tab w:val="left" w:pos="1474"/>
          <w:tab w:val="left" w:pos="2324"/>
          <w:tab w:val="left" w:pos="4320"/>
          <w:tab w:val="left" w:pos="5040"/>
          <w:tab w:val="left" w:pos="5760"/>
          <w:tab w:val="left" w:pos="6480"/>
          <w:tab w:val="decimal" w:pos="6520"/>
          <w:tab w:val="left" w:pos="7200"/>
          <w:tab w:val="left" w:pos="7920"/>
          <w:tab w:val="right" w:pos="8505"/>
          <w:tab w:val="left" w:pos="8640"/>
        </w:tabs>
        <w:outlineLvl w:val="9"/>
        <w:rPr>
          <w:b/>
          <w:snapToGrid w:val="0"/>
          <w:sz w:val="48"/>
          <w:szCs w:val="48"/>
        </w:rPr>
      </w:pPr>
      <w:r w:rsidRPr="00BA5560">
        <w:rPr>
          <w:b/>
          <w:snapToGrid w:val="0"/>
          <w:sz w:val="48"/>
          <w:szCs w:val="48"/>
        </w:rPr>
        <w:t>Promotur Turismo Canarias S.A.</w:t>
      </w:r>
    </w:p>
    <w:p w14:paraId="511009D6" w14:textId="77777777" w:rsidR="00022891" w:rsidRPr="00BA5560" w:rsidRDefault="00022891" w:rsidP="00052BF5">
      <w:pPr>
        <w:widowControl w:val="0"/>
        <w:tabs>
          <w:tab w:val="left" w:pos="737"/>
          <w:tab w:val="left" w:pos="1474"/>
          <w:tab w:val="left" w:pos="2324"/>
          <w:tab w:val="left" w:pos="4320"/>
          <w:tab w:val="left" w:pos="5040"/>
          <w:tab w:val="left" w:pos="5760"/>
          <w:tab w:val="left" w:pos="6480"/>
          <w:tab w:val="decimal" w:pos="6520"/>
          <w:tab w:val="left" w:pos="7200"/>
          <w:tab w:val="left" w:pos="7920"/>
          <w:tab w:val="right" w:pos="8505"/>
          <w:tab w:val="left" w:pos="8640"/>
        </w:tabs>
        <w:spacing w:line="700" w:lineRule="exact"/>
        <w:outlineLvl w:val="9"/>
        <w:rPr>
          <w:b/>
          <w:snapToGrid w:val="0"/>
          <w:sz w:val="48"/>
          <w:szCs w:val="48"/>
        </w:rPr>
      </w:pPr>
    </w:p>
    <w:p w14:paraId="6F5640EA" w14:textId="77777777" w:rsidR="00022891" w:rsidRPr="00BA5560" w:rsidRDefault="00022891" w:rsidP="00052BF5">
      <w:pPr>
        <w:widowControl w:val="0"/>
        <w:tabs>
          <w:tab w:val="left" w:pos="737"/>
          <w:tab w:val="left" w:pos="1474"/>
          <w:tab w:val="left" w:pos="2324"/>
          <w:tab w:val="left" w:pos="4320"/>
          <w:tab w:val="left" w:pos="5040"/>
          <w:tab w:val="left" w:pos="5760"/>
          <w:tab w:val="left" w:pos="6480"/>
          <w:tab w:val="decimal" w:pos="6520"/>
          <w:tab w:val="left" w:pos="7200"/>
          <w:tab w:val="left" w:pos="7920"/>
          <w:tab w:val="right" w:pos="8505"/>
          <w:tab w:val="left" w:pos="8640"/>
        </w:tabs>
        <w:spacing w:line="700" w:lineRule="exact"/>
        <w:outlineLvl w:val="9"/>
        <w:rPr>
          <w:b/>
          <w:snapToGrid w:val="0"/>
          <w:sz w:val="48"/>
          <w:szCs w:val="48"/>
        </w:rPr>
      </w:pPr>
      <w:r w:rsidRPr="00BA5560">
        <w:rPr>
          <w:b/>
          <w:snapToGrid w:val="0"/>
          <w:sz w:val="48"/>
          <w:szCs w:val="48"/>
        </w:rPr>
        <w:t>Cuentas Anuales e</w:t>
      </w:r>
    </w:p>
    <w:p w14:paraId="5B05399B" w14:textId="77777777" w:rsidR="00022891" w:rsidRPr="00BA5560" w:rsidRDefault="00022891" w:rsidP="00052BF5">
      <w:pPr>
        <w:widowControl w:val="0"/>
        <w:tabs>
          <w:tab w:val="left" w:pos="737"/>
          <w:tab w:val="left" w:pos="1474"/>
          <w:tab w:val="left" w:pos="2324"/>
          <w:tab w:val="left" w:pos="4320"/>
          <w:tab w:val="left" w:pos="5040"/>
          <w:tab w:val="left" w:pos="5760"/>
          <w:tab w:val="left" w:pos="6480"/>
          <w:tab w:val="decimal" w:pos="6520"/>
          <w:tab w:val="left" w:pos="7200"/>
          <w:tab w:val="left" w:pos="7920"/>
          <w:tab w:val="right" w:pos="8505"/>
          <w:tab w:val="left" w:pos="8640"/>
        </w:tabs>
        <w:spacing w:line="700" w:lineRule="exact"/>
        <w:outlineLvl w:val="9"/>
        <w:rPr>
          <w:b/>
          <w:snapToGrid w:val="0"/>
          <w:sz w:val="48"/>
          <w:szCs w:val="48"/>
        </w:rPr>
      </w:pPr>
      <w:r w:rsidRPr="00BA5560">
        <w:rPr>
          <w:b/>
          <w:snapToGrid w:val="0"/>
          <w:sz w:val="48"/>
          <w:szCs w:val="48"/>
        </w:rPr>
        <w:t>Informe de Gestión</w:t>
      </w:r>
    </w:p>
    <w:p w14:paraId="3D35144B" w14:textId="063A8F74" w:rsidR="00022891" w:rsidRDefault="00022891" w:rsidP="00BA5560">
      <w:pPr>
        <w:widowControl w:val="0"/>
        <w:tabs>
          <w:tab w:val="left" w:pos="737"/>
          <w:tab w:val="left" w:pos="1474"/>
          <w:tab w:val="left" w:pos="2324"/>
          <w:tab w:val="left" w:pos="4320"/>
          <w:tab w:val="left" w:pos="5040"/>
          <w:tab w:val="left" w:pos="5760"/>
          <w:tab w:val="left" w:pos="6480"/>
          <w:tab w:val="decimal" w:pos="6520"/>
          <w:tab w:val="left" w:pos="7200"/>
          <w:tab w:val="left" w:pos="7920"/>
          <w:tab w:val="right" w:pos="8505"/>
          <w:tab w:val="left" w:pos="8640"/>
        </w:tabs>
        <w:spacing w:line="700" w:lineRule="exact"/>
        <w:outlineLvl w:val="9"/>
        <w:rPr>
          <w:b/>
          <w:snapToGrid w:val="0"/>
          <w:sz w:val="48"/>
          <w:szCs w:val="48"/>
        </w:rPr>
      </w:pPr>
      <w:r w:rsidRPr="00BA5560">
        <w:rPr>
          <w:b/>
          <w:snapToGrid w:val="0"/>
          <w:sz w:val="48"/>
          <w:szCs w:val="48"/>
        </w:rPr>
        <w:t>31 de diciembre de 20</w:t>
      </w:r>
      <w:r w:rsidR="006C61B5" w:rsidRPr="00BA5560">
        <w:rPr>
          <w:b/>
          <w:snapToGrid w:val="0"/>
          <w:sz w:val="48"/>
          <w:szCs w:val="48"/>
        </w:rPr>
        <w:t>2</w:t>
      </w:r>
      <w:r w:rsidR="003F79E8">
        <w:rPr>
          <w:b/>
          <w:snapToGrid w:val="0"/>
          <w:sz w:val="48"/>
          <w:szCs w:val="48"/>
        </w:rPr>
        <w:t>4</w:t>
      </w:r>
    </w:p>
    <w:p w14:paraId="3ADA7CCC" w14:textId="77777777" w:rsidR="003F79E8" w:rsidRPr="00BA5560" w:rsidRDefault="003F79E8" w:rsidP="00BA5560">
      <w:pPr>
        <w:widowControl w:val="0"/>
        <w:tabs>
          <w:tab w:val="left" w:pos="737"/>
          <w:tab w:val="left" w:pos="1474"/>
          <w:tab w:val="left" w:pos="2324"/>
          <w:tab w:val="left" w:pos="4320"/>
          <w:tab w:val="left" w:pos="5040"/>
          <w:tab w:val="left" w:pos="5760"/>
          <w:tab w:val="left" w:pos="6480"/>
          <w:tab w:val="decimal" w:pos="6520"/>
          <w:tab w:val="left" w:pos="7200"/>
          <w:tab w:val="left" w:pos="7920"/>
          <w:tab w:val="right" w:pos="8505"/>
          <w:tab w:val="left" w:pos="8640"/>
        </w:tabs>
        <w:spacing w:line="700" w:lineRule="exact"/>
        <w:outlineLvl w:val="9"/>
        <w:rPr>
          <w:b/>
          <w:snapToGrid w:val="0"/>
          <w:sz w:val="48"/>
          <w:szCs w:val="48"/>
        </w:rPr>
      </w:pPr>
    </w:p>
    <w:p w14:paraId="38584C40" w14:textId="77777777" w:rsidR="00022891" w:rsidRPr="0083433F" w:rsidRDefault="00022891" w:rsidP="00052BF5">
      <w:pPr>
        <w:widowControl w:val="0"/>
        <w:tabs>
          <w:tab w:val="left" w:pos="737"/>
          <w:tab w:val="left" w:pos="1474"/>
          <w:tab w:val="left" w:pos="2324"/>
          <w:tab w:val="left" w:pos="4320"/>
          <w:tab w:val="left" w:pos="5040"/>
          <w:tab w:val="left" w:pos="5760"/>
          <w:tab w:val="left" w:pos="6480"/>
          <w:tab w:val="decimal" w:pos="6520"/>
          <w:tab w:val="left" w:pos="7200"/>
          <w:tab w:val="left" w:pos="7920"/>
          <w:tab w:val="right" w:pos="8505"/>
          <w:tab w:val="left" w:pos="8640"/>
        </w:tabs>
        <w:outlineLvl w:val="9"/>
        <w:rPr>
          <w:b/>
          <w:snapToGrid w:val="0"/>
          <w:sz w:val="20"/>
        </w:rPr>
      </w:pPr>
    </w:p>
    <w:p w14:paraId="2E720646" w14:textId="77777777" w:rsidR="003849D9" w:rsidRPr="0083433F" w:rsidRDefault="003849D9" w:rsidP="006220A2">
      <w:pPr>
        <w:widowControl w:val="0"/>
        <w:tabs>
          <w:tab w:val="left" w:pos="737"/>
          <w:tab w:val="left" w:pos="1474"/>
          <w:tab w:val="left" w:pos="2324"/>
          <w:tab w:val="left" w:pos="4320"/>
          <w:tab w:val="left" w:pos="5040"/>
          <w:tab w:val="left" w:pos="5760"/>
          <w:tab w:val="left" w:pos="6480"/>
          <w:tab w:val="decimal" w:pos="6520"/>
          <w:tab w:val="left" w:pos="7200"/>
          <w:tab w:val="left" w:pos="7920"/>
          <w:tab w:val="right" w:pos="8505"/>
          <w:tab w:val="left" w:pos="8640"/>
        </w:tabs>
        <w:outlineLvl w:val="0"/>
        <w:rPr>
          <w:b/>
          <w:snapToGrid w:val="0"/>
          <w:sz w:val="20"/>
        </w:rPr>
        <w:sectPr w:rsidR="003849D9" w:rsidRPr="0083433F" w:rsidSect="000F0BE8">
          <w:headerReference w:type="even" r:id="rId8"/>
          <w:headerReference w:type="default" r:id="rId9"/>
          <w:footerReference w:type="even" r:id="rId10"/>
          <w:footerReference w:type="default" r:id="rId11"/>
          <w:headerReference w:type="first" r:id="rId12"/>
          <w:footerReference w:type="first" r:id="rId13"/>
          <w:pgSz w:w="11900" w:h="16840"/>
          <w:pgMar w:top="2127" w:right="1134" w:bottom="1701" w:left="1701" w:header="1701" w:footer="964" w:gutter="0"/>
          <w:pgNumType w:start="1"/>
          <w:cols w:space="708"/>
          <w:titlePg/>
          <w:docGrid w:linePitch="360"/>
        </w:sectPr>
      </w:pPr>
    </w:p>
    <w:p w14:paraId="676768CB" w14:textId="77777777" w:rsidR="006220A2" w:rsidRPr="0083433F" w:rsidRDefault="006220A2" w:rsidP="007825C6">
      <w:pPr>
        <w:widowControl w:val="0"/>
        <w:tabs>
          <w:tab w:val="left" w:pos="737"/>
          <w:tab w:val="left" w:pos="1474"/>
          <w:tab w:val="left" w:pos="2324"/>
          <w:tab w:val="left" w:pos="4320"/>
          <w:tab w:val="left" w:pos="5040"/>
          <w:tab w:val="left" w:pos="5760"/>
          <w:tab w:val="left" w:pos="6480"/>
          <w:tab w:val="decimal" w:pos="6520"/>
          <w:tab w:val="left" w:pos="7200"/>
          <w:tab w:val="left" w:pos="7920"/>
          <w:tab w:val="right" w:pos="8505"/>
          <w:tab w:val="left" w:pos="8640"/>
        </w:tabs>
        <w:spacing w:line="280" w:lineRule="exact"/>
        <w:rPr>
          <w:b/>
          <w:snapToGrid w:val="0"/>
          <w:sz w:val="20"/>
        </w:rPr>
      </w:pPr>
      <w:r w:rsidRPr="0083433F">
        <w:rPr>
          <w:b/>
          <w:snapToGrid w:val="0"/>
          <w:sz w:val="20"/>
        </w:rPr>
        <w:lastRenderedPageBreak/>
        <w:t>PROMOTUR TURISMO CANARIAS, S.A.</w:t>
      </w:r>
    </w:p>
    <w:p w14:paraId="052C2AE3" w14:textId="2F8C932D" w:rsidR="006220A2" w:rsidRPr="0083433F" w:rsidRDefault="006220A2" w:rsidP="007825C6">
      <w:pPr>
        <w:widowControl w:val="0"/>
        <w:tabs>
          <w:tab w:val="left" w:pos="737"/>
          <w:tab w:val="left" w:pos="1474"/>
          <w:tab w:val="left" w:pos="2324"/>
          <w:tab w:val="left" w:pos="4320"/>
          <w:tab w:val="left" w:pos="5040"/>
          <w:tab w:val="left" w:pos="5760"/>
          <w:tab w:val="left" w:pos="6480"/>
          <w:tab w:val="decimal" w:pos="6520"/>
          <w:tab w:val="left" w:pos="7200"/>
          <w:tab w:val="left" w:pos="7920"/>
          <w:tab w:val="right" w:pos="8505"/>
          <w:tab w:val="left" w:pos="8640"/>
        </w:tabs>
        <w:spacing w:line="280" w:lineRule="exact"/>
        <w:rPr>
          <w:b/>
          <w:spacing w:val="-1"/>
          <w:sz w:val="20"/>
        </w:rPr>
      </w:pPr>
      <w:r w:rsidRPr="0083433F">
        <w:rPr>
          <w:b/>
          <w:spacing w:val="-1"/>
          <w:sz w:val="20"/>
        </w:rPr>
        <w:t>BALANCE DE SITUACIÓN AL 31 DE DICIEMBRE DE 20</w:t>
      </w:r>
      <w:r w:rsidR="002D429A">
        <w:rPr>
          <w:b/>
          <w:spacing w:val="-1"/>
          <w:sz w:val="20"/>
        </w:rPr>
        <w:t>2</w:t>
      </w:r>
      <w:r w:rsidR="003F79E8">
        <w:rPr>
          <w:b/>
          <w:spacing w:val="-1"/>
          <w:sz w:val="20"/>
        </w:rPr>
        <w:t>4</w:t>
      </w:r>
      <w:r w:rsidR="00C16766" w:rsidRPr="0083433F">
        <w:rPr>
          <w:b/>
          <w:spacing w:val="-1"/>
          <w:sz w:val="20"/>
        </w:rPr>
        <w:t xml:space="preserve"> Y 20</w:t>
      </w:r>
      <w:r w:rsidR="003D20EB">
        <w:rPr>
          <w:b/>
          <w:spacing w:val="-1"/>
          <w:sz w:val="20"/>
        </w:rPr>
        <w:t>2</w:t>
      </w:r>
      <w:r w:rsidR="003F79E8">
        <w:rPr>
          <w:b/>
          <w:spacing w:val="-1"/>
          <w:sz w:val="20"/>
        </w:rPr>
        <w:t>3</w:t>
      </w:r>
      <w:r w:rsidRPr="0083433F">
        <w:rPr>
          <w:b/>
          <w:spacing w:val="-1"/>
          <w:sz w:val="20"/>
        </w:rPr>
        <w:t xml:space="preserve"> (Expresado en euros)</w:t>
      </w:r>
    </w:p>
    <w:p w14:paraId="0A75F29A" w14:textId="77777777" w:rsidR="00C16766" w:rsidRPr="0083433F" w:rsidRDefault="00C16766" w:rsidP="006220A2">
      <w:pPr>
        <w:widowControl w:val="0"/>
        <w:tabs>
          <w:tab w:val="left" w:pos="737"/>
          <w:tab w:val="left" w:pos="1474"/>
          <w:tab w:val="left" w:pos="2324"/>
          <w:tab w:val="left" w:pos="4320"/>
          <w:tab w:val="left" w:pos="5040"/>
          <w:tab w:val="left" w:pos="5760"/>
          <w:tab w:val="left" w:pos="6480"/>
          <w:tab w:val="decimal" w:pos="6520"/>
          <w:tab w:val="left" w:pos="7200"/>
          <w:tab w:val="left" w:pos="7920"/>
          <w:tab w:val="right" w:pos="8505"/>
          <w:tab w:val="left" w:pos="8640"/>
        </w:tabs>
        <w:outlineLvl w:val="0"/>
        <w:rPr>
          <w:b/>
          <w:spacing w:val="-1"/>
          <w:sz w:val="20"/>
        </w:rPr>
      </w:pPr>
    </w:p>
    <w:tbl>
      <w:tblPr>
        <w:tblW w:w="5000" w:type="pct"/>
        <w:tblCellMar>
          <w:left w:w="70" w:type="dxa"/>
          <w:right w:w="70" w:type="dxa"/>
        </w:tblCellMar>
        <w:tblLook w:val="04A0" w:firstRow="1" w:lastRow="0" w:firstColumn="1" w:lastColumn="0" w:noHBand="0" w:noVBand="1"/>
      </w:tblPr>
      <w:tblGrid>
        <w:gridCol w:w="4043"/>
        <w:gridCol w:w="1202"/>
        <w:gridCol w:w="1844"/>
        <w:gridCol w:w="1976"/>
      </w:tblGrid>
      <w:tr w:rsidR="002D429A" w:rsidRPr="002D429A" w14:paraId="0BC9B84A" w14:textId="77777777" w:rsidTr="001B5A15">
        <w:trPr>
          <w:trHeight w:val="283"/>
        </w:trPr>
        <w:tc>
          <w:tcPr>
            <w:tcW w:w="2230" w:type="pct"/>
            <w:vMerge w:val="restart"/>
            <w:tcBorders>
              <w:top w:val="single" w:sz="4" w:space="0" w:color="auto"/>
              <w:left w:val="nil"/>
              <w:bottom w:val="single" w:sz="8" w:space="0" w:color="000000"/>
              <w:right w:val="nil"/>
            </w:tcBorders>
            <w:shd w:val="clear" w:color="auto" w:fill="D9D9D9" w:themeFill="background1" w:themeFillShade="D9"/>
            <w:noWrap/>
            <w:vAlign w:val="bottom"/>
            <w:hideMark/>
          </w:tcPr>
          <w:p w14:paraId="69E8B0E5" w14:textId="77777777" w:rsidR="002D429A" w:rsidRPr="002D429A" w:rsidRDefault="002D429A" w:rsidP="009112F6">
            <w:pPr>
              <w:pBdr>
                <w:top w:val="none" w:sz="0" w:space="0" w:color="auto"/>
                <w:left w:val="none" w:sz="0" w:space="0" w:color="auto"/>
                <w:bottom w:val="none" w:sz="0" w:space="0" w:color="auto"/>
                <w:right w:val="none" w:sz="0" w:space="0" w:color="auto"/>
                <w:between w:val="none" w:sz="0" w:space="0" w:color="auto"/>
                <w:bar w:val="none" w:sz="0" w:color="auto"/>
              </w:pBdr>
              <w:jc w:val="center"/>
              <w:outlineLvl w:val="9"/>
              <w:rPr>
                <w:rFonts w:eastAsia="Times New Roman"/>
                <w:b/>
                <w:bCs/>
                <w:sz w:val="18"/>
                <w:szCs w:val="18"/>
                <w:bdr w:val="none" w:sz="0" w:space="0" w:color="auto"/>
                <w:lang w:eastAsia="es-ES"/>
              </w:rPr>
            </w:pPr>
            <w:r w:rsidRPr="002D429A">
              <w:rPr>
                <w:rFonts w:eastAsia="Times New Roman"/>
                <w:b/>
                <w:bCs/>
                <w:sz w:val="18"/>
                <w:szCs w:val="18"/>
                <w:bdr w:val="none" w:sz="0" w:space="0" w:color="auto"/>
                <w:lang w:eastAsia="es-ES"/>
              </w:rPr>
              <w:t>ACTIVO</w:t>
            </w:r>
          </w:p>
        </w:tc>
        <w:tc>
          <w:tcPr>
            <w:tcW w:w="663" w:type="pct"/>
            <w:vMerge w:val="restart"/>
            <w:tcBorders>
              <w:top w:val="single" w:sz="4" w:space="0" w:color="auto"/>
              <w:left w:val="nil"/>
              <w:bottom w:val="single" w:sz="8" w:space="0" w:color="000000"/>
              <w:right w:val="nil"/>
            </w:tcBorders>
            <w:shd w:val="clear" w:color="auto" w:fill="D9D9D9" w:themeFill="background1" w:themeFillShade="D9"/>
            <w:noWrap/>
            <w:vAlign w:val="bottom"/>
            <w:hideMark/>
          </w:tcPr>
          <w:p w14:paraId="543322DC" w14:textId="4EAD9FD5" w:rsidR="002D429A" w:rsidRDefault="002D429A" w:rsidP="009112F6">
            <w:pPr>
              <w:pBdr>
                <w:top w:val="none" w:sz="0" w:space="0" w:color="auto"/>
                <w:left w:val="none" w:sz="0" w:space="0" w:color="auto"/>
                <w:bottom w:val="none" w:sz="0" w:space="0" w:color="auto"/>
                <w:right w:val="none" w:sz="0" w:space="0" w:color="auto"/>
                <w:between w:val="none" w:sz="0" w:space="0" w:color="auto"/>
                <w:bar w:val="none" w:sz="0" w:color="auto"/>
              </w:pBdr>
              <w:jc w:val="center"/>
              <w:outlineLvl w:val="9"/>
              <w:rPr>
                <w:rFonts w:eastAsia="Times New Roman"/>
                <w:b/>
                <w:bCs/>
                <w:sz w:val="18"/>
                <w:szCs w:val="18"/>
                <w:bdr w:val="none" w:sz="0" w:space="0" w:color="auto"/>
                <w:lang w:eastAsia="es-ES"/>
              </w:rPr>
            </w:pPr>
            <w:r w:rsidRPr="002D429A">
              <w:rPr>
                <w:rFonts w:eastAsia="Times New Roman"/>
                <w:b/>
                <w:bCs/>
                <w:sz w:val="18"/>
                <w:szCs w:val="18"/>
                <w:bdr w:val="none" w:sz="0" w:space="0" w:color="auto"/>
                <w:lang w:eastAsia="es-ES"/>
              </w:rPr>
              <w:t>Nota</w:t>
            </w:r>
            <w:r w:rsidR="00052BF5">
              <w:rPr>
                <w:rFonts w:eastAsia="Times New Roman"/>
                <w:b/>
                <w:bCs/>
                <w:sz w:val="18"/>
                <w:szCs w:val="18"/>
                <w:bdr w:val="none" w:sz="0" w:space="0" w:color="auto"/>
                <w:lang w:eastAsia="es-ES"/>
              </w:rPr>
              <w:t>s</w:t>
            </w:r>
          </w:p>
          <w:p w14:paraId="1ED72ED0" w14:textId="78AEAB05" w:rsidR="00052BF5" w:rsidRPr="002D429A" w:rsidRDefault="00052BF5" w:rsidP="009112F6">
            <w:pPr>
              <w:pBdr>
                <w:top w:val="none" w:sz="0" w:space="0" w:color="auto"/>
                <w:left w:val="none" w:sz="0" w:space="0" w:color="auto"/>
                <w:bottom w:val="none" w:sz="0" w:space="0" w:color="auto"/>
                <w:right w:val="none" w:sz="0" w:space="0" w:color="auto"/>
                <w:between w:val="none" w:sz="0" w:space="0" w:color="auto"/>
                <w:bar w:val="none" w:sz="0" w:color="auto"/>
              </w:pBdr>
              <w:jc w:val="center"/>
              <w:outlineLvl w:val="9"/>
              <w:rPr>
                <w:rFonts w:eastAsia="Times New Roman"/>
                <w:b/>
                <w:bCs/>
                <w:sz w:val="18"/>
                <w:szCs w:val="18"/>
                <w:bdr w:val="none" w:sz="0" w:space="0" w:color="auto"/>
                <w:lang w:eastAsia="es-ES"/>
              </w:rPr>
            </w:pPr>
            <w:r>
              <w:rPr>
                <w:rFonts w:eastAsia="Times New Roman"/>
                <w:b/>
                <w:bCs/>
                <w:sz w:val="18"/>
                <w:szCs w:val="18"/>
                <w:bdr w:val="none" w:sz="0" w:space="0" w:color="auto"/>
                <w:lang w:eastAsia="es-ES"/>
              </w:rPr>
              <w:t>Memoria</w:t>
            </w:r>
          </w:p>
        </w:tc>
        <w:tc>
          <w:tcPr>
            <w:tcW w:w="1017" w:type="pct"/>
            <w:tcBorders>
              <w:top w:val="single" w:sz="4" w:space="0" w:color="auto"/>
              <w:left w:val="nil"/>
              <w:bottom w:val="single" w:sz="4" w:space="0" w:color="auto"/>
              <w:right w:val="nil"/>
            </w:tcBorders>
            <w:shd w:val="clear" w:color="auto" w:fill="D9D9D9" w:themeFill="background1" w:themeFillShade="D9"/>
            <w:noWrap/>
            <w:vAlign w:val="bottom"/>
            <w:hideMark/>
          </w:tcPr>
          <w:p w14:paraId="402BB170" w14:textId="77777777" w:rsidR="002D429A" w:rsidRPr="002D429A" w:rsidRDefault="002D429A" w:rsidP="009112F6">
            <w:pPr>
              <w:pBdr>
                <w:top w:val="none" w:sz="0" w:space="0" w:color="auto"/>
                <w:left w:val="none" w:sz="0" w:space="0" w:color="auto"/>
                <w:bottom w:val="none" w:sz="0" w:space="0" w:color="auto"/>
                <w:right w:val="none" w:sz="0" w:space="0" w:color="auto"/>
                <w:between w:val="none" w:sz="0" w:space="0" w:color="auto"/>
                <w:bar w:val="none" w:sz="0" w:color="auto"/>
              </w:pBdr>
              <w:jc w:val="center"/>
              <w:outlineLvl w:val="9"/>
              <w:rPr>
                <w:rFonts w:eastAsia="Times New Roman"/>
                <w:b/>
                <w:bCs/>
                <w:color w:val="auto"/>
                <w:sz w:val="18"/>
                <w:szCs w:val="18"/>
                <w:bdr w:val="none" w:sz="0" w:space="0" w:color="auto"/>
                <w:lang w:eastAsia="es-ES"/>
              </w:rPr>
            </w:pPr>
            <w:r w:rsidRPr="002D429A">
              <w:rPr>
                <w:rFonts w:eastAsia="Times New Roman"/>
                <w:b/>
                <w:bCs/>
                <w:color w:val="auto"/>
                <w:sz w:val="18"/>
                <w:szCs w:val="18"/>
                <w:bdr w:val="none" w:sz="0" w:space="0" w:color="auto"/>
                <w:lang w:eastAsia="es-ES"/>
              </w:rPr>
              <w:t>Al 31 de diciembre</w:t>
            </w:r>
          </w:p>
        </w:tc>
        <w:tc>
          <w:tcPr>
            <w:tcW w:w="1090" w:type="pct"/>
            <w:tcBorders>
              <w:top w:val="single" w:sz="4" w:space="0" w:color="auto"/>
              <w:left w:val="nil"/>
              <w:bottom w:val="single" w:sz="4" w:space="0" w:color="auto"/>
              <w:right w:val="nil"/>
            </w:tcBorders>
            <w:shd w:val="clear" w:color="auto" w:fill="D9D9D9" w:themeFill="background1" w:themeFillShade="D9"/>
            <w:noWrap/>
            <w:vAlign w:val="bottom"/>
            <w:hideMark/>
          </w:tcPr>
          <w:p w14:paraId="6742E14A" w14:textId="77777777" w:rsidR="002D429A" w:rsidRPr="002D429A" w:rsidRDefault="002D429A" w:rsidP="009112F6">
            <w:pPr>
              <w:pBdr>
                <w:top w:val="none" w:sz="0" w:space="0" w:color="auto"/>
                <w:left w:val="none" w:sz="0" w:space="0" w:color="auto"/>
                <w:bottom w:val="none" w:sz="0" w:space="0" w:color="auto"/>
                <w:right w:val="none" w:sz="0" w:space="0" w:color="auto"/>
                <w:between w:val="none" w:sz="0" w:space="0" w:color="auto"/>
                <w:bar w:val="none" w:sz="0" w:color="auto"/>
              </w:pBdr>
              <w:jc w:val="center"/>
              <w:outlineLvl w:val="9"/>
              <w:rPr>
                <w:rFonts w:eastAsia="Times New Roman"/>
                <w:b/>
                <w:bCs/>
                <w:color w:val="auto"/>
                <w:sz w:val="18"/>
                <w:szCs w:val="18"/>
                <w:bdr w:val="none" w:sz="0" w:space="0" w:color="auto"/>
                <w:lang w:eastAsia="es-ES"/>
              </w:rPr>
            </w:pPr>
            <w:r w:rsidRPr="002D429A">
              <w:rPr>
                <w:rFonts w:eastAsia="Times New Roman"/>
                <w:b/>
                <w:bCs/>
                <w:color w:val="auto"/>
                <w:sz w:val="18"/>
                <w:szCs w:val="18"/>
                <w:bdr w:val="none" w:sz="0" w:space="0" w:color="auto"/>
                <w:lang w:eastAsia="es-ES"/>
              </w:rPr>
              <w:t>Al 31 de diciembre</w:t>
            </w:r>
          </w:p>
        </w:tc>
      </w:tr>
      <w:tr w:rsidR="0022442F" w:rsidRPr="002D429A" w14:paraId="4FB95EF4" w14:textId="77777777" w:rsidTr="001B5A15">
        <w:trPr>
          <w:trHeight w:val="255"/>
        </w:trPr>
        <w:tc>
          <w:tcPr>
            <w:tcW w:w="2230" w:type="pct"/>
            <w:vMerge/>
            <w:tcBorders>
              <w:top w:val="single" w:sz="8" w:space="0" w:color="auto"/>
              <w:left w:val="nil"/>
              <w:bottom w:val="single" w:sz="4" w:space="0" w:color="auto"/>
              <w:right w:val="nil"/>
            </w:tcBorders>
            <w:shd w:val="clear" w:color="auto" w:fill="F2F2F2" w:themeFill="background1" w:themeFillShade="F2"/>
            <w:vAlign w:val="center"/>
            <w:hideMark/>
          </w:tcPr>
          <w:p w14:paraId="54AFB1A5" w14:textId="77777777" w:rsidR="0022442F" w:rsidRPr="002D429A" w:rsidRDefault="0022442F" w:rsidP="0022442F">
            <w:pPr>
              <w:pBdr>
                <w:top w:val="none" w:sz="0" w:space="0" w:color="auto"/>
                <w:left w:val="none" w:sz="0" w:space="0" w:color="auto"/>
                <w:bottom w:val="none" w:sz="0" w:space="0" w:color="auto"/>
                <w:right w:val="none" w:sz="0" w:space="0" w:color="auto"/>
                <w:between w:val="none" w:sz="0" w:space="0" w:color="auto"/>
                <w:bar w:val="none" w:sz="0" w:color="auto"/>
              </w:pBdr>
              <w:outlineLvl w:val="9"/>
              <w:rPr>
                <w:rFonts w:eastAsia="Times New Roman"/>
                <w:b/>
                <w:bCs/>
                <w:sz w:val="18"/>
                <w:szCs w:val="18"/>
                <w:bdr w:val="none" w:sz="0" w:space="0" w:color="auto"/>
                <w:lang w:eastAsia="es-ES"/>
              </w:rPr>
            </w:pPr>
          </w:p>
        </w:tc>
        <w:tc>
          <w:tcPr>
            <w:tcW w:w="663" w:type="pct"/>
            <w:vMerge/>
            <w:tcBorders>
              <w:top w:val="single" w:sz="8" w:space="0" w:color="auto"/>
              <w:left w:val="nil"/>
              <w:bottom w:val="single" w:sz="4" w:space="0" w:color="auto"/>
              <w:right w:val="nil"/>
            </w:tcBorders>
            <w:shd w:val="clear" w:color="auto" w:fill="F2F2F2" w:themeFill="background1" w:themeFillShade="F2"/>
            <w:vAlign w:val="center"/>
            <w:hideMark/>
          </w:tcPr>
          <w:p w14:paraId="733EDAB5" w14:textId="77777777" w:rsidR="0022442F" w:rsidRPr="002D429A" w:rsidRDefault="0022442F" w:rsidP="0022442F">
            <w:pPr>
              <w:pBdr>
                <w:top w:val="none" w:sz="0" w:space="0" w:color="auto"/>
                <w:left w:val="none" w:sz="0" w:space="0" w:color="auto"/>
                <w:bottom w:val="none" w:sz="0" w:space="0" w:color="auto"/>
                <w:right w:val="none" w:sz="0" w:space="0" w:color="auto"/>
                <w:between w:val="none" w:sz="0" w:space="0" w:color="auto"/>
                <w:bar w:val="none" w:sz="0" w:color="auto"/>
              </w:pBdr>
              <w:outlineLvl w:val="9"/>
              <w:rPr>
                <w:rFonts w:eastAsia="Times New Roman"/>
                <w:b/>
                <w:bCs/>
                <w:sz w:val="18"/>
                <w:szCs w:val="18"/>
                <w:bdr w:val="none" w:sz="0" w:space="0" w:color="auto"/>
                <w:lang w:eastAsia="es-ES"/>
              </w:rPr>
            </w:pPr>
          </w:p>
        </w:tc>
        <w:tc>
          <w:tcPr>
            <w:tcW w:w="1017" w:type="pct"/>
            <w:tcBorders>
              <w:top w:val="single" w:sz="4" w:space="0" w:color="auto"/>
              <w:left w:val="nil"/>
              <w:bottom w:val="single" w:sz="4" w:space="0" w:color="auto"/>
              <w:right w:val="nil"/>
            </w:tcBorders>
            <w:shd w:val="clear" w:color="auto" w:fill="D9D9D9" w:themeFill="background1" w:themeFillShade="D9"/>
            <w:vAlign w:val="bottom"/>
            <w:hideMark/>
          </w:tcPr>
          <w:p w14:paraId="4D5954CE" w14:textId="4D97617A" w:rsidR="0022442F" w:rsidRPr="002D429A" w:rsidRDefault="0022442F" w:rsidP="0022442F">
            <w:pPr>
              <w:pBdr>
                <w:top w:val="none" w:sz="0" w:space="0" w:color="auto"/>
                <w:left w:val="none" w:sz="0" w:space="0" w:color="auto"/>
                <w:bottom w:val="none" w:sz="0" w:space="0" w:color="auto"/>
                <w:right w:val="none" w:sz="0" w:space="0" w:color="auto"/>
                <w:between w:val="none" w:sz="0" w:space="0" w:color="auto"/>
                <w:bar w:val="none" w:sz="0" w:color="auto"/>
              </w:pBdr>
              <w:jc w:val="center"/>
              <w:outlineLvl w:val="9"/>
              <w:rPr>
                <w:rFonts w:eastAsia="Times New Roman"/>
                <w:b/>
                <w:bCs/>
                <w:color w:val="auto"/>
                <w:sz w:val="18"/>
                <w:szCs w:val="18"/>
                <w:bdr w:val="none" w:sz="0" w:space="0" w:color="auto"/>
                <w:lang w:eastAsia="es-ES"/>
              </w:rPr>
            </w:pPr>
            <w:r w:rsidRPr="002D429A">
              <w:rPr>
                <w:rFonts w:eastAsia="Times New Roman"/>
                <w:b/>
                <w:bCs/>
                <w:color w:val="auto"/>
                <w:sz w:val="18"/>
                <w:szCs w:val="18"/>
                <w:bdr w:val="none" w:sz="0" w:space="0" w:color="auto"/>
                <w:lang w:eastAsia="es-ES"/>
              </w:rPr>
              <w:t>202</w:t>
            </w:r>
            <w:r w:rsidR="003F79E8">
              <w:rPr>
                <w:rFonts w:eastAsia="Times New Roman"/>
                <w:b/>
                <w:bCs/>
                <w:color w:val="auto"/>
                <w:sz w:val="18"/>
                <w:szCs w:val="18"/>
                <w:bdr w:val="none" w:sz="0" w:space="0" w:color="auto"/>
                <w:lang w:eastAsia="es-ES"/>
              </w:rPr>
              <w:t>4</w:t>
            </w:r>
          </w:p>
        </w:tc>
        <w:tc>
          <w:tcPr>
            <w:tcW w:w="1090" w:type="pct"/>
            <w:tcBorders>
              <w:top w:val="single" w:sz="4" w:space="0" w:color="auto"/>
              <w:left w:val="nil"/>
              <w:bottom w:val="single" w:sz="4" w:space="0" w:color="auto"/>
              <w:right w:val="nil"/>
            </w:tcBorders>
            <w:shd w:val="clear" w:color="auto" w:fill="D9D9D9" w:themeFill="background1" w:themeFillShade="D9"/>
            <w:vAlign w:val="bottom"/>
            <w:hideMark/>
          </w:tcPr>
          <w:p w14:paraId="771730D5" w14:textId="579AA53E" w:rsidR="0022442F" w:rsidRPr="002D429A" w:rsidRDefault="0022442F" w:rsidP="0022442F">
            <w:pPr>
              <w:pBdr>
                <w:top w:val="none" w:sz="0" w:space="0" w:color="auto"/>
                <w:left w:val="none" w:sz="0" w:space="0" w:color="auto"/>
                <w:bottom w:val="none" w:sz="0" w:space="0" w:color="auto"/>
                <w:right w:val="none" w:sz="0" w:space="0" w:color="auto"/>
                <w:between w:val="none" w:sz="0" w:space="0" w:color="auto"/>
                <w:bar w:val="none" w:sz="0" w:color="auto"/>
              </w:pBdr>
              <w:jc w:val="center"/>
              <w:outlineLvl w:val="9"/>
              <w:rPr>
                <w:rFonts w:eastAsia="Times New Roman"/>
                <w:b/>
                <w:bCs/>
                <w:color w:val="auto"/>
                <w:sz w:val="18"/>
                <w:szCs w:val="18"/>
                <w:bdr w:val="none" w:sz="0" w:space="0" w:color="auto"/>
                <w:lang w:eastAsia="es-ES"/>
              </w:rPr>
            </w:pPr>
            <w:r w:rsidRPr="002D429A">
              <w:rPr>
                <w:rFonts w:eastAsia="Times New Roman"/>
                <w:b/>
                <w:bCs/>
                <w:color w:val="auto"/>
                <w:sz w:val="18"/>
                <w:szCs w:val="18"/>
                <w:bdr w:val="none" w:sz="0" w:space="0" w:color="auto"/>
                <w:lang w:eastAsia="es-ES"/>
              </w:rPr>
              <w:t>202</w:t>
            </w:r>
            <w:r w:rsidR="003F79E8">
              <w:rPr>
                <w:rFonts w:eastAsia="Times New Roman"/>
                <w:b/>
                <w:bCs/>
                <w:color w:val="auto"/>
                <w:sz w:val="18"/>
                <w:szCs w:val="18"/>
                <w:bdr w:val="none" w:sz="0" w:space="0" w:color="auto"/>
                <w:lang w:eastAsia="es-ES"/>
              </w:rPr>
              <w:t>3</w:t>
            </w:r>
          </w:p>
        </w:tc>
      </w:tr>
      <w:tr w:rsidR="0022442F" w:rsidRPr="002D429A" w14:paraId="08689F37" w14:textId="77777777" w:rsidTr="001B5A15">
        <w:trPr>
          <w:trHeight w:val="227"/>
        </w:trPr>
        <w:tc>
          <w:tcPr>
            <w:tcW w:w="2230" w:type="pct"/>
            <w:tcBorders>
              <w:top w:val="single" w:sz="4" w:space="0" w:color="auto"/>
              <w:left w:val="nil"/>
              <w:bottom w:val="single" w:sz="4" w:space="0" w:color="auto"/>
              <w:right w:val="nil"/>
            </w:tcBorders>
            <w:shd w:val="clear" w:color="auto" w:fill="auto"/>
            <w:noWrap/>
            <w:vAlign w:val="center"/>
          </w:tcPr>
          <w:p w14:paraId="077BA365" w14:textId="77777777" w:rsidR="0022442F" w:rsidRPr="002D429A" w:rsidRDefault="0022442F" w:rsidP="0022442F">
            <w:pPr>
              <w:pBdr>
                <w:top w:val="none" w:sz="0" w:space="0" w:color="auto"/>
                <w:left w:val="none" w:sz="0" w:space="0" w:color="auto"/>
                <w:bottom w:val="none" w:sz="0" w:space="0" w:color="auto"/>
                <w:right w:val="none" w:sz="0" w:space="0" w:color="auto"/>
                <w:between w:val="none" w:sz="0" w:space="0" w:color="auto"/>
                <w:bar w:val="none" w:sz="0" w:color="auto"/>
              </w:pBdr>
              <w:outlineLvl w:val="9"/>
              <w:rPr>
                <w:rFonts w:eastAsia="Times New Roman"/>
                <w:b/>
                <w:bCs/>
                <w:sz w:val="18"/>
                <w:szCs w:val="18"/>
                <w:bdr w:val="none" w:sz="0" w:space="0" w:color="auto"/>
                <w:lang w:eastAsia="es-ES"/>
              </w:rPr>
            </w:pPr>
          </w:p>
        </w:tc>
        <w:tc>
          <w:tcPr>
            <w:tcW w:w="663" w:type="pct"/>
            <w:tcBorders>
              <w:top w:val="single" w:sz="4" w:space="0" w:color="auto"/>
              <w:left w:val="nil"/>
              <w:bottom w:val="single" w:sz="4" w:space="0" w:color="auto"/>
              <w:right w:val="nil"/>
            </w:tcBorders>
            <w:shd w:val="clear" w:color="auto" w:fill="auto"/>
            <w:noWrap/>
            <w:vAlign w:val="center"/>
          </w:tcPr>
          <w:p w14:paraId="2D381C9B" w14:textId="77777777" w:rsidR="0022442F" w:rsidRPr="002D429A" w:rsidRDefault="0022442F" w:rsidP="0022442F">
            <w:pPr>
              <w:pBdr>
                <w:top w:val="none" w:sz="0" w:space="0" w:color="auto"/>
                <w:left w:val="none" w:sz="0" w:space="0" w:color="auto"/>
                <w:bottom w:val="none" w:sz="0" w:space="0" w:color="auto"/>
                <w:right w:val="none" w:sz="0" w:space="0" w:color="auto"/>
                <w:between w:val="none" w:sz="0" w:space="0" w:color="auto"/>
                <w:bar w:val="none" w:sz="0" w:color="auto"/>
              </w:pBdr>
              <w:outlineLvl w:val="9"/>
              <w:rPr>
                <w:rFonts w:eastAsia="Times New Roman"/>
                <w:sz w:val="18"/>
                <w:szCs w:val="18"/>
                <w:bdr w:val="none" w:sz="0" w:space="0" w:color="auto"/>
                <w:lang w:eastAsia="es-ES"/>
              </w:rPr>
            </w:pPr>
          </w:p>
        </w:tc>
        <w:tc>
          <w:tcPr>
            <w:tcW w:w="1017" w:type="pct"/>
            <w:tcBorders>
              <w:top w:val="single" w:sz="4" w:space="0" w:color="auto"/>
              <w:left w:val="nil"/>
              <w:bottom w:val="single" w:sz="4" w:space="0" w:color="auto"/>
              <w:right w:val="nil"/>
            </w:tcBorders>
            <w:shd w:val="clear" w:color="auto" w:fill="auto"/>
            <w:noWrap/>
            <w:vAlign w:val="center"/>
          </w:tcPr>
          <w:p w14:paraId="5CAE21A6" w14:textId="77777777" w:rsidR="0022442F" w:rsidRPr="002D429A" w:rsidRDefault="0022442F" w:rsidP="0022442F">
            <w:pPr>
              <w:pBdr>
                <w:top w:val="none" w:sz="0" w:space="0" w:color="auto"/>
                <w:left w:val="none" w:sz="0" w:space="0" w:color="auto"/>
                <w:bottom w:val="none" w:sz="0" w:space="0" w:color="auto"/>
                <w:right w:val="none" w:sz="0" w:space="0" w:color="auto"/>
                <w:between w:val="none" w:sz="0" w:space="0" w:color="auto"/>
                <w:bar w:val="none" w:sz="0" w:color="auto"/>
              </w:pBdr>
              <w:jc w:val="right"/>
              <w:outlineLvl w:val="9"/>
              <w:rPr>
                <w:rFonts w:eastAsia="Times New Roman"/>
                <w:b/>
                <w:bCs/>
                <w:color w:val="auto"/>
                <w:sz w:val="18"/>
                <w:szCs w:val="18"/>
                <w:bdr w:val="none" w:sz="0" w:space="0" w:color="auto"/>
                <w:lang w:eastAsia="es-ES"/>
              </w:rPr>
            </w:pPr>
          </w:p>
        </w:tc>
        <w:tc>
          <w:tcPr>
            <w:tcW w:w="1090" w:type="pct"/>
            <w:tcBorders>
              <w:top w:val="single" w:sz="4" w:space="0" w:color="auto"/>
              <w:left w:val="nil"/>
              <w:bottom w:val="single" w:sz="4" w:space="0" w:color="auto"/>
              <w:right w:val="nil"/>
            </w:tcBorders>
            <w:shd w:val="clear" w:color="auto" w:fill="auto"/>
            <w:noWrap/>
            <w:vAlign w:val="center"/>
          </w:tcPr>
          <w:p w14:paraId="1F4DD81D" w14:textId="77777777" w:rsidR="0022442F" w:rsidRPr="002D429A" w:rsidRDefault="0022442F" w:rsidP="0022442F">
            <w:pPr>
              <w:pBdr>
                <w:top w:val="none" w:sz="0" w:space="0" w:color="auto"/>
                <w:left w:val="none" w:sz="0" w:space="0" w:color="auto"/>
                <w:bottom w:val="none" w:sz="0" w:space="0" w:color="auto"/>
                <w:right w:val="none" w:sz="0" w:space="0" w:color="auto"/>
                <w:between w:val="none" w:sz="0" w:space="0" w:color="auto"/>
                <w:bar w:val="none" w:sz="0" w:color="auto"/>
              </w:pBdr>
              <w:jc w:val="right"/>
              <w:outlineLvl w:val="9"/>
              <w:rPr>
                <w:rFonts w:eastAsia="Times New Roman"/>
                <w:b/>
                <w:bCs/>
                <w:color w:val="auto"/>
                <w:sz w:val="18"/>
                <w:szCs w:val="18"/>
                <w:bdr w:val="none" w:sz="0" w:space="0" w:color="auto"/>
                <w:lang w:eastAsia="es-ES"/>
              </w:rPr>
            </w:pPr>
          </w:p>
        </w:tc>
      </w:tr>
      <w:tr w:rsidR="0072066C" w:rsidRPr="002D429A" w14:paraId="1976ECBD" w14:textId="77777777" w:rsidTr="00C21139">
        <w:trPr>
          <w:trHeight w:val="340"/>
        </w:trPr>
        <w:tc>
          <w:tcPr>
            <w:tcW w:w="2230" w:type="pct"/>
            <w:tcBorders>
              <w:top w:val="single" w:sz="4" w:space="0" w:color="auto"/>
              <w:left w:val="nil"/>
              <w:bottom w:val="single" w:sz="4" w:space="0" w:color="auto"/>
              <w:right w:val="nil"/>
            </w:tcBorders>
            <w:shd w:val="clear" w:color="auto" w:fill="F2F2F2" w:themeFill="background1" w:themeFillShade="F2"/>
            <w:noWrap/>
            <w:vAlign w:val="center"/>
            <w:hideMark/>
          </w:tcPr>
          <w:p w14:paraId="157C8EFC" w14:textId="77777777" w:rsidR="0072066C" w:rsidRPr="002D429A" w:rsidRDefault="0072066C" w:rsidP="0072066C">
            <w:pPr>
              <w:pBdr>
                <w:top w:val="none" w:sz="0" w:space="0" w:color="auto"/>
                <w:left w:val="none" w:sz="0" w:space="0" w:color="auto"/>
                <w:bottom w:val="none" w:sz="0" w:space="0" w:color="auto"/>
                <w:right w:val="none" w:sz="0" w:space="0" w:color="auto"/>
                <w:between w:val="none" w:sz="0" w:space="0" w:color="auto"/>
                <w:bar w:val="none" w:sz="0" w:color="auto"/>
              </w:pBdr>
              <w:outlineLvl w:val="9"/>
              <w:rPr>
                <w:rFonts w:eastAsia="Times New Roman"/>
                <w:b/>
                <w:bCs/>
                <w:sz w:val="18"/>
                <w:szCs w:val="18"/>
                <w:bdr w:val="none" w:sz="0" w:space="0" w:color="auto"/>
                <w:lang w:eastAsia="es-ES"/>
              </w:rPr>
            </w:pPr>
            <w:r w:rsidRPr="002D429A">
              <w:rPr>
                <w:rFonts w:eastAsia="Times New Roman"/>
                <w:b/>
                <w:bCs/>
                <w:sz w:val="18"/>
                <w:szCs w:val="18"/>
                <w:bdr w:val="none" w:sz="0" w:space="0" w:color="auto"/>
                <w:lang w:eastAsia="es-ES"/>
              </w:rPr>
              <w:t>ACTIVO NO CORRIENTE</w:t>
            </w:r>
          </w:p>
        </w:tc>
        <w:tc>
          <w:tcPr>
            <w:tcW w:w="663" w:type="pct"/>
            <w:tcBorders>
              <w:top w:val="single" w:sz="4" w:space="0" w:color="auto"/>
              <w:left w:val="nil"/>
              <w:bottom w:val="single" w:sz="4" w:space="0" w:color="auto"/>
              <w:right w:val="nil"/>
            </w:tcBorders>
            <w:shd w:val="clear" w:color="auto" w:fill="F2F2F2" w:themeFill="background1" w:themeFillShade="F2"/>
            <w:noWrap/>
            <w:vAlign w:val="center"/>
            <w:hideMark/>
          </w:tcPr>
          <w:p w14:paraId="668612F1" w14:textId="77777777" w:rsidR="0072066C" w:rsidRPr="002D429A" w:rsidRDefault="0072066C" w:rsidP="0072066C">
            <w:pPr>
              <w:pBdr>
                <w:top w:val="none" w:sz="0" w:space="0" w:color="auto"/>
                <w:left w:val="none" w:sz="0" w:space="0" w:color="auto"/>
                <w:bottom w:val="none" w:sz="0" w:space="0" w:color="auto"/>
                <w:right w:val="none" w:sz="0" w:space="0" w:color="auto"/>
                <w:between w:val="none" w:sz="0" w:space="0" w:color="auto"/>
                <w:bar w:val="none" w:sz="0" w:color="auto"/>
              </w:pBdr>
              <w:outlineLvl w:val="9"/>
              <w:rPr>
                <w:rFonts w:eastAsia="Times New Roman"/>
                <w:sz w:val="18"/>
                <w:szCs w:val="18"/>
                <w:bdr w:val="none" w:sz="0" w:space="0" w:color="auto"/>
                <w:lang w:eastAsia="es-ES"/>
              </w:rPr>
            </w:pPr>
            <w:r w:rsidRPr="002D429A">
              <w:rPr>
                <w:rFonts w:eastAsia="Times New Roman"/>
                <w:sz w:val="18"/>
                <w:szCs w:val="18"/>
                <w:bdr w:val="none" w:sz="0" w:space="0" w:color="auto"/>
                <w:lang w:eastAsia="es-ES"/>
              </w:rPr>
              <w:t> </w:t>
            </w:r>
          </w:p>
        </w:tc>
        <w:tc>
          <w:tcPr>
            <w:tcW w:w="1017" w:type="pct"/>
            <w:tcBorders>
              <w:top w:val="single" w:sz="4" w:space="0" w:color="auto"/>
              <w:left w:val="nil"/>
              <w:bottom w:val="single" w:sz="4" w:space="0" w:color="auto"/>
              <w:right w:val="nil"/>
            </w:tcBorders>
            <w:shd w:val="clear" w:color="auto" w:fill="F2F2F2" w:themeFill="background1" w:themeFillShade="F2"/>
            <w:noWrap/>
            <w:vAlign w:val="center"/>
          </w:tcPr>
          <w:p w14:paraId="409186A3" w14:textId="51D581BB" w:rsidR="0072066C" w:rsidRPr="00547143" w:rsidRDefault="0072066C" w:rsidP="00C21139">
            <w:pPr>
              <w:pBdr>
                <w:top w:val="none" w:sz="0" w:space="0" w:color="auto"/>
                <w:left w:val="none" w:sz="0" w:space="0" w:color="auto"/>
                <w:bottom w:val="none" w:sz="0" w:space="0" w:color="auto"/>
                <w:right w:val="none" w:sz="0" w:space="0" w:color="auto"/>
                <w:between w:val="none" w:sz="0" w:space="0" w:color="auto"/>
                <w:bar w:val="none" w:sz="0" w:color="auto"/>
              </w:pBdr>
              <w:jc w:val="right"/>
              <w:outlineLvl w:val="9"/>
              <w:rPr>
                <w:rFonts w:eastAsia="Times New Roman"/>
                <w:b/>
                <w:bCs/>
                <w:color w:val="auto"/>
                <w:sz w:val="18"/>
                <w:szCs w:val="18"/>
                <w:bdr w:val="none" w:sz="0" w:space="0" w:color="auto"/>
                <w:lang w:eastAsia="es-ES"/>
              </w:rPr>
            </w:pPr>
            <w:r>
              <w:rPr>
                <w:b/>
                <w:bCs/>
                <w:sz w:val="18"/>
                <w:szCs w:val="18"/>
              </w:rPr>
              <w:t>370.390,59</w:t>
            </w:r>
          </w:p>
        </w:tc>
        <w:tc>
          <w:tcPr>
            <w:tcW w:w="1090" w:type="pct"/>
            <w:tcBorders>
              <w:top w:val="single" w:sz="4" w:space="0" w:color="auto"/>
              <w:left w:val="nil"/>
              <w:bottom w:val="single" w:sz="4" w:space="0" w:color="auto"/>
              <w:right w:val="nil"/>
            </w:tcBorders>
            <w:shd w:val="clear" w:color="auto" w:fill="F2F2F2" w:themeFill="background1" w:themeFillShade="F2"/>
            <w:noWrap/>
            <w:vAlign w:val="center"/>
            <w:hideMark/>
          </w:tcPr>
          <w:p w14:paraId="29E6E1F3" w14:textId="6BB13334" w:rsidR="0072066C" w:rsidRPr="002D429A" w:rsidRDefault="0072066C" w:rsidP="00C21139">
            <w:pPr>
              <w:pBdr>
                <w:top w:val="none" w:sz="0" w:space="0" w:color="auto"/>
                <w:left w:val="none" w:sz="0" w:space="0" w:color="auto"/>
                <w:bottom w:val="none" w:sz="0" w:space="0" w:color="auto"/>
                <w:right w:val="none" w:sz="0" w:space="0" w:color="auto"/>
                <w:between w:val="none" w:sz="0" w:space="0" w:color="auto"/>
                <w:bar w:val="none" w:sz="0" w:color="auto"/>
              </w:pBdr>
              <w:jc w:val="right"/>
              <w:outlineLvl w:val="9"/>
              <w:rPr>
                <w:rFonts w:eastAsia="Times New Roman"/>
                <w:b/>
                <w:bCs/>
                <w:color w:val="auto"/>
                <w:sz w:val="18"/>
                <w:szCs w:val="18"/>
                <w:bdr w:val="none" w:sz="0" w:space="0" w:color="auto"/>
                <w:lang w:eastAsia="es-ES"/>
              </w:rPr>
            </w:pPr>
            <w:r w:rsidRPr="00547143">
              <w:rPr>
                <w:b/>
                <w:bCs/>
                <w:sz w:val="18"/>
                <w:szCs w:val="18"/>
              </w:rPr>
              <w:t>237.572,42</w:t>
            </w:r>
          </w:p>
        </w:tc>
      </w:tr>
      <w:tr w:rsidR="0072066C" w:rsidRPr="002D429A" w14:paraId="4C8C4765" w14:textId="77777777" w:rsidTr="00C21139">
        <w:trPr>
          <w:trHeight w:val="340"/>
        </w:trPr>
        <w:tc>
          <w:tcPr>
            <w:tcW w:w="2230" w:type="pct"/>
            <w:tcBorders>
              <w:top w:val="single" w:sz="4" w:space="0" w:color="auto"/>
              <w:left w:val="nil"/>
              <w:bottom w:val="nil"/>
              <w:right w:val="nil"/>
            </w:tcBorders>
            <w:shd w:val="clear" w:color="auto" w:fill="auto"/>
            <w:noWrap/>
            <w:vAlign w:val="center"/>
            <w:hideMark/>
          </w:tcPr>
          <w:p w14:paraId="0264D0C0" w14:textId="77777777" w:rsidR="0072066C" w:rsidRPr="002D429A" w:rsidRDefault="0072066C" w:rsidP="0072066C">
            <w:pPr>
              <w:pBdr>
                <w:top w:val="none" w:sz="0" w:space="0" w:color="auto"/>
                <w:left w:val="none" w:sz="0" w:space="0" w:color="auto"/>
                <w:bottom w:val="none" w:sz="0" w:space="0" w:color="auto"/>
                <w:right w:val="none" w:sz="0" w:space="0" w:color="auto"/>
                <w:between w:val="none" w:sz="0" w:space="0" w:color="auto"/>
                <w:bar w:val="none" w:sz="0" w:color="auto"/>
              </w:pBdr>
              <w:outlineLvl w:val="9"/>
              <w:rPr>
                <w:rFonts w:eastAsia="Times New Roman"/>
                <w:b/>
                <w:bCs/>
                <w:sz w:val="18"/>
                <w:szCs w:val="18"/>
                <w:bdr w:val="none" w:sz="0" w:space="0" w:color="auto"/>
                <w:lang w:eastAsia="es-ES"/>
              </w:rPr>
            </w:pPr>
            <w:r w:rsidRPr="002D429A">
              <w:rPr>
                <w:rFonts w:eastAsia="Times New Roman"/>
                <w:b/>
                <w:bCs/>
                <w:sz w:val="18"/>
                <w:szCs w:val="18"/>
                <w:bdr w:val="none" w:sz="0" w:space="0" w:color="auto"/>
                <w:lang w:eastAsia="es-ES"/>
              </w:rPr>
              <w:t>Inmovilizado intangible</w:t>
            </w:r>
          </w:p>
        </w:tc>
        <w:tc>
          <w:tcPr>
            <w:tcW w:w="663" w:type="pct"/>
            <w:tcBorders>
              <w:top w:val="single" w:sz="4" w:space="0" w:color="auto"/>
              <w:left w:val="nil"/>
              <w:bottom w:val="nil"/>
              <w:right w:val="nil"/>
            </w:tcBorders>
            <w:shd w:val="clear" w:color="auto" w:fill="auto"/>
            <w:noWrap/>
            <w:vAlign w:val="center"/>
            <w:hideMark/>
          </w:tcPr>
          <w:p w14:paraId="70A9112A" w14:textId="77777777" w:rsidR="0072066C" w:rsidRPr="003D20EB" w:rsidRDefault="0072066C" w:rsidP="0072066C">
            <w:pPr>
              <w:pBdr>
                <w:top w:val="none" w:sz="0" w:space="0" w:color="auto"/>
                <w:left w:val="none" w:sz="0" w:space="0" w:color="auto"/>
                <w:bottom w:val="none" w:sz="0" w:space="0" w:color="auto"/>
                <w:right w:val="none" w:sz="0" w:space="0" w:color="auto"/>
                <w:between w:val="none" w:sz="0" w:space="0" w:color="auto"/>
                <w:bar w:val="none" w:sz="0" w:color="auto"/>
              </w:pBdr>
              <w:jc w:val="center"/>
              <w:outlineLvl w:val="9"/>
              <w:rPr>
                <w:rFonts w:eastAsia="Times New Roman"/>
                <w:b/>
                <w:bCs/>
                <w:sz w:val="18"/>
                <w:szCs w:val="18"/>
                <w:highlight w:val="yellow"/>
                <w:bdr w:val="none" w:sz="0" w:space="0" w:color="auto"/>
                <w:lang w:eastAsia="es-ES"/>
              </w:rPr>
            </w:pPr>
            <w:r w:rsidRPr="000D57C6">
              <w:rPr>
                <w:rFonts w:eastAsia="Times New Roman"/>
                <w:b/>
                <w:bCs/>
                <w:sz w:val="18"/>
                <w:szCs w:val="18"/>
                <w:bdr w:val="none" w:sz="0" w:space="0" w:color="auto"/>
                <w:lang w:eastAsia="es-ES"/>
              </w:rPr>
              <w:t>5</w:t>
            </w:r>
          </w:p>
        </w:tc>
        <w:tc>
          <w:tcPr>
            <w:tcW w:w="1017" w:type="pct"/>
            <w:tcBorders>
              <w:top w:val="single" w:sz="4" w:space="0" w:color="auto"/>
              <w:left w:val="nil"/>
              <w:bottom w:val="nil"/>
              <w:right w:val="nil"/>
            </w:tcBorders>
            <w:shd w:val="clear" w:color="auto" w:fill="auto"/>
            <w:noWrap/>
            <w:vAlign w:val="center"/>
          </w:tcPr>
          <w:p w14:paraId="21047A0A" w14:textId="06DEBA4E" w:rsidR="0072066C" w:rsidRPr="00547143" w:rsidRDefault="0072066C" w:rsidP="00C21139">
            <w:pPr>
              <w:pBdr>
                <w:top w:val="none" w:sz="0" w:space="0" w:color="auto"/>
                <w:left w:val="none" w:sz="0" w:space="0" w:color="auto"/>
                <w:bottom w:val="none" w:sz="0" w:space="0" w:color="auto"/>
                <w:right w:val="none" w:sz="0" w:space="0" w:color="auto"/>
                <w:between w:val="none" w:sz="0" w:space="0" w:color="auto"/>
                <w:bar w:val="none" w:sz="0" w:color="auto"/>
              </w:pBdr>
              <w:jc w:val="right"/>
              <w:outlineLvl w:val="9"/>
              <w:rPr>
                <w:rFonts w:eastAsia="Times New Roman"/>
                <w:b/>
                <w:bCs/>
                <w:sz w:val="18"/>
                <w:szCs w:val="18"/>
                <w:bdr w:val="none" w:sz="0" w:space="0" w:color="auto"/>
                <w:lang w:eastAsia="es-ES"/>
              </w:rPr>
            </w:pPr>
            <w:r>
              <w:rPr>
                <w:b/>
                <w:bCs/>
                <w:sz w:val="18"/>
                <w:szCs w:val="18"/>
              </w:rPr>
              <w:t>208.282,66</w:t>
            </w:r>
          </w:p>
        </w:tc>
        <w:tc>
          <w:tcPr>
            <w:tcW w:w="1090" w:type="pct"/>
            <w:tcBorders>
              <w:top w:val="single" w:sz="4" w:space="0" w:color="auto"/>
              <w:left w:val="nil"/>
              <w:bottom w:val="nil"/>
              <w:right w:val="nil"/>
            </w:tcBorders>
            <w:shd w:val="clear" w:color="auto" w:fill="auto"/>
            <w:noWrap/>
            <w:vAlign w:val="center"/>
            <w:hideMark/>
          </w:tcPr>
          <w:p w14:paraId="43CA8CE7" w14:textId="746301A7" w:rsidR="0072066C" w:rsidRPr="002D429A" w:rsidRDefault="0072066C" w:rsidP="00C21139">
            <w:pPr>
              <w:pBdr>
                <w:top w:val="none" w:sz="0" w:space="0" w:color="auto"/>
                <w:left w:val="none" w:sz="0" w:space="0" w:color="auto"/>
                <w:bottom w:val="none" w:sz="0" w:space="0" w:color="auto"/>
                <w:right w:val="none" w:sz="0" w:space="0" w:color="auto"/>
                <w:between w:val="none" w:sz="0" w:space="0" w:color="auto"/>
                <w:bar w:val="none" w:sz="0" w:color="auto"/>
              </w:pBdr>
              <w:jc w:val="right"/>
              <w:outlineLvl w:val="9"/>
              <w:rPr>
                <w:rFonts w:eastAsia="Times New Roman"/>
                <w:b/>
                <w:bCs/>
                <w:color w:val="auto"/>
                <w:sz w:val="18"/>
                <w:szCs w:val="18"/>
                <w:bdr w:val="none" w:sz="0" w:space="0" w:color="auto"/>
                <w:lang w:eastAsia="es-ES"/>
              </w:rPr>
            </w:pPr>
            <w:r w:rsidRPr="00547143">
              <w:rPr>
                <w:b/>
                <w:bCs/>
                <w:sz w:val="18"/>
                <w:szCs w:val="18"/>
              </w:rPr>
              <w:t>0,01</w:t>
            </w:r>
          </w:p>
        </w:tc>
      </w:tr>
      <w:tr w:rsidR="0072066C" w:rsidRPr="002D429A" w14:paraId="4EBAD831" w14:textId="77777777" w:rsidTr="00C21139">
        <w:trPr>
          <w:trHeight w:val="340"/>
        </w:trPr>
        <w:tc>
          <w:tcPr>
            <w:tcW w:w="2230" w:type="pct"/>
            <w:tcBorders>
              <w:top w:val="nil"/>
              <w:left w:val="nil"/>
              <w:bottom w:val="nil"/>
              <w:right w:val="nil"/>
            </w:tcBorders>
            <w:shd w:val="clear" w:color="auto" w:fill="auto"/>
            <w:noWrap/>
            <w:vAlign w:val="center"/>
            <w:hideMark/>
          </w:tcPr>
          <w:p w14:paraId="3C9BC07D" w14:textId="77777777" w:rsidR="0072066C" w:rsidRPr="002D429A" w:rsidRDefault="0072066C" w:rsidP="0072066C">
            <w:pPr>
              <w:pBdr>
                <w:top w:val="none" w:sz="0" w:space="0" w:color="auto"/>
                <w:left w:val="none" w:sz="0" w:space="0" w:color="auto"/>
                <w:bottom w:val="none" w:sz="0" w:space="0" w:color="auto"/>
                <w:right w:val="none" w:sz="0" w:space="0" w:color="auto"/>
                <w:between w:val="none" w:sz="0" w:space="0" w:color="auto"/>
                <w:bar w:val="none" w:sz="0" w:color="auto"/>
              </w:pBdr>
              <w:outlineLvl w:val="9"/>
              <w:rPr>
                <w:rFonts w:eastAsia="Times New Roman"/>
                <w:b/>
                <w:bCs/>
                <w:sz w:val="18"/>
                <w:szCs w:val="18"/>
                <w:bdr w:val="none" w:sz="0" w:space="0" w:color="auto"/>
                <w:lang w:eastAsia="es-ES"/>
              </w:rPr>
            </w:pPr>
            <w:r w:rsidRPr="002D429A">
              <w:rPr>
                <w:rFonts w:eastAsia="Times New Roman"/>
                <w:b/>
                <w:bCs/>
                <w:sz w:val="18"/>
                <w:szCs w:val="18"/>
                <w:bdr w:val="none" w:sz="0" w:space="0" w:color="auto"/>
                <w:lang w:eastAsia="es-ES"/>
              </w:rPr>
              <w:t>Inmovilizado material</w:t>
            </w:r>
          </w:p>
        </w:tc>
        <w:tc>
          <w:tcPr>
            <w:tcW w:w="663" w:type="pct"/>
            <w:tcBorders>
              <w:top w:val="nil"/>
              <w:left w:val="nil"/>
              <w:bottom w:val="nil"/>
              <w:right w:val="nil"/>
            </w:tcBorders>
            <w:shd w:val="clear" w:color="auto" w:fill="auto"/>
            <w:noWrap/>
            <w:vAlign w:val="center"/>
            <w:hideMark/>
          </w:tcPr>
          <w:p w14:paraId="3E344A3C" w14:textId="77777777" w:rsidR="0072066C" w:rsidRPr="003D20EB" w:rsidRDefault="0072066C" w:rsidP="0072066C">
            <w:pPr>
              <w:pBdr>
                <w:top w:val="none" w:sz="0" w:space="0" w:color="auto"/>
                <w:left w:val="none" w:sz="0" w:space="0" w:color="auto"/>
                <w:bottom w:val="none" w:sz="0" w:space="0" w:color="auto"/>
                <w:right w:val="none" w:sz="0" w:space="0" w:color="auto"/>
                <w:between w:val="none" w:sz="0" w:space="0" w:color="auto"/>
                <w:bar w:val="none" w:sz="0" w:color="auto"/>
              </w:pBdr>
              <w:jc w:val="center"/>
              <w:outlineLvl w:val="9"/>
              <w:rPr>
                <w:rFonts w:eastAsia="Times New Roman"/>
                <w:b/>
                <w:bCs/>
                <w:sz w:val="18"/>
                <w:szCs w:val="18"/>
                <w:highlight w:val="yellow"/>
                <w:bdr w:val="none" w:sz="0" w:space="0" w:color="auto"/>
                <w:lang w:eastAsia="es-ES"/>
              </w:rPr>
            </w:pPr>
            <w:r w:rsidRPr="00B144A9">
              <w:rPr>
                <w:rFonts w:eastAsia="Times New Roman"/>
                <w:b/>
                <w:bCs/>
                <w:sz w:val="18"/>
                <w:szCs w:val="18"/>
                <w:bdr w:val="none" w:sz="0" w:space="0" w:color="auto"/>
                <w:lang w:eastAsia="es-ES"/>
              </w:rPr>
              <w:t>6</w:t>
            </w:r>
          </w:p>
        </w:tc>
        <w:tc>
          <w:tcPr>
            <w:tcW w:w="1017" w:type="pct"/>
            <w:tcBorders>
              <w:top w:val="nil"/>
              <w:left w:val="nil"/>
              <w:bottom w:val="nil"/>
              <w:right w:val="nil"/>
            </w:tcBorders>
            <w:shd w:val="clear" w:color="auto" w:fill="auto"/>
            <w:noWrap/>
            <w:vAlign w:val="center"/>
          </w:tcPr>
          <w:p w14:paraId="7710BCEE" w14:textId="299DEDDF" w:rsidR="0072066C" w:rsidRPr="00547143" w:rsidRDefault="0072066C" w:rsidP="00C21139">
            <w:pPr>
              <w:pBdr>
                <w:top w:val="none" w:sz="0" w:space="0" w:color="auto"/>
                <w:left w:val="none" w:sz="0" w:space="0" w:color="auto"/>
                <w:bottom w:val="none" w:sz="0" w:space="0" w:color="auto"/>
                <w:right w:val="none" w:sz="0" w:space="0" w:color="auto"/>
                <w:between w:val="none" w:sz="0" w:space="0" w:color="auto"/>
                <w:bar w:val="none" w:sz="0" w:color="auto"/>
              </w:pBdr>
              <w:jc w:val="right"/>
              <w:outlineLvl w:val="9"/>
              <w:rPr>
                <w:rFonts w:eastAsia="Times New Roman"/>
                <w:b/>
                <w:bCs/>
                <w:sz w:val="18"/>
                <w:szCs w:val="18"/>
                <w:bdr w:val="none" w:sz="0" w:space="0" w:color="auto"/>
                <w:lang w:eastAsia="es-ES"/>
              </w:rPr>
            </w:pPr>
            <w:r>
              <w:rPr>
                <w:b/>
                <w:bCs/>
                <w:sz w:val="18"/>
                <w:szCs w:val="18"/>
              </w:rPr>
              <w:t>153.000,23</w:t>
            </w:r>
          </w:p>
        </w:tc>
        <w:tc>
          <w:tcPr>
            <w:tcW w:w="1090" w:type="pct"/>
            <w:tcBorders>
              <w:top w:val="nil"/>
              <w:left w:val="nil"/>
              <w:bottom w:val="nil"/>
              <w:right w:val="nil"/>
            </w:tcBorders>
            <w:shd w:val="clear" w:color="auto" w:fill="auto"/>
            <w:noWrap/>
            <w:vAlign w:val="center"/>
            <w:hideMark/>
          </w:tcPr>
          <w:p w14:paraId="582CEE32" w14:textId="56160B47" w:rsidR="0072066C" w:rsidRPr="002D429A" w:rsidRDefault="0072066C" w:rsidP="00C21139">
            <w:pPr>
              <w:pBdr>
                <w:top w:val="none" w:sz="0" w:space="0" w:color="auto"/>
                <w:left w:val="none" w:sz="0" w:space="0" w:color="auto"/>
                <w:bottom w:val="none" w:sz="0" w:space="0" w:color="auto"/>
                <w:right w:val="none" w:sz="0" w:space="0" w:color="auto"/>
                <w:between w:val="none" w:sz="0" w:space="0" w:color="auto"/>
                <w:bar w:val="none" w:sz="0" w:color="auto"/>
              </w:pBdr>
              <w:jc w:val="right"/>
              <w:outlineLvl w:val="9"/>
              <w:rPr>
                <w:rFonts w:eastAsia="Times New Roman"/>
                <w:b/>
                <w:bCs/>
                <w:color w:val="auto"/>
                <w:sz w:val="18"/>
                <w:szCs w:val="18"/>
                <w:bdr w:val="none" w:sz="0" w:space="0" w:color="auto"/>
                <w:lang w:eastAsia="es-ES"/>
              </w:rPr>
            </w:pPr>
            <w:r w:rsidRPr="00547143">
              <w:rPr>
                <w:b/>
                <w:bCs/>
                <w:sz w:val="18"/>
                <w:szCs w:val="18"/>
              </w:rPr>
              <w:t>222.464,71</w:t>
            </w:r>
          </w:p>
        </w:tc>
      </w:tr>
      <w:tr w:rsidR="0072066C" w:rsidRPr="002D429A" w14:paraId="19DD5D1A" w14:textId="77777777" w:rsidTr="00C21139">
        <w:trPr>
          <w:trHeight w:val="340"/>
        </w:trPr>
        <w:tc>
          <w:tcPr>
            <w:tcW w:w="2230" w:type="pct"/>
            <w:tcBorders>
              <w:top w:val="nil"/>
              <w:left w:val="nil"/>
              <w:bottom w:val="nil"/>
              <w:right w:val="nil"/>
            </w:tcBorders>
            <w:shd w:val="clear" w:color="auto" w:fill="auto"/>
            <w:noWrap/>
            <w:vAlign w:val="center"/>
            <w:hideMark/>
          </w:tcPr>
          <w:p w14:paraId="7104BC72" w14:textId="77777777" w:rsidR="0072066C" w:rsidRPr="002D429A" w:rsidRDefault="0072066C" w:rsidP="0072066C">
            <w:pPr>
              <w:pBdr>
                <w:top w:val="none" w:sz="0" w:space="0" w:color="auto"/>
                <w:left w:val="none" w:sz="0" w:space="0" w:color="auto"/>
                <w:bottom w:val="none" w:sz="0" w:space="0" w:color="auto"/>
                <w:right w:val="none" w:sz="0" w:space="0" w:color="auto"/>
                <w:between w:val="none" w:sz="0" w:space="0" w:color="auto"/>
                <w:bar w:val="none" w:sz="0" w:color="auto"/>
              </w:pBdr>
              <w:outlineLvl w:val="9"/>
              <w:rPr>
                <w:rFonts w:eastAsia="Times New Roman"/>
                <w:b/>
                <w:bCs/>
                <w:sz w:val="18"/>
                <w:szCs w:val="18"/>
                <w:bdr w:val="none" w:sz="0" w:space="0" w:color="auto"/>
                <w:lang w:eastAsia="es-ES"/>
              </w:rPr>
            </w:pPr>
            <w:r w:rsidRPr="002D429A">
              <w:rPr>
                <w:rFonts w:eastAsia="Times New Roman"/>
                <w:b/>
                <w:bCs/>
                <w:sz w:val="18"/>
                <w:szCs w:val="18"/>
                <w:bdr w:val="none" w:sz="0" w:space="0" w:color="auto"/>
                <w:lang w:eastAsia="es-ES"/>
              </w:rPr>
              <w:t>Inversiones financieras a largo plazo</w:t>
            </w:r>
          </w:p>
        </w:tc>
        <w:tc>
          <w:tcPr>
            <w:tcW w:w="663" w:type="pct"/>
            <w:tcBorders>
              <w:top w:val="nil"/>
              <w:left w:val="nil"/>
              <w:bottom w:val="nil"/>
              <w:right w:val="nil"/>
            </w:tcBorders>
            <w:shd w:val="clear" w:color="auto" w:fill="auto"/>
            <w:noWrap/>
            <w:vAlign w:val="center"/>
            <w:hideMark/>
          </w:tcPr>
          <w:p w14:paraId="5DBE49CA" w14:textId="77777777" w:rsidR="0072066C" w:rsidRPr="003D20EB" w:rsidRDefault="0072066C" w:rsidP="0072066C">
            <w:pPr>
              <w:pBdr>
                <w:top w:val="none" w:sz="0" w:space="0" w:color="auto"/>
                <w:left w:val="none" w:sz="0" w:space="0" w:color="auto"/>
                <w:bottom w:val="none" w:sz="0" w:space="0" w:color="auto"/>
                <w:right w:val="none" w:sz="0" w:space="0" w:color="auto"/>
                <w:between w:val="none" w:sz="0" w:space="0" w:color="auto"/>
                <w:bar w:val="none" w:sz="0" w:color="auto"/>
              </w:pBdr>
              <w:jc w:val="center"/>
              <w:outlineLvl w:val="9"/>
              <w:rPr>
                <w:rFonts w:eastAsia="Times New Roman"/>
                <w:b/>
                <w:bCs/>
                <w:sz w:val="18"/>
                <w:szCs w:val="18"/>
                <w:highlight w:val="yellow"/>
                <w:bdr w:val="none" w:sz="0" w:space="0" w:color="auto"/>
                <w:lang w:eastAsia="es-ES"/>
              </w:rPr>
            </w:pPr>
          </w:p>
        </w:tc>
        <w:tc>
          <w:tcPr>
            <w:tcW w:w="1017" w:type="pct"/>
            <w:tcBorders>
              <w:top w:val="nil"/>
              <w:left w:val="nil"/>
              <w:bottom w:val="nil"/>
              <w:right w:val="nil"/>
            </w:tcBorders>
            <w:shd w:val="clear" w:color="auto" w:fill="auto"/>
            <w:noWrap/>
            <w:vAlign w:val="center"/>
          </w:tcPr>
          <w:p w14:paraId="6821A545" w14:textId="2ABB4BF2" w:rsidR="0072066C" w:rsidRPr="00547143" w:rsidRDefault="0072066C" w:rsidP="00C21139">
            <w:pPr>
              <w:pBdr>
                <w:top w:val="none" w:sz="0" w:space="0" w:color="auto"/>
                <w:left w:val="none" w:sz="0" w:space="0" w:color="auto"/>
                <w:bottom w:val="none" w:sz="0" w:space="0" w:color="auto"/>
                <w:right w:val="none" w:sz="0" w:space="0" w:color="auto"/>
                <w:between w:val="none" w:sz="0" w:space="0" w:color="auto"/>
                <w:bar w:val="none" w:sz="0" w:color="auto"/>
              </w:pBdr>
              <w:jc w:val="right"/>
              <w:outlineLvl w:val="9"/>
              <w:rPr>
                <w:rFonts w:eastAsia="Times New Roman"/>
                <w:b/>
                <w:bCs/>
                <w:sz w:val="18"/>
                <w:szCs w:val="18"/>
                <w:bdr w:val="none" w:sz="0" w:space="0" w:color="auto"/>
                <w:lang w:eastAsia="es-ES"/>
              </w:rPr>
            </w:pPr>
            <w:r>
              <w:rPr>
                <w:b/>
                <w:bCs/>
                <w:sz w:val="18"/>
                <w:szCs w:val="18"/>
              </w:rPr>
              <w:t>9.107,70</w:t>
            </w:r>
          </w:p>
        </w:tc>
        <w:tc>
          <w:tcPr>
            <w:tcW w:w="1090" w:type="pct"/>
            <w:tcBorders>
              <w:top w:val="nil"/>
              <w:left w:val="nil"/>
              <w:bottom w:val="nil"/>
              <w:right w:val="nil"/>
            </w:tcBorders>
            <w:shd w:val="clear" w:color="auto" w:fill="auto"/>
            <w:noWrap/>
            <w:vAlign w:val="center"/>
            <w:hideMark/>
          </w:tcPr>
          <w:p w14:paraId="6DCE2E91" w14:textId="01B1C424" w:rsidR="0072066C" w:rsidRPr="002D429A" w:rsidRDefault="0072066C" w:rsidP="00C21139">
            <w:pPr>
              <w:pBdr>
                <w:top w:val="none" w:sz="0" w:space="0" w:color="auto"/>
                <w:left w:val="none" w:sz="0" w:space="0" w:color="auto"/>
                <w:bottom w:val="none" w:sz="0" w:space="0" w:color="auto"/>
                <w:right w:val="none" w:sz="0" w:space="0" w:color="auto"/>
                <w:between w:val="none" w:sz="0" w:space="0" w:color="auto"/>
                <w:bar w:val="none" w:sz="0" w:color="auto"/>
              </w:pBdr>
              <w:jc w:val="right"/>
              <w:outlineLvl w:val="9"/>
              <w:rPr>
                <w:rFonts w:eastAsia="Times New Roman"/>
                <w:b/>
                <w:bCs/>
                <w:color w:val="auto"/>
                <w:sz w:val="18"/>
                <w:szCs w:val="18"/>
                <w:bdr w:val="none" w:sz="0" w:space="0" w:color="auto"/>
                <w:lang w:eastAsia="es-ES"/>
              </w:rPr>
            </w:pPr>
            <w:r w:rsidRPr="00547143">
              <w:rPr>
                <w:b/>
                <w:bCs/>
                <w:sz w:val="18"/>
                <w:szCs w:val="18"/>
              </w:rPr>
              <w:t>15.107,70</w:t>
            </w:r>
          </w:p>
        </w:tc>
      </w:tr>
      <w:tr w:rsidR="0072066C" w:rsidRPr="002D429A" w14:paraId="255C8960" w14:textId="77777777" w:rsidTr="00C21139">
        <w:trPr>
          <w:trHeight w:val="340"/>
        </w:trPr>
        <w:tc>
          <w:tcPr>
            <w:tcW w:w="2230" w:type="pct"/>
            <w:tcBorders>
              <w:top w:val="nil"/>
              <w:left w:val="nil"/>
              <w:right w:val="nil"/>
            </w:tcBorders>
            <w:shd w:val="clear" w:color="auto" w:fill="auto"/>
            <w:noWrap/>
            <w:vAlign w:val="center"/>
            <w:hideMark/>
          </w:tcPr>
          <w:p w14:paraId="5C495BA0" w14:textId="77777777" w:rsidR="0072066C" w:rsidRPr="002D429A" w:rsidRDefault="0072066C" w:rsidP="0072066C">
            <w:pPr>
              <w:pBdr>
                <w:top w:val="none" w:sz="0" w:space="0" w:color="auto"/>
                <w:left w:val="none" w:sz="0" w:space="0" w:color="auto"/>
                <w:bottom w:val="none" w:sz="0" w:space="0" w:color="auto"/>
                <w:right w:val="none" w:sz="0" w:space="0" w:color="auto"/>
                <w:between w:val="none" w:sz="0" w:space="0" w:color="auto"/>
                <w:bar w:val="none" w:sz="0" w:color="auto"/>
              </w:pBdr>
              <w:outlineLvl w:val="9"/>
              <w:rPr>
                <w:rFonts w:eastAsia="Times New Roman"/>
                <w:sz w:val="18"/>
                <w:szCs w:val="18"/>
                <w:bdr w:val="none" w:sz="0" w:space="0" w:color="auto"/>
                <w:lang w:eastAsia="es-ES"/>
              </w:rPr>
            </w:pPr>
            <w:r w:rsidRPr="002D429A">
              <w:rPr>
                <w:rFonts w:eastAsia="Times New Roman"/>
                <w:sz w:val="18"/>
                <w:szCs w:val="18"/>
                <w:bdr w:val="none" w:sz="0" w:space="0" w:color="auto"/>
                <w:lang w:eastAsia="es-ES"/>
              </w:rPr>
              <w:t>Otros activos financieros</w:t>
            </w:r>
          </w:p>
        </w:tc>
        <w:tc>
          <w:tcPr>
            <w:tcW w:w="663" w:type="pct"/>
            <w:tcBorders>
              <w:top w:val="nil"/>
              <w:left w:val="nil"/>
              <w:right w:val="nil"/>
            </w:tcBorders>
            <w:shd w:val="clear" w:color="auto" w:fill="auto"/>
            <w:noWrap/>
            <w:vAlign w:val="center"/>
            <w:hideMark/>
          </w:tcPr>
          <w:p w14:paraId="054CF746" w14:textId="77777777" w:rsidR="0072066C" w:rsidRPr="003D20EB" w:rsidRDefault="0072066C" w:rsidP="0072066C">
            <w:pPr>
              <w:pBdr>
                <w:top w:val="none" w:sz="0" w:space="0" w:color="auto"/>
                <w:left w:val="none" w:sz="0" w:space="0" w:color="auto"/>
                <w:bottom w:val="none" w:sz="0" w:space="0" w:color="auto"/>
                <w:right w:val="none" w:sz="0" w:space="0" w:color="auto"/>
                <w:between w:val="none" w:sz="0" w:space="0" w:color="auto"/>
                <w:bar w:val="none" w:sz="0" w:color="auto"/>
              </w:pBdr>
              <w:jc w:val="center"/>
              <w:outlineLvl w:val="9"/>
              <w:rPr>
                <w:rFonts w:eastAsia="Times New Roman"/>
                <w:sz w:val="18"/>
                <w:szCs w:val="18"/>
                <w:highlight w:val="yellow"/>
                <w:bdr w:val="none" w:sz="0" w:space="0" w:color="auto"/>
                <w:lang w:eastAsia="es-ES"/>
              </w:rPr>
            </w:pPr>
            <w:r w:rsidRPr="00691B37">
              <w:rPr>
                <w:rFonts w:eastAsia="Times New Roman"/>
                <w:sz w:val="18"/>
                <w:szCs w:val="18"/>
                <w:bdr w:val="none" w:sz="0" w:space="0" w:color="auto"/>
                <w:lang w:eastAsia="es-ES"/>
              </w:rPr>
              <w:t>8.1.a.</w:t>
            </w:r>
          </w:p>
        </w:tc>
        <w:tc>
          <w:tcPr>
            <w:tcW w:w="1017" w:type="pct"/>
            <w:tcBorders>
              <w:top w:val="nil"/>
              <w:left w:val="nil"/>
              <w:right w:val="nil"/>
            </w:tcBorders>
            <w:shd w:val="clear" w:color="auto" w:fill="auto"/>
            <w:noWrap/>
            <w:vAlign w:val="center"/>
          </w:tcPr>
          <w:p w14:paraId="74B6EC5A" w14:textId="6E5D44C6" w:rsidR="0072066C" w:rsidRPr="00547143" w:rsidRDefault="0072066C" w:rsidP="00C21139">
            <w:pPr>
              <w:pBdr>
                <w:top w:val="none" w:sz="0" w:space="0" w:color="auto"/>
                <w:left w:val="none" w:sz="0" w:space="0" w:color="auto"/>
                <w:bottom w:val="none" w:sz="0" w:space="0" w:color="auto"/>
                <w:right w:val="none" w:sz="0" w:space="0" w:color="auto"/>
                <w:between w:val="none" w:sz="0" w:space="0" w:color="auto"/>
                <w:bar w:val="none" w:sz="0" w:color="auto"/>
              </w:pBdr>
              <w:jc w:val="right"/>
              <w:outlineLvl w:val="9"/>
              <w:rPr>
                <w:rFonts w:eastAsia="Times New Roman"/>
                <w:sz w:val="18"/>
                <w:szCs w:val="18"/>
                <w:bdr w:val="none" w:sz="0" w:space="0" w:color="auto"/>
                <w:lang w:eastAsia="es-ES"/>
              </w:rPr>
            </w:pPr>
            <w:r>
              <w:rPr>
                <w:sz w:val="18"/>
                <w:szCs w:val="18"/>
              </w:rPr>
              <w:t>9.107,70</w:t>
            </w:r>
          </w:p>
        </w:tc>
        <w:tc>
          <w:tcPr>
            <w:tcW w:w="1090" w:type="pct"/>
            <w:tcBorders>
              <w:top w:val="nil"/>
              <w:left w:val="nil"/>
              <w:right w:val="nil"/>
            </w:tcBorders>
            <w:shd w:val="clear" w:color="auto" w:fill="auto"/>
            <w:noWrap/>
            <w:vAlign w:val="center"/>
            <w:hideMark/>
          </w:tcPr>
          <w:p w14:paraId="2896342E" w14:textId="6CA02B5F" w:rsidR="0072066C" w:rsidRPr="002D429A" w:rsidRDefault="0072066C" w:rsidP="00C21139">
            <w:pPr>
              <w:pBdr>
                <w:top w:val="none" w:sz="0" w:space="0" w:color="auto"/>
                <w:left w:val="none" w:sz="0" w:space="0" w:color="auto"/>
                <w:bottom w:val="none" w:sz="0" w:space="0" w:color="auto"/>
                <w:right w:val="none" w:sz="0" w:space="0" w:color="auto"/>
                <w:between w:val="none" w:sz="0" w:space="0" w:color="auto"/>
                <w:bar w:val="none" w:sz="0" w:color="auto"/>
              </w:pBdr>
              <w:jc w:val="right"/>
              <w:outlineLvl w:val="9"/>
              <w:rPr>
                <w:rFonts w:eastAsia="Times New Roman"/>
                <w:color w:val="auto"/>
                <w:sz w:val="18"/>
                <w:szCs w:val="18"/>
                <w:bdr w:val="none" w:sz="0" w:space="0" w:color="auto"/>
                <w:lang w:eastAsia="es-ES"/>
              </w:rPr>
            </w:pPr>
            <w:r w:rsidRPr="00547143">
              <w:rPr>
                <w:sz w:val="18"/>
                <w:szCs w:val="18"/>
              </w:rPr>
              <w:t>15.107,70</w:t>
            </w:r>
          </w:p>
        </w:tc>
      </w:tr>
      <w:tr w:rsidR="00382952" w:rsidRPr="002D429A" w14:paraId="3E1C2CFA" w14:textId="77777777" w:rsidTr="00C21139">
        <w:trPr>
          <w:trHeight w:val="227"/>
        </w:trPr>
        <w:tc>
          <w:tcPr>
            <w:tcW w:w="2230" w:type="pct"/>
            <w:tcBorders>
              <w:top w:val="nil"/>
              <w:left w:val="nil"/>
              <w:bottom w:val="single" w:sz="4" w:space="0" w:color="auto"/>
              <w:right w:val="nil"/>
            </w:tcBorders>
            <w:shd w:val="clear" w:color="auto" w:fill="auto"/>
            <w:noWrap/>
            <w:vAlign w:val="center"/>
            <w:hideMark/>
          </w:tcPr>
          <w:p w14:paraId="6A0EF859" w14:textId="77777777" w:rsidR="00382952" w:rsidRPr="002D429A" w:rsidRDefault="00382952" w:rsidP="00382952">
            <w:pPr>
              <w:pBdr>
                <w:top w:val="none" w:sz="0" w:space="0" w:color="auto"/>
                <w:left w:val="none" w:sz="0" w:space="0" w:color="auto"/>
                <w:bottom w:val="none" w:sz="0" w:space="0" w:color="auto"/>
                <w:right w:val="none" w:sz="0" w:space="0" w:color="auto"/>
                <w:between w:val="none" w:sz="0" w:space="0" w:color="auto"/>
                <w:bar w:val="none" w:sz="0" w:color="auto"/>
              </w:pBdr>
              <w:jc w:val="right"/>
              <w:outlineLvl w:val="9"/>
              <w:rPr>
                <w:rFonts w:eastAsia="Times New Roman"/>
                <w:color w:val="auto"/>
                <w:sz w:val="18"/>
                <w:szCs w:val="18"/>
                <w:bdr w:val="none" w:sz="0" w:space="0" w:color="auto"/>
                <w:lang w:eastAsia="es-ES"/>
              </w:rPr>
            </w:pPr>
          </w:p>
        </w:tc>
        <w:tc>
          <w:tcPr>
            <w:tcW w:w="663" w:type="pct"/>
            <w:tcBorders>
              <w:top w:val="nil"/>
              <w:left w:val="nil"/>
              <w:bottom w:val="single" w:sz="4" w:space="0" w:color="auto"/>
              <w:right w:val="nil"/>
            </w:tcBorders>
            <w:shd w:val="clear" w:color="auto" w:fill="auto"/>
            <w:noWrap/>
            <w:vAlign w:val="center"/>
            <w:hideMark/>
          </w:tcPr>
          <w:p w14:paraId="5B5A4B51" w14:textId="77777777" w:rsidR="00382952" w:rsidRPr="002D429A" w:rsidRDefault="00382952" w:rsidP="00382952">
            <w:pPr>
              <w:pBdr>
                <w:top w:val="none" w:sz="0" w:space="0" w:color="auto"/>
                <w:left w:val="none" w:sz="0" w:space="0" w:color="auto"/>
                <w:bottom w:val="none" w:sz="0" w:space="0" w:color="auto"/>
                <w:right w:val="none" w:sz="0" w:space="0" w:color="auto"/>
                <w:between w:val="none" w:sz="0" w:space="0" w:color="auto"/>
                <w:bar w:val="none" w:sz="0" w:color="auto"/>
              </w:pBdr>
              <w:outlineLvl w:val="9"/>
              <w:rPr>
                <w:rFonts w:ascii="Times New Roman" w:eastAsia="Times New Roman" w:hAnsi="Times New Roman" w:cs="Times New Roman"/>
                <w:color w:val="auto"/>
                <w:sz w:val="20"/>
                <w:szCs w:val="20"/>
                <w:bdr w:val="none" w:sz="0" w:space="0" w:color="auto"/>
                <w:lang w:eastAsia="es-ES"/>
              </w:rPr>
            </w:pPr>
          </w:p>
        </w:tc>
        <w:tc>
          <w:tcPr>
            <w:tcW w:w="1017" w:type="pct"/>
            <w:tcBorders>
              <w:top w:val="nil"/>
              <w:left w:val="nil"/>
              <w:bottom w:val="single" w:sz="4" w:space="0" w:color="auto"/>
              <w:right w:val="nil"/>
            </w:tcBorders>
            <w:shd w:val="clear" w:color="auto" w:fill="auto"/>
            <w:noWrap/>
            <w:vAlign w:val="center"/>
          </w:tcPr>
          <w:p w14:paraId="32084C3A" w14:textId="77777777" w:rsidR="00382952" w:rsidRPr="002D429A" w:rsidRDefault="00382952" w:rsidP="00C21139">
            <w:pPr>
              <w:pBdr>
                <w:top w:val="none" w:sz="0" w:space="0" w:color="auto"/>
                <w:left w:val="none" w:sz="0" w:space="0" w:color="auto"/>
                <w:bottom w:val="none" w:sz="0" w:space="0" w:color="auto"/>
                <w:right w:val="none" w:sz="0" w:space="0" w:color="auto"/>
                <w:between w:val="none" w:sz="0" w:space="0" w:color="auto"/>
                <w:bar w:val="none" w:sz="0" w:color="auto"/>
              </w:pBdr>
              <w:jc w:val="right"/>
              <w:outlineLvl w:val="9"/>
              <w:rPr>
                <w:rFonts w:ascii="Times New Roman" w:eastAsia="Times New Roman" w:hAnsi="Times New Roman" w:cs="Times New Roman"/>
                <w:color w:val="auto"/>
                <w:sz w:val="20"/>
                <w:szCs w:val="20"/>
                <w:bdr w:val="none" w:sz="0" w:space="0" w:color="auto"/>
                <w:lang w:eastAsia="es-ES"/>
              </w:rPr>
            </w:pPr>
          </w:p>
        </w:tc>
        <w:tc>
          <w:tcPr>
            <w:tcW w:w="1090" w:type="pct"/>
            <w:tcBorders>
              <w:top w:val="nil"/>
              <w:left w:val="nil"/>
              <w:bottom w:val="single" w:sz="4" w:space="0" w:color="auto"/>
              <w:right w:val="nil"/>
            </w:tcBorders>
            <w:shd w:val="clear" w:color="auto" w:fill="auto"/>
            <w:noWrap/>
            <w:vAlign w:val="center"/>
            <w:hideMark/>
          </w:tcPr>
          <w:p w14:paraId="036112D5" w14:textId="77777777" w:rsidR="00382952" w:rsidRPr="002D429A" w:rsidRDefault="00382952" w:rsidP="00C21139">
            <w:pPr>
              <w:pBdr>
                <w:top w:val="none" w:sz="0" w:space="0" w:color="auto"/>
                <w:left w:val="none" w:sz="0" w:space="0" w:color="auto"/>
                <w:bottom w:val="none" w:sz="0" w:space="0" w:color="auto"/>
                <w:right w:val="none" w:sz="0" w:space="0" w:color="auto"/>
                <w:between w:val="none" w:sz="0" w:space="0" w:color="auto"/>
                <w:bar w:val="none" w:sz="0" w:color="auto"/>
              </w:pBdr>
              <w:jc w:val="right"/>
              <w:outlineLvl w:val="9"/>
              <w:rPr>
                <w:rFonts w:ascii="Times New Roman" w:eastAsia="Times New Roman" w:hAnsi="Times New Roman" w:cs="Times New Roman"/>
                <w:color w:val="auto"/>
                <w:sz w:val="20"/>
                <w:szCs w:val="20"/>
                <w:bdr w:val="none" w:sz="0" w:space="0" w:color="auto"/>
                <w:lang w:eastAsia="es-ES"/>
              </w:rPr>
            </w:pPr>
          </w:p>
        </w:tc>
      </w:tr>
      <w:tr w:rsidR="00382952" w:rsidRPr="002D429A" w14:paraId="7940FB9A" w14:textId="77777777" w:rsidTr="00C21139">
        <w:trPr>
          <w:trHeight w:val="340"/>
        </w:trPr>
        <w:tc>
          <w:tcPr>
            <w:tcW w:w="2230" w:type="pct"/>
            <w:tcBorders>
              <w:top w:val="single" w:sz="4" w:space="0" w:color="auto"/>
              <w:left w:val="nil"/>
              <w:bottom w:val="single" w:sz="4" w:space="0" w:color="auto"/>
              <w:right w:val="nil"/>
            </w:tcBorders>
            <w:shd w:val="clear" w:color="auto" w:fill="F2F2F2" w:themeFill="background1" w:themeFillShade="F2"/>
            <w:noWrap/>
            <w:vAlign w:val="center"/>
            <w:hideMark/>
          </w:tcPr>
          <w:p w14:paraId="59F6441E" w14:textId="77777777" w:rsidR="00382952" w:rsidRPr="002D429A" w:rsidRDefault="00382952" w:rsidP="00382952">
            <w:pPr>
              <w:pBdr>
                <w:top w:val="none" w:sz="0" w:space="0" w:color="auto"/>
                <w:left w:val="none" w:sz="0" w:space="0" w:color="auto"/>
                <w:bottom w:val="none" w:sz="0" w:space="0" w:color="auto"/>
                <w:right w:val="none" w:sz="0" w:space="0" w:color="auto"/>
                <w:between w:val="none" w:sz="0" w:space="0" w:color="auto"/>
                <w:bar w:val="none" w:sz="0" w:color="auto"/>
              </w:pBdr>
              <w:outlineLvl w:val="9"/>
              <w:rPr>
                <w:rFonts w:eastAsia="Times New Roman"/>
                <w:b/>
                <w:bCs/>
                <w:sz w:val="18"/>
                <w:szCs w:val="18"/>
                <w:bdr w:val="none" w:sz="0" w:space="0" w:color="auto"/>
                <w:lang w:eastAsia="es-ES"/>
              </w:rPr>
            </w:pPr>
            <w:r w:rsidRPr="002D429A">
              <w:rPr>
                <w:rFonts w:eastAsia="Times New Roman"/>
                <w:b/>
                <w:bCs/>
                <w:sz w:val="18"/>
                <w:szCs w:val="18"/>
                <w:bdr w:val="none" w:sz="0" w:space="0" w:color="auto"/>
                <w:lang w:eastAsia="es-ES"/>
              </w:rPr>
              <w:t>ACTIVO CORRIENTE</w:t>
            </w:r>
          </w:p>
        </w:tc>
        <w:tc>
          <w:tcPr>
            <w:tcW w:w="663" w:type="pct"/>
            <w:tcBorders>
              <w:top w:val="single" w:sz="4" w:space="0" w:color="auto"/>
              <w:left w:val="nil"/>
              <w:bottom w:val="single" w:sz="4" w:space="0" w:color="auto"/>
              <w:right w:val="nil"/>
            </w:tcBorders>
            <w:shd w:val="clear" w:color="auto" w:fill="F2F2F2" w:themeFill="background1" w:themeFillShade="F2"/>
            <w:noWrap/>
            <w:vAlign w:val="center"/>
            <w:hideMark/>
          </w:tcPr>
          <w:p w14:paraId="57A00FCF" w14:textId="77777777" w:rsidR="00382952" w:rsidRPr="002D429A" w:rsidRDefault="00382952" w:rsidP="00382952">
            <w:pPr>
              <w:pBdr>
                <w:top w:val="none" w:sz="0" w:space="0" w:color="auto"/>
                <w:left w:val="none" w:sz="0" w:space="0" w:color="auto"/>
                <w:bottom w:val="none" w:sz="0" w:space="0" w:color="auto"/>
                <w:right w:val="none" w:sz="0" w:space="0" w:color="auto"/>
                <w:between w:val="none" w:sz="0" w:space="0" w:color="auto"/>
                <w:bar w:val="none" w:sz="0" w:color="auto"/>
              </w:pBdr>
              <w:outlineLvl w:val="9"/>
              <w:rPr>
                <w:rFonts w:eastAsia="Times New Roman"/>
                <w:sz w:val="18"/>
                <w:szCs w:val="18"/>
                <w:bdr w:val="none" w:sz="0" w:space="0" w:color="auto"/>
                <w:lang w:eastAsia="es-ES"/>
              </w:rPr>
            </w:pPr>
            <w:r w:rsidRPr="002D429A">
              <w:rPr>
                <w:rFonts w:eastAsia="Times New Roman"/>
                <w:sz w:val="18"/>
                <w:szCs w:val="18"/>
                <w:bdr w:val="none" w:sz="0" w:space="0" w:color="auto"/>
                <w:lang w:eastAsia="es-ES"/>
              </w:rPr>
              <w:t> </w:t>
            </w:r>
          </w:p>
        </w:tc>
        <w:tc>
          <w:tcPr>
            <w:tcW w:w="1017" w:type="pct"/>
            <w:tcBorders>
              <w:top w:val="single" w:sz="4" w:space="0" w:color="auto"/>
              <w:left w:val="nil"/>
              <w:bottom w:val="single" w:sz="4" w:space="0" w:color="auto"/>
              <w:right w:val="nil"/>
            </w:tcBorders>
            <w:shd w:val="clear" w:color="auto" w:fill="F2F2F2" w:themeFill="background1" w:themeFillShade="F2"/>
            <w:noWrap/>
            <w:vAlign w:val="center"/>
          </w:tcPr>
          <w:p w14:paraId="328B5B08" w14:textId="68A8AA04" w:rsidR="00382952" w:rsidRPr="0072066C" w:rsidRDefault="0072066C" w:rsidP="00C21139">
            <w:pPr>
              <w:pBdr>
                <w:top w:val="none" w:sz="0" w:space="0" w:color="auto"/>
                <w:left w:val="none" w:sz="0" w:space="0" w:color="auto"/>
                <w:bottom w:val="none" w:sz="0" w:space="0" w:color="auto"/>
                <w:right w:val="none" w:sz="0" w:space="0" w:color="auto"/>
                <w:between w:val="none" w:sz="0" w:space="0" w:color="auto"/>
                <w:bar w:val="none" w:sz="0" w:color="auto"/>
              </w:pBdr>
              <w:jc w:val="right"/>
              <w:outlineLvl w:val="9"/>
              <w:rPr>
                <w:rFonts w:eastAsia="Times New Roman"/>
                <w:b/>
                <w:bCs/>
                <w:sz w:val="18"/>
                <w:szCs w:val="18"/>
                <w:bdr w:val="none" w:sz="0" w:space="0" w:color="auto"/>
                <w:lang w:eastAsia="es-ES"/>
              </w:rPr>
            </w:pPr>
            <w:r>
              <w:rPr>
                <w:b/>
                <w:bCs/>
                <w:sz w:val="18"/>
                <w:szCs w:val="18"/>
              </w:rPr>
              <w:t>32.624.229,35</w:t>
            </w:r>
          </w:p>
        </w:tc>
        <w:tc>
          <w:tcPr>
            <w:tcW w:w="1090" w:type="pct"/>
            <w:tcBorders>
              <w:top w:val="single" w:sz="4" w:space="0" w:color="auto"/>
              <w:left w:val="nil"/>
              <w:bottom w:val="single" w:sz="4" w:space="0" w:color="auto"/>
              <w:right w:val="nil"/>
            </w:tcBorders>
            <w:shd w:val="clear" w:color="auto" w:fill="F2F2F2" w:themeFill="background1" w:themeFillShade="F2"/>
            <w:noWrap/>
            <w:vAlign w:val="center"/>
            <w:hideMark/>
          </w:tcPr>
          <w:p w14:paraId="27300BCA" w14:textId="14A3A2DF" w:rsidR="00382952" w:rsidRDefault="003F79E8" w:rsidP="00C21139">
            <w:pPr>
              <w:jc w:val="right"/>
              <w:rPr>
                <w:b/>
                <w:bCs/>
                <w:sz w:val="18"/>
                <w:szCs w:val="18"/>
              </w:rPr>
            </w:pPr>
            <w:r w:rsidRPr="003F79E8">
              <w:rPr>
                <w:b/>
                <w:bCs/>
                <w:sz w:val="18"/>
                <w:szCs w:val="18"/>
              </w:rPr>
              <w:t>53.355.482,40</w:t>
            </w:r>
          </w:p>
        </w:tc>
      </w:tr>
      <w:tr w:rsidR="0072066C" w:rsidRPr="002D429A" w14:paraId="781BFCF7" w14:textId="77777777" w:rsidTr="00C21139">
        <w:trPr>
          <w:trHeight w:val="340"/>
        </w:trPr>
        <w:tc>
          <w:tcPr>
            <w:tcW w:w="2893" w:type="pct"/>
            <w:gridSpan w:val="2"/>
            <w:tcBorders>
              <w:top w:val="single" w:sz="4" w:space="0" w:color="auto"/>
              <w:left w:val="nil"/>
              <w:bottom w:val="nil"/>
              <w:right w:val="nil"/>
            </w:tcBorders>
            <w:shd w:val="clear" w:color="auto" w:fill="auto"/>
            <w:noWrap/>
            <w:vAlign w:val="center"/>
            <w:hideMark/>
          </w:tcPr>
          <w:p w14:paraId="719D3C7D" w14:textId="77777777" w:rsidR="0072066C" w:rsidRPr="002D429A" w:rsidRDefault="0072066C" w:rsidP="0072066C">
            <w:pPr>
              <w:pBdr>
                <w:top w:val="none" w:sz="0" w:space="0" w:color="auto"/>
                <w:left w:val="none" w:sz="0" w:space="0" w:color="auto"/>
                <w:bottom w:val="none" w:sz="0" w:space="0" w:color="auto"/>
                <w:right w:val="none" w:sz="0" w:space="0" w:color="auto"/>
                <w:between w:val="none" w:sz="0" w:space="0" w:color="auto"/>
                <w:bar w:val="none" w:sz="0" w:color="auto"/>
              </w:pBdr>
              <w:outlineLvl w:val="9"/>
              <w:rPr>
                <w:rFonts w:eastAsia="Times New Roman"/>
                <w:b/>
                <w:bCs/>
                <w:sz w:val="18"/>
                <w:szCs w:val="18"/>
                <w:bdr w:val="none" w:sz="0" w:space="0" w:color="auto"/>
                <w:lang w:eastAsia="es-ES"/>
              </w:rPr>
            </w:pPr>
            <w:r w:rsidRPr="002D429A">
              <w:rPr>
                <w:rFonts w:eastAsia="Times New Roman"/>
                <w:b/>
                <w:bCs/>
                <w:sz w:val="18"/>
                <w:szCs w:val="18"/>
                <w:bdr w:val="none" w:sz="0" w:space="0" w:color="auto"/>
                <w:lang w:eastAsia="es-ES"/>
              </w:rPr>
              <w:t>Deudores comerciales y otras cuentas a cobrar</w:t>
            </w:r>
          </w:p>
        </w:tc>
        <w:tc>
          <w:tcPr>
            <w:tcW w:w="1017" w:type="pct"/>
            <w:tcBorders>
              <w:top w:val="single" w:sz="4" w:space="0" w:color="auto"/>
              <w:left w:val="nil"/>
              <w:bottom w:val="nil"/>
              <w:right w:val="nil"/>
            </w:tcBorders>
            <w:shd w:val="clear" w:color="auto" w:fill="auto"/>
            <w:noWrap/>
            <w:vAlign w:val="center"/>
          </w:tcPr>
          <w:p w14:paraId="38268032" w14:textId="03B04A00" w:rsidR="0072066C" w:rsidRPr="00547143" w:rsidRDefault="0072066C" w:rsidP="00C21139">
            <w:pPr>
              <w:pBdr>
                <w:top w:val="none" w:sz="0" w:space="0" w:color="auto"/>
                <w:left w:val="none" w:sz="0" w:space="0" w:color="auto"/>
                <w:bottom w:val="none" w:sz="0" w:space="0" w:color="auto"/>
                <w:right w:val="none" w:sz="0" w:space="0" w:color="auto"/>
                <w:between w:val="none" w:sz="0" w:space="0" w:color="auto"/>
                <w:bar w:val="none" w:sz="0" w:color="auto"/>
              </w:pBdr>
              <w:jc w:val="right"/>
              <w:outlineLvl w:val="9"/>
              <w:rPr>
                <w:rFonts w:eastAsia="Times New Roman"/>
                <w:b/>
                <w:bCs/>
                <w:sz w:val="18"/>
                <w:szCs w:val="18"/>
                <w:bdr w:val="none" w:sz="0" w:space="0" w:color="auto"/>
                <w:lang w:eastAsia="es-ES"/>
              </w:rPr>
            </w:pPr>
            <w:r>
              <w:rPr>
                <w:b/>
                <w:bCs/>
                <w:sz w:val="18"/>
                <w:szCs w:val="18"/>
              </w:rPr>
              <w:t>18.195.767,45</w:t>
            </w:r>
          </w:p>
        </w:tc>
        <w:tc>
          <w:tcPr>
            <w:tcW w:w="1090" w:type="pct"/>
            <w:tcBorders>
              <w:top w:val="single" w:sz="4" w:space="0" w:color="auto"/>
              <w:left w:val="nil"/>
              <w:bottom w:val="nil"/>
              <w:right w:val="nil"/>
            </w:tcBorders>
            <w:shd w:val="clear" w:color="auto" w:fill="auto"/>
            <w:noWrap/>
            <w:vAlign w:val="center"/>
            <w:hideMark/>
          </w:tcPr>
          <w:p w14:paraId="3810D083" w14:textId="468E8E32" w:rsidR="0072066C" w:rsidRPr="002F5FA7" w:rsidRDefault="0072066C" w:rsidP="00C21139">
            <w:pPr>
              <w:pBdr>
                <w:top w:val="none" w:sz="0" w:space="0" w:color="auto"/>
                <w:left w:val="none" w:sz="0" w:space="0" w:color="auto"/>
                <w:bottom w:val="none" w:sz="0" w:space="0" w:color="auto"/>
                <w:right w:val="none" w:sz="0" w:space="0" w:color="auto"/>
                <w:between w:val="none" w:sz="0" w:space="0" w:color="auto"/>
                <w:bar w:val="none" w:sz="0" w:color="auto"/>
              </w:pBdr>
              <w:jc w:val="right"/>
              <w:outlineLvl w:val="9"/>
              <w:rPr>
                <w:rFonts w:eastAsia="Times New Roman"/>
                <w:b/>
                <w:bCs/>
                <w:sz w:val="18"/>
                <w:szCs w:val="18"/>
                <w:bdr w:val="none" w:sz="0" w:space="0" w:color="auto"/>
                <w:lang w:eastAsia="es-ES"/>
              </w:rPr>
            </w:pPr>
            <w:r w:rsidRPr="00547143">
              <w:rPr>
                <w:b/>
                <w:bCs/>
                <w:sz w:val="18"/>
                <w:szCs w:val="18"/>
              </w:rPr>
              <w:t>37.250.660,67</w:t>
            </w:r>
          </w:p>
        </w:tc>
      </w:tr>
      <w:tr w:rsidR="0072066C" w:rsidRPr="002D429A" w14:paraId="56DE4C73" w14:textId="77777777" w:rsidTr="00C21139">
        <w:trPr>
          <w:trHeight w:val="340"/>
        </w:trPr>
        <w:tc>
          <w:tcPr>
            <w:tcW w:w="2230" w:type="pct"/>
            <w:tcBorders>
              <w:top w:val="nil"/>
              <w:left w:val="nil"/>
              <w:bottom w:val="nil"/>
              <w:right w:val="nil"/>
            </w:tcBorders>
            <w:shd w:val="clear" w:color="auto" w:fill="auto"/>
            <w:noWrap/>
            <w:vAlign w:val="center"/>
          </w:tcPr>
          <w:p w14:paraId="6C99A337" w14:textId="3AD39779" w:rsidR="0072066C" w:rsidRPr="002D429A" w:rsidRDefault="0072066C" w:rsidP="0072066C">
            <w:pPr>
              <w:pBdr>
                <w:top w:val="none" w:sz="0" w:space="0" w:color="auto"/>
                <w:left w:val="none" w:sz="0" w:space="0" w:color="auto"/>
                <w:bottom w:val="none" w:sz="0" w:space="0" w:color="auto"/>
                <w:right w:val="none" w:sz="0" w:space="0" w:color="auto"/>
                <w:between w:val="none" w:sz="0" w:space="0" w:color="auto"/>
                <w:bar w:val="none" w:sz="0" w:color="auto"/>
              </w:pBdr>
              <w:outlineLvl w:val="9"/>
              <w:rPr>
                <w:rFonts w:eastAsia="Times New Roman"/>
                <w:sz w:val="18"/>
                <w:szCs w:val="18"/>
                <w:bdr w:val="none" w:sz="0" w:space="0" w:color="auto"/>
                <w:lang w:eastAsia="es-ES"/>
              </w:rPr>
            </w:pPr>
            <w:r w:rsidRPr="00691B37">
              <w:rPr>
                <w:rFonts w:eastAsia="Times New Roman"/>
                <w:sz w:val="18"/>
                <w:szCs w:val="18"/>
                <w:bdr w:val="none" w:sz="0" w:space="0" w:color="auto"/>
                <w:lang w:eastAsia="es-ES"/>
              </w:rPr>
              <w:t>Clientes por ventas y prestaciones de servicios</w:t>
            </w:r>
          </w:p>
        </w:tc>
        <w:tc>
          <w:tcPr>
            <w:tcW w:w="663" w:type="pct"/>
            <w:tcBorders>
              <w:top w:val="nil"/>
              <w:left w:val="nil"/>
              <w:bottom w:val="nil"/>
              <w:right w:val="nil"/>
            </w:tcBorders>
            <w:shd w:val="clear" w:color="auto" w:fill="auto"/>
            <w:noWrap/>
            <w:vAlign w:val="center"/>
          </w:tcPr>
          <w:p w14:paraId="5D17794D" w14:textId="2A007825" w:rsidR="0072066C" w:rsidRDefault="0072066C" w:rsidP="0072066C">
            <w:pPr>
              <w:pBdr>
                <w:top w:val="none" w:sz="0" w:space="0" w:color="auto"/>
                <w:left w:val="none" w:sz="0" w:space="0" w:color="auto"/>
                <w:bottom w:val="none" w:sz="0" w:space="0" w:color="auto"/>
                <w:right w:val="none" w:sz="0" w:space="0" w:color="auto"/>
                <w:between w:val="none" w:sz="0" w:space="0" w:color="auto"/>
                <w:bar w:val="none" w:sz="0" w:color="auto"/>
              </w:pBdr>
              <w:jc w:val="center"/>
              <w:outlineLvl w:val="9"/>
              <w:rPr>
                <w:sz w:val="18"/>
                <w:szCs w:val="18"/>
              </w:rPr>
            </w:pPr>
            <w:r w:rsidRPr="00691B37">
              <w:rPr>
                <w:rFonts w:eastAsia="Times New Roman"/>
                <w:sz w:val="18"/>
                <w:szCs w:val="18"/>
                <w:bdr w:val="none" w:sz="0" w:space="0" w:color="auto"/>
                <w:lang w:eastAsia="es-ES"/>
              </w:rPr>
              <w:t>8.1.a</w:t>
            </w:r>
          </w:p>
        </w:tc>
        <w:tc>
          <w:tcPr>
            <w:tcW w:w="1017" w:type="pct"/>
            <w:tcBorders>
              <w:top w:val="nil"/>
              <w:left w:val="nil"/>
              <w:bottom w:val="nil"/>
              <w:right w:val="nil"/>
            </w:tcBorders>
            <w:shd w:val="clear" w:color="auto" w:fill="auto"/>
            <w:noWrap/>
            <w:vAlign w:val="center"/>
          </w:tcPr>
          <w:p w14:paraId="689576C8" w14:textId="12CAED5D" w:rsidR="0072066C" w:rsidRPr="00547143" w:rsidRDefault="0072066C" w:rsidP="00C21139">
            <w:pPr>
              <w:pBdr>
                <w:top w:val="none" w:sz="0" w:space="0" w:color="auto"/>
                <w:left w:val="none" w:sz="0" w:space="0" w:color="auto"/>
                <w:bottom w:val="none" w:sz="0" w:space="0" w:color="auto"/>
                <w:right w:val="none" w:sz="0" w:space="0" w:color="auto"/>
                <w:between w:val="none" w:sz="0" w:space="0" w:color="auto"/>
                <w:bar w:val="none" w:sz="0" w:color="auto"/>
              </w:pBdr>
              <w:jc w:val="right"/>
              <w:outlineLvl w:val="9"/>
              <w:rPr>
                <w:rFonts w:eastAsia="Times New Roman"/>
                <w:sz w:val="18"/>
                <w:szCs w:val="18"/>
                <w:bdr w:val="none" w:sz="0" w:space="0" w:color="auto"/>
                <w:lang w:eastAsia="es-ES"/>
              </w:rPr>
            </w:pPr>
            <w:r>
              <w:rPr>
                <w:sz w:val="18"/>
                <w:szCs w:val="18"/>
              </w:rPr>
              <w:t>562.151,85</w:t>
            </w:r>
          </w:p>
        </w:tc>
        <w:tc>
          <w:tcPr>
            <w:tcW w:w="1090" w:type="pct"/>
            <w:tcBorders>
              <w:top w:val="nil"/>
              <w:left w:val="nil"/>
              <w:bottom w:val="nil"/>
              <w:right w:val="nil"/>
            </w:tcBorders>
            <w:shd w:val="clear" w:color="auto" w:fill="auto"/>
            <w:noWrap/>
            <w:vAlign w:val="center"/>
          </w:tcPr>
          <w:p w14:paraId="48FAC181" w14:textId="15085349" w:rsidR="0072066C" w:rsidRPr="003F79E8" w:rsidRDefault="0072066C" w:rsidP="00C21139">
            <w:pPr>
              <w:pBdr>
                <w:top w:val="none" w:sz="0" w:space="0" w:color="auto"/>
                <w:left w:val="none" w:sz="0" w:space="0" w:color="auto"/>
                <w:bottom w:val="none" w:sz="0" w:space="0" w:color="auto"/>
                <w:right w:val="none" w:sz="0" w:space="0" w:color="auto"/>
                <w:between w:val="none" w:sz="0" w:space="0" w:color="auto"/>
                <w:bar w:val="none" w:sz="0" w:color="auto"/>
              </w:pBdr>
              <w:jc w:val="right"/>
              <w:outlineLvl w:val="9"/>
              <w:rPr>
                <w:sz w:val="18"/>
                <w:szCs w:val="18"/>
              </w:rPr>
            </w:pPr>
            <w:r w:rsidRPr="00547143">
              <w:rPr>
                <w:sz w:val="18"/>
                <w:szCs w:val="18"/>
              </w:rPr>
              <w:t>278.650,74</w:t>
            </w:r>
          </w:p>
        </w:tc>
      </w:tr>
      <w:tr w:rsidR="0072066C" w:rsidRPr="002D429A" w14:paraId="48AF311A" w14:textId="77777777" w:rsidTr="00C21139">
        <w:trPr>
          <w:trHeight w:val="340"/>
        </w:trPr>
        <w:tc>
          <w:tcPr>
            <w:tcW w:w="2230" w:type="pct"/>
            <w:tcBorders>
              <w:top w:val="nil"/>
              <w:left w:val="nil"/>
              <w:bottom w:val="nil"/>
              <w:right w:val="nil"/>
            </w:tcBorders>
            <w:shd w:val="clear" w:color="auto" w:fill="auto"/>
            <w:noWrap/>
            <w:vAlign w:val="center"/>
            <w:hideMark/>
          </w:tcPr>
          <w:p w14:paraId="64C48597" w14:textId="77777777" w:rsidR="0072066C" w:rsidRPr="002D429A" w:rsidRDefault="0072066C" w:rsidP="0072066C">
            <w:pPr>
              <w:pBdr>
                <w:top w:val="none" w:sz="0" w:space="0" w:color="auto"/>
                <w:left w:val="none" w:sz="0" w:space="0" w:color="auto"/>
                <w:bottom w:val="none" w:sz="0" w:space="0" w:color="auto"/>
                <w:right w:val="none" w:sz="0" w:space="0" w:color="auto"/>
                <w:between w:val="none" w:sz="0" w:space="0" w:color="auto"/>
                <w:bar w:val="none" w:sz="0" w:color="auto"/>
              </w:pBdr>
              <w:outlineLvl w:val="9"/>
              <w:rPr>
                <w:rFonts w:eastAsia="Times New Roman"/>
                <w:sz w:val="18"/>
                <w:szCs w:val="18"/>
                <w:bdr w:val="none" w:sz="0" w:space="0" w:color="auto"/>
                <w:lang w:eastAsia="es-ES"/>
              </w:rPr>
            </w:pPr>
            <w:r w:rsidRPr="002D429A">
              <w:rPr>
                <w:rFonts w:eastAsia="Times New Roman"/>
                <w:sz w:val="18"/>
                <w:szCs w:val="18"/>
                <w:bdr w:val="none" w:sz="0" w:space="0" w:color="auto"/>
                <w:lang w:eastAsia="es-ES"/>
              </w:rPr>
              <w:t>Deudores varios</w:t>
            </w:r>
          </w:p>
        </w:tc>
        <w:tc>
          <w:tcPr>
            <w:tcW w:w="663" w:type="pct"/>
            <w:tcBorders>
              <w:top w:val="nil"/>
              <w:left w:val="nil"/>
              <w:bottom w:val="nil"/>
              <w:right w:val="nil"/>
            </w:tcBorders>
            <w:shd w:val="clear" w:color="auto" w:fill="auto"/>
            <w:noWrap/>
            <w:vAlign w:val="center"/>
            <w:hideMark/>
          </w:tcPr>
          <w:p w14:paraId="6245E76B" w14:textId="14044FB1" w:rsidR="0072066C" w:rsidRPr="00691B37" w:rsidRDefault="00BD2F87" w:rsidP="0072066C">
            <w:pPr>
              <w:pBdr>
                <w:top w:val="none" w:sz="0" w:space="0" w:color="auto"/>
                <w:left w:val="none" w:sz="0" w:space="0" w:color="auto"/>
                <w:bottom w:val="none" w:sz="0" w:space="0" w:color="auto"/>
                <w:right w:val="none" w:sz="0" w:space="0" w:color="auto"/>
                <w:between w:val="none" w:sz="0" w:space="0" w:color="auto"/>
                <w:bar w:val="none" w:sz="0" w:color="auto"/>
              </w:pBdr>
              <w:jc w:val="center"/>
              <w:outlineLvl w:val="9"/>
              <w:rPr>
                <w:rFonts w:eastAsia="Times New Roman"/>
                <w:sz w:val="18"/>
                <w:szCs w:val="18"/>
                <w:bdr w:val="none" w:sz="0" w:space="0" w:color="auto"/>
                <w:lang w:eastAsia="es-ES"/>
              </w:rPr>
            </w:pPr>
            <w:r w:rsidRPr="00691B37">
              <w:rPr>
                <w:rFonts w:eastAsia="Times New Roman"/>
                <w:sz w:val="18"/>
                <w:szCs w:val="18"/>
                <w:bdr w:val="none" w:sz="0" w:space="0" w:color="auto"/>
                <w:lang w:eastAsia="es-ES"/>
              </w:rPr>
              <w:t>8.1.a</w:t>
            </w:r>
          </w:p>
        </w:tc>
        <w:tc>
          <w:tcPr>
            <w:tcW w:w="1017" w:type="pct"/>
            <w:tcBorders>
              <w:top w:val="nil"/>
              <w:left w:val="nil"/>
              <w:bottom w:val="nil"/>
              <w:right w:val="nil"/>
            </w:tcBorders>
            <w:shd w:val="clear" w:color="auto" w:fill="auto"/>
            <w:noWrap/>
            <w:vAlign w:val="center"/>
          </w:tcPr>
          <w:p w14:paraId="2ECBCD7D" w14:textId="0E00D285" w:rsidR="0072066C" w:rsidRPr="00547143" w:rsidRDefault="0072066C" w:rsidP="00C21139">
            <w:pPr>
              <w:pBdr>
                <w:top w:val="none" w:sz="0" w:space="0" w:color="auto"/>
                <w:left w:val="none" w:sz="0" w:space="0" w:color="auto"/>
                <w:bottom w:val="none" w:sz="0" w:space="0" w:color="auto"/>
                <w:right w:val="none" w:sz="0" w:space="0" w:color="auto"/>
                <w:between w:val="none" w:sz="0" w:space="0" w:color="auto"/>
                <w:bar w:val="none" w:sz="0" w:color="auto"/>
              </w:pBdr>
              <w:jc w:val="right"/>
              <w:outlineLvl w:val="9"/>
              <w:rPr>
                <w:rFonts w:eastAsia="Times New Roman"/>
                <w:sz w:val="18"/>
                <w:szCs w:val="18"/>
                <w:bdr w:val="none" w:sz="0" w:space="0" w:color="auto"/>
                <w:lang w:eastAsia="es-ES"/>
              </w:rPr>
            </w:pPr>
            <w:r>
              <w:rPr>
                <w:sz w:val="18"/>
                <w:szCs w:val="18"/>
              </w:rPr>
              <w:t>15.433,93</w:t>
            </w:r>
          </w:p>
        </w:tc>
        <w:tc>
          <w:tcPr>
            <w:tcW w:w="1090" w:type="pct"/>
            <w:tcBorders>
              <w:top w:val="nil"/>
              <w:left w:val="nil"/>
              <w:bottom w:val="nil"/>
              <w:right w:val="nil"/>
            </w:tcBorders>
            <w:shd w:val="clear" w:color="auto" w:fill="auto"/>
            <w:noWrap/>
            <w:vAlign w:val="center"/>
            <w:hideMark/>
          </w:tcPr>
          <w:p w14:paraId="5B96F12D" w14:textId="16400AA6" w:rsidR="0072066C" w:rsidRPr="002D429A" w:rsidRDefault="0072066C" w:rsidP="00C21139">
            <w:pPr>
              <w:pBdr>
                <w:top w:val="none" w:sz="0" w:space="0" w:color="auto"/>
                <w:left w:val="none" w:sz="0" w:space="0" w:color="auto"/>
                <w:bottom w:val="none" w:sz="0" w:space="0" w:color="auto"/>
                <w:right w:val="none" w:sz="0" w:space="0" w:color="auto"/>
                <w:between w:val="none" w:sz="0" w:space="0" w:color="auto"/>
                <w:bar w:val="none" w:sz="0" w:color="auto"/>
              </w:pBdr>
              <w:jc w:val="right"/>
              <w:outlineLvl w:val="9"/>
              <w:rPr>
                <w:rFonts w:eastAsia="Times New Roman"/>
                <w:color w:val="auto"/>
                <w:sz w:val="18"/>
                <w:szCs w:val="18"/>
                <w:bdr w:val="none" w:sz="0" w:space="0" w:color="auto"/>
                <w:lang w:eastAsia="es-ES"/>
              </w:rPr>
            </w:pPr>
            <w:r w:rsidRPr="003F79E8">
              <w:rPr>
                <w:sz w:val="18"/>
                <w:szCs w:val="18"/>
              </w:rPr>
              <w:t>22.867,31</w:t>
            </w:r>
          </w:p>
        </w:tc>
      </w:tr>
      <w:tr w:rsidR="0072066C" w:rsidRPr="002D429A" w14:paraId="7D488B88" w14:textId="77777777" w:rsidTr="00C21139">
        <w:trPr>
          <w:trHeight w:val="340"/>
        </w:trPr>
        <w:tc>
          <w:tcPr>
            <w:tcW w:w="2230" w:type="pct"/>
            <w:tcBorders>
              <w:top w:val="nil"/>
              <w:left w:val="nil"/>
              <w:bottom w:val="nil"/>
              <w:right w:val="nil"/>
            </w:tcBorders>
            <w:shd w:val="clear" w:color="auto" w:fill="auto"/>
            <w:noWrap/>
            <w:vAlign w:val="center"/>
          </w:tcPr>
          <w:p w14:paraId="452CC520" w14:textId="727C068B" w:rsidR="0072066C" w:rsidRPr="00781AB7" w:rsidRDefault="0072066C" w:rsidP="0072066C">
            <w:pPr>
              <w:pBdr>
                <w:top w:val="none" w:sz="0" w:space="0" w:color="auto"/>
                <w:left w:val="none" w:sz="0" w:space="0" w:color="auto"/>
                <w:bottom w:val="none" w:sz="0" w:space="0" w:color="auto"/>
                <w:right w:val="none" w:sz="0" w:space="0" w:color="auto"/>
                <w:between w:val="none" w:sz="0" w:space="0" w:color="auto"/>
                <w:bar w:val="none" w:sz="0" w:color="auto"/>
              </w:pBdr>
              <w:outlineLvl w:val="9"/>
              <w:rPr>
                <w:rFonts w:eastAsia="Times New Roman"/>
                <w:sz w:val="16"/>
                <w:szCs w:val="16"/>
                <w:bdr w:val="none" w:sz="0" w:space="0" w:color="auto"/>
                <w:lang w:eastAsia="es-ES"/>
              </w:rPr>
            </w:pPr>
            <w:r w:rsidRPr="00781AB7">
              <w:rPr>
                <w:sz w:val="18"/>
                <w:szCs w:val="18"/>
              </w:rPr>
              <w:t>Activos por impuesto corriente</w:t>
            </w:r>
          </w:p>
        </w:tc>
        <w:tc>
          <w:tcPr>
            <w:tcW w:w="663" w:type="pct"/>
            <w:tcBorders>
              <w:top w:val="nil"/>
              <w:left w:val="nil"/>
              <w:bottom w:val="nil"/>
              <w:right w:val="nil"/>
            </w:tcBorders>
            <w:shd w:val="clear" w:color="auto" w:fill="auto"/>
            <w:noWrap/>
            <w:vAlign w:val="center"/>
          </w:tcPr>
          <w:p w14:paraId="61932A06" w14:textId="200738B1" w:rsidR="0072066C" w:rsidRPr="00691B37" w:rsidRDefault="0072066C" w:rsidP="0072066C">
            <w:pPr>
              <w:pBdr>
                <w:top w:val="none" w:sz="0" w:space="0" w:color="auto"/>
                <w:left w:val="none" w:sz="0" w:space="0" w:color="auto"/>
                <w:bottom w:val="none" w:sz="0" w:space="0" w:color="auto"/>
                <w:right w:val="none" w:sz="0" w:space="0" w:color="auto"/>
                <w:between w:val="none" w:sz="0" w:space="0" w:color="auto"/>
                <w:bar w:val="none" w:sz="0" w:color="auto"/>
              </w:pBdr>
              <w:jc w:val="center"/>
              <w:outlineLvl w:val="9"/>
              <w:rPr>
                <w:rFonts w:eastAsia="Times New Roman"/>
                <w:sz w:val="18"/>
                <w:szCs w:val="18"/>
                <w:bdr w:val="none" w:sz="0" w:space="0" w:color="auto"/>
                <w:lang w:eastAsia="es-ES"/>
              </w:rPr>
            </w:pPr>
            <w:r w:rsidRPr="00085996">
              <w:rPr>
                <w:rFonts w:eastAsia="Times New Roman"/>
                <w:sz w:val="18"/>
                <w:szCs w:val="18"/>
                <w:bdr w:val="none" w:sz="0" w:space="0" w:color="auto"/>
                <w:lang w:eastAsia="es-ES"/>
              </w:rPr>
              <w:t>11</w:t>
            </w:r>
            <w:r>
              <w:rPr>
                <w:rFonts w:eastAsia="Times New Roman"/>
                <w:sz w:val="18"/>
                <w:szCs w:val="18"/>
                <w:bdr w:val="none" w:sz="0" w:space="0" w:color="auto"/>
                <w:lang w:eastAsia="es-ES"/>
              </w:rPr>
              <w:t>.1.a</w:t>
            </w:r>
          </w:p>
        </w:tc>
        <w:tc>
          <w:tcPr>
            <w:tcW w:w="1017" w:type="pct"/>
            <w:tcBorders>
              <w:top w:val="nil"/>
              <w:left w:val="nil"/>
              <w:bottom w:val="nil"/>
              <w:right w:val="nil"/>
            </w:tcBorders>
            <w:shd w:val="clear" w:color="auto" w:fill="auto"/>
            <w:noWrap/>
            <w:vAlign w:val="center"/>
          </w:tcPr>
          <w:p w14:paraId="65C025D5" w14:textId="2992FAAA" w:rsidR="0072066C" w:rsidRPr="00547143" w:rsidRDefault="0072066C" w:rsidP="00C21139">
            <w:pPr>
              <w:pBdr>
                <w:top w:val="none" w:sz="0" w:space="0" w:color="auto"/>
                <w:left w:val="none" w:sz="0" w:space="0" w:color="auto"/>
                <w:bottom w:val="none" w:sz="0" w:space="0" w:color="auto"/>
                <w:right w:val="none" w:sz="0" w:space="0" w:color="auto"/>
                <w:between w:val="none" w:sz="0" w:space="0" w:color="auto"/>
                <w:bar w:val="none" w:sz="0" w:color="auto"/>
              </w:pBdr>
              <w:jc w:val="right"/>
              <w:outlineLvl w:val="9"/>
              <w:rPr>
                <w:sz w:val="18"/>
                <w:szCs w:val="18"/>
              </w:rPr>
            </w:pPr>
            <w:r>
              <w:rPr>
                <w:sz w:val="18"/>
                <w:szCs w:val="18"/>
              </w:rPr>
              <w:t>17.036,01</w:t>
            </w:r>
          </w:p>
        </w:tc>
        <w:tc>
          <w:tcPr>
            <w:tcW w:w="1090" w:type="pct"/>
            <w:tcBorders>
              <w:top w:val="nil"/>
              <w:left w:val="nil"/>
              <w:bottom w:val="nil"/>
              <w:right w:val="nil"/>
            </w:tcBorders>
            <w:shd w:val="clear" w:color="auto" w:fill="auto"/>
            <w:noWrap/>
            <w:vAlign w:val="center"/>
          </w:tcPr>
          <w:p w14:paraId="17784DAC" w14:textId="077A971E" w:rsidR="0072066C" w:rsidRDefault="0072066C" w:rsidP="00C21139">
            <w:pPr>
              <w:pBdr>
                <w:top w:val="none" w:sz="0" w:space="0" w:color="auto"/>
                <w:left w:val="none" w:sz="0" w:space="0" w:color="auto"/>
                <w:bottom w:val="none" w:sz="0" w:space="0" w:color="auto"/>
                <w:right w:val="none" w:sz="0" w:space="0" w:color="auto"/>
                <w:between w:val="none" w:sz="0" w:space="0" w:color="auto"/>
                <w:bar w:val="none" w:sz="0" w:color="auto"/>
              </w:pBdr>
              <w:jc w:val="right"/>
              <w:outlineLvl w:val="9"/>
              <w:rPr>
                <w:sz w:val="18"/>
                <w:szCs w:val="18"/>
              </w:rPr>
            </w:pPr>
            <w:r w:rsidRPr="00547143">
              <w:rPr>
                <w:sz w:val="18"/>
                <w:szCs w:val="18"/>
              </w:rPr>
              <w:t>3.623,07</w:t>
            </w:r>
          </w:p>
        </w:tc>
      </w:tr>
      <w:tr w:rsidR="0072066C" w:rsidRPr="002D429A" w14:paraId="34F43091" w14:textId="77777777" w:rsidTr="00C21139">
        <w:trPr>
          <w:trHeight w:val="340"/>
        </w:trPr>
        <w:tc>
          <w:tcPr>
            <w:tcW w:w="2230" w:type="pct"/>
            <w:tcBorders>
              <w:top w:val="nil"/>
              <w:left w:val="nil"/>
              <w:bottom w:val="nil"/>
              <w:right w:val="nil"/>
            </w:tcBorders>
            <w:shd w:val="clear" w:color="auto" w:fill="auto"/>
            <w:noWrap/>
            <w:vAlign w:val="center"/>
            <w:hideMark/>
          </w:tcPr>
          <w:p w14:paraId="03FB7F8D" w14:textId="77777777" w:rsidR="0072066C" w:rsidRPr="002D429A" w:rsidRDefault="0072066C" w:rsidP="0072066C">
            <w:pPr>
              <w:pBdr>
                <w:top w:val="none" w:sz="0" w:space="0" w:color="auto"/>
                <w:left w:val="none" w:sz="0" w:space="0" w:color="auto"/>
                <w:bottom w:val="none" w:sz="0" w:space="0" w:color="auto"/>
                <w:right w:val="none" w:sz="0" w:space="0" w:color="auto"/>
                <w:between w:val="none" w:sz="0" w:space="0" w:color="auto"/>
                <w:bar w:val="none" w:sz="0" w:color="auto"/>
              </w:pBdr>
              <w:outlineLvl w:val="9"/>
              <w:rPr>
                <w:rFonts w:eastAsia="Times New Roman"/>
                <w:sz w:val="18"/>
                <w:szCs w:val="18"/>
                <w:bdr w:val="none" w:sz="0" w:space="0" w:color="auto"/>
                <w:lang w:eastAsia="es-ES"/>
              </w:rPr>
            </w:pPr>
            <w:r w:rsidRPr="002D429A">
              <w:rPr>
                <w:rFonts w:eastAsia="Times New Roman"/>
                <w:sz w:val="18"/>
                <w:szCs w:val="18"/>
                <w:bdr w:val="none" w:sz="0" w:space="0" w:color="auto"/>
                <w:lang w:eastAsia="es-ES"/>
              </w:rPr>
              <w:t>Otros créditos con las Administraciones Públicas</w:t>
            </w:r>
          </w:p>
        </w:tc>
        <w:tc>
          <w:tcPr>
            <w:tcW w:w="663" w:type="pct"/>
            <w:tcBorders>
              <w:top w:val="nil"/>
              <w:left w:val="nil"/>
              <w:bottom w:val="nil"/>
              <w:right w:val="nil"/>
            </w:tcBorders>
            <w:shd w:val="clear" w:color="auto" w:fill="auto"/>
            <w:noWrap/>
            <w:vAlign w:val="center"/>
            <w:hideMark/>
          </w:tcPr>
          <w:p w14:paraId="6258F42D" w14:textId="50CCB1EE" w:rsidR="0072066C" w:rsidRPr="003D20EB" w:rsidRDefault="0072066C" w:rsidP="0072066C">
            <w:pPr>
              <w:pBdr>
                <w:top w:val="none" w:sz="0" w:space="0" w:color="auto"/>
                <w:left w:val="none" w:sz="0" w:space="0" w:color="auto"/>
                <w:bottom w:val="none" w:sz="0" w:space="0" w:color="auto"/>
                <w:right w:val="none" w:sz="0" w:space="0" w:color="auto"/>
                <w:between w:val="none" w:sz="0" w:space="0" w:color="auto"/>
                <w:bar w:val="none" w:sz="0" w:color="auto"/>
              </w:pBdr>
              <w:jc w:val="center"/>
              <w:outlineLvl w:val="9"/>
              <w:rPr>
                <w:rFonts w:eastAsia="Times New Roman"/>
                <w:sz w:val="18"/>
                <w:szCs w:val="18"/>
                <w:highlight w:val="yellow"/>
                <w:bdr w:val="none" w:sz="0" w:space="0" w:color="auto"/>
                <w:lang w:eastAsia="es-ES"/>
              </w:rPr>
            </w:pPr>
            <w:r w:rsidRPr="00085996">
              <w:rPr>
                <w:rFonts w:eastAsia="Times New Roman"/>
                <w:sz w:val="18"/>
                <w:szCs w:val="18"/>
                <w:bdr w:val="none" w:sz="0" w:space="0" w:color="auto"/>
                <w:lang w:eastAsia="es-ES"/>
              </w:rPr>
              <w:t>11</w:t>
            </w:r>
            <w:r>
              <w:rPr>
                <w:rFonts w:eastAsia="Times New Roman"/>
                <w:sz w:val="18"/>
                <w:szCs w:val="18"/>
                <w:bdr w:val="none" w:sz="0" w:space="0" w:color="auto"/>
                <w:lang w:eastAsia="es-ES"/>
              </w:rPr>
              <w:t>.1.a</w:t>
            </w:r>
          </w:p>
        </w:tc>
        <w:tc>
          <w:tcPr>
            <w:tcW w:w="1017" w:type="pct"/>
            <w:tcBorders>
              <w:top w:val="nil"/>
              <w:left w:val="nil"/>
              <w:bottom w:val="nil"/>
              <w:right w:val="nil"/>
            </w:tcBorders>
            <w:shd w:val="clear" w:color="auto" w:fill="auto"/>
            <w:noWrap/>
            <w:vAlign w:val="center"/>
          </w:tcPr>
          <w:p w14:paraId="099C45C8" w14:textId="06A713B1" w:rsidR="0072066C" w:rsidRPr="00547143" w:rsidRDefault="0072066C" w:rsidP="00C21139">
            <w:pPr>
              <w:pBdr>
                <w:top w:val="none" w:sz="0" w:space="0" w:color="auto"/>
                <w:left w:val="none" w:sz="0" w:space="0" w:color="auto"/>
                <w:bottom w:val="none" w:sz="0" w:space="0" w:color="auto"/>
                <w:right w:val="none" w:sz="0" w:space="0" w:color="auto"/>
                <w:between w:val="none" w:sz="0" w:space="0" w:color="auto"/>
                <w:bar w:val="none" w:sz="0" w:color="auto"/>
              </w:pBdr>
              <w:jc w:val="right"/>
              <w:outlineLvl w:val="9"/>
              <w:rPr>
                <w:rFonts w:eastAsia="Times New Roman"/>
                <w:sz w:val="18"/>
                <w:szCs w:val="18"/>
                <w:bdr w:val="none" w:sz="0" w:space="0" w:color="auto"/>
                <w:lang w:eastAsia="es-ES"/>
              </w:rPr>
            </w:pPr>
            <w:r>
              <w:rPr>
                <w:sz w:val="18"/>
                <w:szCs w:val="18"/>
              </w:rPr>
              <w:t>17.601.145,66</w:t>
            </w:r>
          </w:p>
        </w:tc>
        <w:tc>
          <w:tcPr>
            <w:tcW w:w="1090" w:type="pct"/>
            <w:tcBorders>
              <w:top w:val="nil"/>
              <w:left w:val="nil"/>
              <w:bottom w:val="nil"/>
              <w:right w:val="nil"/>
            </w:tcBorders>
            <w:shd w:val="clear" w:color="auto" w:fill="auto"/>
            <w:noWrap/>
            <w:vAlign w:val="center"/>
            <w:hideMark/>
          </w:tcPr>
          <w:p w14:paraId="4B2DBE8E" w14:textId="08930144" w:rsidR="0072066C" w:rsidRPr="002D429A" w:rsidRDefault="0072066C" w:rsidP="00C21139">
            <w:pPr>
              <w:pBdr>
                <w:top w:val="none" w:sz="0" w:space="0" w:color="auto"/>
                <w:left w:val="none" w:sz="0" w:space="0" w:color="auto"/>
                <w:bottom w:val="none" w:sz="0" w:space="0" w:color="auto"/>
                <w:right w:val="none" w:sz="0" w:space="0" w:color="auto"/>
                <w:between w:val="none" w:sz="0" w:space="0" w:color="auto"/>
                <w:bar w:val="none" w:sz="0" w:color="auto"/>
              </w:pBdr>
              <w:jc w:val="right"/>
              <w:outlineLvl w:val="9"/>
              <w:rPr>
                <w:rFonts w:eastAsia="Times New Roman"/>
                <w:color w:val="auto"/>
                <w:sz w:val="18"/>
                <w:szCs w:val="18"/>
                <w:bdr w:val="none" w:sz="0" w:space="0" w:color="auto"/>
                <w:lang w:eastAsia="es-ES"/>
              </w:rPr>
            </w:pPr>
            <w:r w:rsidRPr="00547143">
              <w:rPr>
                <w:sz w:val="18"/>
                <w:szCs w:val="18"/>
              </w:rPr>
              <w:t>36.945.519,55</w:t>
            </w:r>
          </w:p>
        </w:tc>
      </w:tr>
      <w:tr w:rsidR="0072066C" w:rsidRPr="002D429A" w14:paraId="35E279EF" w14:textId="77777777" w:rsidTr="00C21139">
        <w:trPr>
          <w:trHeight w:val="340"/>
        </w:trPr>
        <w:tc>
          <w:tcPr>
            <w:tcW w:w="2230" w:type="pct"/>
            <w:tcBorders>
              <w:top w:val="nil"/>
              <w:left w:val="nil"/>
              <w:bottom w:val="nil"/>
              <w:right w:val="nil"/>
            </w:tcBorders>
            <w:shd w:val="clear" w:color="auto" w:fill="auto"/>
            <w:noWrap/>
            <w:vAlign w:val="center"/>
          </w:tcPr>
          <w:p w14:paraId="344232BA" w14:textId="2D598688" w:rsidR="0072066C" w:rsidRPr="002D429A" w:rsidRDefault="0072066C" w:rsidP="0072066C">
            <w:pPr>
              <w:pBdr>
                <w:top w:val="none" w:sz="0" w:space="0" w:color="auto"/>
                <w:left w:val="none" w:sz="0" w:space="0" w:color="auto"/>
                <w:bottom w:val="none" w:sz="0" w:space="0" w:color="auto"/>
                <w:right w:val="none" w:sz="0" w:space="0" w:color="auto"/>
                <w:between w:val="none" w:sz="0" w:space="0" w:color="auto"/>
                <w:bar w:val="none" w:sz="0" w:color="auto"/>
              </w:pBdr>
              <w:outlineLvl w:val="9"/>
              <w:rPr>
                <w:rFonts w:eastAsia="Times New Roman"/>
                <w:sz w:val="18"/>
                <w:szCs w:val="18"/>
                <w:bdr w:val="none" w:sz="0" w:space="0" w:color="auto"/>
                <w:lang w:eastAsia="es-ES"/>
              </w:rPr>
            </w:pPr>
            <w:r>
              <w:rPr>
                <w:b/>
                <w:bCs/>
                <w:sz w:val="18"/>
                <w:szCs w:val="18"/>
              </w:rPr>
              <w:t xml:space="preserve">Inversiones financieras a corto plazo </w:t>
            </w:r>
          </w:p>
        </w:tc>
        <w:tc>
          <w:tcPr>
            <w:tcW w:w="663" w:type="pct"/>
            <w:tcBorders>
              <w:top w:val="nil"/>
              <w:left w:val="nil"/>
              <w:bottom w:val="nil"/>
              <w:right w:val="nil"/>
            </w:tcBorders>
            <w:shd w:val="clear" w:color="auto" w:fill="auto"/>
            <w:noWrap/>
            <w:vAlign w:val="center"/>
          </w:tcPr>
          <w:p w14:paraId="6AA0CF07" w14:textId="77777777" w:rsidR="0072066C" w:rsidRPr="00085996" w:rsidRDefault="0072066C" w:rsidP="0072066C">
            <w:pPr>
              <w:pBdr>
                <w:top w:val="none" w:sz="0" w:space="0" w:color="auto"/>
                <w:left w:val="none" w:sz="0" w:space="0" w:color="auto"/>
                <w:bottom w:val="none" w:sz="0" w:space="0" w:color="auto"/>
                <w:right w:val="none" w:sz="0" w:space="0" w:color="auto"/>
                <w:between w:val="none" w:sz="0" w:space="0" w:color="auto"/>
                <w:bar w:val="none" w:sz="0" w:color="auto"/>
              </w:pBdr>
              <w:jc w:val="center"/>
              <w:outlineLvl w:val="9"/>
              <w:rPr>
                <w:rFonts w:eastAsia="Times New Roman"/>
                <w:sz w:val="18"/>
                <w:szCs w:val="18"/>
                <w:bdr w:val="none" w:sz="0" w:space="0" w:color="auto"/>
                <w:lang w:eastAsia="es-ES"/>
              </w:rPr>
            </w:pPr>
          </w:p>
        </w:tc>
        <w:tc>
          <w:tcPr>
            <w:tcW w:w="1017" w:type="pct"/>
            <w:tcBorders>
              <w:top w:val="nil"/>
              <w:left w:val="nil"/>
              <w:bottom w:val="nil"/>
              <w:right w:val="nil"/>
            </w:tcBorders>
            <w:shd w:val="clear" w:color="auto" w:fill="auto"/>
            <w:noWrap/>
            <w:vAlign w:val="center"/>
          </w:tcPr>
          <w:p w14:paraId="36333EFF" w14:textId="314CD5E1" w:rsidR="0072066C" w:rsidRPr="00547143" w:rsidRDefault="0072066C" w:rsidP="00C21139">
            <w:pPr>
              <w:pBdr>
                <w:top w:val="none" w:sz="0" w:space="0" w:color="auto"/>
                <w:left w:val="none" w:sz="0" w:space="0" w:color="auto"/>
                <w:bottom w:val="none" w:sz="0" w:space="0" w:color="auto"/>
                <w:right w:val="none" w:sz="0" w:space="0" w:color="auto"/>
                <w:between w:val="none" w:sz="0" w:space="0" w:color="auto"/>
                <w:bar w:val="none" w:sz="0" w:color="auto"/>
              </w:pBdr>
              <w:jc w:val="right"/>
              <w:outlineLvl w:val="9"/>
              <w:rPr>
                <w:sz w:val="18"/>
                <w:szCs w:val="18"/>
              </w:rPr>
            </w:pPr>
            <w:r>
              <w:rPr>
                <w:b/>
                <w:bCs/>
                <w:sz w:val="18"/>
                <w:szCs w:val="18"/>
              </w:rPr>
              <w:t>435,27</w:t>
            </w:r>
          </w:p>
        </w:tc>
        <w:tc>
          <w:tcPr>
            <w:tcW w:w="1090" w:type="pct"/>
            <w:tcBorders>
              <w:top w:val="nil"/>
              <w:left w:val="nil"/>
              <w:bottom w:val="nil"/>
              <w:right w:val="nil"/>
            </w:tcBorders>
            <w:shd w:val="clear" w:color="auto" w:fill="auto"/>
            <w:noWrap/>
            <w:vAlign w:val="center"/>
          </w:tcPr>
          <w:p w14:paraId="6704955A" w14:textId="345FFA7B" w:rsidR="0072066C" w:rsidRDefault="0072066C" w:rsidP="00C21139">
            <w:pPr>
              <w:pBdr>
                <w:top w:val="none" w:sz="0" w:space="0" w:color="auto"/>
                <w:left w:val="none" w:sz="0" w:space="0" w:color="auto"/>
                <w:bottom w:val="none" w:sz="0" w:space="0" w:color="auto"/>
                <w:right w:val="none" w:sz="0" w:space="0" w:color="auto"/>
                <w:between w:val="none" w:sz="0" w:space="0" w:color="auto"/>
                <w:bar w:val="none" w:sz="0" w:color="auto"/>
              </w:pBdr>
              <w:jc w:val="right"/>
              <w:outlineLvl w:val="9"/>
              <w:rPr>
                <w:sz w:val="18"/>
                <w:szCs w:val="18"/>
              </w:rPr>
            </w:pPr>
            <w:r w:rsidRPr="00547143">
              <w:rPr>
                <w:b/>
                <w:bCs/>
                <w:sz w:val="18"/>
                <w:szCs w:val="18"/>
              </w:rPr>
              <w:t>7.624,20</w:t>
            </w:r>
          </w:p>
        </w:tc>
      </w:tr>
      <w:tr w:rsidR="0072066C" w:rsidRPr="002D429A" w14:paraId="3AC899C9" w14:textId="77777777" w:rsidTr="00C21139">
        <w:trPr>
          <w:trHeight w:val="340"/>
        </w:trPr>
        <w:tc>
          <w:tcPr>
            <w:tcW w:w="2230" w:type="pct"/>
            <w:tcBorders>
              <w:top w:val="nil"/>
              <w:left w:val="nil"/>
              <w:bottom w:val="nil"/>
              <w:right w:val="nil"/>
            </w:tcBorders>
            <w:shd w:val="clear" w:color="auto" w:fill="auto"/>
            <w:noWrap/>
            <w:vAlign w:val="center"/>
          </w:tcPr>
          <w:p w14:paraId="24B397D8" w14:textId="12456602" w:rsidR="0072066C" w:rsidRPr="002D429A" w:rsidRDefault="0072066C" w:rsidP="0072066C">
            <w:pPr>
              <w:pBdr>
                <w:top w:val="none" w:sz="0" w:space="0" w:color="auto"/>
                <w:left w:val="none" w:sz="0" w:space="0" w:color="auto"/>
                <w:bottom w:val="none" w:sz="0" w:space="0" w:color="auto"/>
                <w:right w:val="none" w:sz="0" w:space="0" w:color="auto"/>
                <w:between w:val="none" w:sz="0" w:space="0" w:color="auto"/>
                <w:bar w:val="none" w:sz="0" w:color="auto"/>
              </w:pBdr>
              <w:outlineLvl w:val="9"/>
              <w:rPr>
                <w:rFonts w:eastAsia="Times New Roman"/>
                <w:sz w:val="18"/>
                <w:szCs w:val="18"/>
                <w:bdr w:val="none" w:sz="0" w:space="0" w:color="auto"/>
                <w:lang w:eastAsia="es-ES"/>
              </w:rPr>
            </w:pPr>
            <w:r>
              <w:rPr>
                <w:sz w:val="18"/>
                <w:szCs w:val="18"/>
              </w:rPr>
              <w:t>Otros activos financieros</w:t>
            </w:r>
          </w:p>
        </w:tc>
        <w:tc>
          <w:tcPr>
            <w:tcW w:w="663" w:type="pct"/>
            <w:tcBorders>
              <w:top w:val="nil"/>
              <w:left w:val="nil"/>
              <w:bottom w:val="nil"/>
              <w:right w:val="nil"/>
            </w:tcBorders>
            <w:shd w:val="clear" w:color="auto" w:fill="auto"/>
            <w:noWrap/>
            <w:vAlign w:val="center"/>
          </w:tcPr>
          <w:p w14:paraId="18D50992" w14:textId="77777777" w:rsidR="0072066C" w:rsidRPr="00085996" w:rsidRDefault="0072066C" w:rsidP="0072066C">
            <w:pPr>
              <w:pBdr>
                <w:top w:val="none" w:sz="0" w:space="0" w:color="auto"/>
                <w:left w:val="none" w:sz="0" w:space="0" w:color="auto"/>
                <w:bottom w:val="none" w:sz="0" w:space="0" w:color="auto"/>
                <w:right w:val="none" w:sz="0" w:space="0" w:color="auto"/>
                <w:between w:val="none" w:sz="0" w:space="0" w:color="auto"/>
                <w:bar w:val="none" w:sz="0" w:color="auto"/>
              </w:pBdr>
              <w:jc w:val="center"/>
              <w:outlineLvl w:val="9"/>
              <w:rPr>
                <w:rFonts w:eastAsia="Times New Roman"/>
                <w:sz w:val="18"/>
                <w:szCs w:val="18"/>
                <w:bdr w:val="none" w:sz="0" w:space="0" w:color="auto"/>
                <w:lang w:eastAsia="es-ES"/>
              </w:rPr>
            </w:pPr>
          </w:p>
        </w:tc>
        <w:tc>
          <w:tcPr>
            <w:tcW w:w="1017" w:type="pct"/>
            <w:tcBorders>
              <w:top w:val="nil"/>
              <w:left w:val="nil"/>
              <w:bottom w:val="nil"/>
              <w:right w:val="nil"/>
            </w:tcBorders>
            <w:shd w:val="clear" w:color="auto" w:fill="auto"/>
            <w:noWrap/>
            <w:vAlign w:val="center"/>
          </w:tcPr>
          <w:p w14:paraId="3FDCE02F" w14:textId="6BB5D7D3" w:rsidR="0072066C" w:rsidRPr="00547143" w:rsidRDefault="0072066C" w:rsidP="00C21139">
            <w:pPr>
              <w:pBdr>
                <w:top w:val="none" w:sz="0" w:space="0" w:color="auto"/>
                <w:left w:val="none" w:sz="0" w:space="0" w:color="auto"/>
                <w:bottom w:val="none" w:sz="0" w:space="0" w:color="auto"/>
                <w:right w:val="none" w:sz="0" w:space="0" w:color="auto"/>
                <w:between w:val="none" w:sz="0" w:space="0" w:color="auto"/>
                <w:bar w:val="none" w:sz="0" w:color="auto"/>
              </w:pBdr>
              <w:jc w:val="right"/>
              <w:outlineLvl w:val="9"/>
              <w:rPr>
                <w:sz w:val="18"/>
                <w:szCs w:val="18"/>
              </w:rPr>
            </w:pPr>
            <w:r>
              <w:rPr>
                <w:sz w:val="18"/>
                <w:szCs w:val="18"/>
              </w:rPr>
              <w:t>435,27</w:t>
            </w:r>
          </w:p>
        </w:tc>
        <w:tc>
          <w:tcPr>
            <w:tcW w:w="1090" w:type="pct"/>
            <w:tcBorders>
              <w:top w:val="nil"/>
              <w:left w:val="nil"/>
              <w:bottom w:val="nil"/>
              <w:right w:val="nil"/>
            </w:tcBorders>
            <w:shd w:val="clear" w:color="auto" w:fill="auto"/>
            <w:noWrap/>
            <w:vAlign w:val="center"/>
          </w:tcPr>
          <w:p w14:paraId="1791431E" w14:textId="195AEC87" w:rsidR="0072066C" w:rsidRDefault="0072066C" w:rsidP="00C21139">
            <w:pPr>
              <w:pBdr>
                <w:top w:val="none" w:sz="0" w:space="0" w:color="auto"/>
                <w:left w:val="none" w:sz="0" w:space="0" w:color="auto"/>
                <w:bottom w:val="none" w:sz="0" w:space="0" w:color="auto"/>
                <w:right w:val="none" w:sz="0" w:space="0" w:color="auto"/>
                <w:between w:val="none" w:sz="0" w:space="0" w:color="auto"/>
                <w:bar w:val="none" w:sz="0" w:color="auto"/>
              </w:pBdr>
              <w:jc w:val="right"/>
              <w:outlineLvl w:val="9"/>
              <w:rPr>
                <w:sz w:val="18"/>
                <w:szCs w:val="18"/>
              </w:rPr>
            </w:pPr>
            <w:r w:rsidRPr="00547143">
              <w:rPr>
                <w:sz w:val="18"/>
                <w:szCs w:val="18"/>
              </w:rPr>
              <w:t>7.624,20</w:t>
            </w:r>
          </w:p>
        </w:tc>
      </w:tr>
      <w:tr w:rsidR="0072066C" w:rsidRPr="002D429A" w14:paraId="2A2A6381" w14:textId="77777777" w:rsidTr="00C21139">
        <w:trPr>
          <w:trHeight w:val="340"/>
        </w:trPr>
        <w:tc>
          <w:tcPr>
            <w:tcW w:w="2230" w:type="pct"/>
            <w:tcBorders>
              <w:top w:val="nil"/>
              <w:left w:val="nil"/>
              <w:bottom w:val="nil"/>
              <w:right w:val="nil"/>
            </w:tcBorders>
            <w:shd w:val="clear" w:color="auto" w:fill="auto"/>
            <w:noWrap/>
            <w:vAlign w:val="center"/>
            <w:hideMark/>
          </w:tcPr>
          <w:p w14:paraId="16F8027F" w14:textId="77777777" w:rsidR="0072066C" w:rsidRPr="002D429A" w:rsidRDefault="0072066C" w:rsidP="0072066C">
            <w:pPr>
              <w:pBdr>
                <w:top w:val="none" w:sz="0" w:space="0" w:color="auto"/>
                <w:left w:val="none" w:sz="0" w:space="0" w:color="auto"/>
                <w:bottom w:val="none" w:sz="0" w:space="0" w:color="auto"/>
                <w:right w:val="none" w:sz="0" w:space="0" w:color="auto"/>
                <w:between w:val="none" w:sz="0" w:space="0" w:color="auto"/>
                <w:bar w:val="none" w:sz="0" w:color="auto"/>
              </w:pBdr>
              <w:outlineLvl w:val="9"/>
              <w:rPr>
                <w:rFonts w:eastAsia="Times New Roman"/>
                <w:b/>
                <w:bCs/>
                <w:sz w:val="18"/>
                <w:szCs w:val="18"/>
                <w:bdr w:val="none" w:sz="0" w:space="0" w:color="auto"/>
                <w:lang w:eastAsia="es-ES"/>
              </w:rPr>
            </w:pPr>
            <w:r w:rsidRPr="002D429A">
              <w:rPr>
                <w:rFonts w:eastAsia="Times New Roman"/>
                <w:b/>
                <w:bCs/>
                <w:sz w:val="18"/>
                <w:szCs w:val="18"/>
                <w:bdr w:val="none" w:sz="0" w:space="0" w:color="auto"/>
                <w:lang w:eastAsia="es-ES"/>
              </w:rPr>
              <w:t xml:space="preserve">Periodificaciones a corto plazo </w:t>
            </w:r>
          </w:p>
        </w:tc>
        <w:tc>
          <w:tcPr>
            <w:tcW w:w="663" w:type="pct"/>
            <w:tcBorders>
              <w:top w:val="nil"/>
              <w:left w:val="nil"/>
              <w:bottom w:val="nil"/>
              <w:right w:val="nil"/>
            </w:tcBorders>
            <w:shd w:val="clear" w:color="auto" w:fill="auto"/>
            <w:noWrap/>
            <w:vAlign w:val="center"/>
            <w:hideMark/>
          </w:tcPr>
          <w:p w14:paraId="4384711E" w14:textId="30FF3E9A" w:rsidR="0072066C" w:rsidRPr="003D20EB" w:rsidRDefault="0072066C" w:rsidP="0072066C">
            <w:pPr>
              <w:pBdr>
                <w:top w:val="none" w:sz="0" w:space="0" w:color="auto"/>
                <w:left w:val="none" w:sz="0" w:space="0" w:color="auto"/>
                <w:bottom w:val="none" w:sz="0" w:space="0" w:color="auto"/>
                <w:right w:val="none" w:sz="0" w:space="0" w:color="auto"/>
                <w:between w:val="none" w:sz="0" w:space="0" w:color="auto"/>
                <w:bar w:val="none" w:sz="0" w:color="auto"/>
              </w:pBdr>
              <w:jc w:val="center"/>
              <w:outlineLvl w:val="9"/>
              <w:rPr>
                <w:rFonts w:eastAsia="Times New Roman"/>
                <w:b/>
                <w:bCs/>
                <w:sz w:val="18"/>
                <w:szCs w:val="18"/>
                <w:highlight w:val="yellow"/>
                <w:bdr w:val="none" w:sz="0" w:space="0" w:color="auto"/>
                <w:lang w:eastAsia="es-ES"/>
              </w:rPr>
            </w:pPr>
            <w:r w:rsidRPr="006A5379">
              <w:rPr>
                <w:rFonts w:eastAsia="Times New Roman"/>
                <w:b/>
                <w:bCs/>
                <w:sz w:val="18"/>
                <w:szCs w:val="18"/>
                <w:bdr w:val="none" w:sz="0" w:space="0" w:color="auto"/>
                <w:lang w:eastAsia="es-ES"/>
              </w:rPr>
              <w:t>8.</w:t>
            </w:r>
            <w:proofErr w:type="gramStart"/>
            <w:r w:rsidRPr="006A5379">
              <w:rPr>
                <w:rFonts w:eastAsia="Times New Roman"/>
                <w:b/>
                <w:bCs/>
                <w:sz w:val="18"/>
                <w:szCs w:val="18"/>
                <w:bdr w:val="none" w:sz="0" w:space="0" w:color="auto"/>
                <w:lang w:eastAsia="es-ES"/>
              </w:rPr>
              <w:t>1.</w:t>
            </w:r>
            <w:r>
              <w:rPr>
                <w:rFonts w:eastAsia="Times New Roman"/>
                <w:b/>
                <w:bCs/>
                <w:sz w:val="18"/>
                <w:szCs w:val="18"/>
                <w:bdr w:val="none" w:sz="0" w:space="0" w:color="auto"/>
                <w:lang w:eastAsia="es-ES"/>
              </w:rPr>
              <w:t>b</w:t>
            </w:r>
            <w:proofErr w:type="gramEnd"/>
          </w:p>
        </w:tc>
        <w:tc>
          <w:tcPr>
            <w:tcW w:w="1017" w:type="pct"/>
            <w:tcBorders>
              <w:top w:val="nil"/>
              <w:left w:val="nil"/>
              <w:bottom w:val="nil"/>
              <w:right w:val="nil"/>
            </w:tcBorders>
            <w:shd w:val="clear" w:color="auto" w:fill="auto"/>
            <w:noWrap/>
            <w:vAlign w:val="center"/>
          </w:tcPr>
          <w:p w14:paraId="4AF46177" w14:textId="6CFF926A" w:rsidR="0072066C" w:rsidRPr="00547143" w:rsidRDefault="0072066C" w:rsidP="00C21139">
            <w:pPr>
              <w:pBdr>
                <w:top w:val="none" w:sz="0" w:space="0" w:color="auto"/>
                <w:left w:val="none" w:sz="0" w:space="0" w:color="auto"/>
                <w:bottom w:val="none" w:sz="0" w:space="0" w:color="auto"/>
                <w:right w:val="none" w:sz="0" w:space="0" w:color="auto"/>
                <w:between w:val="none" w:sz="0" w:space="0" w:color="auto"/>
                <w:bar w:val="none" w:sz="0" w:color="auto"/>
              </w:pBdr>
              <w:jc w:val="right"/>
              <w:outlineLvl w:val="9"/>
              <w:rPr>
                <w:rFonts w:eastAsia="Times New Roman"/>
                <w:b/>
                <w:bCs/>
                <w:sz w:val="18"/>
                <w:szCs w:val="18"/>
                <w:bdr w:val="none" w:sz="0" w:space="0" w:color="auto"/>
                <w:lang w:eastAsia="es-ES"/>
              </w:rPr>
            </w:pPr>
            <w:r>
              <w:rPr>
                <w:b/>
                <w:bCs/>
                <w:sz w:val="18"/>
                <w:szCs w:val="18"/>
              </w:rPr>
              <w:t>947.895,25</w:t>
            </w:r>
          </w:p>
        </w:tc>
        <w:tc>
          <w:tcPr>
            <w:tcW w:w="1090" w:type="pct"/>
            <w:tcBorders>
              <w:top w:val="nil"/>
              <w:left w:val="nil"/>
              <w:bottom w:val="nil"/>
              <w:right w:val="nil"/>
            </w:tcBorders>
            <w:shd w:val="clear" w:color="auto" w:fill="auto"/>
            <w:noWrap/>
            <w:vAlign w:val="center"/>
            <w:hideMark/>
          </w:tcPr>
          <w:p w14:paraId="1C4BFCB5" w14:textId="7A549095" w:rsidR="0072066C" w:rsidRPr="002D429A" w:rsidRDefault="0072066C" w:rsidP="00C21139">
            <w:pPr>
              <w:pBdr>
                <w:top w:val="none" w:sz="0" w:space="0" w:color="auto"/>
                <w:left w:val="none" w:sz="0" w:space="0" w:color="auto"/>
                <w:bottom w:val="none" w:sz="0" w:space="0" w:color="auto"/>
                <w:right w:val="none" w:sz="0" w:space="0" w:color="auto"/>
                <w:between w:val="none" w:sz="0" w:space="0" w:color="auto"/>
                <w:bar w:val="none" w:sz="0" w:color="auto"/>
              </w:pBdr>
              <w:jc w:val="right"/>
              <w:outlineLvl w:val="9"/>
              <w:rPr>
                <w:rFonts w:eastAsia="Times New Roman"/>
                <w:b/>
                <w:bCs/>
                <w:color w:val="auto"/>
                <w:sz w:val="18"/>
                <w:szCs w:val="18"/>
                <w:bdr w:val="none" w:sz="0" w:space="0" w:color="auto"/>
                <w:lang w:eastAsia="es-ES"/>
              </w:rPr>
            </w:pPr>
            <w:r w:rsidRPr="00547143">
              <w:rPr>
                <w:b/>
                <w:bCs/>
                <w:sz w:val="18"/>
                <w:szCs w:val="18"/>
              </w:rPr>
              <w:t>881.684,75</w:t>
            </w:r>
          </w:p>
        </w:tc>
      </w:tr>
      <w:tr w:rsidR="0072066C" w:rsidRPr="002D429A" w14:paraId="5867382A" w14:textId="77777777" w:rsidTr="00C21139">
        <w:trPr>
          <w:trHeight w:val="340"/>
        </w:trPr>
        <w:tc>
          <w:tcPr>
            <w:tcW w:w="2230" w:type="pct"/>
            <w:tcBorders>
              <w:top w:val="nil"/>
              <w:left w:val="nil"/>
              <w:right w:val="nil"/>
            </w:tcBorders>
            <w:shd w:val="clear" w:color="auto" w:fill="auto"/>
            <w:noWrap/>
            <w:vAlign w:val="center"/>
            <w:hideMark/>
          </w:tcPr>
          <w:p w14:paraId="373804BC" w14:textId="77777777" w:rsidR="0072066C" w:rsidRPr="002D429A" w:rsidRDefault="0072066C" w:rsidP="0072066C">
            <w:pPr>
              <w:pBdr>
                <w:top w:val="none" w:sz="0" w:space="0" w:color="auto"/>
                <w:left w:val="none" w:sz="0" w:space="0" w:color="auto"/>
                <w:bottom w:val="none" w:sz="0" w:space="0" w:color="auto"/>
                <w:right w:val="none" w:sz="0" w:space="0" w:color="auto"/>
                <w:between w:val="none" w:sz="0" w:space="0" w:color="auto"/>
                <w:bar w:val="none" w:sz="0" w:color="auto"/>
              </w:pBdr>
              <w:outlineLvl w:val="9"/>
              <w:rPr>
                <w:rFonts w:eastAsia="Times New Roman"/>
                <w:b/>
                <w:bCs/>
                <w:sz w:val="18"/>
                <w:szCs w:val="18"/>
                <w:bdr w:val="none" w:sz="0" w:space="0" w:color="auto"/>
                <w:lang w:eastAsia="es-ES"/>
              </w:rPr>
            </w:pPr>
            <w:r w:rsidRPr="002D429A">
              <w:rPr>
                <w:rFonts w:eastAsia="Times New Roman"/>
                <w:b/>
                <w:bCs/>
                <w:sz w:val="18"/>
                <w:szCs w:val="18"/>
                <w:bdr w:val="none" w:sz="0" w:space="0" w:color="auto"/>
                <w:lang w:eastAsia="es-ES"/>
              </w:rPr>
              <w:t xml:space="preserve">Efectivo y otros activos líquidos equivalentes </w:t>
            </w:r>
          </w:p>
        </w:tc>
        <w:tc>
          <w:tcPr>
            <w:tcW w:w="663" w:type="pct"/>
            <w:tcBorders>
              <w:top w:val="nil"/>
              <w:left w:val="nil"/>
              <w:right w:val="nil"/>
            </w:tcBorders>
            <w:shd w:val="clear" w:color="auto" w:fill="auto"/>
            <w:noWrap/>
            <w:vAlign w:val="center"/>
            <w:hideMark/>
          </w:tcPr>
          <w:p w14:paraId="7B1A74F6" w14:textId="64A28DE4" w:rsidR="0072066C" w:rsidRPr="003D20EB" w:rsidRDefault="0072066C" w:rsidP="0072066C">
            <w:pPr>
              <w:pBdr>
                <w:top w:val="none" w:sz="0" w:space="0" w:color="auto"/>
                <w:left w:val="none" w:sz="0" w:space="0" w:color="auto"/>
                <w:bottom w:val="none" w:sz="0" w:space="0" w:color="auto"/>
                <w:right w:val="none" w:sz="0" w:space="0" w:color="auto"/>
                <w:between w:val="none" w:sz="0" w:space="0" w:color="auto"/>
                <w:bar w:val="none" w:sz="0" w:color="auto"/>
              </w:pBdr>
              <w:jc w:val="center"/>
              <w:outlineLvl w:val="9"/>
              <w:rPr>
                <w:rFonts w:eastAsia="Times New Roman"/>
                <w:b/>
                <w:bCs/>
                <w:sz w:val="18"/>
                <w:szCs w:val="18"/>
                <w:highlight w:val="yellow"/>
                <w:bdr w:val="none" w:sz="0" w:space="0" w:color="auto"/>
                <w:lang w:eastAsia="es-ES"/>
              </w:rPr>
            </w:pPr>
            <w:r w:rsidRPr="006A5379">
              <w:rPr>
                <w:rFonts w:eastAsia="Times New Roman"/>
                <w:b/>
                <w:bCs/>
                <w:sz w:val="18"/>
                <w:szCs w:val="18"/>
                <w:bdr w:val="none" w:sz="0" w:space="0" w:color="auto"/>
                <w:lang w:eastAsia="es-ES"/>
              </w:rPr>
              <w:t>8.</w:t>
            </w:r>
            <w:r>
              <w:rPr>
                <w:rFonts w:eastAsia="Times New Roman"/>
                <w:b/>
                <w:bCs/>
                <w:sz w:val="18"/>
                <w:szCs w:val="18"/>
                <w:bdr w:val="none" w:sz="0" w:space="0" w:color="auto"/>
                <w:lang w:eastAsia="es-ES"/>
              </w:rPr>
              <w:t>2</w:t>
            </w:r>
          </w:p>
        </w:tc>
        <w:tc>
          <w:tcPr>
            <w:tcW w:w="1017" w:type="pct"/>
            <w:tcBorders>
              <w:top w:val="nil"/>
              <w:left w:val="nil"/>
              <w:right w:val="nil"/>
            </w:tcBorders>
            <w:shd w:val="clear" w:color="auto" w:fill="auto"/>
            <w:noWrap/>
            <w:vAlign w:val="center"/>
          </w:tcPr>
          <w:p w14:paraId="41060B4F" w14:textId="23A0E705" w:rsidR="0072066C" w:rsidRPr="00547143" w:rsidRDefault="0072066C" w:rsidP="00C21139">
            <w:pPr>
              <w:pBdr>
                <w:top w:val="none" w:sz="0" w:space="0" w:color="auto"/>
                <w:left w:val="none" w:sz="0" w:space="0" w:color="auto"/>
                <w:bottom w:val="none" w:sz="0" w:space="0" w:color="auto"/>
                <w:right w:val="none" w:sz="0" w:space="0" w:color="auto"/>
                <w:between w:val="none" w:sz="0" w:space="0" w:color="auto"/>
                <w:bar w:val="none" w:sz="0" w:color="auto"/>
              </w:pBdr>
              <w:jc w:val="right"/>
              <w:outlineLvl w:val="9"/>
              <w:rPr>
                <w:rFonts w:eastAsia="Times New Roman"/>
                <w:b/>
                <w:bCs/>
                <w:sz w:val="18"/>
                <w:szCs w:val="18"/>
                <w:bdr w:val="none" w:sz="0" w:space="0" w:color="auto"/>
                <w:lang w:eastAsia="es-ES"/>
              </w:rPr>
            </w:pPr>
            <w:r>
              <w:rPr>
                <w:b/>
                <w:bCs/>
                <w:sz w:val="18"/>
                <w:szCs w:val="18"/>
              </w:rPr>
              <w:t>13.480.131,38</w:t>
            </w:r>
          </w:p>
        </w:tc>
        <w:tc>
          <w:tcPr>
            <w:tcW w:w="1090" w:type="pct"/>
            <w:tcBorders>
              <w:top w:val="nil"/>
              <w:left w:val="nil"/>
              <w:right w:val="nil"/>
            </w:tcBorders>
            <w:shd w:val="clear" w:color="auto" w:fill="auto"/>
            <w:noWrap/>
            <w:vAlign w:val="center"/>
            <w:hideMark/>
          </w:tcPr>
          <w:p w14:paraId="1FECBEFA" w14:textId="1FD725BB" w:rsidR="0072066C" w:rsidRPr="002D429A" w:rsidRDefault="0072066C" w:rsidP="00C21139">
            <w:pPr>
              <w:pBdr>
                <w:top w:val="none" w:sz="0" w:space="0" w:color="auto"/>
                <w:left w:val="none" w:sz="0" w:space="0" w:color="auto"/>
                <w:bottom w:val="none" w:sz="0" w:space="0" w:color="auto"/>
                <w:right w:val="none" w:sz="0" w:space="0" w:color="auto"/>
                <w:between w:val="none" w:sz="0" w:space="0" w:color="auto"/>
                <w:bar w:val="none" w:sz="0" w:color="auto"/>
              </w:pBdr>
              <w:jc w:val="right"/>
              <w:outlineLvl w:val="9"/>
              <w:rPr>
                <w:rFonts w:eastAsia="Times New Roman"/>
                <w:b/>
                <w:bCs/>
                <w:color w:val="auto"/>
                <w:sz w:val="18"/>
                <w:szCs w:val="18"/>
                <w:bdr w:val="none" w:sz="0" w:space="0" w:color="auto"/>
                <w:lang w:eastAsia="es-ES"/>
              </w:rPr>
            </w:pPr>
            <w:r w:rsidRPr="00547143">
              <w:rPr>
                <w:b/>
                <w:bCs/>
                <w:sz w:val="18"/>
                <w:szCs w:val="18"/>
              </w:rPr>
              <w:t>15.215.512,78</w:t>
            </w:r>
          </w:p>
        </w:tc>
      </w:tr>
      <w:tr w:rsidR="00382952" w:rsidRPr="002D429A" w14:paraId="4DF4EC8A" w14:textId="77777777" w:rsidTr="00C21139">
        <w:trPr>
          <w:trHeight w:val="170"/>
        </w:trPr>
        <w:tc>
          <w:tcPr>
            <w:tcW w:w="2230" w:type="pct"/>
            <w:tcBorders>
              <w:top w:val="nil"/>
              <w:left w:val="nil"/>
              <w:bottom w:val="single" w:sz="4" w:space="0" w:color="auto"/>
              <w:right w:val="nil"/>
            </w:tcBorders>
            <w:shd w:val="clear" w:color="auto" w:fill="auto"/>
            <w:noWrap/>
            <w:vAlign w:val="center"/>
            <w:hideMark/>
          </w:tcPr>
          <w:p w14:paraId="0AE277B5" w14:textId="77777777" w:rsidR="00382952" w:rsidRPr="002D429A" w:rsidRDefault="00382952" w:rsidP="00382952">
            <w:pPr>
              <w:pBdr>
                <w:top w:val="none" w:sz="0" w:space="0" w:color="auto"/>
                <w:left w:val="none" w:sz="0" w:space="0" w:color="auto"/>
                <w:bottom w:val="none" w:sz="0" w:space="0" w:color="auto"/>
                <w:right w:val="none" w:sz="0" w:space="0" w:color="auto"/>
                <w:between w:val="none" w:sz="0" w:space="0" w:color="auto"/>
                <w:bar w:val="none" w:sz="0" w:color="auto"/>
              </w:pBdr>
              <w:jc w:val="right"/>
              <w:outlineLvl w:val="9"/>
              <w:rPr>
                <w:rFonts w:eastAsia="Times New Roman"/>
                <w:b/>
                <w:bCs/>
                <w:color w:val="auto"/>
                <w:sz w:val="18"/>
                <w:szCs w:val="18"/>
                <w:bdr w:val="none" w:sz="0" w:space="0" w:color="auto"/>
                <w:lang w:eastAsia="es-ES"/>
              </w:rPr>
            </w:pPr>
          </w:p>
        </w:tc>
        <w:tc>
          <w:tcPr>
            <w:tcW w:w="663" w:type="pct"/>
            <w:tcBorders>
              <w:top w:val="nil"/>
              <w:left w:val="nil"/>
              <w:bottom w:val="single" w:sz="4" w:space="0" w:color="auto"/>
              <w:right w:val="nil"/>
            </w:tcBorders>
            <w:shd w:val="clear" w:color="auto" w:fill="auto"/>
            <w:noWrap/>
            <w:vAlign w:val="center"/>
            <w:hideMark/>
          </w:tcPr>
          <w:p w14:paraId="2D170311" w14:textId="77777777" w:rsidR="00382952" w:rsidRPr="002D429A" w:rsidRDefault="00382952" w:rsidP="00382952">
            <w:pPr>
              <w:pBdr>
                <w:top w:val="none" w:sz="0" w:space="0" w:color="auto"/>
                <w:left w:val="none" w:sz="0" w:space="0" w:color="auto"/>
                <w:bottom w:val="none" w:sz="0" w:space="0" w:color="auto"/>
                <w:right w:val="none" w:sz="0" w:space="0" w:color="auto"/>
                <w:between w:val="none" w:sz="0" w:space="0" w:color="auto"/>
                <w:bar w:val="none" w:sz="0" w:color="auto"/>
              </w:pBdr>
              <w:outlineLvl w:val="9"/>
              <w:rPr>
                <w:rFonts w:ascii="Times New Roman" w:eastAsia="Times New Roman" w:hAnsi="Times New Roman" w:cs="Times New Roman"/>
                <w:color w:val="auto"/>
                <w:sz w:val="20"/>
                <w:szCs w:val="20"/>
                <w:bdr w:val="none" w:sz="0" w:space="0" w:color="auto"/>
                <w:lang w:eastAsia="es-ES"/>
              </w:rPr>
            </w:pPr>
          </w:p>
        </w:tc>
        <w:tc>
          <w:tcPr>
            <w:tcW w:w="1017" w:type="pct"/>
            <w:tcBorders>
              <w:top w:val="nil"/>
              <w:left w:val="nil"/>
              <w:bottom w:val="single" w:sz="4" w:space="0" w:color="auto"/>
              <w:right w:val="nil"/>
            </w:tcBorders>
            <w:shd w:val="clear" w:color="auto" w:fill="auto"/>
            <w:noWrap/>
            <w:vAlign w:val="center"/>
          </w:tcPr>
          <w:p w14:paraId="66DD725F" w14:textId="77777777" w:rsidR="00382952" w:rsidRPr="00547143" w:rsidRDefault="00382952" w:rsidP="00C21139">
            <w:pPr>
              <w:pBdr>
                <w:top w:val="none" w:sz="0" w:space="0" w:color="auto"/>
                <w:left w:val="none" w:sz="0" w:space="0" w:color="auto"/>
                <w:bottom w:val="none" w:sz="0" w:space="0" w:color="auto"/>
                <w:right w:val="none" w:sz="0" w:space="0" w:color="auto"/>
                <w:between w:val="none" w:sz="0" w:space="0" w:color="auto"/>
                <w:bar w:val="none" w:sz="0" w:color="auto"/>
              </w:pBdr>
              <w:jc w:val="right"/>
              <w:outlineLvl w:val="9"/>
              <w:rPr>
                <w:rFonts w:eastAsia="Times New Roman"/>
                <w:color w:val="auto"/>
                <w:sz w:val="18"/>
                <w:szCs w:val="18"/>
                <w:bdr w:val="none" w:sz="0" w:space="0" w:color="auto"/>
                <w:lang w:eastAsia="es-ES"/>
              </w:rPr>
            </w:pPr>
          </w:p>
        </w:tc>
        <w:tc>
          <w:tcPr>
            <w:tcW w:w="1090" w:type="pct"/>
            <w:tcBorders>
              <w:top w:val="nil"/>
              <w:left w:val="nil"/>
              <w:bottom w:val="single" w:sz="4" w:space="0" w:color="auto"/>
              <w:right w:val="nil"/>
            </w:tcBorders>
            <w:shd w:val="clear" w:color="auto" w:fill="auto"/>
            <w:noWrap/>
            <w:vAlign w:val="center"/>
            <w:hideMark/>
          </w:tcPr>
          <w:p w14:paraId="5879A67D" w14:textId="77777777" w:rsidR="00382952" w:rsidRPr="002D429A" w:rsidRDefault="00382952" w:rsidP="00C21139">
            <w:pPr>
              <w:pBdr>
                <w:top w:val="none" w:sz="0" w:space="0" w:color="auto"/>
                <w:left w:val="none" w:sz="0" w:space="0" w:color="auto"/>
                <w:bottom w:val="none" w:sz="0" w:space="0" w:color="auto"/>
                <w:right w:val="none" w:sz="0" w:space="0" w:color="auto"/>
                <w:between w:val="none" w:sz="0" w:space="0" w:color="auto"/>
                <w:bar w:val="none" w:sz="0" w:color="auto"/>
              </w:pBdr>
              <w:jc w:val="right"/>
              <w:outlineLvl w:val="9"/>
              <w:rPr>
                <w:rFonts w:ascii="Times New Roman" w:eastAsia="Times New Roman" w:hAnsi="Times New Roman" w:cs="Times New Roman"/>
                <w:color w:val="auto"/>
                <w:sz w:val="20"/>
                <w:szCs w:val="20"/>
                <w:bdr w:val="none" w:sz="0" w:space="0" w:color="auto"/>
                <w:lang w:eastAsia="es-ES"/>
              </w:rPr>
            </w:pPr>
          </w:p>
        </w:tc>
      </w:tr>
      <w:tr w:rsidR="00382952" w:rsidRPr="002D429A" w14:paraId="26FDBFA8" w14:textId="77777777" w:rsidTr="00C21139">
        <w:trPr>
          <w:trHeight w:val="340"/>
        </w:trPr>
        <w:tc>
          <w:tcPr>
            <w:tcW w:w="2230" w:type="pct"/>
            <w:tcBorders>
              <w:top w:val="single" w:sz="4" w:space="0" w:color="auto"/>
              <w:left w:val="nil"/>
              <w:bottom w:val="single" w:sz="4" w:space="0" w:color="auto"/>
              <w:right w:val="nil"/>
            </w:tcBorders>
            <w:shd w:val="clear" w:color="auto" w:fill="F2F2F2" w:themeFill="background1" w:themeFillShade="F2"/>
            <w:noWrap/>
            <w:vAlign w:val="center"/>
            <w:hideMark/>
          </w:tcPr>
          <w:p w14:paraId="48234FE3" w14:textId="77777777" w:rsidR="00382952" w:rsidRPr="002D429A" w:rsidRDefault="00382952" w:rsidP="00382952">
            <w:pPr>
              <w:pBdr>
                <w:top w:val="none" w:sz="0" w:space="0" w:color="auto"/>
                <w:left w:val="none" w:sz="0" w:space="0" w:color="auto"/>
                <w:bottom w:val="none" w:sz="0" w:space="0" w:color="auto"/>
                <w:right w:val="none" w:sz="0" w:space="0" w:color="auto"/>
                <w:between w:val="none" w:sz="0" w:space="0" w:color="auto"/>
                <w:bar w:val="none" w:sz="0" w:color="auto"/>
              </w:pBdr>
              <w:outlineLvl w:val="9"/>
              <w:rPr>
                <w:rFonts w:eastAsia="Times New Roman"/>
                <w:b/>
                <w:bCs/>
                <w:sz w:val="18"/>
                <w:szCs w:val="18"/>
                <w:bdr w:val="none" w:sz="0" w:space="0" w:color="auto"/>
                <w:lang w:eastAsia="es-ES"/>
              </w:rPr>
            </w:pPr>
            <w:r w:rsidRPr="002D429A">
              <w:rPr>
                <w:rFonts w:eastAsia="Times New Roman"/>
                <w:b/>
                <w:bCs/>
                <w:sz w:val="18"/>
                <w:szCs w:val="18"/>
                <w:bdr w:val="none" w:sz="0" w:space="0" w:color="auto"/>
                <w:lang w:eastAsia="es-ES"/>
              </w:rPr>
              <w:t>TOTAL ACTIVO</w:t>
            </w:r>
          </w:p>
        </w:tc>
        <w:tc>
          <w:tcPr>
            <w:tcW w:w="663" w:type="pct"/>
            <w:tcBorders>
              <w:top w:val="single" w:sz="4" w:space="0" w:color="auto"/>
              <w:left w:val="nil"/>
              <w:bottom w:val="single" w:sz="4" w:space="0" w:color="auto"/>
              <w:right w:val="nil"/>
            </w:tcBorders>
            <w:shd w:val="clear" w:color="auto" w:fill="F2F2F2" w:themeFill="background1" w:themeFillShade="F2"/>
            <w:noWrap/>
            <w:vAlign w:val="center"/>
            <w:hideMark/>
          </w:tcPr>
          <w:p w14:paraId="0DBC8492" w14:textId="77777777" w:rsidR="00382952" w:rsidRPr="002D429A" w:rsidRDefault="00382952" w:rsidP="00382952">
            <w:pPr>
              <w:pBdr>
                <w:top w:val="none" w:sz="0" w:space="0" w:color="auto"/>
                <w:left w:val="none" w:sz="0" w:space="0" w:color="auto"/>
                <w:bottom w:val="none" w:sz="0" w:space="0" w:color="auto"/>
                <w:right w:val="none" w:sz="0" w:space="0" w:color="auto"/>
                <w:between w:val="none" w:sz="0" w:space="0" w:color="auto"/>
                <w:bar w:val="none" w:sz="0" w:color="auto"/>
              </w:pBdr>
              <w:outlineLvl w:val="9"/>
              <w:rPr>
                <w:rFonts w:eastAsia="Times New Roman"/>
                <w:sz w:val="18"/>
                <w:szCs w:val="18"/>
                <w:bdr w:val="none" w:sz="0" w:space="0" w:color="auto"/>
                <w:lang w:eastAsia="es-ES"/>
              </w:rPr>
            </w:pPr>
            <w:r w:rsidRPr="002D429A">
              <w:rPr>
                <w:rFonts w:eastAsia="Times New Roman"/>
                <w:sz w:val="18"/>
                <w:szCs w:val="18"/>
                <w:bdr w:val="none" w:sz="0" w:space="0" w:color="auto"/>
                <w:lang w:eastAsia="es-ES"/>
              </w:rPr>
              <w:t> </w:t>
            </w:r>
          </w:p>
        </w:tc>
        <w:tc>
          <w:tcPr>
            <w:tcW w:w="1017" w:type="pct"/>
            <w:tcBorders>
              <w:top w:val="single" w:sz="4" w:space="0" w:color="auto"/>
              <w:left w:val="nil"/>
              <w:bottom w:val="single" w:sz="4" w:space="0" w:color="auto"/>
              <w:right w:val="nil"/>
            </w:tcBorders>
            <w:shd w:val="clear" w:color="auto" w:fill="F2F2F2" w:themeFill="background1" w:themeFillShade="F2"/>
            <w:noWrap/>
            <w:vAlign w:val="center"/>
          </w:tcPr>
          <w:p w14:paraId="143684FF" w14:textId="38C1CAB8" w:rsidR="00382952" w:rsidRPr="0072066C" w:rsidRDefault="0072066C" w:rsidP="00C21139">
            <w:pPr>
              <w:pBdr>
                <w:top w:val="none" w:sz="0" w:space="0" w:color="auto"/>
                <w:left w:val="none" w:sz="0" w:space="0" w:color="auto"/>
                <w:bottom w:val="none" w:sz="0" w:space="0" w:color="auto"/>
                <w:right w:val="none" w:sz="0" w:space="0" w:color="auto"/>
                <w:between w:val="none" w:sz="0" w:space="0" w:color="auto"/>
                <w:bar w:val="none" w:sz="0" w:color="auto"/>
              </w:pBdr>
              <w:jc w:val="right"/>
              <w:outlineLvl w:val="9"/>
              <w:rPr>
                <w:rFonts w:eastAsia="Times New Roman"/>
                <w:b/>
                <w:bCs/>
                <w:sz w:val="18"/>
                <w:szCs w:val="18"/>
                <w:bdr w:val="none" w:sz="0" w:space="0" w:color="auto"/>
                <w:lang w:eastAsia="es-ES"/>
              </w:rPr>
            </w:pPr>
            <w:r>
              <w:rPr>
                <w:b/>
                <w:bCs/>
                <w:sz w:val="18"/>
                <w:szCs w:val="18"/>
              </w:rPr>
              <w:t>32.994.619,94</w:t>
            </w:r>
          </w:p>
        </w:tc>
        <w:tc>
          <w:tcPr>
            <w:tcW w:w="1090" w:type="pct"/>
            <w:tcBorders>
              <w:top w:val="single" w:sz="4" w:space="0" w:color="auto"/>
              <w:left w:val="nil"/>
              <w:bottom w:val="single" w:sz="4" w:space="0" w:color="auto"/>
              <w:right w:val="nil"/>
            </w:tcBorders>
            <w:shd w:val="clear" w:color="auto" w:fill="F2F2F2" w:themeFill="background1" w:themeFillShade="F2"/>
            <w:noWrap/>
            <w:vAlign w:val="center"/>
            <w:hideMark/>
          </w:tcPr>
          <w:p w14:paraId="0A98E7B5" w14:textId="53A85BA0" w:rsidR="00382952" w:rsidRDefault="003F79E8" w:rsidP="00C21139">
            <w:pPr>
              <w:jc w:val="right"/>
              <w:rPr>
                <w:b/>
                <w:bCs/>
                <w:sz w:val="18"/>
                <w:szCs w:val="18"/>
              </w:rPr>
            </w:pPr>
            <w:r w:rsidRPr="003F79E8">
              <w:rPr>
                <w:b/>
                <w:bCs/>
                <w:sz w:val="18"/>
                <w:szCs w:val="18"/>
              </w:rPr>
              <w:t>53.593.054,82</w:t>
            </w:r>
          </w:p>
        </w:tc>
      </w:tr>
    </w:tbl>
    <w:p w14:paraId="230AFE9B" w14:textId="0B3D4EC7" w:rsidR="003849D9" w:rsidRPr="00BA5560" w:rsidRDefault="006220A2" w:rsidP="00BA5560">
      <w:pPr>
        <w:widowControl w:val="0"/>
        <w:tabs>
          <w:tab w:val="left" w:pos="737"/>
          <w:tab w:val="left" w:pos="1474"/>
          <w:tab w:val="left" w:pos="2324"/>
          <w:tab w:val="left" w:pos="4320"/>
          <w:tab w:val="left" w:pos="5040"/>
          <w:tab w:val="left" w:pos="5760"/>
          <w:tab w:val="left" w:pos="6480"/>
          <w:tab w:val="decimal" w:pos="6520"/>
          <w:tab w:val="left" w:pos="7200"/>
          <w:tab w:val="left" w:pos="7920"/>
          <w:tab w:val="right" w:pos="8505"/>
          <w:tab w:val="left" w:pos="8640"/>
        </w:tabs>
        <w:spacing w:before="120"/>
        <w:jc w:val="center"/>
        <w:outlineLvl w:val="9"/>
        <w:rPr>
          <w:i/>
          <w:iCs/>
          <w:sz w:val="18"/>
          <w:szCs w:val="18"/>
        </w:rPr>
      </w:pPr>
      <w:r w:rsidRPr="00BA5560">
        <w:rPr>
          <w:i/>
          <w:iCs/>
          <w:sz w:val="18"/>
          <w:szCs w:val="18"/>
        </w:rPr>
        <w:t>Las Cuentas Anuales de la Sociedad, que forman una sola unidad, comprenden est</w:t>
      </w:r>
      <w:r w:rsidR="00052BF5" w:rsidRPr="00BA5560">
        <w:rPr>
          <w:i/>
          <w:iCs/>
          <w:sz w:val="18"/>
          <w:szCs w:val="18"/>
        </w:rPr>
        <w:t>e</w:t>
      </w:r>
      <w:r w:rsidRPr="00BA5560">
        <w:rPr>
          <w:i/>
          <w:iCs/>
          <w:sz w:val="18"/>
          <w:szCs w:val="18"/>
        </w:rPr>
        <w:t xml:space="preserve"> Balance, la Cuenta de Pérdidas y Ganancias, el Estado de Cambios en el Patrimonio Neto, el Estado de Flujos de Efectivo adjuntos y la Memori</w:t>
      </w:r>
      <w:r w:rsidR="007B4E43" w:rsidRPr="00BA5560">
        <w:rPr>
          <w:i/>
          <w:iCs/>
          <w:sz w:val="18"/>
          <w:szCs w:val="18"/>
        </w:rPr>
        <w:t>a Anual adjunta que consta de 20</w:t>
      </w:r>
      <w:r w:rsidRPr="00BA5560">
        <w:rPr>
          <w:i/>
          <w:iCs/>
          <w:sz w:val="18"/>
          <w:szCs w:val="18"/>
        </w:rPr>
        <w:t xml:space="preserve"> Notas</w:t>
      </w:r>
    </w:p>
    <w:p w14:paraId="77D655E0" w14:textId="77777777" w:rsidR="003A4111" w:rsidRPr="0083433F" w:rsidRDefault="006220A2" w:rsidP="006220A2">
      <w:pPr>
        <w:widowControl w:val="0"/>
        <w:tabs>
          <w:tab w:val="left" w:pos="737"/>
          <w:tab w:val="left" w:pos="1474"/>
          <w:tab w:val="left" w:pos="2324"/>
          <w:tab w:val="left" w:pos="4320"/>
          <w:tab w:val="left" w:pos="5040"/>
          <w:tab w:val="left" w:pos="5760"/>
          <w:tab w:val="left" w:pos="6480"/>
          <w:tab w:val="decimal" w:pos="6520"/>
          <w:tab w:val="left" w:pos="7200"/>
          <w:tab w:val="left" w:pos="7920"/>
          <w:tab w:val="right" w:pos="8505"/>
          <w:tab w:val="left" w:pos="8640"/>
        </w:tabs>
        <w:outlineLvl w:val="0"/>
        <w:rPr>
          <w:sz w:val="20"/>
        </w:rPr>
      </w:pPr>
      <w:r w:rsidRPr="0083433F">
        <w:rPr>
          <w:sz w:val="20"/>
        </w:rPr>
        <w:br w:type="page"/>
      </w:r>
    </w:p>
    <w:p w14:paraId="74A95CD8" w14:textId="77777777" w:rsidR="006220A2" w:rsidRPr="0083433F" w:rsidRDefault="006220A2" w:rsidP="007825C6">
      <w:pPr>
        <w:widowControl w:val="0"/>
        <w:tabs>
          <w:tab w:val="left" w:pos="737"/>
          <w:tab w:val="left" w:pos="1474"/>
          <w:tab w:val="left" w:pos="2324"/>
          <w:tab w:val="left" w:pos="4320"/>
          <w:tab w:val="left" w:pos="5040"/>
          <w:tab w:val="left" w:pos="5760"/>
          <w:tab w:val="left" w:pos="6480"/>
          <w:tab w:val="decimal" w:pos="6520"/>
          <w:tab w:val="left" w:pos="7200"/>
          <w:tab w:val="left" w:pos="7920"/>
          <w:tab w:val="right" w:pos="8505"/>
          <w:tab w:val="left" w:pos="8640"/>
        </w:tabs>
        <w:spacing w:line="280" w:lineRule="exact"/>
        <w:rPr>
          <w:b/>
          <w:snapToGrid w:val="0"/>
          <w:sz w:val="20"/>
        </w:rPr>
      </w:pPr>
      <w:r w:rsidRPr="0083433F">
        <w:rPr>
          <w:b/>
          <w:snapToGrid w:val="0"/>
          <w:sz w:val="20"/>
        </w:rPr>
        <w:lastRenderedPageBreak/>
        <w:t>PROMOTUR TURISMO CANARIAS, S.A.</w:t>
      </w:r>
    </w:p>
    <w:p w14:paraId="205BCF05" w14:textId="77896CEE" w:rsidR="006220A2" w:rsidRPr="0083433F" w:rsidRDefault="006220A2" w:rsidP="007825C6">
      <w:pPr>
        <w:widowControl w:val="0"/>
        <w:tabs>
          <w:tab w:val="left" w:pos="737"/>
          <w:tab w:val="left" w:pos="1474"/>
          <w:tab w:val="left" w:pos="2324"/>
          <w:tab w:val="left" w:pos="4320"/>
          <w:tab w:val="left" w:pos="5040"/>
          <w:tab w:val="left" w:pos="5760"/>
          <w:tab w:val="left" w:pos="6480"/>
          <w:tab w:val="decimal" w:pos="6520"/>
          <w:tab w:val="left" w:pos="7200"/>
          <w:tab w:val="left" w:pos="7920"/>
          <w:tab w:val="right" w:pos="8505"/>
          <w:tab w:val="left" w:pos="8640"/>
        </w:tabs>
        <w:spacing w:line="280" w:lineRule="exact"/>
        <w:jc w:val="both"/>
        <w:rPr>
          <w:b/>
          <w:spacing w:val="-1"/>
          <w:sz w:val="20"/>
        </w:rPr>
      </w:pPr>
      <w:r w:rsidRPr="0083433F">
        <w:rPr>
          <w:b/>
          <w:spacing w:val="-1"/>
          <w:sz w:val="20"/>
        </w:rPr>
        <w:t>BALANCE DE SITUACIÓN AL 31 DE DICIEMBRE DE 20</w:t>
      </w:r>
      <w:r w:rsidR="002D429A">
        <w:rPr>
          <w:b/>
          <w:spacing w:val="-1"/>
          <w:sz w:val="20"/>
        </w:rPr>
        <w:t>2</w:t>
      </w:r>
      <w:r w:rsidR="003F79E8">
        <w:rPr>
          <w:b/>
          <w:spacing w:val="-1"/>
          <w:sz w:val="20"/>
        </w:rPr>
        <w:t>4</w:t>
      </w:r>
      <w:r w:rsidR="00D63680" w:rsidRPr="0083433F">
        <w:rPr>
          <w:b/>
          <w:spacing w:val="-1"/>
          <w:sz w:val="20"/>
        </w:rPr>
        <w:t xml:space="preserve"> Y 20</w:t>
      </w:r>
      <w:r w:rsidR="0057231A">
        <w:rPr>
          <w:b/>
          <w:spacing w:val="-1"/>
          <w:sz w:val="20"/>
        </w:rPr>
        <w:t>2</w:t>
      </w:r>
      <w:r w:rsidR="003F79E8">
        <w:rPr>
          <w:b/>
          <w:spacing w:val="-1"/>
          <w:sz w:val="20"/>
        </w:rPr>
        <w:t>3</w:t>
      </w:r>
      <w:r w:rsidRPr="0083433F">
        <w:rPr>
          <w:b/>
          <w:spacing w:val="-1"/>
          <w:sz w:val="20"/>
        </w:rPr>
        <w:t xml:space="preserve"> (Expresado en euros)</w:t>
      </w:r>
    </w:p>
    <w:p w14:paraId="7D21B2BA" w14:textId="77777777" w:rsidR="006220A2" w:rsidRPr="0083433F" w:rsidRDefault="006220A2" w:rsidP="006220A2">
      <w:pPr>
        <w:widowControl w:val="0"/>
        <w:tabs>
          <w:tab w:val="left" w:pos="284"/>
          <w:tab w:val="left" w:pos="567"/>
          <w:tab w:val="left" w:pos="851"/>
        </w:tabs>
        <w:rPr>
          <w:b/>
          <w:sz w:val="18"/>
          <w:szCs w:val="18"/>
        </w:rPr>
      </w:pPr>
    </w:p>
    <w:tbl>
      <w:tblPr>
        <w:tblW w:w="4943" w:type="pct"/>
        <w:tblCellMar>
          <w:left w:w="70" w:type="dxa"/>
          <w:right w:w="70" w:type="dxa"/>
        </w:tblCellMar>
        <w:tblLook w:val="04A0" w:firstRow="1" w:lastRow="0" w:firstColumn="1" w:lastColumn="0" w:noHBand="0" w:noVBand="1"/>
      </w:tblPr>
      <w:tblGrid>
        <w:gridCol w:w="4303"/>
        <w:gridCol w:w="1197"/>
        <w:gridCol w:w="1731"/>
        <w:gridCol w:w="1731"/>
      </w:tblGrid>
      <w:tr w:rsidR="002D429A" w:rsidRPr="002D429A" w14:paraId="6FF11EA5" w14:textId="77777777" w:rsidTr="004A2576">
        <w:trPr>
          <w:trHeight w:val="227"/>
        </w:trPr>
        <w:tc>
          <w:tcPr>
            <w:tcW w:w="2401" w:type="pct"/>
            <w:vMerge w:val="restart"/>
            <w:tcBorders>
              <w:top w:val="single" w:sz="4" w:space="0" w:color="auto"/>
              <w:left w:val="nil"/>
              <w:bottom w:val="single" w:sz="8" w:space="0" w:color="000000"/>
              <w:right w:val="nil"/>
            </w:tcBorders>
            <w:shd w:val="clear" w:color="auto" w:fill="D9D9D9" w:themeFill="background1" w:themeFillShade="D9"/>
            <w:vAlign w:val="bottom"/>
            <w:hideMark/>
          </w:tcPr>
          <w:p w14:paraId="10D28774" w14:textId="77777777" w:rsidR="002D429A" w:rsidRPr="002D429A" w:rsidRDefault="002D429A" w:rsidP="009112F6">
            <w:pPr>
              <w:pBdr>
                <w:top w:val="none" w:sz="0" w:space="0" w:color="auto"/>
                <w:left w:val="none" w:sz="0" w:space="0" w:color="auto"/>
                <w:bottom w:val="none" w:sz="0" w:space="0" w:color="auto"/>
                <w:right w:val="none" w:sz="0" w:space="0" w:color="auto"/>
                <w:between w:val="none" w:sz="0" w:space="0" w:color="auto"/>
                <w:bar w:val="none" w:sz="0" w:color="auto"/>
              </w:pBdr>
              <w:jc w:val="center"/>
              <w:outlineLvl w:val="9"/>
              <w:rPr>
                <w:rFonts w:eastAsia="Times New Roman"/>
                <w:b/>
                <w:bCs/>
                <w:sz w:val="18"/>
                <w:szCs w:val="18"/>
                <w:bdr w:val="none" w:sz="0" w:space="0" w:color="auto"/>
                <w:lang w:eastAsia="es-ES"/>
              </w:rPr>
            </w:pPr>
            <w:r w:rsidRPr="002D429A">
              <w:rPr>
                <w:rFonts w:eastAsia="Times New Roman"/>
                <w:b/>
                <w:bCs/>
                <w:sz w:val="18"/>
                <w:szCs w:val="18"/>
                <w:bdr w:val="none" w:sz="0" w:space="0" w:color="auto"/>
                <w:lang w:eastAsia="es-ES"/>
              </w:rPr>
              <w:t>PATRIMONIO NETO Y PASIVO</w:t>
            </w:r>
          </w:p>
        </w:tc>
        <w:tc>
          <w:tcPr>
            <w:tcW w:w="668" w:type="pct"/>
            <w:vMerge w:val="restart"/>
            <w:tcBorders>
              <w:top w:val="single" w:sz="4" w:space="0" w:color="auto"/>
              <w:left w:val="nil"/>
              <w:bottom w:val="single" w:sz="8" w:space="0" w:color="000000"/>
              <w:right w:val="nil"/>
            </w:tcBorders>
            <w:shd w:val="clear" w:color="auto" w:fill="D9D9D9" w:themeFill="background1" w:themeFillShade="D9"/>
            <w:vAlign w:val="bottom"/>
            <w:hideMark/>
          </w:tcPr>
          <w:p w14:paraId="1FAD9EC3" w14:textId="77777777" w:rsidR="00052BF5" w:rsidRDefault="00052BF5" w:rsidP="00052BF5">
            <w:pPr>
              <w:pBdr>
                <w:top w:val="none" w:sz="0" w:space="0" w:color="auto"/>
                <w:left w:val="none" w:sz="0" w:space="0" w:color="auto"/>
                <w:bottom w:val="none" w:sz="0" w:space="0" w:color="auto"/>
                <w:right w:val="none" w:sz="0" w:space="0" w:color="auto"/>
                <w:between w:val="none" w:sz="0" w:space="0" w:color="auto"/>
                <w:bar w:val="none" w:sz="0" w:color="auto"/>
              </w:pBdr>
              <w:jc w:val="center"/>
              <w:outlineLvl w:val="9"/>
              <w:rPr>
                <w:rFonts w:eastAsia="Times New Roman"/>
                <w:b/>
                <w:bCs/>
                <w:sz w:val="18"/>
                <w:szCs w:val="18"/>
                <w:bdr w:val="none" w:sz="0" w:space="0" w:color="auto"/>
                <w:lang w:eastAsia="es-ES"/>
              </w:rPr>
            </w:pPr>
            <w:r w:rsidRPr="002D429A">
              <w:rPr>
                <w:rFonts w:eastAsia="Times New Roman"/>
                <w:b/>
                <w:bCs/>
                <w:sz w:val="18"/>
                <w:szCs w:val="18"/>
                <w:bdr w:val="none" w:sz="0" w:space="0" w:color="auto"/>
                <w:lang w:eastAsia="es-ES"/>
              </w:rPr>
              <w:t>Nota</w:t>
            </w:r>
            <w:r>
              <w:rPr>
                <w:rFonts w:eastAsia="Times New Roman"/>
                <w:b/>
                <w:bCs/>
                <w:sz w:val="18"/>
                <w:szCs w:val="18"/>
                <w:bdr w:val="none" w:sz="0" w:space="0" w:color="auto"/>
                <w:lang w:eastAsia="es-ES"/>
              </w:rPr>
              <w:t>s</w:t>
            </w:r>
          </w:p>
          <w:p w14:paraId="77A3269C" w14:textId="62B051DD" w:rsidR="002D429A" w:rsidRPr="002D429A" w:rsidRDefault="00052BF5" w:rsidP="00052BF5">
            <w:pPr>
              <w:pBdr>
                <w:top w:val="none" w:sz="0" w:space="0" w:color="auto"/>
                <w:left w:val="none" w:sz="0" w:space="0" w:color="auto"/>
                <w:bottom w:val="none" w:sz="0" w:space="0" w:color="auto"/>
                <w:right w:val="none" w:sz="0" w:space="0" w:color="auto"/>
                <w:between w:val="none" w:sz="0" w:space="0" w:color="auto"/>
                <w:bar w:val="none" w:sz="0" w:color="auto"/>
              </w:pBdr>
              <w:jc w:val="center"/>
              <w:outlineLvl w:val="9"/>
              <w:rPr>
                <w:rFonts w:eastAsia="Times New Roman"/>
                <w:b/>
                <w:bCs/>
                <w:sz w:val="18"/>
                <w:szCs w:val="18"/>
                <w:bdr w:val="none" w:sz="0" w:space="0" w:color="auto"/>
                <w:lang w:eastAsia="es-ES"/>
              </w:rPr>
            </w:pPr>
            <w:r>
              <w:rPr>
                <w:rFonts w:eastAsia="Times New Roman"/>
                <w:b/>
                <w:bCs/>
                <w:sz w:val="18"/>
                <w:szCs w:val="18"/>
                <w:bdr w:val="none" w:sz="0" w:space="0" w:color="auto"/>
                <w:lang w:eastAsia="es-ES"/>
              </w:rPr>
              <w:t>Memoria</w:t>
            </w:r>
          </w:p>
        </w:tc>
        <w:tc>
          <w:tcPr>
            <w:tcW w:w="966" w:type="pct"/>
            <w:tcBorders>
              <w:top w:val="single" w:sz="4" w:space="0" w:color="auto"/>
              <w:left w:val="nil"/>
              <w:bottom w:val="single" w:sz="4" w:space="0" w:color="auto"/>
              <w:right w:val="nil"/>
            </w:tcBorders>
            <w:shd w:val="clear" w:color="auto" w:fill="D9D9D9" w:themeFill="background1" w:themeFillShade="D9"/>
            <w:noWrap/>
            <w:vAlign w:val="bottom"/>
            <w:hideMark/>
          </w:tcPr>
          <w:p w14:paraId="490D14B9" w14:textId="77777777" w:rsidR="002D429A" w:rsidRPr="002D429A" w:rsidRDefault="002D429A" w:rsidP="00EA53D1">
            <w:pPr>
              <w:pBdr>
                <w:top w:val="none" w:sz="0" w:space="0" w:color="auto"/>
                <w:left w:val="none" w:sz="0" w:space="0" w:color="auto"/>
                <w:bottom w:val="none" w:sz="0" w:space="0" w:color="auto"/>
                <w:right w:val="none" w:sz="0" w:space="0" w:color="auto"/>
                <w:between w:val="none" w:sz="0" w:space="0" w:color="auto"/>
                <w:bar w:val="none" w:sz="0" w:color="auto"/>
              </w:pBdr>
              <w:jc w:val="center"/>
              <w:outlineLvl w:val="9"/>
              <w:rPr>
                <w:rFonts w:eastAsia="Times New Roman"/>
                <w:b/>
                <w:bCs/>
                <w:color w:val="auto"/>
                <w:sz w:val="18"/>
                <w:szCs w:val="18"/>
                <w:bdr w:val="none" w:sz="0" w:space="0" w:color="auto"/>
                <w:lang w:eastAsia="es-ES"/>
              </w:rPr>
            </w:pPr>
            <w:r w:rsidRPr="002D429A">
              <w:rPr>
                <w:rFonts w:eastAsia="Times New Roman"/>
                <w:b/>
                <w:bCs/>
                <w:color w:val="auto"/>
                <w:sz w:val="18"/>
                <w:szCs w:val="18"/>
                <w:bdr w:val="none" w:sz="0" w:space="0" w:color="auto"/>
                <w:lang w:eastAsia="es-ES"/>
              </w:rPr>
              <w:t>Al 31 de diciembre</w:t>
            </w:r>
          </w:p>
        </w:tc>
        <w:tc>
          <w:tcPr>
            <w:tcW w:w="966" w:type="pct"/>
            <w:tcBorders>
              <w:top w:val="single" w:sz="4" w:space="0" w:color="auto"/>
              <w:left w:val="nil"/>
              <w:bottom w:val="single" w:sz="4" w:space="0" w:color="auto"/>
              <w:right w:val="nil"/>
            </w:tcBorders>
            <w:shd w:val="clear" w:color="auto" w:fill="D9D9D9" w:themeFill="background1" w:themeFillShade="D9"/>
            <w:noWrap/>
            <w:vAlign w:val="bottom"/>
            <w:hideMark/>
          </w:tcPr>
          <w:p w14:paraId="15E0E656" w14:textId="77777777" w:rsidR="002D429A" w:rsidRPr="002D429A" w:rsidRDefault="002D429A" w:rsidP="00EA53D1">
            <w:pPr>
              <w:pBdr>
                <w:top w:val="none" w:sz="0" w:space="0" w:color="auto"/>
                <w:left w:val="none" w:sz="0" w:space="0" w:color="auto"/>
                <w:bottom w:val="none" w:sz="0" w:space="0" w:color="auto"/>
                <w:right w:val="none" w:sz="0" w:space="0" w:color="auto"/>
                <w:between w:val="none" w:sz="0" w:space="0" w:color="auto"/>
                <w:bar w:val="none" w:sz="0" w:color="auto"/>
              </w:pBdr>
              <w:jc w:val="center"/>
              <w:outlineLvl w:val="9"/>
              <w:rPr>
                <w:rFonts w:eastAsia="Times New Roman"/>
                <w:b/>
                <w:bCs/>
                <w:color w:val="auto"/>
                <w:sz w:val="18"/>
                <w:szCs w:val="18"/>
                <w:bdr w:val="none" w:sz="0" w:space="0" w:color="auto"/>
                <w:lang w:eastAsia="es-ES"/>
              </w:rPr>
            </w:pPr>
            <w:r w:rsidRPr="002D429A">
              <w:rPr>
                <w:rFonts w:eastAsia="Times New Roman"/>
                <w:b/>
                <w:bCs/>
                <w:color w:val="auto"/>
                <w:sz w:val="18"/>
                <w:szCs w:val="18"/>
                <w:bdr w:val="none" w:sz="0" w:space="0" w:color="auto"/>
                <w:lang w:eastAsia="es-ES"/>
              </w:rPr>
              <w:t>Al 31 de diciembre</w:t>
            </w:r>
          </w:p>
        </w:tc>
      </w:tr>
      <w:tr w:rsidR="0022442F" w:rsidRPr="002D429A" w14:paraId="5E933821" w14:textId="77777777" w:rsidTr="004A2576">
        <w:trPr>
          <w:trHeight w:val="227"/>
        </w:trPr>
        <w:tc>
          <w:tcPr>
            <w:tcW w:w="2401" w:type="pct"/>
            <w:vMerge/>
            <w:tcBorders>
              <w:top w:val="single" w:sz="8" w:space="0" w:color="auto"/>
              <w:left w:val="nil"/>
              <w:bottom w:val="single" w:sz="4" w:space="0" w:color="auto"/>
              <w:right w:val="nil"/>
            </w:tcBorders>
            <w:shd w:val="clear" w:color="auto" w:fill="D9D9D9" w:themeFill="background1" w:themeFillShade="D9"/>
            <w:vAlign w:val="center"/>
            <w:hideMark/>
          </w:tcPr>
          <w:p w14:paraId="1031A2FF" w14:textId="77777777" w:rsidR="0022442F" w:rsidRPr="002D429A" w:rsidRDefault="0022442F" w:rsidP="0022442F">
            <w:pPr>
              <w:pBdr>
                <w:top w:val="none" w:sz="0" w:space="0" w:color="auto"/>
                <w:left w:val="none" w:sz="0" w:space="0" w:color="auto"/>
                <w:bottom w:val="none" w:sz="0" w:space="0" w:color="auto"/>
                <w:right w:val="none" w:sz="0" w:space="0" w:color="auto"/>
                <w:between w:val="none" w:sz="0" w:space="0" w:color="auto"/>
                <w:bar w:val="none" w:sz="0" w:color="auto"/>
              </w:pBdr>
              <w:outlineLvl w:val="9"/>
              <w:rPr>
                <w:rFonts w:eastAsia="Times New Roman"/>
                <w:b/>
                <w:bCs/>
                <w:sz w:val="18"/>
                <w:szCs w:val="18"/>
                <w:bdr w:val="none" w:sz="0" w:space="0" w:color="auto"/>
                <w:lang w:eastAsia="es-ES"/>
              </w:rPr>
            </w:pPr>
          </w:p>
        </w:tc>
        <w:tc>
          <w:tcPr>
            <w:tcW w:w="668" w:type="pct"/>
            <w:vMerge/>
            <w:tcBorders>
              <w:top w:val="single" w:sz="8" w:space="0" w:color="auto"/>
              <w:left w:val="nil"/>
              <w:bottom w:val="single" w:sz="4" w:space="0" w:color="auto"/>
              <w:right w:val="nil"/>
            </w:tcBorders>
            <w:shd w:val="clear" w:color="auto" w:fill="D9D9D9" w:themeFill="background1" w:themeFillShade="D9"/>
            <w:vAlign w:val="center"/>
            <w:hideMark/>
          </w:tcPr>
          <w:p w14:paraId="5B46B846" w14:textId="77777777" w:rsidR="0022442F" w:rsidRPr="002D429A" w:rsidRDefault="0022442F" w:rsidP="0022442F">
            <w:pPr>
              <w:pBdr>
                <w:top w:val="none" w:sz="0" w:space="0" w:color="auto"/>
                <w:left w:val="none" w:sz="0" w:space="0" w:color="auto"/>
                <w:bottom w:val="none" w:sz="0" w:space="0" w:color="auto"/>
                <w:right w:val="none" w:sz="0" w:space="0" w:color="auto"/>
                <w:between w:val="none" w:sz="0" w:space="0" w:color="auto"/>
                <w:bar w:val="none" w:sz="0" w:color="auto"/>
              </w:pBdr>
              <w:outlineLvl w:val="9"/>
              <w:rPr>
                <w:rFonts w:eastAsia="Times New Roman"/>
                <w:b/>
                <w:bCs/>
                <w:sz w:val="18"/>
                <w:szCs w:val="18"/>
                <w:bdr w:val="none" w:sz="0" w:space="0" w:color="auto"/>
                <w:lang w:eastAsia="es-ES"/>
              </w:rPr>
            </w:pPr>
          </w:p>
        </w:tc>
        <w:tc>
          <w:tcPr>
            <w:tcW w:w="966" w:type="pct"/>
            <w:tcBorders>
              <w:top w:val="single" w:sz="4" w:space="0" w:color="auto"/>
              <w:left w:val="nil"/>
              <w:bottom w:val="single" w:sz="4" w:space="0" w:color="auto"/>
              <w:right w:val="nil"/>
            </w:tcBorders>
            <w:shd w:val="clear" w:color="auto" w:fill="D9D9D9" w:themeFill="background1" w:themeFillShade="D9"/>
            <w:vAlign w:val="bottom"/>
            <w:hideMark/>
          </w:tcPr>
          <w:p w14:paraId="431832A4" w14:textId="7A2DCC51" w:rsidR="0022442F" w:rsidRPr="002D429A" w:rsidRDefault="0022442F" w:rsidP="0022442F">
            <w:pPr>
              <w:pBdr>
                <w:top w:val="none" w:sz="0" w:space="0" w:color="auto"/>
                <w:left w:val="none" w:sz="0" w:space="0" w:color="auto"/>
                <w:bottom w:val="none" w:sz="0" w:space="0" w:color="auto"/>
                <w:right w:val="none" w:sz="0" w:space="0" w:color="auto"/>
                <w:between w:val="none" w:sz="0" w:space="0" w:color="auto"/>
                <w:bar w:val="none" w:sz="0" w:color="auto"/>
              </w:pBdr>
              <w:jc w:val="center"/>
              <w:outlineLvl w:val="9"/>
              <w:rPr>
                <w:rFonts w:eastAsia="Times New Roman"/>
                <w:b/>
                <w:bCs/>
                <w:color w:val="auto"/>
                <w:sz w:val="18"/>
                <w:szCs w:val="18"/>
                <w:bdr w:val="none" w:sz="0" w:space="0" w:color="auto"/>
                <w:lang w:eastAsia="es-ES"/>
              </w:rPr>
            </w:pPr>
            <w:r w:rsidRPr="002D429A">
              <w:rPr>
                <w:rFonts w:eastAsia="Times New Roman"/>
                <w:b/>
                <w:bCs/>
                <w:color w:val="auto"/>
                <w:sz w:val="18"/>
                <w:szCs w:val="18"/>
                <w:bdr w:val="none" w:sz="0" w:space="0" w:color="auto"/>
                <w:lang w:eastAsia="es-ES"/>
              </w:rPr>
              <w:t>202</w:t>
            </w:r>
            <w:r w:rsidR="003F79E8">
              <w:rPr>
                <w:rFonts w:eastAsia="Times New Roman"/>
                <w:b/>
                <w:bCs/>
                <w:color w:val="auto"/>
                <w:sz w:val="18"/>
                <w:szCs w:val="18"/>
                <w:bdr w:val="none" w:sz="0" w:space="0" w:color="auto"/>
                <w:lang w:eastAsia="es-ES"/>
              </w:rPr>
              <w:t>4</w:t>
            </w:r>
          </w:p>
        </w:tc>
        <w:tc>
          <w:tcPr>
            <w:tcW w:w="966" w:type="pct"/>
            <w:tcBorders>
              <w:top w:val="single" w:sz="4" w:space="0" w:color="auto"/>
              <w:left w:val="nil"/>
              <w:bottom w:val="single" w:sz="4" w:space="0" w:color="auto"/>
              <w:right w:val="nil"/>
            </w:tcBorders>
            <w:shd w:val="clear" w:color="auto" w:fill="D9D9D9" w:themeFill="background1" w:themeFillShade="D9"/>
            <w:vAlign w:val="bottom"/>
            <w:hideMark/>
          </w:tcPr>
          <w:p w14:paraId="125B95EC" w14:textId="1D8E91E5" w:rsidR="0022442F" w:rsidRPr="002D429A" w:rsidRDefault="0022442F" w:rsidP="0022442F">
            <w:pPr>
              <w:pBdr>
                <w:top w:val="none" w:sz="0" w:space="0" w:color="auto"/>
                <w:left w:val="none" w:sz="0" w:space="0" w:color="auto"/>
                <w:bottom w:val="none" w:sz="0" w:space="0" w:color="auto"/>
                <w:right w:val="none" w:sz="0" w:space="0" w:color="auto"/>
                <w:between w:val="none" w:sz="0" w:space="0" w:color="auto"/>
                <w:bar w:val="none" w:sz="0" w:color="auto"/>
              </w:pBdr>
              <w:jc w:val="center"/>
              <w:outlineLvl w:val="9"/>
              <w:rPr>
                <w:rFonts w:eastAsia="Times New Roman"/>
                <w:b/>
                <w:bCs/>
                <w:color w:val="auto"/>
                <w:sz w:val="18"/>
                <w:szCs w:val="18"/>
                <w:bdr w:val="none" w:sz="0" w:space="0" w:color="auto"/>
                <w:lang w:eastAsia="es-ES"/>
              </w:rPr>
            </w:pPr>
            <w:r w:rsidRPr="002D429A">
              <w:rPr>
                <w:rFonts w:eastAsia="Times New Roman"/>
                <w:b/>
                <w:bCs/>
                <w:color w:val="auto"/>
                <w:sz w:val="18"/>
                <w:szCs w:val="18"/>
                <w:bdr w:val="none" w:sz="0" w:space="0" w:color="auto"/>
                <w:lang w:eastAsia="es-ES"/>
              </w:rPr>
              <w:t>202</w:t>
            </w:r>
            <w:r w:rsidR="003F79E8">
              <w:rPr>
                <w:rFonts w:eastAsia="Times New Roman"/>
                <w:b/>
                <w:bCs/>
                <w:color w:val="auto"/>
                <w:sz w:val="18"/>
                <w:szCs w:val="18"/>
                <w:bdr w:val="none" w:sz="0" w:space="0" w:color="auto"/>
                <w:lang w:eastAsia="es-ES"/>
              </w:rPr>
              <w:t>3</w:t>
            </w:r>
          </w:p>
        </w:tc>
      </w:tr>
      <w:tr w:rsidR="0022442F" w:rsidRPr="002D429A" w14:paraId="099482B8" w14:textId="77777777" w:rsidTr="004A2576">
        <w:trPr>
          <w:trHeight w:val="227"/>
        </w:trPr>
        <w:tc>
          <w:tcPr>
            <w:tcW w:w="2401" w:type="pct"/>
            <w:tcBorders>
              <w:top w:val="single" w:sz="4" w:space="0" w:color="auto"/>
              <w:left w:val="nil"/>
              <w:bottom w:val="single" w:sz="4" w:space="0" w:color="auto"/>
              <w:right w:val="nil"/>
            </w:tcBorders>
            <w:shd w:val="clear" w:color="auto" w:fill="auto"/>
            <w:vAlign w:val="center"/>
          </w:tcPr>
          <w:p w14:paraId="0D1B3ED3" w14:textId="77777777" w:rsidR="0022442F" w:rsidRPr="002D429A" w:rsidRDefault="0022442F" w:rsidP="0022442F">
            <w:pPr>
              <w:pBdr>
                <w:top w:val="none" w:sz="0" w:space="0" w:color="auto"/>
                <w:left w:val="none" w:sz="0" w:space="0" w:color="auto"/>
                <w:bottom w:val="none" w:sz="0" w:space="0" w:color="auto"/>
                <w:right w:val="none" w:sz="0" w:space="0" w:color="auto"/>
                <w:between w:val="none" w:sz="0" w:space="0" w:color="auto"/>
                <w:bar w:val="none" w:sz="0" w:color="auto"/>
              </w:pBdr>
              <w:outlineLvl w:val="9"/>
              <w:rPr>
                <w:rFonts w:eastAsia="Times New Roman"/>
                <w:b/>
                <w:bCs/>
                <w:sz w:val="18"/>
                <w:szCs w:val="18"/>
                <w:bdr w:val="none" w:sz="0" w:space="0" w:color="auto"/>
                <w:lang w:eastAsia="es-ES"/>
              </w:rPr>
            </w:pPr>
          </w:p>
        </w:tc>
        <w:tc>
          <w:tcPr>
            <w:tcW w:w="668" w:type="pct"/>
            <w:tcBorders>
              <w:top w:val="single" w:sz="4" w:space="0" w:color="auto"/>
              <w:left w:val="nil"/>
              <w:bottom w:val="single" w:sz="4" w:space="0" w:color="auto"/>
              <w:right w:val="nil"/>
            </w:tcBorders>
            <w:shd w:val="clear" w:color="auto" w:fill="auto"/>
            <w:vAlign w:val="center"/>
          </w:tcPr>
          <w:p w14:paraId="6945D49B" w14:textId="77777777" w:rsidR="0022442F" w:rsidRPr="002D429A" w:rsidRDefault="0022442F" w:rsidP="0022442F">
            <w:pPr>
              <w:pBdr>
                <w:top w:val="none" w:sz="0" w:space="0" w:color="auto"/>
                <w:left w:val="none" w:sz="0" w:space="0" w:color="auto"/>
                <w:bottom w:val="none" w:sz="0" w:space="0" w:color="auto"/>
                <w:right w:val="none" w:sz="0" w:space="0" w:color="auto"/>
                <w:between w:val="none" w:sz="0" w:space="0" w:color="auto"/>
                <w:bar w:val="none" w:sz="0" w:color="auto"/>
              </w:pBdr>
              <w:outlineLvl w:val="9"/>
              <w:rPr>
                <w:rFonts w:eastAsia="Times New Roman"/>
                <w:sz w:val="18"/>
                <w:szCs w:val="18"/>
                <w:bdr w:val="none" w:sz="0" w:space="0" w:color="auto"/>
                <w:lang w:eastAsia="es-ES"/>
              </w:rPr>
            </w:pPr>
          </w:p>
        </w:tc>
        <w:tc>
          <w:tcPr>
            <w:tcW w:w="966" w:type="pct"/>
            <w:tcBorders>
              <w:top w:val="single" w:sz="4" w:space="0" w:color="auto"/>
              <w:left w:val="nil"/>
              <w:bottom w:val="single" w:sz="4" w:space="0" w:color="auto"/>
              <w:right w:val="nil"/>
            </w:tcBorders>
            <w:shd w:val="clear" w:color="auto" w:fill="auto"/>
            <w:vAlign w:val="center"/>
          </w:tcPr>
          <w:p w14:paraId="36FA21BD" w14:textId="77777777" w:rsidR="0022442F" w:rsidRPr="002D429A" w:rsidRDefault="0022442F" w:rsidP="0022442F">
            <w:pPr>
              <w:pBdr>
                <w:top w:val="none" w:sz="0" w:space="0" w:color="auto"/>
                <w:left w:val="none" w:sz="0" w:space="0" w:color="auto"/>
                <w:bottom w:val="none" w:sz="0" w:space="0" w:color="auto"/>
                <w:right w:val="none" w:sz="0" w:space="0" w:color="auto"/>
                <w:between w:val="none" w:sz="0" w:space="0" w:color="auto"/>
                <w:bar w:val="none" w:sz="0" w:color="auto"/>
              </w:pBdr>
              <w:jc w:val="right"/>
              <w:outlineLvl w:val="9"/>
              <w:rPr>
                <w:rFonts w:eastAsia="Times New Roman"/>
                <w:b/>
                <w:bCs/>
                <w:sz w:val="18"/>
                <w:szCs w:val="18"/>
                <w:bdr w:val="none" w:sz="0" w:space="0" w:color="auto"/>
                <w:lang w:eastAsia="es-ES"/>
              </w:rPr>
            </w:pPr>
          </w:p>
        </w:tc>
        <w:tc>
          <w:tcPr>
            <w:tcW w:w="966" w:type="pct"/>
            <w:tcBorders>
              <w:top w:val="single" w:sz="4" w:space="0" w:color="auto"/>
              <w:left w:val="nil"/>
              <w:bottom w:val="single" w:sz="4" w:space="0" w:color="auto"/>
              <w:right w:val="nil"/>
            </w:tcBorders>
            <w:shd w:val="clear" w:color="auto" w:fill="auto"/>
            <w:vAlign w:val="center"/>
          </w:tcPr>
          <w:p w14:paraId="34ED2AEC" w14:textId="77777777" w:rsidR="0022442F" w:rsidRPr="002D429A" w:rsidRDefault="0022442F" w:rsidP="0022442F">
            <w:pPr>
              <w:pBdr>
                <w:top w:val="none" w:sz="0" w:space="0" w:color="auto"/>
                <w:left w:val="none" w:sz="0" w:space="0" w:color="auto"/>
                <w:bottom w:val="none" w:sz="0" w:space="0" w:color="auto"/>
                <w:right w:val="none" w:sz="0" w:space="0" w:color="auto"/>
                <w:between w:val="none" w:sz="0" w:space="0" w:color="auto"/>
                <w:bar w:val="none" w:sz="0" w:color="auto"/>
              </w:pBdr>
              <w:jc w:val="right"/>
              <w:outlineLvl w:val="9"/>
              <w:rPr>
                <w:rFonts w:eastAsia="Times New Roman"/>
                <w:b/>
                <w:bCs/>
                <w:color w:val="auto"/>
                <w:sz w:val="18"/>
                <w:szCs w:val="18"/>
                <w:bdr w:val="none" w:sz="0" w:space="0" w:color="auto"/>
                <w:lang w:eastAsia="es-ES"/>
              </w:rPr>
            </w:pPr>
          </w:p>
        </w:tc>
      </w:tr>
      <w:tr w:rsidR="00240D34" w:rsidRPr="002D429A" w14:paraId="32C3BE9B" w14:textId="77777777" w:rsidTr="004A2576">
        <w:trPr>
          <w:trHeight w:val="340"/>
        </w:trPr>
        <w:tc>
          <w:tcPr>
            <w:tcW w:w="2401" w:type="pct"/>
            <w:tcBorders>
              <w:top w:val="single" w:sz="4" w:space="0" w:color="auto"/>
              <w:left w:val="nil"/>
              <w:bottom w:val="single" w:sz="4" w:space="0" w:color="auto"/>
              <w:right w:val="nil"/>
            </w:tcBorders>
            <w:shd w:val="clear" w:color="auto" w:fill="F2F2F2" w:themeFill="background1" w:themeFillShade="F2"/>
            <w:vAlign w:val="center"/>
            <w:hideMark/>
          </w:tcPr>
          <w:p w14:paraId="50DD2912" w14:textId="77777777" w:rsidR="00240D34" w:rsidRPr="002D429A" w:rsidRDefault="00240D34" w:rsidP="00240D34">
            <w:pPr>
              <w:pBdr>
                <w:top w:val="none" w:sz="0" w:space="0" w:color="auto"/>
                <w:left w:val="none" w:sz="0" w:space="0" w:color="auto"/>
                <w:bottom w:val="none" w:sz="0" w:space="0" w:color="auto"/>
                <w:right w:val="none" w:sz="0" w:space="0" w:color="auto"/>
                <w:between w:val="none" w:sz="0" w:space="0" w:color="auto"/>
                <w:bar w:val="none" w:sz="0" w:color="auto"/>
              </w:pBdr>
              <w:outlineLvl w:val="9"/>
              <w:rPr>
                <w:rFonts w:eastAsia="Times New Roman"/>
                <w:b/>
                <w:bCs/>
                <w:sz w:val="18"/>
                <w:szCs w:val="18"/>
                <w:bdr w:val="none" w:sz="0" w:space="0" w:color="auto"/>
                <w:lang w:eastAsia="es-ES"/>
              </w:rPr>
            </w:pPr>
            <w:r w:rsidRPr="002D429A">
              <w:rPr>
                <w:rFonts w:eastAsia="Times New Roman"/>
                <w:b/>
                <w:bCs/>
                <w:sz w:val="18"/>
                <w:szCs w:val="18"/>
                <w:bdr w:val="none" w:sz="0" w:space="0" w:color="auto"/>
                <w:lang w:eastAsia="es-ES"/>
              </w:rPr>
              <w:t>PATRIMONIO NETO</w:t>
            </w:r>
          </w:p>
        </w:tc>
        <w:tc>
          <w:tcPr>
            <w:tcW w:w="668" w:type="pct"/>
            <w:tcBorders>
              <w:top w:val="single" w:sz="4" w:space="0" w:color="auto"/>
              <w:left w:val="nil"/>
              <w:bottom w:val="single" w:sz="4" w:space="0" w:color="auto"/>
              <w:right w:val="nil"/>
            </w:tcBorders>
            <w:shd w:val="clear" w:color="auto" w:fill="F2F2F2" w:themeFill="background1" w:themeFillShade="F2"/>
            <w:vAlign w:val="center"/>
            <w:hideMark/>
          </w:tcPr>
          <w:p w14:paraId="4F7D84A2" w14:textId="77777777" w:rsidR="00240D34" w:rsidRPr="002D429A" w:rsidRDefault="00240D34" w:rsidP="00240D34">
            <w:pPr>
              <w:pBdr>
                <w:top w:val="none" w:sz="0" w:space="0" w:color="auto"/>
                <w:left w:val="none" w:sz="0" w:space="0" w:color="auto"/>
                <w:bottom w:val="none" w:sz="0" w:space="0" w:color="auto"/>
                <w:right w:val="none" w:sz="0" w:space="0" w:color="auto"/>
                <w:between w:val="none" w:sz="0" w:space="0" w:color="auto"/>
                <w:bar w:val="none" w:sz="0" w:color="auto"/>
              </w:pBdr>
              <w:outlineLvl w:val="9"/>
              <w:rPr>
                <w:rFonts w:eastAsia="Times New Roman"/>
                <w:sz w:val="18"/>
                <w:szCs w:val="18"/>
                <w:bdr w:val="none" w:sz="0" w:space="0" w:color="auto"/>
                <w:lang w:eastAsia="es-ES"/>
              </w:rPr>
            </w:pPr>
            <w:r w:rsidRPr="002D429A">
              <w:rPr>
                <w:rFonts w:eastAsia="Times New Roman"/>
                <w:sz w:val="18"/>
                <w:szCs w:val="18"/>
                <w:bdr w:val="none" w:sz="0" w:space="0" w:color="auto"/>
                <w:lang w:eastAsia="es-ES"/>
              </w:rPr>
              <w:t> </w:t>
            </w:r>
          </w:p>
        </w:tc>
        <w:tc>
          <w:tcPr>
            <w:tcW w:w="966" w:type="pct"/>
            <w:tcBorders>
              <w:top w:val="single" w:sz="4" w:space="0" w:color="auto"/>
              <w:left w:val="nil"/>
              <w:bottom w:val="single" w:sz="4" w:space="0" w:color="auto"/>
              <w:right w:val="nil"/>
            </w:tcBorders>
            <w:shd w:val="clear" w:color="auto" w:fill="F2F2F2" w:themeFill="background1" w:themeFillShade="F2"/>
            <w:vAlign w:val="center"/>
          </w:tcPr>
          <w:p w14:paraId="1D5626AD" w14:textId="4516DA2D" w:rsidR="00240D34" w:rsidRPr="00BC004A" w:rsidRDefault="00240D34" w:rsidP="00240D34">
            <w:pPr>
              <w:pBdr>
                <w:top w:val="none" w:sz="0" w:space="0" w:color="auto"/>
                <w:left w:val="none" w:sz="0" w:space="0" w:color="auto"/>
                <w:bottom w:val="none" w:sz="0" w:space="0" w:color="auto"/>
                <w:right w:val="none" w:sz="0" w:space="0" w:color="auto"/>
                <w:between w:val="none" w:sz="0" w:space="0" w:color="auto"/>
                <w:bar w:val="none" w:sz="0" w:color="auto"/>
              </w:pBdr>
              <w:jc w:val="right"/>
              <w:outlineLvl w:val="9"/>
              <w:rPr>
                <w:rFonts w:eastAsia="Times New Roman"/>
                <w:b/>
                <w:bCs/>
                <w:sz w:val="18"/>
                <w:szCs w:val="18"/>
                <w:bdr w:val="none" w:sz="0" w:space="0" w:color="auto"/>
                <w:lang w:eastAsia="es-ES"/>
              </w:rPr>
            </w:pPr>
            <w:r>
              <w:rPr>
                <w:b/>
                <w:bCs/>
                <w:sz w:val="18"/>
                <w:szCs w:val="18"/>
              </w:rPr>
              <w:t>628.329,22</w:t>
            </w:r>
          </w:p>
        </w:tc>
        <w:tc>
          <w:tcPr>
            <w:tcW w:w="966" w:type="pct"/>
            <w:tcBorders>
              <w:top w:val="single" w:sz="4" w:space="0" w:color="auto"/>
              <w:left w:val="nil"/>
              <w:bottom w:val="single" w:sz="4" w:space="0" w:color="auto"/>
              <w:right w:val="nil"/>
            </w:tcBorders>
            <w:shd w:val="clear" w:color="auto" w:fill="F2F2F2" w:themeFill="background1" w:themeFillShade="F2"/>
            <w:vAlign w:val="center"/>
            <w:hideMark/>
          </w:tcPr>
          <w:p w14:paraId="0D167CF0" w14:textId="7F44A416" w:rsidR="00240D34" w:rsidRPr="002D429A" w:rsidRDefault="00240D34" w:rsidP="00240D34">
            <w:pPr>
              <w:pBdr>
                <w:top w:val="none" w:sz="0" w:space="0" w:color="auto"/>
                <w:left w:val="none" w:sz="0" w:space="0" w:color="auto"/>
                <w:bottom w:val="none" w:sz="0" w:space="0" w:color="auto"/>
                <w:right w:val="none" w:sz="0" w:space="0" w:color="auto"/>
                <w:between w:val="none" w:sz="0" w:space="0" w:color="auto"/>
                <w:bar w:val="none" w:sz="0" w:color="auto"/>
              </w:pBdr>
              <w:jc w:val="right"/>
              <w:outlineLvl w:val="9"/>
              <w:rPr>
                <w:rFonts w:eastAsia="Times New Roman"/>
                <w:b/>
                <w:bCs/>
                <w:color w:val="auto"/>
                <w:sz w:val="18"/>
                <w:szCs w:val="18"/>
                <w:bdr w:val="none" w:sz="0" w:space="0" w:color="auto"/>
                <w:lang w:eastAsia="es-ES"/>
              </w:rPr>
            </w:pPr>
            <w:r>
              <w:rPr>
                <w:b/>
                <w:bCs/>
                <w:sz w:val="18"/>
                <w:szCs w:val="18"/>
              </w:rPr>
              <w:t>664.672,25</w:t>
            </w:r>
          </w:p>
        </w:tc>
      </w:tr>
      <w:tr w:rsidR="00240D34" w:rsidRPr="002D429A" w14:paraId="629A5C36" w14:textId="77777777" w:rsidTr="004A2576">
        <w:trPr>
          <w:trHeight w:val="340"/>
        </w:trPr>
        <w:tc>
          <w:tcPr>
            <w:tcW w:w="2401" w:type="pct"/>
            <w:tcBorders>
              <w:top w:val="single" w:sz="4" w:space="0" w:color="auto"/>
              <w:left w:val="nil"/>
              <w:bottom w:val="nil"/>
              <w:right w:val="nil"/>
            </w:tcBorders>
            <w:shd w:val="clear" w:color="auto" w:fill="auto"/>
            <w:vAlign w:val="center"/>
            <w:hideMark/>
          </w:tcPr>
          <w:p w14:paraId="1A741BB9" w14:textId="77777777" w:rsidR="00240D34" w:rsidRPr="002D429A" w:rsidRDefault="00240D34" w:rsidP="00240D34">
            <w:pPr>
              <w:pBdr>
                <w:top w:val="none" w:sz="0" w:space="0" w:color="auto"/>
                <w:left w:val="none" w:sz="0" w:space="0" w:color="auto"/>
                <w:bottom w:val="none" w:sz="0" w:space="0" w:color="auto"/>
                <w:right w:val="none" w:sz="0" w:space="0" w:color="auto"/>
                <w:between w:val="none" w:sz="0" w:space="0" w:color="auto"/>
                <w:bar w:val="none" w:sz="0" w:color="auto"/>
              </w:pBdr>
              <w:outlineLvl w:val="9"/>
              <w:rPr>
                <w:rFonts w:eastAsia="Times New Roman"/>
                <w:b/>
                <w:bCs/>
                <w:sz w:val="18"/>
                <w:szCs w:val="18"/>
                <w:bdr w:val="none" w:sz="0" w:space="0" w:color="auto"/>
                <w:lang w:eastAsia="es-ES"/>
              </w:rPr>
            </w:pPr>
            <w:r w:rsidRPr="002D429A">
              <w:rPr>
                <w:rFonts w:eastAsia="Times New Roman"/>
                <w:b/>
                <w:bCs/>
                <w:sz w:val="18"/>
                <w:szCs w:val="18"/>
                <w:bdr w:val="none" w:sz="0" w:space="0" w:color="auto"/>
                <w:lang w:eastAsia="es-ES"/>
              </w:rPr>
              <w:t>Fondos propios</w:t>
            </w:r>
          </w:p>
        </w:tc>
        <w:tc>
          <w:tcPr>
            <w:tcW w:w="668" w:type="pct"/>
            <w:tcBorders>
              <w:top w:val="single" w:sz="4" w:space="0" w:color="auto"/>
              <w:left w:val="nil"/>
              <w:bottom w:val="nil"/>
              <w:right w:val="nil"/>
            </w:tcBorders>
            <w:shd w:val="clear" w:color="auto" w:fill="auto"/>
            <w:vAlign w:val="center"/>
            <w:hideMark/>
          </w:tcPr>
          <w:p w14:paraId="735852C2" w14:textId="77777777" w:rsidR="00240D34" w:rsidRPr="002D429A" w:rsidRDefault="00240D34" w:rsidP="00240D34">
            <w:pPr>
              <w:pBdr>
                <w:top w:val="none" w:sz="0" w:space="0" w:color="auto"/>
                <w:left w:val="none" w:sz="0" w:space="0" w:color="auto"/>
                <w:bottom w:val="none" w:sz="0" w:space="0" w:color="auto"/>
                <w:right w:val="none" w:sz="0" w:space="0" w:color="auto"/>
                <w:between w:val="none" w:sz="0" w:space="0" w:color="auto"/>
                <w:bar w:val="none" w:sz="0" w:color="auto"/>
              </w:pBdr>
              <w:outlineLvl w:val="9"/>
              <w:rPr>
                <w:rFonts w:eastAsia="Times New Roman"/>
                <w:b/>
                <w:bCs/>
                <w:sz w:val="18"/>
                <w:szCs w:val="18"/>
                <w:bdr w:val="none" w:sz="0" w:space="0" w:color="auto"/>
                <w:lang w:eastAsia="es-ES"/>
              </w:rPr>
            </w:pPr>
          </w:p>
        </w:tc>
        <w:tc>
          <w:tcPr>
            <w:tcW w:w="966" w:type="pct"/>
            <w:tcBorders>
              <w:top w:val="single" w:sz="4" w:space="0" w:color="auto"/>
              <w:left w:val="nil"/>
              <w:bottom w:val="nil"/>
              <w:right w:val="nil"/>
            </w:tcBorders>
            <w:shd w:val="clear" w:color="auto" w:fill="auto"/>
            <w:vAlign w:val="center"/>
          </w:tcPr>
          <w:p w14:paraId="1E6BD26B" w14:textId="18BCCE29" w:rsidR="00240D34" w:rsidRPr="00DA5AD4" w:rsidRDefault="00240D34" w:rsidP="00240D34">
            <w:pPr>
              <w:pBdr>
                <w:top w:val="none" w:sz="0" w:space="0" w:color="auto"/>
                <w:left w:val="none" w:sz="0" w:space="0" w:color="auto"/>
                <w:bottom w:val="none" w:sz="0" w:space="0" w:color="auto"/>
                <w:right w:val="none" w:sz="0" w:space="0" w:color="auto"/>
                <w:between w:val="none" w:sz="0" w:space="0" w:color="auto"/>
                <w:bar w:val="none" w:sz="0" w:color="auto"/>
              </w:pBdr>
              <w:jc w:val="right"/>
              <w:outlineLvl w:val="9"/>
              <w:rPr>
                <w:rFonts w:eastAsia="Times New Roman"/>
                <w:b/>
                <w:sz w:val="18"/>
                <w:szCs w:val="18"/>
                <w:bdr w:val="none" w:sz="0" w:space="0" w:color="auto"/>
                <w:lang w:eastAsia="es-ES"/>
              </w:rPr>
            </w:pPr>
            <w:r>
              <w:rPr>
                <w:b/>
                <w:bCs/>
                <w:sz w:val="18"/>
                <w:szCs w:val="18"/>
              </w:rPr>
              <w:t>600.000,00</w:t>
            </w:r>
          </w:p>
        </w:tc>
        <w:tc>
          <w:tcPr>
            <w:tcW w:w="966" w:type="pct"/>
            <w:tcBorders>
              <w:top w:val="single" w:sz="4" w:space="0" w:color="auto"/>
              <w:left w:val="nil"/>
              <w:bottom w:val="nil"/>
              <w:right w:val="nil"/>
            </w:tcBorders>
            <w:shd w:val="clear" w:color="auto" w:fill="auto"/>
            <w:vAlign w:val="center"/>
            <w:hideMark/>
          </w:tcPr>
          <w:p w14:paraId="297402C1" w14:textId="4E91AEBF" w:rsidR="00240D34" w:rsidRPr="002D429A" w:rsidRDefault="00240D34" w:rsidP="00240D34">
            <w:pPr>
              <w:pBdr>
                <w:top w:val="none" w:sz="0" w:space="0" w:color="auto"/>
                <w:left w:val="none" w:sz="0" w:space="0" w:color="auto"/>
                <w:bottom w:val="none" w:sz="0" w:space="0" w:color="auto"/>
                <w:right w:val="none" w:sz="0" w:space="0" w:color="auto"/>
                <w:between w:val="none" w:sz="0" w:space="0" w:color="auto"/>
                <w:bar w:val="none" w:sz="0" w:color="auto"/>
              </w:pBdr>
              <w:jc w:val="right"/>
              <w:outlineLvl w:val="9"/>
              <w:rPr>
                <w:rFonts w:eastAsia="Times New Roman"/>
                <w:b/>
                <w:bCs/>
                <w:color w:val="auto"/>
                <w:sz w:val="18"/>
                <w:szCs w:val="18"/>
                <w:bdr w:val="none" w:sz="0" w:space="0" w:color="auto"/>
                <w:lang w:eastAsia="es-ES"/>
              </w:rPr>
            </w:pPr>
            <w:r>
              <w:rPr>
                <w:b/>
                <w:bCs/>
                <w:sz w:val="18"/>
                <w:szCs w:val="18"/>
              </w:rPr>
              <w:t>600.000,00</w:t>
            </w:r>
          </w:p>
        </w:tc>
      </w:tr>
      <w:tr w:rsidR="00240D34" w:rsidRPr="002D429A" w14:paraId="21A8EF86" w14:textId="77777777" w:rsidTr="00BA5560">
        <w:trPr>
          <w:trHeight w:val="340"/>
        </w:trPr>
        <w:tc>
          <w:tcPr>
            <w:tcW w:w="2401" w:type="pct"/>
            <w:tcBorders>
              <w:top w:val="nil"/>
              <w:left w:val="nil"/>
              <w:bottom w:val="nil"/>
              <w:right w:val="nil"/>
            </w:tcBorders>
            <w:shd w:val="clear" w:color="auto" w:fill="auto"/>
            <w:vAlign w:val="center"/>
            <w:hideMark/>
          </w:tcPr>
          <w:p w14:paraId="56D06300" w14:textId="77777777" w:rsidR="00240D34" w:rsidRPr="002D429A" w:rsidRDefault="00240D34" w:rsidP="00240D34">
            <w:pPr>
              <w:pBdr>
                <w:top w:val="none" w:sz="0" w:space="0" w:color="auto"/>
                <w:left w:val="none" w:sz="0" w:space="0" w:color="auto"/>
                <w:bottom w:val="none" w:sz="0" w:space="0" w:color="auto"/>
                <w:right w:val="none" w:sz="0" w:space="0" w:color="auto"/>
                <w:between w:val="none" w:sz="0" w:space="0" w:color="auto"/>
                <w:bar w:val="none" w:sz="0" w:color="auto"/>
              </w:pBdr>
              <w:outlineLvl w:val="9"/>
              <w:rPr>
                <w:rFonts w:eastAsia="Times New Roman"/>
                <w:sz w:val="18"/>
                <w:szCs w:val="18"/>
                <w:bdr w:val="none" w:sz="0" w:space="0" w:color="auto"/>
                <w:lang w:eastAsia="es-ES"/>
              </w:rPr>
            </w:pPr>
            <w:r w:rsidRPr="002D429A">
              <w:rPr>
                <w:rFonts w:eastAsia="Times New Roman"/>
                <w:sz w:val="18"/>
                <w:szCs w:val="18"/>
                <w:bdr w:val="none" w:sz="0" w:space="0" w:color="auto"/>
                <w:lang w:eastAsia="es-ES"/>
              </w:rPr>
              <w:t xml:space="preserve">Capital </w:t>
            </w:r>
          </w:p>
        </w:tc>
        <w:tc>
          <w:tcPr>
            <w:tcW w:w="668" w:type="pct"/>
            <w:tcBorders>
              <w:top w:val="nil"/>
              <w:left w:val="nil"/>
              <w:bottom w:val="nil"/>
              <w:right w:val="nil"/>
            </w:tcBorders>
            <w:shd w:val="clear" w:color="auto" w:fill="auto"/>
            <w:vAlign w:val="center"/>
            <w:hideMark/>
          </w:tcPr>
          <w:p w14:paraId="1372D99C" w14:textId="750F99FD" w:rsidR="00240D34" w:rsidRPr="00634704" w:rsidRDefault="00240D34" w:rsidP="00240D34">
            <w:pPr>
              <w:pBdr>
                <w:top w:val="none" w:sz="0" w:space="0" w:color="auto"/>
                <w:left w:val="none" w:sz="0" w:space="0" w:color="auto"/>
                <w:bottom w:val="none" w:sz="0" w:space="0" w:color="auto"/>
                <w:right w:val="none" w:sz="0" w:space="0" w:color="auto"/>
                <w:between w:val="none" w:sz="0" w:space="0" w:color="auto"/>
                <w:bar w:val="none" w:sz="0" w:color="auto"/>
              </w:pBdr>
              <w:jc w:val="center"/>
              <w:outlineLvl w:val="9"/>
              <w:rPr>
                <w:rFonts w:eastAsia="Times New Roman"/>
                <w:sz w:val="18"/>
                <w:szCs w:val="18"/>
                <w:highlight w:val="yellow"/>
                <w:bdr w:val="none" w:sz="0" w:space="0" w:color="auto"/>
                <w:lang w:eastAsia="es-ES"/>
              </w:rPr>
            </w:pPr>
            <w:r w:rsidRPr="00085996">
              <w:rPr>
                <w:rFonts w:eastAsia="Times New Roman"/>
                <w:sz w:val="18"/>
                <w:szCs w:val="18"/>
                <w:bdr w:val="none" w:sz="0" w:space="0" w:color="auto"/>
                <w:lang w:eastAsia="es-ES"/>
              </w:rPr>
              <w:t>8.</w:t>
            </w:r>
            <w:r>
              <w:rPr>
                <w:rFonts w:eastAsia="Times New Roman"/>
                <w:sz w:val="18"/>
                <w:szCs w:val="18"/>
                <w:bdr w:val="none" w:sz="0" w:space="0" w:color="auto"/>
                <w:lang w:eastAsia="es-ES"/>
              </w:rPr>
              <w:t>4</w:t>
            </w:r>
            <w:r w:rsidRPr="00085996">
              <w:rPr>
                <w:rFonts w:eastAsia="Times New Roman"/>
                <w:sz w:val="18"/>
                <w:szCs w:val="18"/>
                <w:bdr w:val="none" w:sz="0" w:space="0" w:color="auto"/>
                <w:lang w:eastAsia="es-ES"/>
              </w:rPr>
              <w:t>.a</w:t>
            </w:r>
          </w:p>
        </w:tc>
        <w:tc>
          <w:tcPr>
            <w:tcW w:w="966" w:type="pct"/>
            <w:tcBorders>
              <w:top w:val="nil"/>
              <w:left w:val="nil"/>
              <w:bottom w:val="nil"/>
              <w:right w:val="nil"/>
            </w:tcBorders>
            <w:shd w:val="clear" w:color="auto" w:fill="auto"/>
            <w:vAlign w:val="center"/>
          </w:tcPr>
          <w:p w14:paraId="3812EAA6" w14:textId="1E3DBE42" w:rsidR="00240D34" w:rsidRPr="002D429A" w:rsidRDefault="00240D34" w:rsidP="00240D34">
            <w:pPr>
              <w:pBdr>
                <w:top w:val="none" w:sz="0" w:space="0" w:color="auto"/>
                <w:left w:val="none" w:sz="0" w:space="0" w:color="auto"/>
                <w:bottom w:val="none" w:sz="0" w:space="0" w:color="auto"/>
                <w:right w:val="none" w:sz="0" w:space="0" w:color="auto"/>
                <w:between w:val="none" w:sz="0" w:space="0" w:color="auto"/>
                <w:bar w:val="none" w:sz="0" w:color="auto"/>
              </w:pBdr>
              <w:jc w:val="right"/>
              <w:outlineLvl w:val="9"/>
              <w:rPr>
                <w:rFonts w:eastAsia="Times New Roman"/>
                <w:sz w:val="18"/>
                <w:szCs w:val="18"/>
                <w:bdr w:val="none" w:sz="0" w:space="0" w:color="auto"/>
                <w:lang w:eastAsia="es-ES"/>
              </w:rPr>
            </w:pPr>
            <w:r>
              <w:rPr>
                <w:sz w:val="18"/>
                <w:szCs w:val="18"/>
              </w:rPr>
              <w:t>600.000,00</w:t>
            </w:r>
          </w:p>
        </w:tc>
        <w:tc>
          <w:tcPr>
            <w:tcW w:w="966" w:type="pct"/>
            <w:tcBorders>
              <w:top w:val="nil"/>
              <w:left w:val="nil"/>
              <w:bottom w:val="nil"/>
              <w:right w:val="nil"/>
            </w:tcBorders>
            <w:shd w:val="clear" w:color="auto" w:fill="auto"/>
            <w:vAlign w:val="center"/>
            <w:hideMark/>
          </w:tcPr>
          <w:p w14:paraId="48C0A5E4" w14:textId="2F02CC1E" w:rsidR="00240D34" w:rsidRPr="002D429A" w:rsidRDefault="00240D34" w:rsidP="00240D34">
            <w:pPr>
              <w:pBdr>
                <w:top w:val="none" w:sz="0" w:space="0" w:color="auto"/>
                <w:left w:val="none" w:sz="0" w:space="0" w:color="auto"/>
                <w:bottom w:val="none" w:sz="0" w:space="0" w:color="auto"/>
                <w:right w:val="none" w:sz="0" w:space="0" w:color="auto"/>
                <w:between w:val="none" w:sz="0" w:space="0" w:color="auto"/>
                <w:bar w:val="none" w:sz="0" w:color="auto"/>
              </w:pBdr>
              <w:jc w:val="right"/>
              <w:outlineLvl w:val="9"/>
              <w:rPr>
                <w:rFonts w:eastAsia="Times New Roman"/>
                <w:color w:val="auto"/>
                <w:sz w:val="18"/>
                <w:szCs w:val="18"/>
                <w:bdr w:val="none" w:sz="0" w:space="0" w:color="auto"/>
                <w:lang w:eastAsia="es-ES"/>
              </w:rPr>
            </w:pPr>
            <w:r>
              <w:rPr>
                <w:sz w:val="18"/>
                <w:szCs w:val="18"/>
              </w:rPr>
              <w:t>600.000,00</w:t>
            </w:r>
          </w:p>
        </w:tc>
      </w:tr>
      <w:tr w:rsidR="00240D34" w:rsidRPr="002D429A" w14:paraId="609D1F73" w14:textId="77777777" w:rsidTr="00BA5560">
        <w:trPr>
          <w:trHeight w:val="340"/>
        </w:trPr>
        <w:tc>
          <w:tcPr>
            <w:tcW w:w="2401" w:type="pct"/>
            <w:tcBorders>
              <w:top w:val="nil"/>
              <w:left w:val="nil"/>
              <w:bottom w:val="nil"/>
              <w:right w:val="nil"/>
            </w:tcBorders>
            <w:shd w:val="clear" w:color="auto" w:fill="auto"/>
            <w:vAlign w:val="center"/>
            <w:hideMark/>
          </w:tcPr>
          <w:p w14:paraId="36224927" w14:textId="77777777" w:rsidR="00240D34" w:rsidRPr="002D429A" w:rsidRDefault="00240D34" w:rsidP="00240D34">
            <w:pPr>
              <w:pBdr>
                <w:top w:val="none" w:sz="0" w:space="0" w:color="auto"/>
                <w:left w:val="none" w:sz="0" w:space="0" w:color="auto"/>
                <w:bottom w:val="none" w:sz="0" w:space="0" w:color="auto"/>
                <w:right w:val="none" w:sz="0" w:space="0" w:color="auto"/>
                <w:between w:val="none" w:sz="0" w:space="0" w:color="auto"/>
                <w:bar w:val="none" w:sz="0" w:color="auto"/>
              </w:pBdr>
              <w:outlineLvl w:val="9"/>
              <w:rPr>
                <w:rFonts w:eastAsia="Times New Roman"/>
                <w:sz w:val="18"/>
                <w:szCs w:val="18"/>
                <w:bdr w:val="none" w:sz="0" w:space="0" w:color="auto"/>
                <w:lang w:eastAsia="es-ES"/>
              </w:rPr>
            </w:pPr>
            <w:r w:rsidRPr="002D429A">
              <w:rPr>
                <w:rFonts w:eastAsia="Times New Roman"/>
                <w:sz w:val="18"/>
                <w:szCs w:val="18"/>
                <w:bdr w:val="none" w:sz="0" w:space="0" w:color="auto"/>
                <w:lang w:eastAsia="es-ES"/>
              </w:rPr>
              <w:t>Otras aportaciones de socios</w:t>
            </w:r>
          </w:p>
        </w:tc>
        <w:tc>
          <w:tcPr>
            <w:tcW w:w="668" w:type="pct"/>
            <w:tcBorders>
              <w:top w:val="nil"/>
              <w:left w:val="nil"/>
              <w:bottom w:val="nil"/>
              <w:right w:val="nil"/>
            </w:tcBorders>
            <w:shd w:val="clear" w:color="auto" w:fill="auto"/>
            <w:vAlign w:val="center"/>
            <w:hideMark/>
          </w:tcPr>
          <w:p w14:paraId="5C5D1FA1" w14:textId="570B20A8" w:rsidR="00240D34" w:rsidRPr="00634704" w:rsidRDefault="00240D34" w:rsidP="00240D34">
            <w:pPr>
              <w:pBdr>
                <w:top w:val="none" w:sz="0" w:space="0" w:color="auto"/>
                <w:left w:val="none" w:sz="0" w:space="0" w:color="auto"/>
                <w:bottom w:val="none" w:sz="0" w:space="0" w:color="auto"/>
                <w:right w:val="none" w:sz="0" w:space="0" w:color="auto"/>
                <w:between w:val="none" w:sz="0" w:space="0" w:color="auto"/>
                <w:bar w:val="none" w:sz="0" w:color="auto"/>
              </w:pBdr>
              <w:jc w:val="center"/>
              <w:outlineLvl w:val="9"/>
              <w:rPr>
                <w:rFonts w:eastAsia="Times New Roman"/>
                <w:sz w:val="18"/>
                <w:szCs w:val="18"/>
                <w:highlight w:val="yellow"/>
                <w:bdr w:val="none" w:sz="0" w:space="0" w:color="auto"/>
                <w:lang w:eastAsia="es-ES"/>
              </w:rPr>
            </w:pPr>
            <w:r w:rsidRPr="00085996">
              <w:rPr>
                <w:rFonts w:eastAsia="Times New Roman"/>
                <w:sz w:val="18"/>
                <w:szCs w:val="18"/>
                <w:bdr w:val="none" w:sz="0" w:space="0" w:color="auto"/>
                <w:lang w:eastAsia="es-ES"/>
              </w:rPr>
              <w:t>8.</w:t>
            </w:r>
            <w:r>
              <w:rPr>
                <w:rFonts w:eastAsia="Times New Roman"/>
                <w:sz w:val="18"/>
                <w:szCs w:val="18"/>
                <w:bdr w:val="none" w:sz="0" w:space="0" w:color="auto"/>
                <w:lang w:eastAsia="es-ES"/>
              </w:rPr>
              <w:t>4</w:t>
            </w:r>
            <w:r w:rsidRPr="00085996">
              <w:rPr>
                <w:rFonts w:eastAsia="Times New Roman"/>
                <w:sz w:val="18"/>
                <w:szCs w:val="18"/>
                <w:bdr w:val="none" w:sz="0" w:space="0" w:color="auto"/>
                <w:lang w:eastAsia="es-ES"/>
              </w:rPr>
              <w:t>.</w:t>
            </w:r>
            <w:r>
              <w:rPr>
                <w:rFonts w:eastAsia="Times New Roman"/>
                <w:sz w:val="18"/>
                <w:szCs w:val="18"/>
                <w:bdr w:val="none" w:sz="0" w:space="0" w:color="auto"/>
                <w:lang w:eastAsia="es-ES"/>
              </w:rPr>
              <w:t>c y 17.a</w:t>
            </w:r>
          </w:p>
        </w:tc>
        <w:tc>
          <w:tcPr>
            <w:tcW w:w="966" w:type="pct"/>
            <w:tcBorders>
              <w:top w:val="nil"/>
              <w:left w:val="nil"/>
              <w:bottom w:val="nil"/>
              <w:right w:val="nil"/>
            </w:tcBorders>
            <w:shd w:val="clear" w:color="auto" w:fill="auto"/>
            <w:vAlign w:val="center"/>
          </w:tcPr>
          <w:p w14:paraId="7B9341BF" w14:textId="5FD3E5B0" w:rsidR="00240D34" w:rsidRPr="00BC004A" w:rsidRDefault="00240D34" w:rsidP="00240D34">
            <w:pPr>
              <w:pBdr>
                <w:top w:val="none" w:sz="0" w:space="0" w:color="auto"/>
                <w:left w:val="none" w:sz="0" w:space="0" w:color="auto"/>
                <w:bottom w:val="none" w:sz="0" w:space="0" w:color="auto"/>
                <w:right w:val="none" w:sz="0" w:space="0" w:color="auto"/>
                <w:between w:val="none" w:sz="0" w:space="0" w:color="auto"/>
                <w:bar w:val="none" w:sz="0" w:color="auto"/>
              </w:pBdr>
              <w:jc w:val="right"/>
              <w:outlineLvl w:val="9"/>
              <w:rPr>
                <w:rFonts w:eastAsia="Times New Roman"/>
                <w:sz w:val="18"/>
                <w:szCs w:val="18"/>
                <w:bdr w:val="none" w:sz="0" w:space="0" w:color="auto"/>
                <w:lang w:eastAsia="es-ES"/>
              </w:rPr>
            </w:pPr>
            <w:r>
              <w:rPr>
                <w:sz w:val="18"/>
                <w:szCs w:val="18"/>
              </w:rPr>
              <w:t>3.590.000,00</w:t>
            </w:r>
          </w:p>
        </w:tc>
        <w:tc>
          <w:tcPr>
            <w:tcW w:w="966" w:type="pct"/>
            <w:tcBorders>
              <w:top w:val="nil"/>
              <w:left w:val="nil"/>
              <w:bottom w:val="nil"/>
              <w:right w:val="nil"/>
            </w:tcBorders>
            <w:shd w:val="clear" w:color="auto" w:fill="auto"/>
            <w:vAlign w:val="center"/>
            <w:hideMark/>
          </w:tcPr>
          <w:p w14:paraId="5B4E298E" w14:textId="2EDEC4A8" w:rsidR="00240D34" w:rsidRPr="002D429A" w:rsidRDefault="00240D34" w:rsidP="00240D34">
            <w:pPr>
              <w:pBdr>
                <w:top w:val="none" w:sz="0" w:space="0" w:color="auto"/>
                <w:left w:val="none" w:sz="0" w:space="0" w:color="auto"/>
                <w:bottom w:val="none" w:sz="0" w:space="0" w:color="auto"/>
                <w:right w:val="none" w:sz="0" w:space="0" w:color="auto"/>
                <w:between w:val="none" w:sz="0" w:space="0" w:color="auto"/>
                <w:bar w:val="none" w:sz="0" w:color="auto"/>
              </w:pBdr>
              <w:jc w:val="right"/>
              <w:outlineLvl w:val="9"/>
              <w:rPr>
                <w:rFonts w:eastAsia="Times New Roman"/>
                <w:color w:val="auto"/>
                <w:sz w:val="18"/>
                <w:szCs w:val="18"/>
                <w:bdr w:val="none" w:sz="0" w:space="0" w:color="auto"/>
                <w:lang w:eastAsia="es-ES"/>
              </w:rPr>
            </w:pPr>
            <w:r>
              <w:rPr>
                <w:sz w:val="18"/>
                <w:szCs w:val="18"/>
              </w:rPr>
              <w:t>3.577.139,00</w:t>
            </w:r>
          </w:p>
        </w:tc>
      </w:tr>
      <w:tr w:rsidR="00240D34" w:rsidRPr="002D429A" w14:paraId="1FF9FE69" w14:textId="77777777" w:rsidTr="00BA5560">
        <w:trPr>
          <w:trHeight w:val="340"/>
        </w:trPr>
        <w:tc>
          <w:tcPr>
            <w:tcW w:w="2401" w:type="pct"/>
            <w:tcBorders>
              <w:top w:val="nil"/>
              <w:left w:val="nil"/>
              <w:bottom w:val="nil"/>
              <w:right w:val="nil"/>
            </w:tcBorders>
            <w:shd w:val="clear" w:color="auto" w:fill="auto"/>
            <w:vAlign w:val="center"/>
            <w:hideMark/>
          </w:tcPr>
          <w:p w14:paraId="06CC6A14" w14:textId="77777777" w:rsidR="00240D34" w:rsidRPr="002D429A" w:rsidRDefault="00240D34" w:rsidP="00240D34">
            <w:pPr>
              <w:pBdr>
                <w:top w:val="none" w:sz="0" w:space="0" w:color="auto"/>
                <w:left w:val="none" w:sz="0" w:space="0" w:color="auto"/>
                <w:bottom w:val="none" w:sz="0" w:space="0" w:color="auto"/>
                <w:right w:val="none" w:sz="0" w:space="0" w:color="auto"/>
                <w:between w:val="none" w:sz="0" w:space="0" w:color="auto"/>
                <w:bar w:val="none" w:sz="0" w:color="auto"/>
              </w:pBdr>
              <w:outlineLvl w:val="9"/>
              <w:rPr>
                <w:rFonts w:eastAsia="Times New Roman"/>
                <w:sz w:val="18"/>
                <w:szCs w:val="18"/>
                <w:bdr w:val="none" w:sz="0" w:space="0" w:color="auto"/>
                <w:lang w:eastAsia="es-ES"/>
              </w:rPr>
            </w:pPr>
            <w:r w:rsidRPr="002D429A">
              <w:rPr>
                <w:rFonts w:eastAsia="Times New Roman"/>
                <w:sz w:val="18"/>
                <w:szCs w:val="18"/>
                <w:bdr w:val="none" w:sz="0" w:space="0" w:color="auto"/>
                <w:lang w:eastAsia="es-ES"/>
              </w:rPr>
              <w:t>Resultado del ejercicio</w:t>
            </w:r>
          </w:p>
        </w:tc>
        <w:tc>
          <w:tcPr>
            <w:tcW w:w="668" w:type="pct"/>
            <w:tcBorders>
              <w:top w:val="nil"/>
              <w:left w:val="nil"/>
              <w:bottom w:val="nil"/>
              <w:right w:val="nil"/>
            </w:tcBorders>
            <w:shd w:val="clear" w:color="auto" w:fill="auto"/>
            <w:vAlign w:val="center"/>
            <w:hideMark/>
          </w:tcPr>
          <w:p w14:paraId="6B0E38EF" w14:textId="77777777" w:rsidR="00240D34" w:rsidRPr="00634704" w:rsidRDefault="00240D34" w:rsidP="00240D34">
            <w:pPr>
              <w:pBdr>
                <w:top w:val="none" w:sz="0" w:space="0" w:color="auto"/>
                <w:left w:val="none" w:sz="0" w:space="0" w:color="auto"/>
                <w:bottom w:val="none" w:sz="0" w:space="0" w:color="auto"/>
                <w:right w:val="none" w:sz="0" w:space="0" w:color="auto"/>
                <w:between w:val="none" w:sz="0" w:space="0" w:color="auto"/>
                <w:bar w:val="none" w:sz="0" w:color="auto"/>
              </w:pBdr>
              <w:jc w:val="center"/>
              <w:outlineLvl w:val="9"/>
              <w:rPr>
                <w:rFonts w:eastAsia="Times New Roman"/>
                <w:sz w:val="18"/>
                <w:szCs w:val="18"/>
                <w:highlight w:val="yellow"/>
                <w:bdr w:val="none" w:sz="0" w:space="0" w:color="auto"/>
                <w:lang w:eastAsia="es-ES"/>
              </w:rPr>
            </w:pPr>
            <w:r w:rsidRPr="006D37A3">
              <w:rPr>
                <w:rFonts w:eastAsia="Times New Roman"/>
                <w:sz w:val="18"/>
                <w:szCs w:val="18"/>
                <w:bdr w:val="none" w:sz="0" w:space="0" w:color="auto"/>
                <w:lang w:eastAsia="es-ES"/>
              </w:rPr>
              <w:t>3</w:t>
            </w:r>
          </w:p>
        </w:tc>
        <w:tc>
          <w:tcPr>
            <w:tcW w:w="966" w:type="pct"/>
            <w:tcBorders>
              <w:top w:val="nil"/>
              <w:left w:val="nil"/>
              <w:bottom w:val="nil"/>
              <w:right w:val="nil"/>
            </w:tcBorders>
            <w:shd w:val="clear" w:color="auto" w:fill="auto"/>
            <w:vAlign w:val="center"/>
          </w:tcPr>
          <w:p w14:paraId="1BAB2775" w14:textId="5F1F714B" w:rsidR="00240D34" w:rsidRPr="00E13C1C" w:rsidRDefault="00240D34" w:rsidP="00240D34">
            <w:pPr>
              <w:pBdr>
                <w:top w:val="none" w:sz="0" w:space="0" w:color="auto"/>
                <w:left w:val="none" w:sz="0" w:space="0" w:color="auto"/>
                <w:bottom w:val="none" w:sz="0" w:space="0" w:color="auto"/>
                <w:right w:val="none" w:sz="0" w:space="0" w:color="auto"/>
                <w:between w:val="none" w:sz="0" w:space="0" w:color="auto"/>
                <w:bar w:val="none" w:sz="0" w:color="auto"/>
              </w:pBdr>
              <w:jc w:val="right"/>
              <w:outlineLvl w:val="9"/>
              <w:rPr>
                <w:rFonts w:eastAsia="Times New Roman"/>
                <w:sz w:val="18"/>
                <w:szCs w:val="18"/>
                <w:bdr w:val="none" w:sz="0" w:space="0" w:color="auto"/>
                <w:lang w:eastAsia="es-ES"/>
              </w:rPr>
            </w:pPr>
            <w:r>
              <w:rPr>
                <w:sz w:val="18"/>
                <w:szCs w:val="18"/>
              </w:rPr>
              <w:t>(3.590.000,00)</w:t>
            </w:r>
          </w:p>
        </w:tc>
        <w:tc>
          <w:tcPr>
            <w:tcW w:w="966" w:type="pct"/>
            <w:tcBorders>
              <w:top w:val="nil"/>
              <w:left w:val="nil"/>
              <w:bottom w:val="nil"/>
              <w:right w:val="nil"/>
            </w:tcBorders>
            <w:shd w:val="clear" w:color="auto" w:fill="auto"/>
            <w:vAlign w:val="center"/>
            <w:hideMark/>
          </w:tcPr>
          <w:p w14:paraId="10156615" w14:textId="19B28EE3" w:rsidR="00240D34" w:rsidRPr="002D429A" w:rsidRDefault="00240D34" w:rsidP="00240D34">
            <w:pPr>
              <w:pBdr>
                <w:top w:val="none" w:sz="0" w:space="0" w:color="auto"/>
                <w:left w:val="none" w:sz="0" w:space="0" w:color="auto"/>
                <w:bottom w:val="none" w:sz="0" w:space="0" w:color="auto"/>
                <w:right w:val="none" w:sz="0" w:space="0" w:color="auto"/>
                <w:between w:val="none" w:sz="0" w:space="0" w:color="auto"/>
                <w:bar w:val="none" w:sz="0" w:color="auto"/>
              </w:pBdr>
              <w:jc w:val="right"/>
              <w:outlineLvl w:val="9"/>
              <w:rPr>
                <w:rFonts w:eastAsia="Times New Roman"/>
                <w:color w:val="auto"/>
                <w:sz w:val="18"/>
                <w:szCs w:val="18"/>
                <w:bdr w:val="none" w:sz="0" w:space="0" w:color="auto"/>
                <w:lang w:eastAsia="es-ES"/>
              </w:rPr>
            </w:pPr>
            <w:r>
              <w:rPr>
                <w:sz w:val="18"/>
                <w:szCs w:val="18"/>
              </w:rPr>
              <w:t>(3.577.139,00)</w:t>
            </w:r>
          </w:p>
        </w:tc>
      </w:tr>
      <w:tr w:rsidR="00240D34" w:rsidRPr="002D429A" w14:paraId="6104050D" w14:textId="77777777" w:rsidTr="004A2576">
        <w:trPr>
          <w:trHeight w:val="340"/>
        </w:trPr>
        <w:tc>
          <w:tcPr>
            <w:tcW w:w="2401" w:type="pct"/>
            <w:tcBorders>
              <w:top w:val="nil"/>
              <w:left w:val="nil"/>
              <w:right w:val="nil"/>
            </w:tcBorders>
            <w:shd w:val="clear" w:color="auto" w:fill="auto"/>
            <w:vAlign w:val="center"/>
            <w:hideMark/>
          </w:tcPr>
          <w:p w14:paraId="54A1C042" w14:textId="77777777" w:rsidR="00240D34" w:rsidRPr="002D429A" w:rsidRDefault="00240D34" w:rsidP="00240D34">
            <w:pPr>
              <w:pBdr>
                <w:top w:val="none" w:sz="0" w:space="0" w:color="auto"/>
                <w:left w:val="none" w:sz="0" w:space="0" w:color="auto"/>
                <w:bottom w:val="none" w:sz="0" w:space="0" w:color="auto"/>
                <w:right w:val="none" w:sz="0" w:space="0" w:color="auto"/>
                <w:between w:val="none" w:sz="0" w:space="0" w:color="auto"/>
                <w:bar w:val="none" w:sz="0" w:color="auto"/>
              </w:pBdr>
              <w:outlineLvl w:val="9"/>
              <w:rPr>
                <w:rFonts w:eastAsia="Times New Roman"/>
                <w:b/>
                <w:bCs/>
                <w:sz w:val="18"/>
                <w:szCs w:val="18"/>
                <w:bdr w:val="none" w:sz="0" w:space="0" w:color="auto"/>
                <w:lang w:eastAsia="es-ES"/>
              </w:rPr>
            </w:pPr>
            <w:r w:rsidRPr="002D429A">
              <w:rPr>
                <w:rFonts w:eastAsia="Times New Roman"/>
                <w:b/>
                <w:bCs/>
                <w:sz w:val="18"/>
                <w:szCs w:val="18"/>
                <w:bdr w:val="none" w:sz="0" w:space="0" w:color="auto"/>
                <w:lang w:eastAsia="es-ES"/>
              </w:rPr>
              <w:t>Subvenciones, donaciones y legados recibidos</w:t>
            </w:r>
          </w:p>
        </w:tc>
        <w:tc>
          <w:tcPr>
            <w:tcW w:w="668" w:type="pct"/>
            <w:tcBorders>
              <w:top w:val="nil"/>
              <w:left w:val="nil"/>
              <w:right w:val="nil"/>
            </w:tcBorders>
            <w:shd w:val="clear" w:color="auto" w:fill="auto"/>
            <w:vAlign w:val="center"/>
            <w:hideMark/>
          </w:tcPr>
          <w:p w14:paraId="5C599411" w14:textId="7FC4D00C" w:rsidR="00240D34" w:rsidRPr="00634704" w:rsidRDefault="00240D34" w:rsidP="00240D34">
            <w:pPr>
              <w:pBdr>
                <w:top w:val="none" w:sz="0" w:space="0" w:color="auto"/>
                <w:left w:val="none" w:sz="0" w:space="0" w:color="auto"/>
                <w:bottom w:val="none" w:sz="0" w:space="0" w:color="auto"/>
                <w:right w:val="none" w:sz="0" w:space="0" w:color="auto"/>
                <w:between w:val="none" w:sz="0" w:space="0" w:color="auto"/>
                <w:bar w:val="none" w:sz="0" w:color="auto"/>
              </w:pBdr>
              <w:jc w:val="center"/>
              <w:outlineLvl w:val="9"/>
              <w:rPr>
                <w:rFonts w:eastAsia="Times New Roman"/>
                <w:b/>
                <w:bCs/>
                <w:sz w:val="18"/>
                <w:szCs w:val="18"/>
                <w:highlight w:val="yellow"/>
                <w:bdr w:val="none" w:sz="0" w:space="0" w:color="auto"/>
                <w:lang w:eastAsia="es-ES"/>
              </w:rPr>
            </w:pPr>
            <w:r w:rsidRPr="00085996">
              <w:rPr>
                <w:rFonts w:eastAsia="Times New Roman"/>
                <w:b/>
                <w:bCs/>
                <w:sz w:val="18"/>
                <w:szCs w:val="18"/>
                <w:bdr w:val="none" w:sz="0" w:space="0" w:color="auto"/>
                <w:lang w:eastAsia="es-ES"/>
              </w:rPr>
              <w:t>15</w:t>
            </w:r>
            <w:r>
              <w:rPr>
                <w:rFonts w:eastAsia="Times New Roman"/>
                <w:b/>
                <w:bCs/>
                <w:sz w:val="18"/>
                <w:szCs w:val="18"/>
                <w:bdr w:val="none" w:sz="0" w:space="0" w:color="auto"/>
                <w:lang w:eastAsia="es-ES"/>
              </w:rPr>
              <w:t>.1</w:t>
            </w:r>
          </w:p>
        </w:tc>
        <w:tc>
          <w:tcPr>
            <w:tcW w:w="966" w:type="pct"/>
            <w:tcBorders>
              <w:top w:val="nil"/>
              <w:left w:val="nil"/>
              <w:right w:val="nil"/>
            </w:tcBorders>
            <w:shd w:val="clear" w:color="auto" w:fill="auto"/>
            <w:vAlign w:val="center"/>
          </w:tcPr>
          <w:p w14:paraId="7392462F" w14:textId="544A3AB6" w:rsidR="00240D34" w:rsidRPr="00E13C1C" w:rsidRDefault="00240D34" w:rsidP="00240D34">
            <w:pPr>
              <w:pBdr>
                <w:top w:val="none" w:sz="0" w:space="0" w:color="auto"/>
                <w:left w:val="none" w:sz="0" w:space="0" w:color="auto"/>
                <w:bottom w:val="none" w:sz="0" w:space="0" w:color="auto"/>
                <w:right w:val="none" w:sz="0" w:space="0" w:color="auto"/>
                <w:between w:val="none" w:sz="0" w:space="0" w:color="auto"/>
                <w:bar w:val="none" w:sz="0" w:color="auto"/>
              </w:pBdr>
              <w:jc w:val="right"/>
              <w:outlineLvl w:val="9"/>
              <w:rPr>
                <w:rFonts w:eastAsia="Times New Roman"/>
                <w:b/>
                <w:bCs/>
                <w:sz w:val="18"/>
                <w:szCs w:val="18"/>
                <w:bdr w:val="none" w:sz="0" w:space="0" w:color="auto"/>
                <w:lang w:eastAsia="es-ES"/>
              </w:rPr>
            </w:pPr>
            <w:r>
              <w:rPr>
                <w:b/>
                <w:bCs/>
                <w:sz w:val="18"/>
                <w:szCs w:val="18"/>
              </w:rPr>
              <w:t>28.329,22</w:t>
            </w:r>
          </w:p>
        </w:tc>
        <w:tc>
          <w:tcPr>
            <w:tcW w:w="966" w:type="pct"/>
            <w:tcBorders>
              <w:top w:val="nil"/>
              <w:left w:val="nil"/>
              <w:right w:val="nil"/>
            </w:tcBorders>
            <w:shd w:val="clear" w:color="auto" w:fill="auto"/>
            <w:noWrap/>
            <w:vAlign w:val="center"/>
            <w:hideMark/>
          </w:tcPr>
          <w:p w14:paraId="4D9B7C7F" w14:textId="60969777" w:rsidR="00240D34" w:rsidRPr="002D429A" w:rsidRDefault="00240D34" w:rsidP="00240D34">
            <w:pPr>
              <w:pBdr>
                <w:top w:val="none" w:sz="0" w:space="0" w:color="auto"/>
                <w:left w:val="none" w:sz="0" w:space="0" w:color="auto"/>
                <w:bottom w:val="none" w:sz="0" w:space="0" w:color="auto"/>
                <w:right w:val="none" w:sz="0" w:space="0" w:color="auto"/>
                <w:between w:val="none" w:sz="0" w:space="0" w:color="auto"/>
                <w:bar w:val="none" w:sz="0" w:color="auto"/>
              </w:pBdr>
              <w:jc w:val="right"/>
              <w:outlineLvl w:val="9"/>
              <w:rPr>
                <w:rFonts w:eastAsia="Times New Roman"/>
                <w:b/>
                <w:bCs/>
                <w:color w:val="auto"/>
                <w:sz w:val="18"/>
                <w:szCs w:val="18"/>
                <w:bdr w:val="none" w:sz="0" w:space="0" w:color="auto"/>
                <w:lang w:eastAsia="es-ES"/>
              </w:rPr>
            </w:pPr>
            <w:r>
              <w:rPr>
                <w:b/>
                <w:bCs/>
                <w:sz w:val="18"/>
                <w:szCs w:val="18"/>
              </w:rPr>
              <w:t>64.672,25</w:t>
            </w:r>
          </w:p>
        </w:tc>
      </w:tr>
      <w:tr w:rsidR="0022442F" w:rsidRPr="002D429A" w14:paraId="53FDC686" w14:textId="77777777" w:rsidTr="004A2576">
        <w:trPr>
          <w:trHeight w:val="227"/>
        </w:trPr>
        <w:tc>
          <w:tcPr>
            <w:tcW w:w="2401" w:type="pct"/>
            <w:tcBorders>
              <w:top w:val="nil"/>
              <w:left w:val="nil"/>
              <w:bottom w:val="single" w:sz="4" w:space="0" w:color="auto"/>
              <w:right w:val="nil"/>
            </w:tcBorders>
            <w:shd w:val="clear" w:color="auto" w:fill="auto"/>
            <w:vAlign w:val="center"/>
            <w:hideMark/>
          </w:tcPr>
          <w:p w14:paraId="7242B9A8" w14:textId="77777777" w:rsidR="0022442F" w:rsidRPr="002D429A" w:rsidRDefault="0022442F" w:rsidP="0022442F">
            <w:pPr>
              <w:pBdr>
                <w:top w:val="none" w:sz="0" w:space="0" w:color="auto"/>
                <w:left w:val="none" w:sz="0" w:space="0" w:color="auto"/>
                <w:bottom w:val="none" w:sz="0" w:space="0" w:color="auto"/>
                <w:right w:val="none" w:sz="0" w:space="0" w:color="auto"/>
                <w:between w:val="none" w:sz="0" w:space="0" w:color="auto"/>
                <w:bar w:val="none" w:sz="0" w:color="auto"/>
              </w:pBdr>
              <w:jc w:val="right"/>
              <w:outlineLvl w:val="9"/>
              <w:rPr>
                <w:rFonts w:eastAsia="Times New Roman"/>
                <w:b/>
                <w:bCs/>
                <w:color w:val="auto"/>
                <w:sz w:val="18"/>
                <w:szCs w:val="18"/>
                <w:bdr w:val="none" w:sz="0" w:space="0" w:color="auto"/>
                <w:lang w:eastAsia="es-ES"/>
              </w:rPr>
            </w:pPr>
          </w:p>
        </w:tc>
        <w:tc>
          <w:tcPr>
            <w:tcW w:w="668" w:type="pct"/>
            <w:tcBorders>
              <w:top w:val="nil"/>
              <w:left w:val="nil"/>
              <w:bottom w:val="single" w:sz="4" w:space="0" w:color="auto"/>
              <w:right w:val="nil"/>
            </w:tcBorders>
            <w:shd w:val="clear" w:color="auto" w:fill="auto"/>
            <w:vAlign w:val="center"/>
            <w:hideMark/>
          </w:tcPr>
          <w:p w14:paraId="04D95E7E" w14:textId="77777777" w:rsidR="0022442F" w:rsidRPr="00634704" w:rsidRDefault="0022442F" w:rsidP="0022442F">
            <w:pPr>
              <w:pBdr>
                <w:top w:val="none" w:sz="0" w:space="0" w:color="auto"/>
                <w:left w:val="none" w:sz="0" w:space="0" w:color="auto"/>
                <w:bottom w:val="none" w:sz="0" w:space="0" w:color="auto"/>
                <w:right w:val="none" w:sz="0" w:space="0" w:color="auto"/>
                <w:between w:val="none" w:sz="0" w:space="0" w:color="auto"/>
                <w:bar w:val="none" w:sz="0" w:color="auto"/>
              </w:pBdr>
              <w:outlineLvl w:val="9"/>
              <w:rPr>
                <w:rFonts w:ascii="Times New Roman" w:eastAsia="Times New Roman" w:hAnsi="Times New Roman" w:cs="Times New Roman"/>
                <w:color w:val="auto"/>
                <w:sz w:val="20"/>
                <w:szCs w:val="20"/>
                <w:highlight w:val="yellow"/>
                <w:bdr w:val="none" w:sz="0" w:space="0" w:color="auto"/>
                <w:lang w:eastAsia="es-ES"/>
              </w:rPr>
            </w:pPr>
          </w:p>
        </w:tc>
        <w:tc>
          <w:tcPr>
            <w:tcW w:w="966" w:type="pct"/>
            <w:tcBorders>
              <w:top w:val="nil"/>
              <w:left w:val="nil"/>
              <w:bottom w:val="single" w:sz="4" w:space="0" w:color="auto"/>
              <w:right w:val="nil"/>
            </w:tcBorders>
            <w:shd w:val="clear" w:color="auto" w:fill="auto"/>
            <w:vAlign w:val="center"/>
          </w:tcPr>
          <w:p w14:paraId="220AB003" w14:textId="77777777" w:rsidR="0022442F" w:rsidRPr="002D429A" w:rsidRDefault="0022442F" w:rsidP="0022442F">
            <w:pPr>
              <w:pBdr>
                <w:top w:val="none" w:sz="0" w:space="0" w:color="auto"/>
                <w:left w:val="none" w:sz="0" w:space="0" w:color="auto"/>
                <w:bottom w:val="none" w:sz="0" w:space="0" w:color="auto"/>
                <w:right w:val="none" w:sz="0" w:space="0" w:color="auto"/>
                <w:between w:val="none" w:sz="0" w:space="0" w:color="auto"/>
                <w:bar w:val="none" w:sz="0" w:color="auto"/>
              </w:pBdr>
              <w:jc w:val="right"/>
              <w:outlineLvl w:val="9"/>
              <w:rPr>
                <w:rFonts w:ascii="Times New Roman" w:eastAsia="Times New Roman" w:hAnsi="Times New Roman" w:cs="Times New Roman"/>
                <w:color w:val="auto"/>
                <w:sz w:val="20"/>
                <w:szCs w:val="20"/>
                <w:bdr w:val="none" w:sz="0" w:space="0" w:color="auto"/>
                <w:lang w:eastAsia="es-ES"/>
              </w:rPr>
            </w:pPr>
          </w:p>
        </w:tc>
        <w:tc>
          <w:tcPr>
            <w:tcW w:w="966" w:type="pct"/>
            <w:tcBorders>
              <w:top w:val="nil"/>
              <w:left w:val="nil"/>
              <w:bottom w:val="single" w:sz="4" w:space="0" w:color="auto"/>
              <w:right w:val="nil"/>
            </w:tcBorders>
            <w:shd w:val="clear" w:color="auto" w:fill="auto"/>
            <w:vAlign w:val="center"/>
            <w:hideMark/>
          </w:tcPr>
          <w:p w14:paraId="0F0F2B53" w14:textId="77777777" w:rsidR="0022442F" w:rsidRPr="002D429A" w:rsidRDefault="0022442F" w:rsidP="0022442F">
            <w:pPr>
              <w:pBdr>
                <w:top w:val="none" w:sz="0" w:space="0" w:color="auto"/>
                <w:left w:val="none" w:sz="0" w:space="0" w:color="auto"/>
                <w:bottom w:val="none" w:sz="0" w:space="0" w:color="auto"/>
                <w:right w:val="none" w:sz="0" w:space="0" w:color="auto"/>
                <w:between w:val="none" w:sz="0" w:space="0" w:color="auto"/>
                <w:bar w:val="none" w:sz="0" w:color="auto"/>
              </w:pBdr>
              <w:jc w:val="right"/>
              <w:outlineLvl w:val="9"/>
              <w:rPr>
                <w:rFonts w:ascii="Times New Roman" w:eastAsia="Times New Roman" w:hAnsi="Times New Roman" w:cs="Times New Roman"/>
                <w:color w:val="auto"/>
                <w:sz w:val="20"/>
                <w:szCs w:val="20"/>
                <w:bdr w:val="none" w:sz="0" w:space="0" w:color="auto"/>
                <w:lang w:eastAsia="es-ES"/>
              </w:rPr>
            </w:pPr>
          </w:p>
        </w:tc>
      </w:tr>
      <w:tr w:rsidR="00240D34" w:rsidRPr="002D429A" w14:paraId="596AF730" w14:textId="77777777" w:rsidTr="004A2576">
        <w:trPr>
          <w:trHeight w:val="340"/>
        </w:trPr>
        <w:tc>
          <w:tcPr>
            <w:tcW w:w="2401" w:type="pct"/>
            <w:tcBorders>
              <w:top w:val="single" w:sz="4" w:space="0" w:color="auto"/>
              <w:left w:val="nil"/>
              <w:bottom w:val="single" w:sz="4" w:space="0" w:color="auto"/>
              <w:right w:val="nil"/>
            </w:tcBorders>
            <w:shd w:val="clear" w:color="auto" w:fill="F2F2F2" w:themeFill="background1" w:themeFillShade="F2"/>
            <w:vAlign w:val="center"/>
            <w:hideMark/>
          </w:tcPr>
          <w:p w14:paraId="49B5E56F" w14:textId="77777777" w:rsidR="00240D34" w:rsidRPr="009C72B4" w:rsidRDefault="00240D34" w:rsidP="00240D34">
            <w:pPr>
              <w:pBdr>
                <w:top w:val="none" w:sz="0" w:space="0" w:color="auto"/>
                <w:left w:val="none" w:sz="0" w:space="0" w:color="auto"/>
                <w:bottom w:val="none" w:sz="0" w:space="0" w:color="auto"/>
                <w:right w:val="none" w:sz="0" w:space="0" w:color="auto"/>
                <w:between w:val="none" w:sz="0" w:space="0" w:color="auto"/>
                <w:bar w:val="none" w:sz="0" w:color="auto"/>
              </w:pBdr>
              <w:outlineLvl w:val="9"/>
              <w:rPr>
                <w:rFonts w:eastAsia="Times New Roman"/>
                <w:b/>
                <w:bCs/>
                <w:sz w:val="18"/>
                <w:szCs w:val="18"/>
                <w:bdr w:val="none" w:sz="0" w:space="0" w:color="auto"/>
                <w:lang w:eastAsia="es-ES"/>
              </w:rPr>
            </w:pPr>
            <w:r w:rsidRPr="009C72B4">
              <w:rPr>
                <w:rFonts w:eastAsia="Times New Roman"/>
                <w:b/>
                <w:bCs/>
                <w:sz w:val="18"/>
                <w:szCs w:val="18"/>
                <w:bdr w:val="none" w:sz="0" w:space="0" w:color="auto"/>
                <w:lang w:eastAsia="es-ES"/>
              </w:rPr>
              <w:t>PASIVO NO CORRIENTE</w:t>
            </w:r>
          </w:p>
        </w:tc>
        <w:tc>
          <w:tcPr>
            <w:tcW w:w="668" w:type="pct"/>
            <w:tcBorders>
              <w:top w:val="single" w:sz="4" w:space="0" w:color="auto"/>
              <w:left w:val="nil"/>
              <w:bottom w:val="single" w:sz="4" w:space="0" w:color="auto"/>
              <w:right w:val="nil"/>
            </w:tcBorders>
            <w:shd w:val="clear" w:color="auto" w:fill="F2F2F2" w:themeFill="background1" w:themeFillShade="F2"/>
            <w:vAlign w:val="center"/>
            <w:hideMark/>
          </w:tcPr>
          <w:p w14:paraId="622FBC99" w14:textId="77777777" w:rsidR="00240D34" w:rsidRPr="009C72B4" w:rsidRDefault="00240D34" w:rsidP="00240D34">
            <w:pPr>
              <w:pBdr>
                <w:top w:val="none" w:sz="0" w:space="0" w:color="auto"/>
                <w:left w:val="none" w:sz="0" w:space="0" w:color="auto"/>
                <w:bottom w:val="none" w:sz="0" w:space="0" w:color="auto"/>
                <w:right w:val="none" w:sz="0" w:space="0" w:color="auto"/>
                <w:between w:val="none" w:sz="0" w:space="0" w:color="auto"/>
                <w:bar w:val="none" w:sz="0" w:color="auto"/>
              </w:pBdr>
              <w:outlineLvl w:val="9"/>
              <w:rPr>
                <w:rFonts w:eastAsia="Times New Roman"/>
                <w:sz w:val="18"/>
                <w:szCs w:val="18"/>
                <w:bdr w:val="none" w:sz="0" w:space="0" w:color="auto"/>
                <w:lang w:eastAsia="es-ES"/>
              </w:rPr>
            </w:pPr>
            <w:r w:rsidRPr="009C72B4">
              <w:rPr>
                <w:rFonts w:eastAsia="Times New Roman"/>
                <w:sz w:val="18"/>
                <w:szCs w:val="18"/>
                <w:bdr w:val="none" w:sz="0" w:space="0" w:color="auto"/>
                <w:lang w:eastAsia="es-ES"/>
              </w:rPr>
              <w:t> </w:t>
            </w:r>
          </w:p>
        </w:tc>
        <w:tc>
          <w:tcPr>
            <w:tcW w:w="966" w:type="pct"/>
            <w:tcBorders>
              <w:top w:val="single" w:sz="4" w:space="0" w:color="auto"/>
              <w:left w:val="nil"/>
              <w:bottom w:val="single" w:sz="4" w:space="0" w:color="auto"/>
              <w:right w:val="nil"/>
            </w:tcBorders>
            <w:shd w:val="clear" w:color="auto" w:fill="F2F2F2" w:themeFill="background1" w:themeFillShade="F2"/>
            <w:vAlign w:val="center"/>
          </w:tcPr>
          <w:p w14:paraId="5C631B4A" w14:textId="53DCDC17" w:rsidR="00240D34" w:rsidRPr="0039193B" w:rsidRDefault="00240D34" w:rsidP="00240D34">
            <w:pPr>
              <w:pBdr>
                <w:top w:val="none" w:sz="0" w:space="0" w:color="auto"/>
                <w:left w:val="none" w:sz="0" w:space="0" w:color="auto"/>
                <w:bottom w:val="none" w:sz="0" w:space="0" w:color="auto"/>
                <w:right w:val="none" w:sz="0" w:space="0" w:color="auto"/>
                <w:between w:val="none" w:sz="0" w:space="0" w:color="auto"/>
                <w:bar w:val="none" w:sz="0" w:color="auto"/>
              </w:pBdr>
              <w:jc w:val="right"/>
              <w:outlineLvl w:val="9"/>
              <w:rPr>
                <w:rFonts w:eastAsia="Times New Roman"/>
                <w:b/>
                <w:bCs/>
                <w:sz w:val="18"/>
                <w:szCs w:val="18"/>
                <w:bdr w:val="none" w:sz="0" w:space="0" w:color="auto"/>
                <w:lang w:eastAsia="es-ES"/>
              </w:rPr>
            </w:pPr>
            <w:r>
              <w:rPr>
                <w:b/>
                <w:bCs/>
                <w:sz w:val="18"/>
                <w:szCs w:val="18"/>
              </w:rPr>
              <w:t>15.211,02</w:t>
            </w:r>
          </w:p>
        </w:tc>
        <w:tc>
          <w:tcPr>
            <w:tcW w:w="966" w:type="pct"/>
            <w:tcBorders>
              <w:top w:val="single" w:sz="4" w:space="0" w:color="auto"/>
              <w:left w:val="nil"/>
              <w:bottom w:val="single" w:sz="4" w:space="0" w:color="auto"/>
              <w:right w:val="nil"/>
            </w:tcBorders>
            <w:shd w:val="clear" w:color="auto" w:fill="F2F2F2" w:themeFill="background1" w:themeFillShade="F2"/>
            <w:vAlign w:val="center"/>
            <w:hideMark/>
          </w:tcPr>
          <w:p w14:paraId="611ABA53" w14:textId="6A1BC77D" w:rsidR="00240D34" w:rsidRPr="002D429A" w:rsidRDefault="00240D34" w:rsidP="00240D34">
            <w:pPr>
              <w:pBdr>
                <w:top w:val="none" w:sz="0" w:space="0" w:color="auto"/>
                <w:left w:val="none" w:sz="0" w:space="0" w:color="auto"/>
                <w:bottom w:val="none" w:sz="0" w:space="0" w:color="auto"/>
                <w:right w:val="none" w:sz="0" w:space="0" w:color="auto"/>
                <w:between w:val="none" w:sz="0" w:space="0" w:color="auto"/>
                <w:bar w:val="none" w:sz="0" w:color="auto"/>
              </w:pBdr>
              <w:jc w:val="right"/>
              <w:outlineLvl w:val="9"/>
              <w:rPr>
                <w:rFonts w:eastAsia="Times New Roman"/>
                <w:b/>
                <w:bCs/>
                <w:color w:val="auto"/>
                <w:sz w:val="18"/>
                <w:szCs w:val="18"/>
                <w:bdr w:val="none" w:sz="0" w:space="0" w:color="auto"/>
                <w:lang w:eastAsia="es-ES"/>
              </w:rPr>
            </w:pPr>
            <w:r>
              <w:rPr>
                <w:b/>
                <w:bCs/>
                <w:sz w:val="18"/>
                <w:szCs w:val="18"/>
              </w:rPr>
              <w:t>27.517,37</w:t>
            </w:r>
          </w:p>
        </w:tc>
      </w:tr>
      <w:tr w:rsidR="00240D34" w:rsidRPr="002D429A" w14:paraId="4C7D0657" w14:textId="77777777" w:rsidTr="004A2576">
        <w:trPr>
          <w:trHeight w:val="340"/>
        </w:trPr>
        <w:tc>
          <w:tcPr>
            <w:tcW w:w="2401" w:type="pct"/>
            <w:tcBorders>
              <w:top w:val="single" w:sz="4" w:space="0" w:color="auto"/>
              <w:left w:val="nil"/>
              <w:bottom w:val="nil"/>
              <w:right w:val="nil"/>
            </w:tcBorders>
            <w:shd w:val="clear" w:color="auto" w:fill="auto"/>
            <w:vAlign w:val="center"/>
            <w:hideMark/>
          </w:tcPr>
          <w:p w14:paraId="7799E1FF" w14:textId="77777777" w:rsidR="00240D34" w:rsidRPr="009C72B4" w:rsidRDefault="00240D34" w:rsidP="00240D34">
            <w:pPr>
              <w:pBdr>
                <w:top w:val="none" w:sz="0" w:space="0" w:color="auto"/>
                <w:left w:val="none" w:sz="0" w:space="0" w:color="auto"/>
                <w:bottom w:val="none" w:sz="0" w:space="0" w:color="auto"/>
                <w:right w:val="none" w:sz="0" w:space="0" w:color="auto"/>
                <w:between w:val="none" w:sz="0" w:space="0" w:color="auto"/>
                <w:bar w:val="none" w:sz="0" w:color="auto"/>
              </w:pBdr>
              <w:outlineLvl w:val="9"/>
              <w:rPr>
                <w:rFonts w:eastAsia="Times New Roman"/>
                <w:b/>
                <w:bCs/>
                <w:sz w:val="18"/>
                <w:szCs w:val="18"/>
                <w:bdr w:val="none" w:sz="0" w:space="0" w:color="auto"/>
                <w:lang w:eastAsia="es-ES"/>
              </w:rPr>
            </w:pPr>
            <w:r w:rsidRPr="009C72B4">
              <w:rPr>
                <w:rFonts w:eastAsia="Times New Roman"/>
                <w:b/>
                <w:bCs/>
                <w:sz w:val="18"/>
                <w:szCs w:val="18"/>
                <w:bdr w:val="none" w:sz="0" w:space="0" w:color="auto"/>
                <w:lang w:eastAsia="es-ES"/>
              </w:rPr>
              <w:t>Deudas a largo plazo</w:t>
            </w:r>
          </w:p>
        </w:tc>
        <w:tc>
          <w:tcPr>
            <w:tcW w:w="668" w:type="pct"/>
            <w:tcBorders>
              <w:top w:val="single" w:sz="4" w:space="0" w:color="auto"/>
              <w:left w:val="nil"/>
              <w:bottom w:val="nil"/>
              <w:right w:val="nil"/>
            </w:tcBorders>
            <w:shd w:val="clear" w:color="auto" w:fill="auto"/>
            <w:vAlign w:val="center"/>
            <w:hideMark/>
          </w:tcPr>
          <w:p w14:paraId="657FF39D" w14:textId="77777777" w:rsidR="00240D34" w:rsidRPr="009C72B4" w:rsidRDefault="00240D34" w:rsidP="00240D34">
            <w:pPr>
              <w:pBdr>
                <w:top w:val="none" w:sz="0" w:space="0" w:color="auto"/>
                <w:left w:val="none" w:sz="0" w:space="0" w:color="auto"/>
                <w:bottom w:val="none" w:sz="0" w:space="0" w:color="auto"/>
                <w:right w:val="none" w:sz="0" w:space="0" w:color="auto"/>
                <w:between w:val="none" w:sz="0" w:space="0" w:color="auto"/>
                <w:bar w:val="none" w:sz="0" w:color="auto"/>
              </w:pBdr>
              <w:jc w:val="center"/>
              <w:outlineLvl w:val="9"/>
              <w:rPr>
                <w:rFonts w:eastAsia="Times New Roman"/>
                <w:b/>
                <w:bCs/>
                <w:sz w:val="18"/>
                <w:szCs w:val="18"/>
                <w:bdr w:val="none" w:sz="0" w:space="0" w:color="auto"/>
                <w:lang w:eastAsia="es-ES"/>
              </w:rPr>
            </w:pPr>
          </w:p>
        </w:tc>
        <w:tc>
          <w:tcPr>
            <w:tcW w:w="966" w:type="pct"/>
            <w:tcBorders>
              <w:top w:val="single" w:sz="4" w:space="0" w:color="auto"/>
              <w:left w:val="nil"/>
              <w:bottom w:val="nil"/>
              <w:right w:val="nil"/>
            </w:tcBorders>
            <w:shd w:val="clear" w:color="auto" w:fill="auto"/>
            <w:vAlign w:val="center"/>
          </w:tcPr>
          <w:p w14:paraId="78B1B12A" w14:textId="5AF42FBA" w:rsidR="00240D34" w:rsidRPr="002D429A" w:rsidRDefault="00240D34" w:rsidP="00240D34">
            <w:pPr>
              <w:pBdr>
                <w:top w:val="none" w:sz="0" w:space="0" w:color="auto"/>
                <w:left w:val="none" w:sz="0" w:space="0" w:color="auto"/>
                <w:bottom w:val="none" w:sz="0" w:space="0" w:color="auto"/>
                <w:right w:val="none" w:sz="0" w:space="0" w:color="auto"/>
                <w:between w:val="none" w:sz="0" w:space="0" w:color="auto"/>
                <w:bar w:val="none" w:sz="0" w:color="auto"/>
              </w:pBdr>
              <w:jc w:val="right"/>
              <w:outlineLvl w:val="9"/>
              <w:rPr>
                <w:rFonts w:eastAsia="Times New Roman"/>
                <w:b/>
                <w:bCs/>
                <w:sz w:val="18"/>
                <w:szCs w:val="18"/>
                <w:bdr w:val="none" w:sz="0" w:space="0" w:color="auto"/>
                <w:lang w:eastAsia="es-ES"/>
              </w:rPr>
            </w:pPr>
            <w:r>
              <w:rPr>
                <w:b/>
                <w:bCs/>
                <w:sz w:val="18"/>
                <w:szCs w:val="18"/>
              </w:rPr>
              <w:t>5.768,00</w:t>
            </w:r>
          </w:p>
        </w:tc>
        <w:tc>
          <w:tcPr>
            <w:tcW w:w="966" w:type="pct"/>
            <w:tcBorders>
              <w:top w:val="single" w:sz="4" w:space="0" w:color="auto"/>
              <w:left w:val="nil"/>
              <w:bottom w:val="nil"/>
              <w:right w:val="nil"/>
            </w:tcBorders>
            <w:shd w:val="clear" w:color="auto" w:fill="auto"/>
            <w:noWrap/>
            <w:vAlign w:val="center"/>
            <w:hideMark/>
          </w:tcPr>
          <w:p w14:paraId="53E67E02" w14:textId="73CEC1BC" w:rsidR="00240D34" w:rsidRPr="002D429A" w:rsidRDefault="00240D34" w:rsidP="00240D34">
            <w:pPr>
              <w:pBdr>
                <w:top w:val="none" w:sz="0" w:space="0" w:color="auto"/>
                <w:left w:val="none" w:sz="0" w:space="0" w:color="auto"/>
                <w:bottom w:val="none" w:sz="0" w:space="0" w:color="auto"/>
                <w:right w:val="none" w:sz="0" w:space="0" w:color="auto"/>
                <w:between w:val="none" w:sz="0" w:space="0" w:color="auto"/>
                <w:bar w:val="none" w:sz="0" w:color="auto"/>
              </w:pBdr>
              <w:jc w:val="right"/>
              <w:outlineLvl w:val="9"/>
              <w:rPr>
                <w:rFonts w:eastAsia="Times New Roman"/>
                <w:b/>
                <w:bCs/>
                <w:color w:val="auto"/>
                <w:sz w:val="18"/>
                <w:szCs w:val="18"/>
                <w:bdr w:val="none" w:sz="0" w:space="0" w:color="auto"/>
                <w:lang w:eastAsia="es-ES"/>
              </w:rPr>
            </w:pPr>
            <w:r>
              <w:rPr>
                <w:b/>
                <w:bCs/>
                <w:sz w:val="18"/>
                <w:szCs w:val="18"/>
              </w:rPr>
              <w:t>5.768,00</w:t>
            </w:r>
          </w:p>
        </w:tc>
      </w:tr>
      <w:tr w:rsidR="00240D34" w:rsidRPr="002D429A" w14:paraId="3DFBC4F3" w14:textId="77777777" w:rsidTr="00BA5560">
        <w:trPr>
          <w:trHeight w:val="340"/>
        </w:trPr>
        <w:tc>
          <w:tcPr>
            <w:tcW w:w="2401" w:type="pct"/>
            <w:tcBorders>
              <w:top w:val="nil"/>
              <w:left w:val="nil"/>
              <w:bottom w:val="nil"/>
              <w:right w:val="nil"/>
            </w:tcBorders>
            <w:shd w:val="clear" w:color="auto" w:fill="auto"/>
            <w:vAlign w:val="center"/>
            <w:hideMark/>
          </w:tcPr>
          <w:p w14:paraId="73691BDB" w14:textId="77777777" w:rsidR="00240D34" w:rsidRPr="009C72B4" w:rsidRDefault="00240D34" w:rsidP="00240D34">
            <w:pPr>
              <w:pBdr>
                <w:top w:val="none" w:sz="0" w:space="0" w:color="auto"/>
                <w:left w:val="none" w:sz="0" w:space="0" w:color="auto"/>
                <w:bottom w:val="none" w:sz="0" w:space="0" w:color="auto"/>
                <w:right w:val="none" w:sz="0" w:space="0" w:color="auto"/>
                <w:between w:val="none" w:sz="0" w:space="0" w:color="auto"/>
                <w:bar w:val="none" w:sz="0" w:color="auto"/>
              </w:pBdr>
              <w:outlineLvl w:val="9"/>
              <w:rPr>
                <w:rFonts w:eastAsia="Times New Roman"/>
                <w:sz w:val="18"/>
                <w:szCs w:val="18"/>
                <w:bdr w:val="none" w:sz="0" w:space="0" w:color="auto"/>
                <w:lang w:eastAsia="es-ES"/>
              </w:rPr>
            </w:pPr>
            <w:r w:rsidRPr="009C72B4">
              <w:rPr>
                <w:rFonts w:eastAsia="Times New Roman"/>
                <w:sz w:val="18"/>
                <w:szCs w:val="18"/>
                <w:bdr w:val="none" w:sz="0" w:space="0" w:color="auto"/>
                <w:lang w:eastAsia="es-ES"/>
              </w:rPr>
              <w:t>Otros pasivos financieros</w:t>
            </w:r>
          </w:p>
        </w:tc>
        <w:tc>
          <w:tcPr>
            <w:tcW w:w="668" w:type="pct"/>
            <w:tcBorders>
              <w:top w:val="nil"/>
              <w:left w:val="nil"/>
              <w:bottom w:val="nil"/>
              <w:right w:val="nil"/>
            </w:tcBorders>
            <w:shd w:val="clear" w:color="auto" w:fill="auto"/>
            <w:vAlign w:val="center"/>
            <w:hideMark/>
          </w:tcPr>
          <w:p w14:paraId="225EA21D" w14:textId="71438DA9" w:rsidR="00240D34" w:rsidRPr="009C72B4" w:rsidRDefault="00240D34" w:rsidP="00240D34">
            <w:pPr>
              <w:pBdr>
                <w:top w:val="none" w:sz="0" w:space="0" w:color="auto"/>
                <w:left w:val="none" w:sz="0" w:space="0" w:color="auto"/>
                <w:bottom w:val="none" w:sz="0" w:space="0" w:color="auto"/>
                <w:right w:val="none" w:sz="0" w:space="0" w:color="auto"/>
                <w:between w:val="none" w:sz="0" w:space="0" w:color="auto"/>
                <w:bar w:val="none" w:sz="0" w:color="auto"/>
              </w:pBdr>
              <w:jc w:val="center"/>
              <w:outlineLvl w:val="9"/>
              <w:rPr>
                <w:rFonts w:eastAsia="Times New Roman"/>
                <w:sz w:val="18"/>
                <w:szCs w:val="18"/>
                <w:bdr w:val="none" w:sz="0" w:space="0" w:color="auto"/>
                <w:lang w:eastAsia="es-ES"/>
              </w:rPr>
            </w:pPr>
            <w:r w:rsidRPr="009C72B4">
              <w:rPr>
                <w:rFonts w:eastAsia="Times New Roman"/>
                <w:sz w:val="18"/>
                <w:szCs w:val="18"/>
                <w:bdr w:val="none" w:sz="0" w:space="0" w:color="auto"/>
                <w:lang w:eastAsia="es-ES"/>
              </w:rPr>
              <w:t>8.</w:t>
            </w:r>
            <w:r>
              <w:rPr>
                <w:rFonts w:eastAsia="Times New Roman"/>
                <w:sz w:val="18"/>
                <w:szCs w:val="18"/>
                <w:bdr w:val="none" w:sz="0" w:space="0" w:color="auto"/>
                <w:lang w:eastAsia="es-ES"/>
              </w:rPr>
              <w:t>3</w:t>
            </w:r>
            <w:r w:rsidRPr="009C72B4">
              <w:rPr>
                <w:rFonts w:eastAsia="Times New Roman"/>
                <w:sz w:val="18"/>
                <w:szCs w:val="18"/>
                <w:bdr w:val="none" w:sz="0" w:space="0" w:color="auto"/>
                <w:lang w:eastAsia="es-ES"/>
              </w:rPr>
              <w:t>.a</w:t>
            </w:r>
          </w:p>
        </w:tc>
        <w:tc>
          <w:tcPr>
            <w:tcW w:w="966" w:type="pct"/>
            <w:tcBorders>
              <w:top w:val="nil"/>
              <w:left w:val="nil"/>
              <w:bottom w:val="nil"/>
              <w:right w:val="nil"/>
            </w:tcBorders>
            <w:shd w:val="clear" w:color="auto" w:fill="auto"/>
            <w:vAlign w:val="center"/>
          </w:tcPr>
          <w:p w14:paraId="237DE843" w14:textId="64D7D673" w:rsidR="00240D34" w:rsidRPr="00547143" w:rsidRDefault="00240D34" w:rsidP="00240D34">
            <w:pPr>
              <w:pBdr>
                <w:top w:val="none" w:sz="0" w:space="0" w:color="auto"/>
                <w:left w:val="none" w:sz="0" w:space="0" w:color="auto"/>
                <w:bottom w:val="none" w:sz="0" w:space="0" w:color="auto"/>
                <w:right w:val="none" w:sz="0" w:space="0" w:color="auto"/>
                <w:between w:val="none" w:sz="0" w:space="0" w:color="auto"/>
                <w:bar w:val="none" w:sz="0" w:color="auto"/>
              </w:pBdr>
              <w:jc w:val="right"/>
              <w:outlineLvl w:val="9"/>
              <w:rPr>
                <w:rFonts w:eastAsia="Times New Roman"/>
                <w:sz w:val="18"/>
                <w:szCs w:val="18"/>
                <w:bdr w:val="none" w:sz="0" w:space="0" w:color="auto"/>
                <w:lang w:eastAsia="es-ES"/>
              </w:rPr>
            </w:pPr>
            <w:r>
              <w:rPr>
                <w:sz w:val="18"/>
                <w:szCs w:val="18"/>
              </w:rPr>
              <w:t>5.768,00</w:t>
            </w:r>
          </w:p>
        </w:tc>
        <w:tc>
          <w:tcPr>
            <w:tcW w:w="966" w:type="pct"/>
            <w:tcBorders>
              <w:top w:val="nil"/>
              <w:left w:val="nil"/>
              <w:bottom w:val="nil"/>
              <w:right w:val="nil"/>
            </w:tcBorders>
            <w:shd w:val="clear" w:color="auto" w:fill="auto"/>
            <w:noWrap/>
            <w:vAlign w:val="center"/>
            <w:hideMark/>
          </w:tcPr>
          <w:p w14:paraId="30440EE2" w14:textId="23368A4A" w:rsidR="00240D34" w:rsidRPr="00547143" w:rsidRDefault="00240D34" w:rsidP="00240D34">
            <w:pPr>
              <w:pBdr>
                <w:top w:val="none" w:sz="0" w:space="0" w:color="auto"/>
                <w:left w:val="none" w:sz="0" w:space="0" w:color="auto"/>
                <w:bottom w:val="none" w:sz="0" w:space="0" w:color="auto"/>
                <w:right w:val="none" w:sz="0" w:space="0" w:color="auto"/>
                <w:between w:val="none" w:sz="0" w:space="0" w:color="auto"/>
                <w:bar w:val="none" w:sz="0" w:color="auto"/>
              </w:pBdr>
              <w:jc w:val="right"/>
              <w:outlineLvl w:val="9"/>
              <w:rPr>
                <w:rFonts w:eastAsia="Times New Roman"/>
                <w:color w:val="auto"/>
                <w:sz w:val="18"/>
                <w:szCs w:val="18"/>
                <w:bdr w:val="none" w:sz="0" w:space="0" w:color="auto"/>
                <w:lang w:eastAsia="es-ES"/>
              </w:rPr>
            </w:pPr>
            <w:r w:rsidRPr="00547143">
              <w:rPr>
                <w:sz w:val="18"/>
                <w:szCs w:val="18"/>
              </w:rPr>
              <w:t>5.768,00</w:t>
            </w:r>
          </w:p>
        </w:tc>
      </w:tr>
      <w:tr w:rsidR="00240D34" w:rsidRPr="002D429A" w14:paraId="53DBA63C" w14:textId="77777777" w:rsidTr="00BA5560">
        <w:trPr>
          <w:trHeight w:val="340"/>
        </w:trPr>
        <w:tc>
          <w:tcPr>
            <w:tcW w:w="2401" w:type="pct"/>
            <w:tcBorders>
              <w:top w:val="nil"/>
              <w:left w:val="nil"/>
              <w:bottom w:val="nil"/>
              <w:right w:val="nil"/>
            </w:tcBorders>
            <w:shd w:val="clear" w:color="auto" w:fill="auto"/>
            <w:vAlign w:val="center"/>
            <w:hideMark/>
          </w:tcPr>
          <w:p w14:paraId="7EBF77BD" w14:textId="77777777" w:rsidR="00240D34" w:rsidRPr="009C72B4" w:rsidRDefault="00240D34" w:rsidP="00240D34">
            <w:pPr>
              <w:pBdr>
                <w:top w:val="none" w:sz="0" w:space="0" w:color="auto"/>
                <w:left w:val="none" w:sz="0" w:space="0" w:color="auto"/>
                <w:bottom w:val="none" w:sz="0" w:space="0" w:color="auto"/>
                <w:right w:val="none" w:sz="0" w:space="0" w:color="auto"/>
                <w:between w:val="none" w:sz="0" w:space="0" w:color="auto"/>
                <w:bar w:val="none" w:sz="0" w:color="auto"/>
              </w:pBdr>
              <w:outlineLvl w:val="9"/>
              <w:rPr>
                <w:rFonts w:eastAsia="Times New Roman"/>
                <w:b/>
                <w:bCs/>
                <w:sz w:val="18"/>
                <w:szCs w:val="18"/>
                <w:bdr w:val="none" w:sz="0" w:space="0" w:color="auto"/>
                <w:lang w:eastAsia="es-ES"/>
              </w:rPr>
            </w:pPr>
            <w:r w:rsidRPr="009C72B4">
              <w:rPr>
                <w:rFonts w:eastAsia="Times New Roman"/>
                <w:b/>
                <w:bCs/>
                <w:sz w:val="18"/>
                <w:szCs w:val="18"/>
                <w:bdr w:val="none" w:sz="0" w:space="0" w:color="auto"/>
                <w:lang w:eastAsia="es-ES"/>
              </w:rPr>
              <w:t>Pasivos por impuesto diferido</w:t>
            </w:r>
          </w:p>
        </w:tc>
        <w:tc>
          <w:tcPr>
            <w:tcW w:w="668" w:type="pct"/>
            <w:tcBorders>
              <w:top w:val="nil"/>
              <w:left w:val="nil"/>
              <w:bottom w:val="nil"/>
              <w:right w:val="nil"/>
            </w:tcBorders>
            <w:shd w:val="clear" w:color="auto" w:fill="auto"/>
            <w:vAlign w:val="center"/>
            <w:hideMark/>
          </w:tcPr>
          <w:p w14:paraId="12618938" w14:textId="77777777" w:rsidR="00240D34" w:rsidRPr="009C72B4" w:rsidRDefault="00240D34" w:rsidP="00240D34">
            <w:pPr>
              <w:pBdr>
                <w:top w:val="none" w:sz="0" w:space="0" w:color="auto"/>
                <w:left w:val="none" w:sz="0" w:space="0" w:color="auto"/>
                <w:bottom w:val="none" w:sz="0" w:space="0" w:color="auto"/>
                <w:right w:val="none" w:sz="0" w:space="0" w:color="auto"/>
                <w:between w:val="none" w:sz="0" w:space="0" w:color="auto"/>
                <w:bar w:val="none" w:sz="0" w:color="auto"/>
              </w:pBdr>
              <w:jc w:val="center"/>
              <w:outlineLvl w:val="9"/>
              <w:rPr>
                <w:rFonts w:eastAsia="Times New Roman"/>
                <w:b/>
                <w:bCs/>
                <w:sz w:val="18"/>
                <w:szCs w:val="18"/>
                <w:bdr w:val="none" w:sz="0" w:space="0" w:color="auto"/>
                <w:lang w:eastAsia="es-ES"/>
              </w:rPr>
            </w:pPr>
            <w:r w:rsidRPr="009C72B4">
              <w:rPr>
                <w:rFonts w:eastAsia="Times New Roman"/>
                <w:b/>
                <w:bCs/>
                <w:sz w:val="18"/>
                <w:szCs w:val="18"/>
                <w:bdr w:val="none" w:sz="0" w:space="0" w:color="auto"/>
                <w:lang w:eastAsia="es-ES"/>
              </w:rPr>
              <w:t>11.3</w:t>
            </w:r>
          </w:p>
        </w:tc>
        <w:tc>
          <w:tcPr>
            <w:tcW w:w="966" w:type="pct"/>
            <w:tcBorders>
              <w:top w:val="nil"/>
              <w:left w:val="nil"/>
              <w:bottom w:val="nil"/>
              <w:right w:val="nil"/>
            </w:tcBorders>
            <w:shd w:val="clear" w:color="auto" w:fill="auto"/>
            <w:vAlign w:val="center"/>
          </w:tcPr>
          <w:p w14:paraId="42D9F10D" w14:textId="474AD87D" w:rsidR="00240D34" w:rsidRPr="002D429A" w:rsidRDefault="00240D34" w:rsidP="00240D34">
            <w:pPr>
              <w:pBdr>
                <w:top w:val="none" w:sz="0" w:space="0" w:color="auto"/>
                <w:left w:val="none" w:sz="0" w:space="0" w:color="auto"/>
                <w:bottom w:val="none" w:sz="0" w:space="0" w:color="auto"/>
                <w:right w:val="none" w:sz="0" w:space="0" w:color="auto"/>
                <w:between w:val="none" w:sz="0" w:space="0" w:color="auto"/>
                <w:bar w:val="none" w:sz="0" w:color="auto"/>
              </w:pBdr>
              <w:jc w:val="right"/>
              <w:outlineLvl w:val="9"/>
              <w:rPr>
                <w:rFonts w:eastAsia="Times New Roman"/>
                <w:b/>
                <w:bCs/>
                <w:sz w:val="18"/>
                <w:szCs w:val="18"/>
                <w:bdr w:val="none" w:sz="0" w:space="0" w:color="auto"/>
                <w:lang w:eastAsia="es-ES"/>
              </w:rPr>
            </w:pPr>
            <w:r>
              <w:rPr>
                <w:b/>
                <w:bCs/>
                <w:sz w:val="18"/>
                <w:szCs w:val="18"/>
              </w:rPr>
              <w:t>9.443,02</w:t>
            </w:r>
          </w:p>
        </w:tc>
        <w:tc>
          <w:tcPr>
            <w:tcW w:w="966" w:type="pct"/>
            <w:tcBorders>
              <w:top w:val="nil"/>
              <w:left w:val="nil"/>
              <w:bottom w:val="nil"/>
              <w:right w:val="nil"/>
            </w:tcBorders>
            <w:shd w:val="clear" w:color="auto" w:fill="auto"/>
            <w:noWrap/>
            <w:vAlign w:val="center"/>
            <w:hideMark/>
          </w:tcPr>
          <w:p w14:paraId="3E01530B" w14:textId="5F23C0E8" w:rsidR="00240D34" w:rsidRPr="002D429A" w:rsidRDefault="00240D34" w:rsidP="00240D34">
            <w:pPr>
              <w:pBdr>
                <w:top w:val="none" w:sz="0" w:space="0" w:color="auto"/>
                <w:left w:val="none" w:sz="0" w:space="0" w:color="auto"/>
                <w:bottom w:val="none" w:sz="0" w:space="0" w:color="auto"/>
                <w:right w:val="none" w:sz="0" w:space="0" w:color="auto"/>
                <w:between w:val="none" w:sz="0" w:space="0" w:color="auto"/>
                <w:bar w:val="none" w:sz="0" w:color="auto"/>
              </w:pBdr>
              <w:jc w:val="right"/>
              <w:outlineLvl w:val="9"/>
              <w:rPr>
                <w:rFonts w:eastAsia="Times New Roman"/>
                <w:b/>
                <w:bCs/>
                <w:color w:val="auto"/>
                <w:sz w:val="18"/>
                <w:szCs w:val="18"/>
                <w:bdr w:val="none" w:sz="0" w:space="0" w:color="auto"/>
                <w:lang w:eastAsia="es-ES"/>
              </w:rPr>
            </w:pPr>
            <w:r>
              <w:rPr>
                <w:b/>
                <w:bCs/>
                <w:sz w:val="18"/>
                <w:szCs w:val="18"/>
              </w:rPr>
              <w:t>21.749,37</w:t>
            </w:r>
          </w:p>
        </w:tc>
      </w:tr>
      <w:tr w:rsidR="0022442F" w:rsidRPr="002D429A" w14:paraId="467C79DF" w14:textId="77777777" w:rsidTr="004A2576">
        <w:trPr>
          <w:trHeight w:val="227"/>
        </w:trPr>
        <w:tc>
          <w:tcPr>
            <w:tcW w:w="2401" w:type="pct"/>
            <w:tcBorders>
              <w:top w:val="nil"/>
              <w:left w:val="nil"/>
              <w:bottom w:val="single" w:sz="4" w:space="0" w:color="auto"/>
              <w:right w:val="nil"/>
            </w:tcBorders>
            <w:shd w:val="clear" w:color="auto" w:fill="auto"/>
            <w:vAlign w:val="center"/>
            <w:hideMark/>
          </w:tcPr>
          <w:p w14:paraId="2C853273" w14:textId="77777777" w:rsidR="0022442F" w:rsidRPr="009C72B4" w:rsidRDefault="0022442F" w:rsidP="0022442F">
            <w:pPr>
              <w:pBdr>
                <w:top w:val="none" w:sz="0" w:space="0" w:color="auto"/>
                <w:left w:val="none" w:sz="0" w:space="0" w:color="auto"/>
                <w:bottom w:val="none" w:sz="0" w:space="0" w:color="auto"/>
                <w:right w:val="none" w:sz="0" w:space="0" w:color="auto"/>
                <w:between w:val="none" w:sz="0" w:space="0" w:color="auto"/>
                <w:bar w:val="none" w:sz="0" w:color="auto"/>
              </w:pBdr>
              <w:jc w:val="right"/>
              <w:outlineLvl w:val="9"/>
              <w:rPr>
                <w:rFonts w:eastAsia="Times New Roman"/>
                <w:b/>
                <w:bCs/>
                <w:color w:val="auto"/>
                <w:sz w:val="18"/>
                <w:szCs w:val="18"/>
                <w:bdr w:val="none" w:sz="0" w:space="0" w:color="auto"/>
                <w:lang w:eastAsia="es-ES"/>
              </w:rPr>
            </w:pPr>
          </w:p>
        </w:tc>
        <w:tc>
          <w:tcPr>
            <w:tcW w:w="668" w:type="pct"/>
            <w:tcBorders>
              <w:top w:val="nil"/>
              <w:left w:val="nil"/>
              <w:bottom w:val="single" w:sz="4" w:space="0" w:color="auto"/>
              <w:right w:val="nil"/>
            </w:tcBorders>
            <w:shd w:val="clear" w:color="auto" w:fill="auto"/>
            <w:vAlign w:val="center"/>
            <w:hideMark/>
          </w:tcPr>
          <w:p w14:paraId="0CED39C7" w14:textId="77777777" w:rsidR="0022442F" w:rsidRPr="009C72B4" w:rsidRDefault="0022442F" w:rsidP="0022442F">
            <w:pPr>
              <w:pBdr>
                <w:top w:val="none" w:sz="0" w:space="0" w:color="auto"/>
                <w:left w:val="none" w:sz="0" w:space="0" w:color="auto"/>
                <w:bottom w:val="none" w:sz="0" w:space="0" w:color="auto"/>
                <w:right w:val="none" w:sz="0" w:space="0" w:color="auto"/>
                <w:between w:val="none" w:sz="0" w:space="0" w:color="auto"/>
                <w:bar w:val="none" w:sz="0" w:color="auto"/>
              </w:pBdr>
              <w:outlineLvl w:val="9"/>
              <w:rPr>
                <w:rFonts w:ascii="Times New Roman" w:eastAsia="Times New Roman" w:hAnsi="Times New Roman" w:cs="Times New Roman"/>
                <w:color w:val="auto"/>
                <w:sz w:val="20"/>
                <w:szCs w:val="20"/>
                <w:bdr w:val="none" w:sz="0" w:space="0" w:color="auto"/>
                <w:lang w:eastAsia="es-ES"/>
              </w:rPr>
            </w:pPr>
          </w:p>
        </w:tc>
        <w:tc>
          <w:tcPr>
            <w:tcW w:w="966" w:type="pct"/>
            <w:tcBorders>
              <w:top w:val="nil"/>
              <w:left w:val="nil"/>
              <w:bottom w:val="single" w:sz="4" w:space="0" w:color="auto"/>
              <w:right w:val="nil"/>
            </w:tcBorders>
            <w:shd w:val="clear" w:color="auto" w:fill="auto"/>
            <w:vAlign w:val="center"/>
          </w:tcPr>
          <w:p w14:paraId="03CE2C29" w14:textId="77777777" w:rsidR="0022442F" w:rsidRPr="002D429A" w:rsidRDefault="0022442F" w:rsidP="0022442F">
            <w:pPr>
              <w:pBdr>
                <w:top w:val="none" w:sz="0" w:space="0" w:color="auto"/>
                <w:left w:val="none" w:sz="0" w:space="0" w:color="auto"/>
                <w:bottom w:val="none" w:sz="0" w:space="0" w:color="auto"/>
                <w:right w:val="none" w:sz="0" w:space="0" w:color="auto"/>
                <w:between w:val="none" w:sz="0" w:space="0" w:color="auto"/>
                <w:bar w:val="none" w:sz="0" w:color="auto"/>
              </w:pBdr>
              <w:jc w:val="right"/>
              <w:outlineLvl w:val="9"/>
              <w:rPr>
                <w:rFonts w:ascii="Times New Roman" w:eastAsia="Times New Roman" w:hAnsi="Times New Roman" w:cs="Times New Roman"/>
                <w:color w:val="auto"/>
                <w:sz w:val="20"/>
                <w:szCs w:val="20"/>
                <w:bdr w:val="none" w:sz="0" w:space="0" w:color="auto"/>
                <w:lang w:eastAsia="es-ES"/>
              </w:rPr>
            </w:pPr>
          </w:p>
        </w:tc>
        <w:tc>
          <w:tcPr>
            <w:tcW w:w="966" w:type="pct"/>
            <w:tcBorders>
              <w:top w:val="nil"/>
              <w:left w:val="nil"/>
              <w:bottom w:val="single" w:sz="4" w:space="0" w:color="auto"/>
              <w:right w:val="nil"/>
            </w:tcBorders>
            <w:shd w:val="clear" w:color="auto" w:fill="auto"/>
            <w:vAlign w:val="center"/>
            <w:hideMark/>
          </w:tcPr>
          <w:p w14:paraId="1780E276" w14:textId="77777777" w:rsidR="0022442F" w:rsidRPr="002D429A" w:rsidRDefault="0022442F" w:rsidP="0022442F">
            <w:pPr>
              <w:pBdr>
                <w:top w:val="none" w:sz="0" w:space="0" w:color="auto"/>
                <w:left w:val="none" w:sz="0" w:space="0" w:color="auto"/>
                <w:bottom w:val="none" w:sz="0" w:space="0" w:color="auto"/>
                <w:right w:val="none" w:sz="0" w:space="0" w:color="auto"/>
                <w:between w:val="none" w:sz="0" w:space="0" w:color="auto"/>
                <w:bar w:val="none" w:sz="0" w:color="auto"/>
              </w:pBdr>
              <w:jc w:val="right"/>
              <w:outlineLvl w:val="9"/>
              <w:rPr>
                <w:rFonts w:ascii="Times New Roman" w:eastAsia="Times New Roman" w:hAnsi="Times New Roman" w:cs="Times New Roman"/>
                <w:color w:val="auto"/>
                <w:sz w:val="20"/>
                <w:szCs w:val="20"/>
                <w:bdr w:val="none" w:sz="0" w:space="0" w:color="auto"/>
                <w:lang w:eastAsia="es-ES"/>
              </w:rPr>
            </w:pPr>
          </w:p>
        </w:tc>
      </w:tr>
      <w:tr w:rsidR="00240D34" w:rsidRPr="002D429A" w14:paraId="108D1290" w14:textId="77777777" w:rsidTr="004A2576">
        <w:trPr>
          <w:trHeight w:val="340"/>
        </w:trPr>
        <w:tc>
          <w:tcPr>
            <w:tcW w:w="2401" w:type="pct"/>
            <w:tcBorders>
              <w:top w:val="single" w:sz="4" w:space="0" w:color="auto"/>
              <w:left w:val="nil"/>
              <w:bottom w:val="single" w:sz="4" w:space="0" w:color="auto"/>
              <w:right w:val="nil"/>
            </w:tcBorders>
            <w:shd w:val="clear" w:color="auto" w:fill="F2F2F2" w:themeFill="background1" w:themeFillShade="F2"/>
            <w:vAlign w:val="center"/>
            <w:hideMark/>
          </w:tcPr>
          <w:p w14:paraId="305C31E9" w14:textId="77777777" w:rsidR="00240D34" w:rsidRPr="009C72B4" w:rsidRDefault="00240D34" w:rsidP="00240D34">
            <w:pPr>
              <w:pBdr>
                <w:top w:val="none" w:sz="0" w:space="0" w:color="auto"/>
                <w:left w:val="none" w:sz="0" w:space="0" w:color="auto"/>
                <w:bottom w:val="none" w:sz="0" w:space="0" w:color="auto"/>
                <w:right w:val="none" w:sz="0" w:space="0" w:color="auto"/>
                <w:between w:val="none" w:sz="0" w:space="0" w:color="auto"/>
                <w:bar w:val="none" w:sz="0" w:color="auto"/>
              </w:pBdr>
              <w:outlineLvl w:val="9"/>
              <w:rPr>
                <w:rFonts w:eastAsia="Times New Roman"/>
                <w:b/>
                <w:bCs/>
                <w:sz w:val="18"/>
                <w:szCs w:val="18"/>
                <w:bdr w:val="none" w:sz="0" w:space="0" w:color="auto"/>
                <w:lang w:eastAsia="es-ES"/>
              </w:rPr>
            </w:pPr>
            <w:r w:rsidRPr="009C72B4">
              <w:rPr>
                <w:rFonts w:eastAsia="Times New Roman"/>
                <w:b/>
                <w:bCs/>
                <w:sz w:val="18"/>
                <w:szCs w:val="18"/>
                <w:bdr w:val="none" w:sz="0" w:space="0" w:color="auto"/>
                <w:lang w:eastAsia="es-ES"/>
              </w:rPr>
              <w:t>PASIVO CORRIENTE</w:t>
            </w:r>
          </w:p>
        </w:tc>
        <w:tc>
          <w:tcPr>
            <w:tcW w:w="668" w:type="pct"/>
            <w:tcBorders>
              <w:top w:val="single" w:sz="4" w:space="0" w:color="auto"/>
              <w:left w:val="nil"/>
              <w:bottom w:val="single" w:sz="4" w:space="0" w:color="auto"/>
              <w:right w:val="nil"/>
            </w:tcBorders>
            <w:shd w:val="clear" w:color="auto" w:fill="F2F2F2" w:themeFill="background1" w:themeFillShade="F2"/>
            <w:vAlign w:val="center"/>
            <w:hideMark/>
          </w:tcPr>
          <w:p w14:paraId="5BF37F93" w14:textId="77777777" w:rsidR="00240D34" w:rsidRPr="009C72B4" w:rsidRDefault="00240D34" w:rsidP="00240D34">
            <w:pPr>
              <w:pBdr>
                <w:top w:val="none" w:sz="0" w:space="0" w:color="auto"/>
                <w:left w:val="none" w:sz="0" w:space="0" w:color="auto"/>
                <w:bottom w:val="none" w:sz="0" w:space="0" w:color="auto"/>
                <w:right w:val="none" w:sz="0" w:space="0" w:color="auto"/>
                <w:between w:val="none" w:sz="0" w:space="0" w:color="auto"/>
                <w:bar w:val="none" w:sz="0" w:color="auto"/>
              </w:pBdr>
              <w:outlineLvl w:val="9"/>
              <w:rPr>
                <w:rFonts w:eastAsia="Times New Roman"/>
                <w:sz w:val="18"/>
                <w:szCs w:val="18"/>
                <w:bdr w:val="none" w:sz="0" w:space="0" w:color="auto"/>
                <w:lang w:eastAsia="es-ES"/>
              </w:rPr>
            </w:pPr>
            <w:r w:rsidRPr="009C72B4">
              <w:rPr>
                <w:rFonts w:eastAsia="Times New Roman"/>
                <w:sz w:val="18"/>
                <w:szCs w:val="18"/>
                <w:bdr w:val="none" w:sz="0" w:space="0" w:color="auto"/>
                <w:lang w:eastAsia="es-ES"/>
              </w:rPr>
              <w:t> </w:t>
            </w:r>
          </w:p>
        </w:tc>
        <w:tc>
          <w:tcPr>
            <w:tcW w:w="966" w:type="pct"/>
            <w:tcBorders>
              <w:top w:val="single" w:sz="4" w:space="0" w:color="auto"/>
              <w:left w:val="nil"/>
              <w:bottom w:val="single" w:sz="4" w:space="0" w:color="auto"/>
              <w:right w:val="nil"/>
            </w:tcBorders>
            <w:shd w:val="clear" w:color="auto" w:fill="F2F2F2" w:themeFill="background1" w:themeFillShade="F2"/>
            <w:vAlign w:val="center"/>
          </w:tcPr>
          <w:p w14:paraId="277212A1" w14:textId="45E11C6F" w:rsidR="00240D34" w:rsidRPr="00B709F2" w:rsidRDefault="00240D34" w:rsidP="00240D34">
            <w:pPr>
              <w:pBdr>
                <w:top w:val="none" w:sz="0" w:space="0" w:color="auto"/>
                <w:left w:val="none" w:sz="0" w:space="0" w:color="auto"/>
                <w:bottom w:val="none" w:sz="0" w:space="0" w:color="auto"/>
                <w:right w:val="none" w:sz="0" w:space="0" w:color="auto"/>
                <w:between w:val="none" w:sz="0" w:space="0" w:color="auto"/>
                <w:bar w:val="none" w:sz="0" w:color="auto"/>
              </w:pBdr>
              <w:jc w:val="right"/>
              <w:outlineLvl w:val="9"/>
              <w:rPr>
                <w:rFonts w:eastAsia="Times New Roman"/>
                <w:b/>
                <w:bCs/>
                <w:color w:val="auto"/>
                <w:sz w:val="18"/>
                <w:szCs w:val="18"/>
                <w:bdr w:val="none" w:sz="0" w:space="0" w:color="auto"/>
                <w:lang w:eastAsia="es-ES"/>
              </w:rPr>
            </w:pPr>
            <w:r>
              <w:rPr>
                <w:b/>
                <w:bCs/>
                <w:sz w:val="18"/>
                <w:szCs w:val="18"/>
              </w:rPr>
              <w:t>32.351.079,70</w:t>
            </w:r>
          </w:p>
        </w:tc>
        <w:tc>
          <w:tcPr>
            <w:tcW w:w="966" w:type="pct"/>
            <w:tcBorders>
              <w:top w:val="single" w:sz="4" w:space="0" w:color="auto"/>
              <w:left w:val="nil"/>
              <w:bottom w:val="single" w:sz="4" w:space="0" w:color="auto"/>
              <w:right w:val="nil"/>
            </w:tcBorders>
            <w:shd w:val="clear" w:color="auto" w:fill="F2F2F2" w:themeFill="background1" w:themeFillShade="F2"/>
            <w:vAlign w:val="center"/>
            <w:hideMark/>
          </w:tcPr>
          <w:p w14:paraId="5E41775D" w14:textId="3CDF418A" w:rsidR="00240D34" w:rsidRDefault="00240D34" w:rsidP="00240D34">
            <w:pPr>
              <w:jc w:val="right"/>
              <w:rPr>
                <w:b/>
                <w:bCs/>
                <w:sz w:val="18"/>
                <w:szCs w:val="18"/>
              </w:rPr>
            </w:pPr>
            <w:r>
              <w:rPr>
                <w:b/>
                <w:bCs/>
                <w:sz w:val="18"/>
                <w:szCs w:val="18"/>
              </w:rPr>
              <w:t>52.900.865,20</w:t>
            </w:r>
          </w:p>
        </w:tc>
      </w:tr>
      <w:tr w:rsidR="00240D34" w:rsidRPr="002D429A" w14:paraId="1E5B59BB" w14:textId="77777777" w:rsidTr="004A2576">
        <w:trPr>
          <w:trHeight w:val="340"/>
        </w:trPr>
        <w:tc>
          <w:tcPr>
            <w:tcW w:w="2401" w:type="pct"/>
            <w:tcBorders>
              <w:top w:val="single" w:sz="4" w:space="0" w:color="auto"/>
              <w:left w:val="nil"/>
              <w:bottom w:val="nil"/>
              <w:right w:val="nil"/>
            </w:tcBorders>
            <w:shd w:val="clear" w:color="auto" w:fill="auto"/>
            <w:vAlign w:val="center"/>
            <w:hideMark/>
          </w:tcPr>
          <w:p w14:paraId="0F0DE7BF" w14:textId="77777777" w:rsidR="00240D34" w:rsidRPr="009C72B4" w:rsidRDefault="00240D34" w:rsidP="00240D34">
            <w:pPr>
              <w:pBdr>
                <w:top w:val="none" w:sz="0" w:space="0" w:color="auto"/>
                <w:left w:val="none" w:sz="0" w:space="0" w:color="auto"/>
                <w:bottom w:val="none" w:sz="0" w:space="0" w:color="auto"/>
                <w:right w:val="none" w:sz="0" w:space="0" w:color="auto"/>
                <w:between w:val="none" w:sz="0" w:space="0" w:color="auto"/>
                <w:bar w:val="none" w:sz="0" w:color="auto"/>
              </w:pBdr>
              <w:outlineLvl w:val="9"/>
              <w:rPr>
                <w:rFonts w:eastAsia="Times New Roman"/>
                <w:b/>
                <w:bCs/>
                <w:sz w:val="18"/>
                <w:szCs w:val="18"/>
                <w:bdr w:val="none" w:sz="0" w:space="0" w:color="auto"/>
                <w:lang w:eastAsia="es-ES"/>
              </w:rPr>
            </w:pPr>
            <w:r w:rsidRPr="009C72B4">
              <w:rPr>
                <w:rFonts w:eastAsia="Times New Roman"/>
                <w:b/>
                <w:bCs/>
                <w:sz w:val="18"/>
                <w:szCs w:val="18"/>
                <w:bdr w:val="none" w:sz="0" w:space="0" w:color="auto"/>
                <w:lang w:eastAsia="es-ES"/>
              </w:rPr>
              <w:t>Deudas a corto plazo</w:t>
            </w:r>
          </w:p>
        </w:tc>
        <w:tc>
          <w:tcPr>
            <w:tcW w:w="668" w:type="pct"/>
            <w:tcBorders>
              <w:top w:val="single" w:sz="4" w:space="0" w:color="auto"/>
              <w:left w:val="nil"/>
              <w:bottom w:val="nil"/>
              <w:right w:val="nil"/>
            </w:tcBorders>
            <w:shd w:val="clear" w:color="auto" w:fill="auto"/>
            <w:vAlign w:val="center"/>
            <w:hideMark/>
          </w:tcPr>
          <w:p w14:paraId="23803E2A" w14:textId="28B7ECC3" w:rsidR="00240D34" w:rsidRPr="009C72B4" w:rsidRDefault="00240D34" w:rsidP="00240D34">
            <w:pPr>
              <w:pBdr>
                <w:top w:val="none" w:sz="0" w:space="0" w:color="auto"/>
                <w:left w:val="none" w:sz="0" w:space="0" w:color="auto"/>
                <w:bottom w:val="none" w:sz="0" w:space="0" w:color="auto"/>
                <w:right w:val="none" w:sz="0" w:space="0" w:color="auto"/>
                <w:between w:val="none" w:sz="0" w:space="0" w:color="auto"/>
                <w:bar w:val="none" w:sz="0" w:color="auto"/>
              </w:pBdr>
              <w:jc w:val="center"/>
              <w:outlineLvl w:val="9"/>
              <w:rPr>
                <w:rFonts w:eastAsia="Times New Roman"/>
                <w:b/>
                <w:bCs/>
                <w:sz w:val="18"/>
                <w:szCs w:val="18"/>
                <w:bdr w:val="none" w:sz="0" w:space="0" w:color="auto"/>
                <w:lang w:eastAsia="es-ES"/>
              </w:rPr>
            </w:pPr>
            <w:r w:rsidRPr="009C72B4">
              <w:rPr>
                <w:rFonts w:eastAsia="Times New Roman"/>
                <w:b/>
                <w:bCs/>
                <w:sz w:val="18"/>
                <w:szCs w:val="18"/>
                <w:bdr w:val="none" w:sz="0" w:space="0" w:color="auto"/>
                <w:lang w:eastAsia="es-ES"/>
              </w:rPr>
              <w:t>8.</w:t>
            </w:r>
            <w:r>
              <w:rPr>
                <w:rFonts w:eastAsia="Times New Roman"/>
                <w:b/>
                <w:bCs/>
                <w:sz w:val="18"/>
                <w:szCs w:val="18"/>
                <w:bdr w:val="none" w:sz="0" w:space="0" w:color="auto"/>
                <w:lang w:eastAsia="es-ES"/>
              </w:rPr>
              <w:t>3.a</w:t>
            </w:r>
          </w:p>
        </w:tc>
        <w:tc>
          <w:tcPr>
            <w:tcW w:w="966" w:type="pct"/>
            <w:tcBorders>
              <w:top w:val="single" w:sz="4" w:space="0" w:color="auto"/>
              <w:left w:val="nil"/>
              <w:bottom w:val="nil"/>
              <w:right w:val="nil"/>
            </w:tcBorders>
            <w:shd w:val="clear" w:color="auto" w:fill="auto"/>
            <w:vAlign w:val="center"/>
          </w:tcPr>
          <w:p w14:paraId="09DD9871" w14:textId="680CBA72" w:rsidR="00240D34" w:rsidRPr="002D429A" w:rsidRDefault="00240D34" w:rsidP="00240D34">
            <w:pPr>
              <w:pBdr>
                <w:top w:val="none" w:sz="0" w:space="0" w:color="auto"/>
                <w:left w:val="none" w:sz="0" w:space="0" w:color="auto"/>
                <w:bottom w:val="none" w:sz="0" w:space="0" w:color="auto"/>
                <w:right w:val="none" w:sz="0" w:space="0" w:color="auto"/>
                <w:between w:val="none" w:sz="0" w:space="0" w:color="auto"/>
                <w:bar w:val="none" w:sz="0" w:color="auto"/>
              </w:pBdr>
              <w:jc w:val="right"/>
              <w:outlineLvl w:val="9"/>
              <w:rPr>
                <w:rFonts w:eastAsia="Times New Roman"/>
                <w:b/>
                <w:bCs/>
                <w:sz w:val="18"/>
                <w:szCs w:val="18"/>
                <w:bdr w:val="none" w:sz="0" w:space="0" w:color="auto"/>
                <w:lang w:eastAsia="es-ES"/>
              </w:rPr>
            </w:pPr>
            <w:r>
              <w:rPr>
                <w:b/>
                <w:bCs/>
                <w:sz w:val="18"/>
                <w:szCs w:val="18"/>
              </w:rPr>
              <w:t>74.673,89</w:t>
            </w:r>
          </w:p>
        </w:tc>
        <w:tc>
          <w:tcPr>
            <w:tcW w:w="966" w:type="pct"/>
            <w:tcBorders>
              <w:top w:val="single" w:sz="4" w:space="0" w:color="auto"/>
              <w:left w:val="nil"/>
              <w:bottom w:val="nil"/>
              <w:right w:val="nil"/>
            </w:tcBorders>
            <w:shd w:val="clear" w:color="auto" w:fill="auto"/>
            <w:vAlign w:val="center"/>
            <w:hideMark/>
          </w:tcPr>
          <w:p w14:paraId="152DEFF5" w14:textId="0B7AEF9C" w:rsidR="00240D34" w:rsidRPr="002D429A" w:rsidRDefault="00240D34" w:rsidP="00240D34">
            <w:pPr>
              <w:pBdr>
                <w:top w:val="none" w:sz="0" w:space="0" w:color="auto"/>
                <w:left w:val="none" w:sz="0" w:space="0" w:color="auto"/>
                <w:bottom w:val="none" w:sz="0" w:space="0" w:color="auto"/>
                <w:right w:val="none" w:sz="0" w:space="0" w:color="auto"/>
                <w:between w:val="none" w:sz="0" w:space="0" w:color="auto"/>
                <w:bar w:val="none" w:sz="0" w:color="auto"/>
              </w:pBdr>
              <w:jc w:val="right"/>
              <w:outlineLvl w:val="9"/>
              <w:rPr>
                <w:rFonts w:eastAsia="Times New Roman"/>
                <w:b/>
                <w:bCs/>
                <w:color w:val="auto"/>
                <w:sz w:val="18"/>
                <w:szCs w:val="18"/>
                <w:bdr w:val="none" w:sz="0" w:space="0" w:color="auto"/>
                <w:lang w:eastAsia="es-ES"/>
              </w:rPr>
            </w:pPr>
            <w:r>
              <w:rPr>
                <w:b/>
                <w:bCs/>
                <w:sz w:val="18"/>
                <w:szCs w:val="18"/>
              </w:rPr>
              <w:t>17.972,14</w:t>
            </w:r>
          </w:p>
        </w:tc>
      </w:tr>
      <w:tr w:rsidR="00240D34" w:rsidRPr="002D429A" w14:paraId="1C2CBB9C" w14:textId="77777777" w:rsidTr="00BA5560">
        <w:trPr>
          <w:trHeight w:val="340"/>
        </w:trPr>
        <w:tc>
          <w:tcPr>
            <w:tcW w:w="2401" w:type="pct"/>
            <w:tcBorders>
              <w:top w:val="nil"/>
              <w:left w:val="nil"/>
              <w:bottom w:val="nil"/>
              <w:right w:val="nil"/>
            </w:tcBorders>
            <w:shd w:val="clear" w:color="auto" w:fill="auto"/>
            <w:vAlign w:val="center"/>
            <w:hideMark/>
          </w:tcPr>
          <w:p w14:paraId="318E189A" w14:textId="77777777" w:rsidR="00240D34" w:rsidRPr="009C72B4" w:rsidRDefault="00240D34" w:rsidP="00240D34">
            <w:pPr>
              <w:pBdr>
                <w:top w:val="none" w:sz="0" w:space="0" w:color="auto"/>
                <w:left w:val="none" w:sz="0" w:space="0" w:color="auto"/>
                <w:bottom w:val="none" w:sz="0" w:space="0" w:color="auto"/>
                <w:right w:val="none" w:sz="0" w:space="0" w:color="auto"/>
                <w:between w:val="none" w:sz="0" w:space="0" w:color="auto"/>
                <w:bar w:val="none" w:sz="0" w:color="auto"/>
              </w:pBdr>
              <w:outlineLvl w:val="9"/>
              <w:rPr>
                <w:rFonts w:eastAsia="Times New Roman"/>
                <w:sz w:val="18"/>
                <w:szCs w:val="18"/>
                <w:bdr w:val="none" w:sz="0" w:space="0" w:color="auto"/>
                <w:lang w:eastAsia="es-ES"/>
              </w:rPr>
            </w:pPr>
            <w:r w:rsidRPr="009C72B4">
              <w:rPr>
                <w:rFonts w:eastAsia="Times New Roman"/>
                <w:sz w:val="18"/>
                <w:szCs w:val="18"/>
                <w:bdr w:val="none" w:sz="0" w:space="0" w:color="auto"/>
                <w:lang w:eastAsia="es-ES"/>
              </w:rPr>
              <w:t>Deudas con entidades de crédito</w:t>
            </w:r>
          </w:p>
        </w:tc>
        <w:tc>
          <w:tcPr>
            <w:tcW w:w="668" w:type="pct"/>
            <w:tcBorders>
              <w:top w:val="nil"/>
              <w:left w:val="nil"/>
              <w:bottom w:val="nil"/>
              <w:right w:val="nil"/>
            </w:tcBorders>
            <w:shd w:val="clear" w:color="auto" w:fill="auto"/>
            <w:vAlign w:val="center"/>
            <w:hideMark/>
          </w:tcPr>
          <w:p w14:paraId="3352923B" w14:textId="77777777" w:rsidR="00240D34" w:rsidRPr="009C72B4" w:rsidRDefault="00240D34" w:rsidP="00240D34">
            <w:pPr>
              <w:pBdr>
                <w:top w:val="none" w:sz="0" w:space="0" w:color="auto"/>
                <w:left w:val="none" w:sz="0" w:space="0" w:color="auto"/>
                <w:bottom w:val="none" w:sz="0" w:space="0" w:color="auto"/>
                <w:right w:val="none" w:sz="0" w:space="0" w:color="auto"/>
                <w:between w:val="none" w:sz="0" w:space="0" w:color="auto"/>
                <w:bar w:val="none" w:sz="0" w:color="auto"/>
              </w:pBdr>
              <w:outlineLvl w:val="9"/>
              <w:rPr>
                <w:rFonts w:eastAsia="Times New Roman"/>
                <w:sz w:val="18"/>
                <w:szCs w:val="18"/>
                <w:bdr w:val="none" w:sz="0" w:space="0" w:color="auto"/>
                <w:lang w:eastAsia="es-ES"/>
              </w:rPr>
            </w:pPr>
          </w:p>
        </w:tc>
        <w:tc>
          <w:tcPr>
            <w:tcW w:w="966" w:type="pct"/>
            <w:tcBorders>
              <w:top w:val="nil"/>
              <w:left w:val="nil"/>
              <w:bottom w:val="nil"/>
              <w:right w:val="nil"/>
            </w:tcBorders>
            <w:shd w:val="clear" w:color="auto" w:fill="auto"/>
            <w:vAlign w:val="center"/>
          </w:tcPr>
          <w:p w14:paraId="01C0A373" w14:textId="4B598560" w:rsidR="00240D34" w:rsidRPr="002D429A" w:rsidRDefault="00240D34" w:rsidP="00240D34">
            <w:pPr>
              <w:pBdr>
                <w:top w:val="none" w:sz="0" w:space="0" w:color="auto"/>
                <w:left w:val="none" w:sz="0" w:space="0" w:color="auto"/>
                <w:bottom w:val="none" w:sz="0" w:space="0" w:color="auto"/>
                <w:right w:val="none" w:sz="0" w:space="0" w:color="auto"/>
                <w:between w:val="none" w:sz="0" w:space="0" w:color="auto"/>
                <w:bar w:val="none" w:sz="0" w:color="auto"/>
              </w:pBdr>
              <w:jc w:val="right"/>
              <w:outlineLvl w:val="9"/>
              <w:rPr>
                <w:rFonts w:eastAsia="Times New Roman"/>
                <w:sz w:val="18"/>
                <w:szCs w:val="18"/>
                <w:bdr w:val="none" w:sz="0" w:space="0" w:color="auto"/>
                <w:lang w:eastAsia="es-ES"/>
              </w:rPr>
            </w:pPr>
            <w:r>
              <w:rPr>
                <w:sz w:val="18"/>
                <w:szCs w:val="18"/>
              </w:rPr>
              <w:t>341,31</w:t>
            </w:r>
          </w:p>
        </w:tc>
        <w:tc>
          <w:tcPr>
            <w:tcW w:w="966" w:type="pct"/>
            <w:tcBorders>
              <w:top w:val="nil"/>
              <w:left w:val="nil"/>
              <w:bottom w:val="nil"/>
              <w:right w:val="nil"/>
            </w:tcBorders>
            <w:shd w:val="clear" w:color="auto" w:fill="auto"/>
            <w:vAlign w:val="center"/>
            <w:hideMark/>
          </w:tcPr>
          <w:p w14:paraId="564B273A" w14:textId="69FBC484" w:rsidR="00240D34" w:rsidRPr="002D429A" w:rsidRDefault="00240D34" w:rsidP="00240D34">
            <w:pPr>
              <w:pBdr>
                <w:top w:val="none" w:sz="0" w:space="0" w:color="auto"/>
                <w:left w:val="none" w:sz="0" w:space="0" w:color="auto"/>
                <w:bottom w:val="none" w:sz="0" w:space="0" w:color="auto"/>
                <w:right w:val="none" w:sz="0" w:space="0" w:color="auto"/>
                <w:between w:val="none" w:sz="0" w:space="0" w:color="auto"/>
                <w:bar w:val="none" w:sz="0" w:color="auto"/>
              </w:pBdr>
              <w:jc w:val="right"/>
              <w:outlineLvl w:val="9"/>
              <w:rPr>
                <w:rFonts w:eastAsia="Times New Roman"/>
                <w:color w:val="auto"/>
                <w:sz w:val="18"/>
                <w:szCs w:val="18"/>
                <w:bdr w:val="none" w:sz="0" w:space="0" w:color="auto"/>
                <w:lang w:eastAsia="es-ES"/>
              </w:rPr>
            </w:pPr>
            <w:r>
              <w:rPr>
                <w:sz w:val="18"/>
                <w:szCs w:val="18"/>
              </w:rPr>
              <w:t>378,60</w:t>
            </w:r>
          </w:p>
        </w:tc>
      </w:tr>
      <w:tr w:rsidR="00240D34" w:rsidRPr="002D429A" w14:paraId="06F67CC2" w14:textId="77777777" w:rsidTr="00BA5560">
        <w:trPr>
          <w:trHeight w:val="340"/>
        </w:trPr>
        <w:tc>
          <w:tcPr>
            <w:tcW w:w="2401" w:type="pct"/>
            <w:tcBorders>
              <w:top w:val="nil"/>
              <w:left w:val="nil"/>
              <w:bottom w:val="nil"/>
              <w:right w:val="nil"/>
            </w:tcBorders>
            <w:shd w:val="clear" w:color="auto" w:fill="auto"/>
            <w:vAlign w:val="center"/>
            <w:hideMark/>
          </w:tcPr>
          <w:p w14:paraId="7B260A7D" w14:textId="77777777" w:rsidR="00240D34" w:rsidRPr="009C72B4" w:rsidRDefault="00240D34" w:rsidP="00240D34">
            <w:pPr>
              <w:pBdr>
                <w:top w:val="none" w:sz="0" w:space="0" w:color="auto"/>
                <w:left w:val="none" w:sz="0" w:space="0" w:color="auto"/>
                <w:bottom w:val="none" w:sz="0" w:space="0" w:color="auto"/>
                <w:right w:val="none" w:sz="0" w:space="0" w:color="auto"/>
                <w:between w:val="none" w:sz="0" w:space="0" w:color="auto"/>
                <w:bar w:val="none" w:sz="0" w:color="auto"/>
              </w:pBdr>
              <w:outlineLvl w:val="9"/>
              <w:rPr>
                <w:rFonts w:eastAsia="Times New Roman"/>
                <w:sz w:val="18"/>
                <w:szCs w:val="18"/>
                <w:bdr w:val="none" w:sz="0" w:space="0" w:color="auto"/>
                <w:lang w:eastAsia="es-ES"/>
              </w:rPr>
            </w:pPr>
            <w:r w:rsidRPr="009C72B4">
              <w:rPr>
                <w:rFonts w:eastAsia="Times New Roman"/>
                <w:sz w:val="18"/>
                <w:szCs w:val="18"/>
                <w:bdr w:val="none" w:sz="0" w:space="0" w:color="auto"/>
                <w:lang w:eastAsia="es-ES"/>
              </w:rPr>
              <w:t>Otros pasivos financieros</w:t>
            </w:r>
          </w:p>
        </w:tc>
        <w:tc>
          <w:tcPr>
            <w:tcW w:w="668" w:type="pct"/>
            <w:tcBorders>
              <w:top w:val="nil"/>
              <w:left w:val="nil"/>
              <w:bottom w:val="nil"/>
              <w:right w:val="nil"/>
            </w:tcBorders>
            <w:shd w:val="clear" w:color="auto" w:fill="auto"/>
            <w:vAlign w:val="center"/>
            <w:hideMark/>
          </w:tcPr>
          <w:p w14:paraId="7D6D4DCD" w14:textId="77777777" w:rsidR="00240D34" w:rsidRPr="009C72B4" w:rsidRDefault="00240D34" w:rsidP="00240D34">
            <w:pPr>
              <w:pBdr>
                <w:top w:val="none" w:sz="0" w:space="0" w:color="auto"/>
                <w:left w:val="none" w:sz="0" w:space="0" w:color="auto"/>
                <w:bottom w:val="none" w:sz="0" w:space="0" w:color="auto"/>
                <w:right w:val="none" w:sz="0" w:space="0" w:color="auto"/>
                <w:between w:val="none" w:sz="0" w:space="0" w:color="auto"/>
                <w:bar w:val="none" w:sz="0" w:color="auto"/>
              </w:pBdr>
              <w:outlineLvl w:val="9"/>
              <w:rPr>
                <w:rFonts w:eastAsia="Times New Roman"/>
                <w:sz w:val="18"/>
                <w:szCs w:val="18"/>
                <w:bdr w:val="none" w:sz="0" w:space="0" w:color="auto"/>
                <w:lang w:eastAsia="es-ES"/>
              </w:rPr>
            </w:pPr>
          </w:p>
        </w:tc>
        <w:tc>
          <w:tcPr>
            <w:tcW w:w="966" w:type="pct"/>
            <w:tcBorders>
              <w:top w:val="nil"/>
              <w:left w:val="nil"/>
              <w:bottom w:val="nil"/>
              <w:right w:val="nil"/>
            </w:tcBorders>
            <w:shd w:val="clear" w:color="auto" w:fill="auto"/>
            <w:vAlign w:val="center"/>
          </w:tcPr>
          <w:p w14:paraId="654E9CFE" w14:textId="445E852C" w:rsidR="00240D34" w:rsidRPr="002D429A" w:rsidRDefault="00240D34" w:rsidP="00240D34">
            <w:pPr>
              <w:pBdr>
                <w:top w:val="none" w:sz="0" w:space="0" w:color="auto"/>
                <w:left w:val="none" w:sz="0" w:space="0" w:color="auto"/>
                <w:bottom w:val="none" w:sz="0" w:space="0" w:color="auto"/>
                <w:right w:val="none" w:sz="0" w:space="0" w:color="auto"/>
                <w:between w:val="none" w:sz="0" w:space="0" w:color="auto"/>
                <w:bar w:val="none" w:sz="0" w:color="auto"/>
              </w:pBdr>
              <w:jc w:val="right"/>
              <w:outlineLvl w:val="9"/>
              <w:rPr>
                <w:rFonts w:eastAsia="Times New Roman"/>
                <w:sz w:val="18"/>
                <w:szCs w:val="18"/>
                <w:bdr w:val="none" w:sz="0" w:space="0" w:color="auto"/>
                <w:lang w:eastAsia="es-ES"/>
              </w:rPr>
            </w:pPr>
            <w:r>
              <w:rPr>
                <w:sz w:val="18"/>
                <w:szCs w:val="18"/>
              </w:rPr>
              <w:t>74.332,58</w:t>
            </w:r>
          </w:p>
        </w:tc>
        <w:tc>
          <w:tcPr>
            <w:tcW w:w="966" w:type="pct"/>
            <w:tcBorders>
              <w:top w:val="nil"/>
              <w:left w:val="nil"/>
              <w:bottom w:val="nil"/>
              <w:right w:val="nil"/>
            </w:tcBorders>
            <w:shd w:val="clear" w:color="auto" w:fill="auto"/>
            <w:noWrap/>
            <w:vAlign w:val="center"/>
            <w:hideMark/>
          </w:tcPr>
          <w:p w14:paraId="13E9AF4B" w14:textId="246B8EF5" w:rsidR="00240D34" w:rsidRPr="002D429A" w:rsidRDefault="00240D34" w:rsidP="00240D34">
            <w:pPr>
              <w:pBdr>
                <w:top w:val="none" w:sz="0" w:space="0" w:color="auto"/>
                <w:left w:val="none" w:sz="0" w:space="0" w:color="auto"/>
                <w:bottom w:val="none" w:sz="0" w:space="0" w:color="auto"/>
                <w:right w:val="none" w:sz="0" w:space="0" w:color="auto"/>
                <w:between w:val="none" w:sz="0" w:space="0" w:color="auto"/>
                <w:bar w:val="none" w:sz="0" w:color="auto"/>
              </w:pBdr>
              <w:jc w:val="right"/>
              <w:outlineLvl w:val="9"/>
              <w:rPr>
                <w:rFonts w:eastAsia="Times New Roman"/>
                <w:color w:val="auto"/>
                <w:sz w:val="18"/>
                <w:szCs w:val="18"/>
                <w:bdr w:val="none" w:sz="0" w:space="0" w:color="auto"/>
                <w:lang w:eastAsia="es-ES"/>
              </w:rPr>
            </w:pPr>
            <w:r>
              <w:rPr>
                <w:sz w:val="18"/>
                <w:szCs w:val="18"/>
              </w:rPr>
              <w:t>17.593,54</w:t>
            </w:r>
          </w:p>
        </w:tc>
      </w:tr>
      <w:tr w:rsidR="003F79E8" w:rsidRPr="002D429A" w14:paraId="41C70A6B" w14:textId="77777777" w:rsidTr="00BA5560">
        <w:trPr>
          <w:trHeight w:val="340"/>
        </w:trPr>
        <w:tc>
          <w:tcPr>
            <w:tcW w:w="3069" w:type="pct"/>
            <w:gridSpan w:val="2"/>
            <w:tcBorders>
              <w:top w:val="nil"/>
              <w:left w:val="nil"/>
              <w:bottom w:val="nil"/>
              <w:right w:val="nil"/>
            </w:tcBorders>
            <w:shd w:val="clear" w:color="auto" w:fill="auto"/>
            <w:noWrap/>
            <w:vAlign w:val="center"/>
            <w:hideMark/>
          </w:tcPr>
          <w:p w14:paraId="391CCDE8" w14:textId="77777777" w:rsidR="003F79E8" w:rsidRPr="009C72B4" w:rsidRDefault="003F79E8" w:rsidP="003F79E8">
            <w:pPr>
              <w:pBdr>
                <w:top w:val="none" w:sz="0" w:space="0" w:color="auto"/>
                <w:left w:val="none" w:sz="0" w:space="0" w:color="auto"/>
                <w:bottom w:val="none" w:sz="0" w:space="0" w:color="auto"/>
                <w:right w:val="none" w:sz="0" w:space="0" w:color="auto"/>
                <w:between w:val="none" w:sz="0" w:space="0" w:color="auto"/>
                <w:bar w:val="none" w:sz="0" w:color="auto"/>
              </w:pBdr>
              <w:outlineLvl w:val="9"/>
              <w:rPr>
                <w:rFonts w:eastAsia="Times New Roman"/>
                <w:b/>
                <w:bCs/>
                <w:sz w:val="18"/>
                <w:szCs w:val="18"/>
                <w:bdr w:val="none" w:sz="0" w:space="0" w:color="auto"/>
                <w:lang w:eastAsia="es-ES"/>
              </w:rPr>
            </w:pPr>
            <w:r w:rsidRPr="009C72B4">
              <w:rPr>
                <w:rFonts w:eastAsia="Times New Roman"/>
                <w:b/>
                <w:bCs/>
                <w:sz w:val="18"/>
                <w:szCs w:val="18"/>
                <w:bdr w:val="none" w:sz="0" w:space="0" w:color="auto"/>
                <w:lang w:eastAsia="es-ES"/>
              </w:rPr>
              <w:t>Acreedores comerciales y otras cuentas a pagar</w:t>
            </w:r>
          </w:p>
        </w:tc>
        <w:tc>
          <w:tcPr>
            <w:tcW w:w="966" w:type="pct"/>
            <w:tcBorders>
              <w:top w:val="nil"/>
              <w:left w:val="nil"/>
              <w:bottom w:val="nil"/>
              <w:right w:val="nil"/>
            </w:tcBorders>
            <w:shd w:val="clear" w:color="auto" w:fill="auto"/>
            <w:noWrap/>
            <w:vAlign w:val="center"/>
          </w:tcPr>
          <w:p w14:paraId="2114164C" w14:textId="23EC1D07" w:rsidR="003F79E8" w:rsidRPr="00240D34" w:rsidRDefault="00240D34" w:rsidP="00240D34">
            <w:pPr>
              <w:pBdr>
                <w:top w:val="none" w:sz="0" w:space="0" w:color="auto"/>
                <w:left w:val="none" w:sz="0" w:space="0" w:color="auto"/>
                <w:bottom w:val="none" w:sz="0" w:space="0" w:color="auto"/>
                <w:right w:val="none" w:sz="0" w:space="0" w:color="auto"/>
                <w:between w:val="none" w:sz="0" w:space="0" w:color="auto"/>
                <w:bar w:val="none" w:sz="0" w:color="auto"/>
              </w:pBdr>
              <w:jc w:val="right"/>
              <w:outlineLvl w:val="9"/>
              <w:rPr>
                <w:rFonts w:eastAsia="Times New Roman"/>
                <w:b/>
                <w:bCs/>
                <w:sz w:val="18"/>
                <w:szCs w:val="18"/>
                <w:bdr w:val="none" w:sz="0" w:space="0" w:color="auto"/>
                <w:lang w:eastAsia="es-ES"/>
              </w:rPr>
            </w:pPr>
            <w:r>
              <w:rPr>
                <w:b/>
                <w:bCs/>
                <w:sz w:val="18"/>
                <w:szCs w:val="18"/>
              </w:rPr>
              <w:t>19.087.074,10</w:t>
            </w:r>
          </w:p>
        </w:tc>
        <w:tc>
          <w:tcPr>
            <w:tcW w:w="966" w:type="pct"/>
            <w:tcBorders>
              <w:top w:val="nil"/>
              <w:left w:val="nil"/>
              <w:bottom w:val="nil"/>
              <w:right w:val="nil"/>
            </w:tcBorders>
            <w:shd w:val="clear" w:color="auto" w:fill="auto"/>
            <w:noWrap/>
            <w:vAlign w:val="center"/>
            <w:hideMark/>
          </w:tcPr>
          <w:p w14:paraId="1AA8335C" w14:textId="5B1ECAFA" w:rsidR="003F79E8" w:rsidRPr="002F682F" w:rsidRDefault="003F79E8" w:rsidP="003F79E8">
            <w:pPr>
              <w:pBdr>
                <w:top w:val="none" w:sz="0" w:space="0" w:color="auto"/>
                <w:left w:val="none" w:sz="0" w:space="0" w:color="auto"/>
                <w:bottom w:val="none" w:sz="0" w:space="0" w:color="auto"/>
                <w:right w:val="none" w:sz="0" w:space="0" w:color="auto"/>
                <w:between w:val="none" w:sz="0" w:space="0" w:color="auto"/>
                <w:bar w:val="none" w:sz="0" w:color="auto"/>
              </w:pBdr>
              <w:jc w:val="right"/>
              <w:outlineLvl w:val="9"/>
              <w:rPr>
                <w:rFonts w:eastAsia="Times New Roman"/>
                <w:b/>
                <w:bCs/>
                <w:sz w:val="18"/>
                <w:szCs w:val="18"/>
                <w:bdr w:val="none" w:sz="0" w:space="0" w:color="auto"/>
                <w:lang w:eastAsia="es-ES"/>
              </w:rPr>
            </w:pPr>
            <w:r>
              <w:rPr>
                <w:rFonts w:eastAsia="Times New Roman"/>
                <w:b/>
                <w:bCs/>
                <w:sz w:val="18"/>
                <w:szCs w:val="18"/>
                <w:bdr w:val="none" w:sz="0" w:space="0" w:color="auto"/>
                <w:lang w:eastAsia="es-ES"/>
              </w:rPr>
              <w:t>18.170.650,15</w:t>
            </w:r>
          </w:p>
        </w:tc>
      </w:tr>
      <w:tr w:rsidR="003F79E8" w:rsidRPr="002D429A" w14:paraId="108C35CC" w14:textId="77777777" w:rsidTr="00BA5560">
        <w:trPr>
          <w:trHeight w:val="340"/>
        </w:trPr>
        <w:tc>
          <w:tcPr>
            <w:tcW w:w="2401" w:type="pct"/>
            <w:tcBorders>
              <w:top w:val="nil"/>
              <w:left w:val="nil"/>
              <w:bottom w:val="nil"/>
              <w:right w:val="nil"/>
            </w:tcBorders>
            <w:shd w:val="clear" w:color="auto" w:fill="auto"/>
            <w:vAlign w:val="center"/>
            <w:hideMark/>
          </w:tcPr>
          <w:p w14:paraId="0BE774FB" w14:textId="77777777" w:rsidR="003F79E8" w:rsidRPr="009C72B4" w:rsidRDefault="003F79E8" w:rsidP="003F79E8">
            <w:pPr>
              <w:pBdr>
                <w:top w:val="none" w:sz="0" w:space="0" w:color="auto"/>
                <w:left w:val="none" w:sz="0" w:space="0" w:color="auto"/>
                <w:bottom w:val="none" w:sz="0" w:space="0" w:color="auto"/>
                <w:right w:val="none" w:sz="0" w:space="0" w:color="auto"/>
                <w:between w:val="none" w:sz="0" w:space="0" w:color="auto"/>
                <w:bar w:val="none" w:sz="0" w:color="auto"/>
              </w:pBdr>
              <w:outlineLvl w:val="9"/>
              <w:rPr>
                <w:rFonts w:eastAsia="Times New Roman"/>
                <w:sz w:val="18"/>
                <w:szCs w:val="18"/>
                <w:bdr w:val="none" w:sz="0" w:space="0" w:color="auto"/>
                <w:lang w:eastAsia="es-ES"/>
              </w:rPr>
            </w:pPr>
            <w:r w:rsidRPr="009C72B4">
              <w:rPr>
                <w:rFonts w:eastAsia="Times New Roman"/>
                <w:sz w:val="18"/>
                <w:szCs w:val="18"/>
                <w:bdr w:val="none" w:sz="0" w:space="0" w:color="auto"/>
                <w:lang w:eastAsia="es-ES"/>
              </w:rPr>
              <w:t>Acreedores varios</w:t>
            </w:r>
          </w:p>
        </w:tc>
        <w:tc>
          <w:tcPr>
            <w:tcW w:w="668" w:type="pct"/>
            <w:tcBorders>
              <w:top w:val="nil"/>
              <w:left w:val="nil"/>
              <w:bottom w:val="nil"/>
              <w:right w:val="nil"/>
            </w:tcBorders>
            <w:shd w:val="clear" w:color="auto" w:fill="auto"/>
            <w:vAlign w:val="center"/>
            <w:hideMark/>
          </w:tcPr>
          <w:p w14:paraId="497F66F2" w14:textId="08B514F4" w:rsidR="003F79E8" w:rsidRPr="009C72B4" w:rsidRDefault="003F79E8" w:rsidP="003F79E8">
            <w:pPr>
              <w:jc w:val="center"/>
              <w:rPr>
                <w:sz w:val="18"/>
                <w:szCs w:val="18"/>
              </w:rPr>
            </w:pPr>
            <w:r w:rsidRPr="009C72B4">
              <w:rPr>
                <w:sz w:val="18"/>
                <w:szCs w:val="18"/>
              </w:rPr>
              <w:t>8.</w:t>
            </w:r>
            <w:r>
              <w:rPr>
                <w:sz w:val="18"/>
                <w:szCs w:val="18"/>
              </w:rPr>
              <w:t>3</w:t>
            </w:r>
            <w:r w:rsidRPr="009C72B4">
              <w:rPr>
                <w:sz w:val="18"/>
                <w:szCs w:val="18"/>
              </w:rPr>
              <w:t>.a</w:t>
            </w:r>
          </w:p>
        </w:tc>
        <w:tc>
          <w:tcPr>
            <w:tcW w:w="966" w:type="pct"/>
            <w:tcBorders>
              <w:top w:val="nil"/>
              <w:left w:val="nil"/>
              <w:bottom w:val="nil"/>
              <w:right w:val="nil"/>
            </w:tcBorders>
            <w:shd w:val="clear" w:color="auto" w:fill="auto"/>
            <w:vAlign w:val="center"/>
          </w:tcPr>
          <w:p w14:paraId="379D40BC" w14:textId="280C3B12" w:rsidR="003F79E8" w:rsidRPr="00240D34" w:rsidRDefault="00240D34" w:rsidP="00240D34">
            <w:pPr>
              <w:pBdr>
                <w:top w:val="none" w:sz="0" w:space="0" w:color="auto"/>
                <w:left w:val="none" w:sz="0" w:space="0" w:color="auto"/>
                <w:bottom w:val="none" w:sz="0" w:space="0" w:color="auto"/>
                <w:right w:val="none" w:sz="0" w:space="0" w:color="auto"/>
                <w:between w:val="none" w:sz="0" w:space="0" w:color="auto"/>
                <w:bar w:val="none" w:sz="0" w:color="auto"/>
              </w:pBdr>
              <w:jc w:val="right"/>
              <w:outlineLvl w:val="9"/>
              <w:rPr>
                <w:rFonts w:eastAsia="Times New Roman"/>
                <w:sz w:val="18"/>
                <w:szCs w:val="18"/>
                <w:bdr w:val="none" w:sz="0" w:space="0" w:color="auto"/>
                <w:lang w:eastAsia="es-ES"/>
              </w:rPr>
            </w:pPr>
            <w:r>
              <w:rPr>
                <w:sz w:val="18"/>
                <w:szCs w:val="18"/>
              </w:rPr>
              <w:t>15.358.459,24</w:t>
            </w:r>
          </w:p>
        </w:tc>
        <w:tc>
          <w:tcPr>
            <w:tcW w:w="966" w:type="pct"/>
            <w:tcBorders>
              <w:top w:val="nil"/>
              <w:left w:val="nil"/>
              <w:bottom w:val="nil"/>
              <w:right w:val="nil"/>
            </w:tcBorders>
            <w:shd w:val="clear" w:color="auto" w:fill="auto"/>
            <w:vAlign w:val="center"/>
            <w:hideMark/>
          </w:tcPr>
          <w:p w14:paraId="26C93893" w14:textId="4758DADA" w:rsidR="003F79E8" w:rsidRPr="004D0B1C" w:rsidRDefault="003F79E8" w:rsidP="003F79E8">
            <w:pPr>
              <w:pBdr>
                <w:top w:val="none" w:sz="0" w:space="0" w:color="auto"/>
                <w:left w:val="none" w:sz="0" w:space="0" w:color="auto"/>
                <w:bottom w:val="none" w:sz="0" w:space="0" w:color="auto"/>
                <w:right w:val="none" w:sz="0" w:space="0" w:color="auto"/>
                <w:between w:val="none" w:sz="0" w:space="0" w:color="auto"/>
                <w:bar w:val="none" w:sz="0" w:color="auto"/>
              </w:pBdr>
              <w:jc w:val="right"/>
              <w:outlineLvl w:val="9"/>
              <w:rPr>
                <w:rFonts w:eastAsia="Times New Roman"/>
                <w:color w:val="auto"/>
                <w:sz w:val="18"/>
                <w:szCs w:val="18"/>
                <w:bdr w:val="none" w:sz="0" w:space="0" w:color="auto"/>
                <w:lang w:eastAsia="es-ES"/>
              </w:rPr>
            </w:pPr>
            <w:r>
              <w:rPr>
                <w:sz w:val="18"/>
                <w:szCs w:val="18"/>
              </w:rPr>
              <w:t>8.962.917,83</w:t>
            </w:r>
          </w:p>
        </w:tc>
      </w:tr>
      <w:tr w:rsidR="00240D34" w:rsidRPr="002D429A" w14:paraId="3B43BF78" w14:textId="77777777" w:rsidTr="00BA5560">
        <w:trPr>
          <w:trHeight w:val="340"/>
        </w:trPr>
        <w:tc>
          <w:tcPr>
            <w:tcW w:w="2401" w:type="pct"/>
            <w:tcBorders>
              <w:top w:val="nil"/>
              <w:left w:val="nil"/>
              <w:bottom w:val="nil"/>
              <w:right w:val="nil"/>
            </w:tcBorders>
            <w:shd w:val="clear" w:color="auto" w:fill="auto"/>
            <w:vAlign w:val="center"/>
            <w:hideMark/>
          </w:tcPr>
          <w:p w14:paraId="6DF89724" w14:textId="77777777" w:rsidR="00240D34" w:rsidRPr="009C72B4" w:rsidRDefault="00240D34" w:rsidP="00240D34">
            <w:pPr>
              <w:pBdr>
                <w:top w:val="none" w:sz="0" w:space="0" w:color="auto"/>
                <w:left w:val="none" w:sz="0" w:space="0" w:color="auto"/>
                <w:bottom w:val="none" w:sz="0" w:space="0" w:color="auto"/>
                <w:right w:val="none" w:sz="0" w:space="0" w:color="auto"/>
                <w:between w:val="none" w:sz="0" w:space="0" w:color="auto"/>
                <w:bar w:val="none" w:sz="0" w:color="auto"/>
              </w:pBdr>
              <w:outlineLvl w:val="9"/>
              <w:rPr>
                <w:rFonts w:eastAsia="Times New Roman"/>
                <w:sz w:val="18"/>
                <w:szCs w:val="18"/>
                <w:bdr w:val="none" w:sz="0" w:space="0" w:color="auto"/>
                <w:lang w:eastAsia="es-ES"/>
              </w:rPr>
            </w:pPr>
            <w:r w:rsidRPr="009C72B4">
              <w:rPr>
                <w:rFonts w:eastAsia="Times New Roman"/>
                <w:sz w:val="18"/>
                <w:szCs w:val="18"/>
                <w:bdr w:val="none" w:sz="0" w:space="0" w:color="auto"/>
                <w:lang w:eastAsia="es-ES"/>
              </w:rPr>
              <w:t>Personal (remuneraciones pendientes de pago)</w:t>
            </w:r>
          </w:p>
        </w:tc>
        <w:tc>
          <w:tcPr>
            <w:tcW w:w="668" w:type="pct"/>
            <w:tcBorders>
              <w:top w:val="nil"/>
              <w:left w:val="nil"/>
              <w:bottom w:val="nil"/>
              <w:right w:val="nil"/>
            </w:tcBorders>
            <w:shd w:val="clear" w:color="auto" w:fill="auto"/>
            <w:vAlign w:val="center"/>
            <w:hideMark/>
          </w:tcPr>
          <w:p w14:paraId="74CB3D95" w14:textId="3F4489F5" w:rsidR="00240D34" w:rsidRPr="009C72B4" w:rsidRDefault="00240D34" w:rsidP="00240D34">
            <w:pPr>
              <w:pBdr>
                <w:top w:val="none" w:sz="0" w:space="0" w:color="auto"/>
                <w:left w:val="none" w:sz="0" w:space="0" w:color="auto"/>
                <w:bottom w:val="none" w:sz="0" w:space="0" w:color="auto"/>
                <w:right w:val="none" w:sz="0" w:space="0" w:color="auto"/>
                <w:between w:val="none" w:sz="0" w:space="0" w:color="auto"/>
                <w:bar w:val="none" w:sz="0" w:color="auto"/>
              </w:pBdr>
              <w:jc w:val="center"/>
              <w:outlineLvl w:val="9"/>
              <w:rPr>
                <w:rFonts w:eastAsia="Times New Roman"/>
                <w:sz w:val="18"/>
                <w:szCs w:val="18"/>
                <w:bdr w:val="none" w:sz="0" w:space="0" w:color="auto"/>
                <w:lang w:eastAsia="es-ES"/>
              </w:rPr>
            </w:pPr>
            <w:r w:rsidRPr="009C72B4">
              <w:rPr>
                <w:rFonts w:eastAsia="Times New Roman"/>
                <w:sz w:val="18"/>
                <w:szCs w:val="18"/>
                <w:bdr w:val="none" w:sz="0" w:space="0" w:color="auto"/>
                <w:lang w:eastAsia="es-ES"/>
              </w:rPr>
              <w:t>8.</w:t>
            </w:r>
            <w:r>
              <w:rPr>
                <w:rFonts w:eastAsia="Times New Roman"/>
                <w:sz w:val="18"/>
                <w:szCs w:val="18"/>
                <w:bdr w:val="none" w:sz="0" w:space="0" w:color="auto"/>
                <w:lang w:eastAsia="es-ES"/>
              </w:rPr>
              <w:t>3</w:t>
            </w:r>
            <w:r w:rsidRPr="009C72B4">
              <w:rPr>
                <w:rFonts w:eastAsia="Times New Roman"/>
                <w:sz w:val="18"/>
                <w:szCs w:val="18"/>
                <w:bdr w:val="none" w:sz="0" w:space="0" w:color="auto"/>
                <w:lang w:eastAsia="es-ES"/>
              </w:rPr>
              <w:t>.a</w:t>
            </w:r>
          </w:p>
        </w:tc>
        <w:tc>
          <w:tcPr>
            <w:tcW w:w="966" w:type="pct"/>
            <w:tcBorders>
              <w:top w:val="nil"/>
              <w:left w:val="nil"/>
              <w:bottom w:val="nil"/>
              <w:right w:val="nil"/>
            </w:tcBorders>
            <w:shd w:val="clear" w:color="auto" w:fill="auto"/>
            <w:vAlign w:val="center"/>
          </w:tcPr>
          <w:p w14:paraId="3406608F" w14:textId="6209B210" w:rsidR="00240D34" w:rsidRPr="008C1360" w:rsidRDefault="00240D34" w:rsidP="00240D34">
            <w:pPr>
              <w:pBdr>
                <w:top w:val="none" w:sz="0" w:space="0" w:color="auto"/>
                <w:left w:val="none" w:sz="0" w:space="0" w:color="auto"/>
                <w:bottom w:val="none" w:sz="0" w:space="0" w:color="auto"/>
                <w:right w:val="none" w:sz="0" w:space="0" w:color="auto"/>
                <w:between w:val="none" w:sz="0" w:space="0" w:color="auto"/>
                <w:bar w:val="none" w:sz="0" w:color="auto"/>
              </w:pBdr>
              <w:jc w:val="right"/>
              <w:outlineLvl w:val="9"/>
              <w:rPr>
                <w:rFonts w:eastAsia="Times New Roman"/>
                <w:sz w:val="18"/>
                <w:szCs w:val="18"/>
                <w:bdr w:val="none" w:sz="0" w:space="0" w:color="auto"/>
                <w:lang w:eastAsia="es-ES"/>
              </w:rPr>
            </w:pPr>
            <w:r>
              <w:rPr>
                <w:sz w:val="18"/>
                <w:szCs w:val="18"/>
              </w:rPr>
              <w:t>98.980,86</w:t>
            </w:r>
          </w:p>
        </w:tc>
        <w:tc>
          <w:tcPr>
            <w:tcW w:w="966" w:type="pct"/>
            <w:tcBorders>
              <w:top w:val="nil"/>
              <w:left w:val="nil"/>
              <w:bottom w:val="nil"/>
              <w:right w:val="nil"/>
            </w:tcBorders>
            <w:shd w:val="clear" w:color="auto" w:fill="auto"/>
            <w:vAlign w:val="center"/>
            <w:hideMark/>
          </w:tcPr>
          <w:p w14:paraId="73B32949" w14:textId="7F1930CD" w:rsidR="00240D34" w:rsidRPr="002D429A" w:rsidRDefault="00240D34" w:rsidP="00240D34">
            <w:pPr>
              <w:pBdr>
                <w:top w:val="none" w:sz="0" w:space="0" w:color="auto"/>
                <w:left w:val="none" w:sz="0" w:space="0" w:color="auto"/>
                <w:bottom w:val="none" w:sz="0" w:space="0" w:color="auto"/>
                <w:right w:val="none" w:sz="0" w:space="0" w:color="auto"/>
                <w:between w:val="none" w:sz="0" w:space="0" w:color="auto"/>
                <w:bar w:val="none" w:sz="0" w:color="auto"/>
              </w:pBdr>
              <w:jc w:val="right"/>
              <w:outlineLvl w:val="9"/>
              <w:rPr>
                <w:rFonts w:eastAsia="Times New Roman"/>
                <w:color w:val="auto"/>
                <w:sz w:val="18"/>
                <w:szCs w:val="18"/>
                <w:bdr w:val="none" w:sz="0" w:space="0" w:color="auto"/>
                <w:lang w:eastAsia="es-ES"/>
              </w:rPr>
            </w:pPr>
            <w:r>
              <w:rPr>
                <w:sz w:val="18"/>
                <w:szCs w:val="18"/>
              </w:rPr>
              <w:t>103.791,81</w:t>
            </w:r>
          </w:p>
        </w:tc>
      </w:tr>
      <w:tr w:rsidR="00240D34" w:rsidRPr="002D429A" w14:paraId="5778BCCC" w14:textId="77777777" w:rsidTr="00BA5560">
        <w:trPr>
          <w:trHeight w:val="340"/>
        </w:trPr>
        <w:tc>
          <w:tcPr>
            <w:tcW w:w="2401" w:type="pct"/>
            <w:tcBorders>
              <w:top w:val="nil"/>
              <w:left w:val="nil"/>
              <w:bottom w:val="nil"/>
              <w:right w:val="nil"/>
            </w:tcBorders>
            <w:shd w:val="clear" w:color="auto" w:fill="auto"/>
            <w:vAlign w:val="center"/>
            <w:hideMark/>
          </w:tcPr>
          <w:p w14:paraId="31153271" w14:textId="77777777" w:rsidR="00240D34" w:rsidRPr="009C72B4" w:rsidRDefault="00240D34" w:rsidP="00240D34">
            <w:pPr>
              <w:pBdr>
                <w:top w:val="none" w:sz="0" w:space="0" w:color="auto"/>
                <w:left w:val="none" w:sz="0" w:space="0" w:color="auto"/>
                <w:bottom w:val="none" w:sz="0" w:space="0" w:color="auto"/>
                <w:right w:val="none" w:sz="0" w:space="0" w:color="auto"/>
                <w:between w:val="none" w:sz="0" w:space="0" w:color="auto"/>
                <w:bar w:val="none" w:sz="0" w:color="auto"/>
              </w:pBdr>
              <w:outlineLvl w:val="9"/>
              <w:rPr>
                <w:rFonts w:eastAsia="Times New Roman"/>
                <w:sz w:val="18"/>
                <w:szCs w:val="18"/>
                <w:bdr w:val="none" w:sz="0" w:space="0" w:color="auto"/>
                <w:lang w:eastAsia="es-ES"/>
              </w:rPr>
            </w:pPr>
            <w:r w:rsidRPr="009C72B4">
              <w:rPr>
                <w:rFonts w:eastAsia="Times New Roman"/>
                <w:sz w:val="18"/>
                <w:szCs w:val="18"/>
                <w:bdr w:val="none" w:sz="0" w:space="0" w:color="auto"/>
                <w:lang w:eastAsia="es-ES"/>
              </w:rPr>
              <w:t>Otras deudas con las Administraciones Públicas</w:t>
            </w:r>
          </w:p>
        </w:tc>
        <w:tc>
          <w:tcPr>
            <w:tcW w:w="668" w:type="pct"/>
            <w:tcBorders>
              <w:top w:val="nil"/>
              <w:left w:val="nil"/>
              <w:bottom w:val="nil"/>
              <w:right w:val="nil"/>
            </w:tcBorders>
            <w:shd w:val="clear" w:color="auto" w:fill="auto"/>
            <w:vAlign w:val="center"/>
            <w:hideMark/>
          </w:tcPr>
          <w:p w14:paraId="153CD658" w14:textId="0EBF6256" w:rsidR="00240D34" w:rsidRPr="009C72B4" w:rsidRDefault="00240D34" w:rsidP="00240D34">
            <w:pPr>
              <w:pBdr>
                <w:top w:val="none" w:sz="0" w:space="0" w:color="auto"/>
                <w:left w:val="none" w:sz="0" w:space="0" w:color="auto"/>
                <w:bottom w:val="none" w:sz="0" w:space="0" w:color="auto"/>
                <w:right w:val="none" w:sz="0" w:space="0" w:color="auto"/>
                <w:between w:val="none" w:sz="0" w:space="0" w:color="auto"/>
                <w:bar w:val="none" w:sz="0" w:color="auto"/>
              </w:pBdr>
              <w:jc w:val="center"/>
              <w:outlineLvl w:val="9"/>
              <w:rPr>
                <w:rFonts w:eastAsia="Times New Roman"/>
                <w:sz w:val="18"/>
                <w:szCs w:val="18"/>
                <w:bdr w:val="none" w:sz="0" w:space="0" w:color="auto"/>
                <w:lang w:eastAsia="es-ES"/>
              </w:rPr>
            </w:pPr>
            <w:r w:rsidRPr="009C72B4">
              <w:rPr>
                <w:rFonts w:eastAsia="Times New Roman"/>
                <w:sz w:val="18"/>
                <w:szCs w:val="18"/>
                <w:bdr w:val="none" w:sz="0" w:space="0" w:color="auto"/>
                <w:lang w:eastAsia="es-ES"/>
              </w:rPr>
              <w:t>11</w:t>
            </w:r>
            <w:r>
              <w:rPr>
                <w:rFonts w:eastAsia="Times New Roman"/>
                <w:sz w:val="18"/>
                <w:szCs w:val="18"/>
                <w:bdr w:val="none" w:sz="0" w:space="0" w:color="auto"/>
                <w:lang w:eastAsia="es-ES"/>
              </w:rPr>
              <w:t>.</w:t>
            </w:r>
            <w:proofErr w:type="gramStart"/>
            <w:r>
              <w:rPr>
                <w:rFonts w:eastAsia="Times New Roman"/>
                <w:sz w:val="18"/>
                <w:szCs w:val="18"/>
                <w:bdr w:val="none" w:sz="0" w:space="0" w:color="auto"/>
                <w:lang w:eastAsia="es-ES"/>
              </w:rPr>
              <w:t>1.b</w:t>
            </w:r>
            <w:proofErr w:type="gramEnd"/>
          </w:p>
        </w:tc>
        <w:tc>
          <w:tcPr>
            <w:tcW w:w="966" w:type="pct"/>
            <w:tcBorders>
              <w:top w:val="nil"/>
              <w:left w:val="nil"/>
              <w:bottom w:val="nil"/>
              <w:right w:val="nil"/>
            </w:tcBorders>
            <w:shd w:val="clear" w:color="auto" w:fill="auto"/>
            <w:vAlign w:val="center"/>
          </w:tcPr>
          <w:p w14:paraId="59F7B7C6" w14:textId="2900F32B" w:rsidR="00240D34" w:rsidRPr="008C1360" w:rsidRDefault="00240D34" w:rsidP="00240D34">
            <w:pPr>
              <w:pBdr>
                <w:top w:val="none" w:sz="0" w:space="0" w:color="auto"/>
                <w:left w:val="none" w:sz="0" w:space="0" w:color="auto"/>
                <w:bottom w:val="none" w:sz="0" w:space="0" w:color="auto"/>
                <w:right w:val="none" w:sz="0" w:space="0" w:color="auto"/>
                <w:between w:val="none" w:sz="0" w:space="0" w:color="auto"/>
                <w:bar w:val="none" w:sz="0" w:color="auto"/>
              </w:pBdr>
              <w:jc w:val="right"/>
              <w:outlineLvl w:val="9"/>
              <w:rPr>
                <w:rFonts w:eastAsia="Times New Roman"/>
                <w:sz w:val="18"/>
                <w:szCs w:val="18"/>
                <w:bdr w:val="none" w:sz="0" w:space="0" w:color="auto"/>
                <w:lang w:eastAsia="es-ES"/>
              </w:rPr>
            </w:pPr>
            <w:r>
              <w:rPr>
                <w:sz w:val="18"/>
                <w:szCs w:val="18"/>
              </w:rPr>
              <w:t>3.629.634,00</w:t>
            </w:r>
          </w:p>
        </w:tc>
        <w:tc>
          <w:tcPr>
            <w:tcW w:w="966" w:type="pct"/>
            <w:tcBorders>
              <w:top w:val="nil"/>
              <w:left w:val="nil"/>
              <w:bottom w:val="nil"/>
              <w:right w:val="nil"/>
            </w:tcBorders>
            <w:shd w:val="clear" w:color="auto" w:fill="auto"/>
            <w:vAlign w:val="center"/>
            <w:hideMark/>
          </w:tcPr>
          <w:p w14:paraId="0F51FD8D" w14:textId="2AA085D2" w:rsidR="00240D34" w:rsidRPr="002D429A" w:rsidRDefault="00240D34" w:rsidP="00240D34">
            <w:pPr>
              <w:pBdr>
                <w:top w:val="none" w:sz="0" w:space="0" w:color="auto"/>
                <w:left w:val="none" w:sz="0" w:space="0" w:color="auto"/>
                <w:bottom w:val="none" w:sz="0" w:space="0" w:color="auto"/>
                <w:right w:val="none" w:sz="0" w:space="0" w:color="auto"/>
                <w:between w:val="none" w:sz="0" w:space="0" w:color="auto"/>
                <w:bar w:val="none" w:sz="0" w:color="auto"/>
              </w:pBdr>
              <w:jc w:val="right"/>
              <w:outlineLvl w:val="9"/>
              <w:rPr>
                <w:rFonts w:eastAsia="Times New Roman"/>
                <w:color w:val="auto"/>
                <w:sz w:val="18"/>
                <w:szCs w:val="18"/>
                <w:bdr w:val="none" w:sz="0" w:space="0" w:color="auto"/>
                <w:lang w:eastAsia="es-ES"/>
              </w:rPr>
            </w:pPr>
            <w:r>
              <w:rPr>
                <w:sz w:val="18"/>
                <w:szCs w:val="18"/>
              </w:rPr>
              <w:t>5.119.200,66</w:t>
            </w:r>
          </w:p>
        </w:tc>
      </w:tr>
      <w:tr w:rsidR="00240D34" w:rsidRPr="002D429A" w14:paraId="0151E4EC" w14:textId="77777777" w:rsidTr="004A2576">
        <w:trPr>
          <w:trHeight w:val="340"/>
        </w:trPr>
        <w:tc>
          <w:tcPr>
            <w:tcW w:w="2401" w:type="pct"/>
            <w:tcBorders>
              <w:top w:val="nil"/>
              <w:left w:val="nil"/>
              <w:right w:val="nil"/>
            </w:tcBorders>
            <w:shd w:val="clear" w:color="auto" w:fill="auto"/>
            <w:vAlign w:val="center"/>
            <w:hideMark/>
          </w:tcPr>
          <w:p w14:paraId="4DEFCF40" w14:textId="77777777" w:rsidR="00240D34" w:rsidRPr="009C72B4" w:rsidRDefault="00240D34" w:rsidP="00240D34">
            <w:pPr>
              <w:pBdr>
                <w:top w:val="none" w:sz="0" w:space="0" w:color="auto"/>
                <w:left w:val="none" w:sz="0" w:space="0" w:color="auto"/>
                <w:bottom w:val="none" w:sz="0" w:space="0" w:color="auto"/>
                <w:right w:val="none" w:sz="0" w:space="0" w:color="auto"/>
                <w:between w:val="none" w:sz="0" w:space="0" w:color="auto"/>
                <w:bar w:val="none" w:sz="0" w:color="auto"/>
              </w:pBdr>
              <w:outlineLvl w:val="9"/>
              <w:rPr>
                <w:rFonts w:eastAsia="Times New Roman"/>
                <w:b/>
                <w:bCs/>
                <w:sz w:val="18"/>
                <w:szCs w:val="18"/>
                <w:bdr w:val="none" w:sz="0" w:space="0" w:color="auto"/>
                <w:lang w:eastAsia="es-ES"/>
              </w:rPr>
            </w:pPr>
            <w:r w:rsidRPr="009C72B4">
              <w:rPr>
                <w:rFonts w:eastAsia="Times New Roman"/>
                <w:b/>
                <w:bCs/>
                <w:sz w:val="18"/>
                <w:szCs w:val="18"/>
                <w:bdr w:val="none" w:sz="0" w:space="0" w:color="auto"/>
                <w:lang w:eastAsia="es-ES"/>
              </w:rPr>
              <w:t>Periodificaciones a corto plazo</w:t>
            </w:r>
          </w:p>
        </w:tc>
        <w:tc>
          <w:tcPr>
            <w:tcW w:w="668" w:type="pct"/>
            <w:tcBorders>
              <w:top w:val="nil"/>
              <w:left w:val="nil"/>
              <w:right w:val="nil"/>
            </w:tcBorders>
            <w:shd w:val="clear" w:color="auto" w:fill="auto"/>
            <w:vAlign w:val="center"/>
            <w:hideMark/>
          </w:tcPr>
          <w:p w14:paraId="03EEAEBC" w14:textId="7A30A8EA" w:rsidR="00240D34" w:rsidRPr="009C72B4" w:rsidRDefault="00240D34" w:rsidP="00240D34">
            <w:pPr>
              <w:pBdr>
                <w:top w:val="none" w:sz="0" w:space="0" w:color="auto"/>
                <w:left w:val="none" w:sz="0" w:space="0" w:color="auto"/>
                <w:bottom w:val="none" w:sz="0" w:space="0" w:color="auto"/>
                <w:right w:val="none" w:sz="0" w:space="0" w:color="auto"/>
                <w:between w:val="none" w:sz="0" w:space="0" w:color="auto"/>
                <w:bar w:val="none" w:sz="0" w:color="auto"/>
              </w:pBdr>
              <w:jc w:val="center"/>
              <w:outlineLvl w:val="9"/>
              <w:rPr>
                <w:rFonts w:eastAsia="Times New Roman"/>
                <w:b/>
                <w:bCs/>
                <w:sz w:val="18"/>
                <w:szCs w:val="18"/>
                <w:bdr w:val="none" w:sz="0" w:space="0" w:color="auto"/>
                <w:lang w:eastAsia="es-ES"/>
              </w:rPr>
            </w:pPr>
            <w:r w:rsidRPr="009C72B4">
              <w:rPr>
                <w:rFonts w:eastAsia="Times New Roman"/>
                <w:b/>
                <w:bCs/>
                <w:sz w:val="18"/>
                <w:szCs w:val="18"/>
                <w:bdr w:val="none" w:sz="0" w:space="0" w:color="auto"/>
                <w:lang w:eastAsia="es-ES"/>
              </w:rPr>
              <w:t>8.</w:t>
            </w:r>
            <w:r>
              <w:rPr>
                <w:rFonts w:eastAsia="Times New Roman"/>
                <w:b/>
                <w:bCs/>
                <w:sz w:val="18"/>
                <w:szCs w:val="18"/>
                <w:bdr w:val="none" w:sz="0" w:space="0" w:color="auto"/>
                <w:lang w:eastAsia="es-ES"/>
              </w:rPr>
              <w:t>3</w:t>
            </w:r>
            <w:r w:rsidRPr="009C72B4">
              <w:rPr>
                <w:rFonts w:eastAsia="Times New Roman"/>
                <w:b/>
                <w:bCs/>
                <w:sz w:val="18"/>
                <w:szCs w:val="18"/>
                <w:bdr w:val="none" w:sz="0" w:space="0" w:color="auto"/>
                <w:lang w:eastAsia="es-ES"/>
              </w:rPr>
              <w:t>.c</w:t>
            </w:r>
          </w:p>
        </w:tc>
        <w:tc>
          <w:tcPr>
            <w:tcW w:w="966" w:type="pct"/>
            <w:tcBorders>
              <w:top w:val="nil"/>
              <w:left w:val="nil"/>
              <w:right w:val="nil"/>
            </w:tcBorders>
            <w:shd w:val="clear" w:color="auto" w:fill="auto"/>
            <w:vAlign w:val="center"/>
          </w:tcPr>
          <w:p w14:paraId="76B205A9" w14:textId="247D8CEB" w:rsidR="00240D34" w:rsidRPr="008C1360" w:rsidRDefault="00240D34" w:rsidP="00240D34">
            <w:pPr>
              <w:pBdr>
                <w:top w:val="none" w:sz="0" w:space="0" w:color="auto"/>
                <w:left w:val="none" w:sz="0" w:space="0" w:color="auto"/>
                <w:bottom w:val="none" w:sz="0" w:space="0" w:color="auto"/>
                <w:right w:val="none" w:sz="0" w:space="0" w:color="auto"/>
                <w:between w:val="none" w:sz="0" w:space="0" w:color="auto"/>
                <w:bar w:val="none" w:sz="0" w:color="auto"/>
              </w:pBdr>
              <w:jc w:val="right"/>
              <w:outlineLvl w:val="9"/>
              <w:rPr>
                <w:rFonts w:eastAsia="Times New Roman"/>
                <w:b/>
                <w:bCs/>
                <w:sz w:val="18"/>
                <w:szCs w:val="18"/>
                <w:bdr w:val="none" w:sz="0" w:space="0" w:color="auto"/>
                <w:lang w:eastAsia="es-ES"/>
              </w:rPr>
            </w:pPr>
            <w:r>
              <w:rPr>
                <w:b/>
                <w:bCs/>
                <w:sz w:val="18"/>
                <w:szCs w:val="18"/>
              </w:rPr>
              <w:t>13.189.331,71</w:t>
            </w:r>
          </w:p>
        </w:tc>
        <w:tc>
          <w:tcPr>
            <w:tcW w:w="966" w:type="pct"/>
            <w:tcBorders>
              <w:top w:val="nil"/>
              <w:left w:val="nil"/>
              <w:right w:val="nil"/>
            </w:tcBorders>
            <w:shd w:val="clear" w:color="auto" w:fill="auto"/>
            <w:vAlign w:val="center"/>
            <w:hideMark/>
          </w:tcPr>
          <w:p w14:paraId="26901A69" w14:textId="40D67A16" w:rsidR="00240D34" w:rsidRPr="002D429A" w:rsidRDefault="00240D34" w:rsidP="00240D34">
            <w:pPr>
              <w:pBdr>
                <w:top w:val="none" w:sz="0" w:space="0" w:color="auto"/>
                <w:left w:val="none" w:sz="0" w:space="0" w:color="auto"/>
                <w:bottom w:val="none" w:sz="0" w:space="0" w:color="auto"/>
                <w:right w:val="none" w:sz="0" w:space="0" w:color="auto"/>
                <w:between w:val="none" w:sz="0" w:space="0" w:color="auto"/>
                <w:bar w:val="none" w:sz="0" w:color="auto"/>
              </w:pBdr>
              <w:jc w:val="right"/>
              <w:outlineLvl w:val="9"/>
              <w:rPr>
                <w:rFonts w:eastAsia="Times New Roman"/>
                <w:b/>
                <w:bCs/>
                <w:color w:val="auto"/>
                <w:sz w:val="18"/>
                <w:szCs w:val="18"/>
                <w:bdr w:val="none" w:sz="0" w:space="0" w:color="auto"/>
                <w:lang w:eastAsia="es-ES"/>
              </w:rPr>
            </w:pPr>
            <w:r>
              <w:rPr>
                <w:b/>
                <w:bCs/>
                <w:sz w:val="18"/>
                <w:szCs w:val="18"/>
              </w:rPr>
              <w:t>38.696.982,76</w:t>
            </w:r>
          </w:p>
        </w:tc>
      </w:tr>
      <w:tr w:rsidR="00382952" w:rsidRPr="002D429A" w14:paraId="4A95625C" w14:textId="77777777" w:rsidTr="004A2576">
        <w:trPr>
          <w:trHeight w:val="227"/>
        </w:trPr>
        <w:tc>
          <w:tcPr>
            <w:tcW w:w="2401" w:type="pct"/>
            <w:tcBorders>
              <w:top w:val="nil"/>
              <w:left w:val="nil"/>
              <w:bottom w:val="single" w:sz="4" w:space="0" w:color="auto"/>
              <w:right w:val="nil"/>
            </w:tcBorders>
            <w:shd w:val="clear" w:color="auto" w:fill="auto"/>
            <w:vAlign w:val="center"/>
            <w:hideMark/>
          </w:tcPr>
          <w:p w14:paraId="3DC7DCBE" w14:textId="77777777" w:rsidR="00382952" w:rsidRPr="002D429A" w:rsidRDefault="00382952" w:rsidP="00382952">
            <w:pPr>
              <w:pBdr>
                <w:top w:val="none" w:sz="0" w:space="0" w:color="auto"/>
                <w:left w:val="none" w:sz="0" w:space="0" w:color="auto"/>
                <w:bottom w:val="none" w:sz="0" w:space="0" w:color="auto"/>
                <w:right w:val="none" w:sz="0" w:space="0" w:color="auto"/>
                <w:between w:val="none" w:sz="0" w:space="0" w:color="auto"/>
                <w:bar w:val="none" w:sz="0" w:color="auto"/>
              </w:pBdr>
              <w:jc w:val="right"/>
              <w:outlineLvl w:val="9"/>
              <w:rPr>
                <w:rFonts w:eastAsia="Times New Roman"/>
                <w:b/>
                <w:bCs/>
                <w:color w:val="auto"/>
                <w:sz w:val="18"/>
                <w:szCs w:val="18"/>
                <w:bdr w:val="none" w:sz="0" w:space="0" w:color="auto"/>
                <w:lang w:eastAsia="es-ES"/>
              </w:rPr>
            </w:pPr>
          </w:p>
        </w:tc>
        <w:tc>
          <w:tcPr>
            <w:tcW w:w="668" w:type="pct"/>
            <w:tcBorders>
              <w:top w:val="nil"/>
              <w:left w:val="nil"/>
              <w:bottom w:val="single" w:sz="4" w:space="0" w:color="auto"/>
              <w:right w:val="nil"/>
            </w:tcBorders>
            <w:shd w:val="clear" w:color="auto" w:fill="auto"/>
            <w:vAlign w:val="center"/>
            <w:hideMark/>
          </w:tcPr>
          <w:p w14:paraId="376C48E8" w14:textId="77777777" w:rsidR="00382952" w:rsidRPr="002D429A" w:rsidRDefault="00382952" w:rsidP="00382952">
            <w:pPr>
              <w:pBdr>
                <w:top w:val="none" w:sz="0" w:space="0" w:color="auto"/>
                <w:left w:val="none" w:sz="0" w:space="0" w:color="auto"/>
                <w:bottom w:val="none" w:sz="0" w:space="0" w:color="auto"/>
                <w:right w:val="none" w:sz="0" w:space="0" w:color="auto"/>
                <w:between w:val="none" w:sz="0" w:space="0" w:color="auto"/>
                <w:bar w:val="none" w:sz="0" w:color="auto"/>
              </w:pBdr>
              <w:outlineLvl w:val="9"/>
              <w:rPr>
                <w:rFonts w:ascii="Times New Roman" w:eastAsia="Times New Roman" w:hAnsi="Times New Roman" w:cs="Times New Roman"/>
                <w:color w:val="auto"/>
                <w:sz w:val="20"/>
                <w:szCs w:val="20"/>
                <w:bdr w:val="none" w:sz="0" w:space="0" w:color="auto"/>
                <w:lang w:eastAsia="es-ES"/>
              </w:rPr>
            </w:pPr>
          </w:p>
        </w:tc>
        <w:tc>
          <w:tcPr>
            <w:tcW w:w="966" w:type="pct"/>
            <w:tcBorders>
              <w:top w:val="nil"/>
              <w:left w:val="nil"/>
              <w:bottom w:val="single" w:sz="4" w:space="0" w:color="auto"/>
              <w:right w:val="nil"/>
            </w:tcBorders>
            <w:shd w:val="clear" w:color="auto" w:fill="auto"/>
            <w:vAlign w:val="center"/>
          </w:tcPr>
          <w:p w14:paraId="5035B017" w14:textId="77777777" w:rsidR="00382952" w:rsidRPr="002D429A" w:rsidRDefault="00382952" w:rsidP="00382952">
            <w:pPr>
              <w:pBdr>
                <w:top w:val="none" w:sz="0" w:space="0" w:color="auto"/>
                <w:left w:val="none" w:sz="0" w:space="0" w:color="auto"/>
                <w:bottom w:val="none" w:sz="0" w:space="0" w:color="auto"/>
                <w:right w:val="none" w:sz="0" w:space="0" w:color="auto"/>
                <w:between w:val="none" w:sz="0" w:space="0" w:color="auto"/>
                <w:bar w:val="none" w:sz="0" w:color="auto"/>
              </w:pBdr>
              <w:jc w:val="right"/>
              <w:outlineLvl w:val="9"/>
              <w:rPr>
                <w:rFonts w:ascii="Times New Roman" w:eastAsia="Times New Roman" w:hAnsi="Times New Roman" w:cs="Times New Roman"/>
                <w:color w:val="auto"/>
                <w:sz w:val="20"/>
                <w:szCs w:val="20"/>
                <w:bdr w:val="none" w:sz="0" w:space="0" w:color="auto"/>
                <w:lang w:eastAsia="es-ES"/>
              </w:rPr>
            </w:pPr>
          </w:p>
        </w:tc>
        <w:tc>
          <w:tcPr>
            <w:tcW w:w="966" w:type="pct"/>
            <w:tcBorders>
              <w:top w:val="nil"/>
              <w:left w:val="nil"/>
              <w:bottom w:val="single" w:sz="4" w:space="0" w:color="auto"/>
              <w:right w:val="nil"/>
            </w:tcBorders>
            <w:shd w:val="clear" w:color="auto" w:fill="auto"/>
            <w:vAlign w:val="center"/>
            <w:hideMark/>
          </w:tcPr>
          <w:p w14:paraId="36B14AF5" w14:textId="77777777" w:rsidR="00382952" w:rsidRPr="002D429A" w:rsidRDefault="00382952" w:rsidP="00382952">
            <w:pPr>
              <w:pBdr>
                <w:top w:val="none" w:sz="0" w:space="0" w:color="auto"/>
                <w:left w:val="none" w:sz="0" w:space="0" w:color="auto"/>
                <w:bottom w:val="none" w:sz="0" w:space="0" w:color="auto"/>
                <w:right w:val="none" w:sz="0" w:space="0" w:color="auto"/>
                <w:between w:val="none" w:sz="0" w:space="0" w:color="auto"/>
                <w:bar w:val="none" w:sz="0" w:color="auto"/>
              </w:pBdr>
              <w:jc w:val="right"/>
              <w:outlineLvl w:val="9"/>
              <w:rPr>
                <w:rFonts w:ascii="Times New Roman" w:eastAsia="Times New Roman" w:hAnsi="Times New Roman" w:cs="Times New Roman"/>
                <w:color w:val="auto"/>
                <w:sz w:val="20"/>
                <w:szCs w:val="20"/>
                <w:bdr w:val="none" w:sz="0" w:space="0" w:color="auto"/>
                <w:lang w:eastAsia="es-ES"/>
              </w:rPr>
            </w:pPr>
          </w:p>
        </w:tc>
      </w:tr>
      <w:tr w:rsidR="00382952" w:rsidRPr="002D429A" w14:paraId="58FC67A1" w14:textId="77777777" w:rsidTr="004A2576">
        <w:trPr>
          <w:trHeight w:val="340"/>
        </w:trPr>
        <w:tc>
          <w:tcPr>
            <w:tcW w:w="2401" w:type="pct"/>
            <w:tcBorders>
              <w:top w:val="single" w:sz="4" w:space="0" w:color="auto"/>
              <w:left w:val="nil"/>
              <w:bottom w:val="single" w:sz="4" w:space="0" w:color="auto"/>
              <w:right w:val="nil"/>
            </w:tcBorders>
            <w:shd w:val="clear" w:color="auto" w:fill="F2F2F2" w:themeFill="background1" w:themeFillShade="F2"/>
            <w:vAlign w:val="center"/>
            <w:hideMark/>
          </w:tcPr>
          <w:p w14:paraId="5FEB3697" w14:textId="77777777" w:rsidR="00382952" w:rsidRPr="002D429A" w:rsidRDefault="00382952" w:rsidP="00382952">
            <w:pPr>
              <w:pBdr>
                <w:top w:val="none" w:sz="0" w:space="0" w:color="auto"/>
                <w:left w:val="none" w:sz="0" w:space="0" w:color="auto"/>
                <w:bottom w:val="none" w:sz="0" w:space="0" w:color="auto"/>
                <w:right w:val="none" w:sz="0" w:space="0" w:color="auto"/>
                <w:between w:val="none" w:sz="0" w:space="0" w:color="auto"/>
                <w:bar w:val="none" w:sz="0" w:color="auto"/>
              </w:pBdr>
              <w:outlineLvl w:val="9"/>
              <w:rPr>
                <w:rFonts w:eastAsia="Times New Roman"/>
                <w:b/>
                <w:bCs/>
                <w:sz w:val="18"/>
                <w:szCs w:val="18"/>
                <w:bdr w:val="none" w:sz="0" w:space="0" w:color="auto"/>
                <w:lang w:eastAsia="es-ES"/>
              </w:rPr>
            </w:pPr>
            <w:r w:rsidRPr="002D429A">
              <w:rPr>
                <w:rFonts w:eastAsia="Times New Roman"/>
                <w:b/>
                <w:bCs/>
                <w:sz w:val="18"/>
                <w:szCs w:val="18"/>
                <w:bdr w:val="none" w:sz="0" w:space="0" w:color="auto"/>
                <w:lang w:eastAsia="es-ES"/>
              </w:rPr>
              <w:t>TOTAL PATRIMONIO NETO Y PASIVO</w:t>
            </w:r>
          </w:p>
        </w:tc>
        <w:tc>
          <w:tcPr>
            <w:tcW w:w="668" w:type="pct"/>
            <w:tcBorders>
              <w:top w:val="single" w:sz="4" w:space="0" w:color="auto"/>
              <w:left w:val="nil"/>
              <w:bottom w:val="single" w:sz="4" w:space="0" w:color="auto"/>
              <w:right w:val="nil"/>
            </w:tcBorders>
            <w:shd w:val="clear" w:color="auto" w:fill="F2F2F2" w:themeFill="background1" w:themeFillShade="F2"/>
            <w:vAlign w:val="center"/>
            <w:hideMark/>
          </w:tcPr>
          <w:p w14:paraId="5D9A3085" w14:textId="77777777" w:rsidR="00382952" w:rsidRPr="002D429A" w:rsidRDefault="00382952" w:rsidP="00382952">
            <w:pPr>
              <w:pBdr>
                <w:top w:val="none" w:sz="0" w:space="0" w:color="auto"/>
                <w:left w:val="none" w:sz="0" w:space="0" w:color="auto"/>
                <w:bottom w:val="none" w:sz="0" w:space="0" w:color="auto"/>
                <w:right w:val="none" w:sz="0" w:space="0" w:color="auto"/>
                <w:between w:val="none" w:sz="0" w:space="0" w:color="auto"/>
                <w:bar w:val="none" w:sz="0" w:color="auto"/>
              </w:pBdr>
              <w:outlineLvl w:val="9"/>
              <w:rPr>
                <w:rFonts w:eastAsia="Times New Roman"/>
                <w:sz w:val="18"/>
                <w:szCs w:val="18"/>
                <w:bdr w:val="none" w:sz="0" w:space="0" w:color="auto"/>
                <w:lang w:eastAsia="es-ES"/>
              </w:rPr>
            </w:pPr>
            <w:r w:rsidRPr="002D429A">
              <w:rPr>
                <w:rFonts w:eastAsia="Times New Roman"/>
                <w:sz w:val="18"/>
                <w:szCs w:val="18"/>
                <w:bdr w:val="none" w:sz="0" w:space="0" w:color="auto"/>
                <w:lang w:eastAsia="es-ES"/>
              </w:rPr>
              <w:t> </w:t>
            </w:r>
          </w:p>
        </w:tc>
        <w:tc>
          <w:tcPr>
            <w:tcW w:w="966" w:type="pct"/>
            <w:tcBorders>
              <w:top w:val="single" w:sz="4" w:space="0" w:color="auto"/>
              <w:left w:val="nil"/>
              <w:bottom w:val="single" w:sz="4" w:space="0" w:color="auto"/>
              <w:right w:val="nil"/>
            </w:tcBorders>
            <w:shd w:val="clear" w:color="auto" w:fill="F2F2F2" w:themeFill="background1" w:themeFillShade="F2"/>
            <w:vAlign w:val="center"/>
          </w:tcPr>
          <w:p w14:paraId="7F444D35" w14:textId="49BD63C3" w:rsidR="00382952" w:rsidRPr="00240D34" w:rsidRDefault="00240D34" w:rsidP="00240D34">
            <w:pPr>
              <w:pBdr>
                <w:top w:val="none" w:sz="0" w:space="0" w:color="auto"/>
                <w:left w:val="none" w:sz="0" w:space="0" w:color="auto"/>
                <w:bottom w:val="none" w:sz="0" w:space="0" w:color="auto"/>
                <w:right w:val="none" w:sz="0" w:space="0" w:color="auto"/>
                <w:between w:val="none" w:sz="0" w:space="0" w:color="auto"/>
                <w:bar w:val="none" w:sz="0" w:color="auto"/>
              </w:pBdr>
              <w:jc w:val="right"/>
              <w:outlineLvl w:val="9"/>
              <w:rPr>
                <w:rFonts w:eastAsia="Times New Roman"/>
                <w:b/>
                <w:bCs/>
                <w:sz w:val="18"/>
                <w:szCs w:val="18"/>
                <w:bdr w:val="none" w:sz="0" w:space="0" w:color="auto"/>
                <w:lang w:eastAsia="es-ES"/>
              </w:rPr>
            </w:pPr>
            <w:r>
              <w:rPr>
                <w:b/>
                <w:bCs/>
                <w:sz w:val="18"/>
                <w:szCs w:val="18"/>
              </w:rPr>
              <w:t>32.994.619,94</w:t>
            </w:r>
          </w:p>
        </w:tc>
        <w:tc>
          <w:tcPr>
            <w:tcW w:w="966" w:type="pct"/>
            <w:tcBorders>
              <w:top w:val="single" w:sz="4" w:space="0" w:color="auto"/>
              <w:left w:val="nil"/>
              <w:bottom w:val="single" w:sz="4" w:space="0" w:color="auto"/>
              <w:right w:val="nil"/>
            </w:tcBorders>
            <w:shd w:val="clear" w:color="auto" w:fill="F2F2F2" w:themeFill="background1" w:themeFillShade="F2"/>
            <w:vAlign w:val="center"/>
            <w:hideMark/>
          </w:tcPr>
          <w:p w14:paraId="7A52E3DC" w14:textId="3A959C66" w:rsidR="00382952" w:rsidRDefault="003F79E8" w:rsidP="00382952">
            <w:pPr>
              <w:jc w:val="right"/>
              <w:rPr>
                <w:b/>
                <w:bCs/>
                <w:sz w:val="18"/>
                <w:szCs w:val="18"/>
              </w:rPr>
            </w:pPr>
            <w:r w:rsidRPr="003F79E8">
              <w:rPr>
                <w:b/>
                <w:bCs/>
                <w:sz w:val="18"/>
                <w:szCs w:val="18"/>
              </w:rPr>
              <w:t>53.593.054,82</w:t>
            </w:r>
          </w:p>
        </w:tc>
      </w:tr>
    </w:tbl>
    <w:p w14:paraId="37991720" w14:textId="3C84F3FB" w:rsidR="003A4111" w:rsidRPr="00BA5560" w:rsidRDefault="006220A2" w:rsidP="00BA5560">
      <w:pPr>
        <w:widowControl w:val="0"/>
        <w:tabs>
          <w:tab w:val="left" w:pos="737"/>
          <w:tab w:val="left" w:pos="1474"/>
          <w:tab w:val="left" w:pos="2324"/>
          <w:tab w:val="left" w:pos="4320"/>
          <w:tab w:val="left" w:pos="5040"/>
          <w:tab w:val="left" w:pos="5760"/>
          <w:tab w:val="left" w:pos="6480"/>
          <w:tab w:val="decimal" w:pos="6520"/>
          <w:tab w:val="left" w:pos="7200"/>
          <w:tab w:val="left" w:pos="7920"/>
          <w:tab w:val="right" w:pos="8505"/>
          <w:tab w:val="left" w:pos="8640"/>
        </w:tabs>
        <w:spacing w:before="120"/>
        <w:jc w:val="center"/>
        <w:outlineLvl w:val="9"/>
        <w:rPr>
          <w:i/>
          <w:iCs/>
          <w:sz w:val="18"/>
          <w:szCs w:val="18"/>
        </w:rPr>
      </w:pPr>
      <w:r w:rsidRPr="00BA5560">
        <w:rPr>
          <w:i/>
          <w:iCs/>
          <w:sz w:val="18"/>
          <w:szCs w:val="18"/>
        </w:rPr>
        <w:t>Las Cuentas Anuales de la Sociedad, que fo</w:t>
      </w:r>
      <w:r w:rsidR="002E3C11" w:rsidRPr="00BA5560">
        <w:rPr>
          <w:i/>
          <w:iCs/>
          <w:sz w:val="18"/>
          <w:szCs w:val="18"/>
        </w:rPr>
        <w:t>r</w:t>
      </w:r>
      <w:r w:rsidRPr="00BA5560">
        <w:rPr>
          <w:i/>
          <w:iCs/>
          <w:sz w:val="18"/>
          <w:szCs w:val="18"/>
        </w:rPr>
        <w:t>man una sola unidad, comprenden est</w:t>
      </w:r>
      <w:r w:rsidR="00052BF5" w:rsidRPr="00BA5560">
        <w:rPr>
          <w:i/>
          <w:iCs/>
          <w:sz w:val="18"/>
          <w:szCs w:val="18"/>
        </w:rPr>
        <w:t>e</w:t>
      </w:r>
      <w:r w:rsidRPr="00BA5560">
        <w:rPr>
          <w:i/>
          <w:iCs/>
          <w:sz w:val="18"/>
          <w:szCs w:val="18"/>
        </w:rPr>
        <w:t xml:space="preserve"> Balance, la Cuentas de Pérdidas y Ganancias, el Estado de Cambios en el Patrimonio Neto, el Estado de Flujos de Efectivo adjuntos y la Memoria Anual adjunta que consta de </w:t>
      </w:r>
      <w:r w:rsidR="00BC1D00" w:rsidRPr="00BA5560">
        <w:rPr>
          <w:i/>
          <w:iCs/>
          <w:sz w:val="18"/>
          <w:szCs w:val="18"/>
        </w:rPr>
        <w:t>20</w:t>
      </w:r>
      <w:r w:rsidRPr="00BA5560">
        <w:rPr>
          <w:i/>
          <w:iCs/>
          <w:sz w:val="18"/>
          <w:szCs w:val="18"/>
        </w:rPr>
        <w:t xml:space="preserve"> Notas</w:t>
      </w:r>
      <w:r w:rsidRPr="00BA5560">
        <w:rPr>
          <w:i/>
          <w:iCs/>
          <w:sz w:val="18"/>
          <w:szCs w:val="18"/>
        </w:rPr>
        <w:br w:type="page"/>
      </w:r>
    </w:p>
    <w:p w14:paraId="07190A5C" w14:textId="77777777" w:rsidR="006220A2" w:rsidRPr="0083433F" w:rsidRDefault="006220A2" w:rsidP="007825C6">
      <w:pPr>
        <w:widowControl w:val="0"/>
        <w:tabs>
          <w:tab w:val="left" w:pos="284"/>
          <w:tab w:val="left" w:pos="567"/>
          <w:tab w:val="left" w:pos="851"/>
        </w:tabs>
        <w:spacing w:line="280" w:lineRule="exact"/>
        <w:rPr>
          <w:b/>
          <w:snapToGrid w:val="0"/>
          <w:sz w:val="20"/>
        </w:rPr>
      </w:pPr>
      <w:r w:rsidRPr="0083433F">
        <w:rPr>
          <w:b/>
          <w:snapToGrid w:val="0"/>
          <w:sz w:val="20"/>
        </w:rPr>
        <w:t>PROMOTUR TURISMO CANARIAS, S.A.</w:t>
      </w:r>
    </w:p>
    <w:p w14:paraId="66AF15D4" w14:textId="40C5200E" w:rsidR="006220A2" w:rsidRDefault="006220A2" w:rsidP="007825C6">
      <w:pPr>
        <w:widowControl w:val="0"/>
        <w:tabs>
          <w:tab w:val="left" w:pos="737"/>
          <w:tab w:val="left" w:pos="1474"/>
          <w:tab w:val="left" w:pos="2324"/>
          <w:tab w:val="left" w:pos="4320"/>
          <w:tab w:val="left" w:pos="5040"/>
          <w:tab w:val="left" w:pos="5760"/>
          <w:tab w:val="left" w:pos="6480"/>
          <w:tab w:val="decimal" w:pos="6520"/>
          <w:tab w:val="left" w:pos="7200"/>
          <w:tab w:val="left" w:pos="7920"/>
          <w:tab w:val="right" w:pos="8505"/>
          <w:tab w:val="left" w:pos="8640"/>
        </w:tabs>
        <w:spacing w:line="280" w:lineRule="exact"/>
        <w:jc w:val="both"/>
        <w:rPr>
          <w:b/>
          <w:bCs/>
          <w:sz w:val="20"/>
        </w:rPr>
      </w:pPr>
      <w:r w:rsidRPr="0083433F">
        <w:rPr>
          <w:b/>
          <w:sz w:val="20"/>
        </w:rPr>
        <w:t>CUENTA DE PÉRDIDAS Y GANANCIAS CORRESPONDIENTE A</w:t>
      </w:r>
      <w:r w:rsidR="002E3C11">
        <w:rPr>
          <w:b/>
          <w:sz w:val="20"/>
        </w:rPr>
        <w:t xml:space="preserve"> </w:t>
      </w:r>
      <w:r w:rsidRPr="0083433F">
        <w:rPr>
          <w:b/>
          <w:sz w:val="20"/>
        </w:rPr>
        <w:t>L</w:t>
      </w:r>
      <w:r w:rsidR="002E3C11">
        <w:rPr>
          <w:b/>
          <w:sz w:val="20"/>
        </w:rPr>
        <w:t>OS</w:t>
      </w:r>
      <w:r w:rsidRPr="0083433F">
        <w:rPr>
          <w:b/>
          <w:sz w:val="20"/>
        </w:rPr>
        <w:t xml:space="preserve"> EJERCICIOS </w:t>
      </w:r>
      <w:r w:rsidR="00801015" w:rsidRPr="0083433F">
        <w:rPr>
          <w:b/>
          <w:sz w:val="20"/>
        </w:rPr>
        <w:t>20</w:t>
      </w:r>
      <w:r w:rsidR="006248B7">
        <w:rPr>
          <w:b/>
          <w:sz w:val="20"/>
        </w:rPr>
        <w:t>2</w:t>
      </w:r>
      <w:r w:rsidR="003F79E8">
        <w:rPr>
          <w:b/>
          <w:sz w:val="20"/>
        </w:rPr>
        <w:t>4</w:t>
      </w:r>
      <w:r w:rsidR="00801015" w:rsidRPr="0083433F">
        <w:rPr>
          <w:b/>
          <w:sz w:val="20"/>
        </w:rPr>
        <w:t xml:space="preserve"> Y 20</w:t>
      </w:r>
      <w:r w:rsidR="005A360B">
        <w:rPr>
          <w:b/>
          <w:sz w:val="20"/>
        </w:rPr>
        <w:t>2</w:t>
      </w:r>
      <w:r w:rsidR="003F79E8">
        <w:rPr>
          <w:b/>
          <w:sz w:val="20"/>
        </w:rPr>
        <w:t>3</w:t>
      </w:r>
      <w:r w:rsidRPr="0083433F">
        <w:rPr>
          <w:b/>
          <w:sz w:val="20"/>
        </w:rPr>
        <w:t xml:space="preserve"> </w:t>
      </w:r>
      <w:r w:rsidRPr="0083433F">
        <w:rPr>
          <w:b/>
          <w:bCs/>
          <w:sz w:val="20"/>
        </w:rPr>
        <w:t>(Expresada en euros)</w:t>
      </w:r>
    </w:p>
    <w:p w14:paraId="65E55EDF" w14:textId="77777777" w:rsidR="006248B7" w:rsidRPr="0083433F" w:rsidRDefault="006248B7" w:rsidP="007825C6">
      <w:pPr>
        <w:widowControl w:val="0"/>
        <w:tabs>
          <w:tab w:val="left" w:pos="737"/>
          <w:tab w:val="left" w:pos="1474"/>
          <w:tab w:val="left" w:pos="2324"/>
          <w:tab w:val="left" w:pos="4320"/>
          <w:tab w:val="left" w:pos="5040"/>
          <w:tab w:val="left" w:pos="5760"/>
          <w:tab w:val="left" w:pos="6480"/>
          <w:tab w:val="decimal" w:pos="6520"/>
          <w:tab w:val="left" w:pos="7200"/>
          <w:tab w:val="left" w:pos="7920"/>
          <w:tab w:val="right" w:pos="8505"/>
          <w:tab w:val="left" w:pos="8640"/>
        </w:tabs>
        <w:spacing w:line="280" w:lineRule="exact"/>
        <w:jc w:val="both"/>
        <w:rPr>
          <w:b/>
          <w:bCs/>
          <w:sz w:val="20"/>
        </w:rPr>
      </w:pPr>
    </w:p>
    <w:tbl>
      <w:tblPr>
        <w:tblW w:w="4994" w:type="pct"/>
        <w:jc w:val="center"/>
        <w:tblLayout w:type="fixed"/>
        <w:tblCellMar>
          <w:left w:w="70" w:type="dxa"/>
          <w:right w:w="70" w:type="dxa"/>
        </w:tblCellMar>
        <w:tblLook w:val="04A0" w:firstRow="1" w:lastRow="0" w:firstColumn="1" w:lastColumn="0" w:noHBand="0" w:noVBand="1"/>
      </w:tblPr>
      <w:tblGrid>
        <w:gridCol w:w="4708"/>
        <w:gridCol w:w="1192"/>
        <w:gridCol w:w="1577"/>
        <w:gridCol w:w="1577"/>
      </w:tblGrid>
      <w:tr w:rsidR="009A2A1E" w:rsidRPr="00992840" w14:paraId="24B71A05" w14:textId="77777777" w:rsidTr="007B50EC">
        <w:trPr>
          <w:trHeight w:val="340"/>
          <w:jc w:val="center"/>
        </w:trPr>
        <w:tc>
          <w:tcPr>
            <w:tcW w:w="2600" w:type="pct"/>
            <w:tcBorders>
              <w:top w:val="single" w:sz="4" w:space="0" w:color="auto"/>
              <w:left w:val="nil"/>
              <w:bottom w:val="single" w:sz="4" w:space="0" w:color="auto"/>
              <w:right w:val="nil"/>
            </w:tcBorders>
            <w:shd w:val="clear" w:color="auto" w:fill="D9D9D9" w:themeFill="background1" w:themeFillShade="D9"/>
            <w:noWrap/>
            <w:vAlign w:val="bottom"/>
            <w:hideMark/>
          </w:tcPr>
          <w:p w14:paraId="2B7590B1" w14:textId="77777777" w:rsidR="00BE76DE" w:rsidRPr="00992840" w:rsidRDefault="00BE76DE" w:rsidP="00B05CA5">
            <w:pPr>
              <w:pBdr>
                <w:top w:val="none" w:sz="0" w:space="0" w:color="auto"/>
                <w:left w:val="none" w:sz="0" w:space="0" w:color="auto"/>
                <w:bottom w:val="none" w:sz="0" w:space="0" w:color="auto"/>
                <w:right w:val="none" w:sz="0" w:space="0" w:color="auto"/>
                <w:between w:val="none" w:sz="0" w:space="0" w:color="auto"/>
                <w:bar w:val="none" w:sz="0" w:color="auto"/>
              </w:pBdr>
              <w:jc w:val="center"/>
              <w:outlineLvl w:val="9"/>
              <w:rPr>
                <w:rFonts w:eastAsia="Times New Roman"/>
                <w:b/>
                <w:bCs/>
                <w:sz w:val="18"/>
                <w:szCs w:val="18"/>
                <w:bdr w:val="none" w:sz="0" w:space="0" w:color="auto"/>
                <w:lang w:eastAsia="es-ES"/>
              </w:rPr>
            </w:pPr>
            <w:bookmarkStart w:id="0" w:name="RANGE!A1:E28"/>
            <w:r w:rsidRPr="00992840">
              <w:rPr>
                <w:rFonts w:eastAsia="Times New Roman"/>
                <w:b/>
                <w:bCs/>
                <w:sz w:val="18"/>
                <w:szCs w:val="18"/>
                <w:bdr w:val="none" w:sz="0" w:space="0" w:color="auto"/>
                <w:lang w:eastAsia="es-ES"/>
              </w:rPr>
              <w:t>CUENTA DE PÉRDIDAS Y GANANCIAS</w:t>
            </w:r>
            <w:bookmarkEnd w:id="0"/>
          </w:p>
        </w:tc>
        <w:tc>
          <w:tcPr>
            <w:tcW w:w="658" w:type="pct"/>
            <w:tcBorders>
              <w:top w:val="single" w:sz="4" w:space="0" w:color="auto"/>
              <w:left w:val="nil"/>
              <w:bottom w:val="single" w:sz="4" w:space="0" w:color="auto"/>
              <w:right w:val="nil"/>
            </w:tcBorders>
            <w:shd w:val="clear" w:color="auto" w:fill="D9D9D9" w:themeFill="background1" w:themeFillShade="D9"/>
            <w:noWrap/>
            <w:vAlign w:val="bottom"/>
            <w:hideMark/>
          </w:tcPr>
          <w:p w14:paraId="68D38020" w14:textId="77777777" w:rsidR="00052BF5" w:rsidRDefault="00052BF5" w:rsidP="00052BF5">
            <w:pPr>
              <w:pBdr>
                <w:top w:val="none" w:sz="0" w:space="0" w:color="auto"/>
                <w:left w:val="none" w:sz="0" w:space="0" w:color="auto"/>
                <w:bottom w:val="none" w:sz="0" w:space="0" w:color="auto"/>
                <w:right w:val="none" w:sz="0" w:space="0" w:color="auto"/>
                <w:between w:val="none" w:sz="0" w:space="0" w:color="auto"/>
                <w:bar w:val="none" w:sz="0" w:color="auto"/>
              </w:pBdr>
              <w:jc w:val="center"/>
              <w:outlineLvl w:val="9"/>
              <w:rPr>
                <w:rFonts w:eastAsia="Times New Roman"/>
                <w:b/>
                <w:bCs/>
                <w:sz w:val="18"/>
                <w:szCs w:val="18"/>
                <w:bdr w:val="none" w:sz="0" w:space="0" w:color="auto"/>
                <w:lang w:eastAsia="es-ES"/>
              </w:rPr>
            </w:pPr>
            <w:r w:rsidRPr="002D429A">
              <w:rPr>
                <w:rFonts w:eastAsia="Times New Roman"/>
                <w:b/>
                <w:bCs/>
                <w:sz w:val="18"/>
                <w:szCs w:val="18"/>
                <w:bdr w:val="none" w:sz="0" w:space="0" w:color="auto"/>
                <w:lang w:eastAsia="es-ES"/>
              </w:rPr>
              <w:t>Nota</w:t>
            </w:r>
            <w:r>
              <w:rPr>
                <w:rFonts w:eastAsia="Times New Roman"/>
                <w:b/>
                <w:bCs/>
                <w:sz w:val="18"/>
                <w:szCs w:val="18"/>
                <w:bdr w:val="none" w:sz="0" w:space="0" w:color="auto"/>
                <w:lang w:eastAsia="es-ES"/>
              </w:rPr>
              <w:t>s</w:t>
            </w:r>
          </w:p>
          <w:p w14:paraId="583C9D8E" w14:textId="14E73DF8" w:rsidR="00BE76DE" w:rsidRPr="00992840" w:rsidRDefault="00052BF5" w:rsidP="00052BF5">
            <w:pPr>
              <w:pBdr>
                <w:top w:val="none" w:sz="0" w:space="0" w:color="auto"/>
                <w:left w:val="none" w:sz="0" w:space="0" w:color="auto"/>
                <w:bottom w:val="none" w:sz="0" w:space="0" w:color="auto"/>
                <w:right w:val="none" w:sz="0" w:space="0" w:color="auto"/>
                <w:between w:val="none" w:sz="0" w:space="0" w:color="auto"/>
                <w:bar w:val="none" w:sz="0" w:color="auto"/>
              </w:pBdr>
              <w:jc w:val="center"/>
              <w:outlineLvl w:val="9"/>
              <w:rPr>
                <w:rFonts w:eastAsia="Times New Roman"/>
                <w:sz w:val="18"/>
                <w:szCs w:val="18"/>
                <w:bdr w:val="none" w:sz="0" w:space="0" w:color="auto"/>
                <w:lang w:eastAsia="es-ES"/>
              </w:rPr>
            </w:pPr>
            <w:r>
              <w:rPr>
                <w:rFonts w:eastAsia="Times New Roman"/>
                <w:b/>
                <w:bCs/>
                <w:sz w:val="18"/>
                <w:szCs w:val="18"/>
                <w:bdr w:val="none" w:sz="0" w:space="0" w:color="auto"/>
                <w:lang w:eastAsia="es-ES"/>
              </w:rPr>
              <w:t>Memoria</w:t>
            </w:r>
          </w:p>
        </w:tc>
        <w:tc>
          <w:tcPr>
            <w:tcW w:w="871" w:type="pct"/>
            <w:tcBorders>
              <w:top w:val="single" w:sz="4" w:space="0" w:color="auto"/>
              <w:left w:val="nil"/>
              <w:bottom w:val="single" w:sz="4" w:space="0" w:color="auto"/>
              <w:right w:val="nil"/>
            </w:tcBorders>
            <w:shd w:val="clear" w:color="auto" w:fill="D9D9D9" w:themeFill="background1" w:themeFillShade="D9"/>
            <w:noWrap/>
            <w:vAlign w:val="bottom"/>
          </w:tcPr>
          <w:p w14:paraId="287546D3" w14:textId="68C598BA" w:rsidR="00BE76DE" w:rsidRPr="00992840" w:rsidRDefault="00BE76DE" w:rsidP="00B05CA5">
            <w:pPr>
              <w:jc w:val="center"/>
              <w:rPr>
                <w:rFonts w:eastAsia="Times New Roman"/>
                <w:b/>
                <w:bCs/>
                <w:sz w:val="18"/>
                <w:szCs w:val="18"/>
                <w:bdr w:val="none" w:sz="0" w:space="0" w:color="auto"/>
                <w:lang w:eastAsia="es-ES"/>
              </w:rPr>
            </w:pPr>
            <w:r w:rsidRPr="00992840">
              <w:rPr>
                <w:rFonts w:eastAsia="Times New Roman"/>
                <w:b/>
                <w:bCs/>
                <w:sz w:val="18"/>
                <w:szCs w:val="18"/>
                <w:bdr w:val="none" w:sz="0" w:space="0" w:color="auto"/>
                <w:lang w:eastAsia="es-ES"/>
              </w:rPr>
              <w:t>202</w:t>
            </w:r>
            <w:r w:rsidR="003F79E8">
              <w:rPr>
                <w:rFonts w:eastAsia="Times New Roman"/>
                <w:b/>
                <w:bCs/>
                <w:sz w:val="18"/>
                <w:szCs w:val="18"/>
                <w:bdr w:val="none" w:sz="0" w:space="0" w:color="auto"/>
                <w:lang w:eastAsia="es-ES"/>
              </w:rPr>
              <w:t>4</w:t>
            </w:r>
          </w:p>
        </w:tc>
        <w:tc>
          <w:tcPr>
            <w:tcW w:w="871" w:type="pct"/>
            <w:tcBorders>
              <w:top w:val="single" w:sz="4" w:space="0" w:color="auto"/>
              <w:left w:val="nil"/>
              <w:bottom w:val="single" w:sz="4" w:space="0" w:color="auto"/>
              <w:right w:val="nil"/>
            </w:tcBorders>
            <w:shd w:val="clear" w:color="auto" w:fill="D9D9D9" w:themeFill="background1" w:themeFillShade="D9"/>
            <w:noWrap/>
            <w:vAlign w:val="bottom"/>
          </w:tcPr>
          <w:p w14:paraId="362AD842" w14:textId="14DECB19" w:rsidR="00BE76DE" w:rsidRPr="00992840" w:rsidRDefault="000E5AB3" w:rsidP="00B05CA5">
            <w:pPr>
              <w:jc w:val="center"/>
              <w:rPr>
                <w:rFonts w:eastAsia="Times New Roman"/>
                <w:b/>
                <w:bCs/>
                <w:sz w:val="18"/>
                <w:szCs w:val="18"/>
                <w:bdr w:val="none" w:sz="0" w:space="0" w:color="auto"/>
                <w:lang w:eastAsia="es-ES"/>
              </w:rPr>
            </w:pPr>
            <w:r>
              <w:rPr>
                <w:rFonts w:eastAsia="Times New Roman"/>
                <w:b/>
                <w:bCs/>
                <w:sz w:val="18"/>
                <w:szCs w:val="18"/>
                <w:bdr w:val="none" w:sz="0" w:space="0" w:color="auto"/>
                <w:lang w:eastAsia="es-ES"/>
              </w:rPr>
              <w:t>202</w:t>
            </w:r>
            <w:r w:rsidR="003F79E8">
              <w:rPr>
                <w:rFonts w:eastAsia="Times New Roman"/>
                <w:b/>
                <w:bCs/>
                <w:sz w:val="18"/>
                <w:szCs w:val="18"/>
                <w:bdr w:val="none" w:sz="0" w:space="0" w:color="auto"/>
                <w:lang w:eastAsia="es-ES"/>
              </w:rPr>
              <w:t>3</w:t>
            </w:r>
          </w:p>
        </w:tc>
      </w:tr>
      <w:tr w:rsidR="009A2A1E" w:rsidRPr="00992840" w14:paraId="662CA909" w14:textId="77777777" w:rsidTr="007B50EC">
        <w:trPr>
          <w:trHeight w:val="340"/>
          <w:jc w:val="center"/>
        </w:trPr>
        <w:tc>
          <w:tcPr>
            <w:tcW w:w="2600" w:type="pct"/>
            <w:tcBorders>
              <w:top w:val="single" w:sz="4" w:space="0" w:color="auto"/>
              <w:left w:val="nil"/>
              <w:bottom w:val="nil"/>
              <w:right w:val="nil"/>
            </w:tcBorders>
            <w:shd w:val="clear" w:color="auto" w:fill="auto"/>
            <w:noWrap/>
            <w:vAlign w:val="center"/>
            <w:hideMark/>
          </w:tcPr>
          <w:p w14:paraId="3FF3A06D" w14:textId="77777777" w:rsidR="00B05CA5" w:rsidRPr="00992840" w:rsidRDefault="00B05CA5" w:rsidP="006248B7">
            <w:pPr>
              <w:pBdr>
                <w:top w:val="none" w:sz="0" w:space="0" w:color="auto"/>
                <w:left w:val="none" w:sz="0" w:space="0" w:color="auto"/>
                <w:bottom w:val="none" w:sz="0" w:space="0" w:color="auto"/>
                <w:right w:val="none" w:sz="0" w:space="0" w:color="auto"/>
                <w:between w:val="none" w:sz="0" w:space="0" w:color="auto"/>
                <w:bar w:val="none" w:sz="0" w:color="auto"/>
              </w:pBdr>
              <w:outlineLvl w:val="9"/>
              <w:rPr>
                <w:rFonts w:eastAsia="Times New Roman"/>
                <w:b/>
                <w:bCs/>
                <w:sz w:val="18"/>
                <w:szCs w:val="18"/>
                <w:u w:val="single"/>
                <w:bdr w:val="none" w:sz="0" w:space="0" w:color="auto"/>
                <w:lang w:eastAsia="es-ES"/>
              </w:rPr>
            </w:pPr>
            <w:r w:rsidRPr="00992840">
              <w:rPr>
                <w:rFonts w:eastAsia="Times New Roman"/>
                <w:b/>
                <w:bCs/>
                <w:sz w:val="18"/>
                <w:szCs w:val="18"/>
                <w:u w:val="single"/>
                <w:bdr w:val="none" w:sz="0" w:space="0" w:color="auto"/>
                <w:lang w:eastAsia="es-ES"/>
              </w:rPr>
              <w:t>OPERACIONES CONTINUADAS</w:t>
            </w:r>
          </w:p>
        </w:tc>
        <w:tc>
          <w:tcPr>
            <w:tcW w:w="658" w:type="pct"/>
            <w:tcBorders>
              <w:top w:val="single" w:sz="4" w:space="0" w:color="auto"/>
              <w:left w:val="nil"/>
              <w:bottom w:val="nil"/>
              <w:right w:val="nil"/>
            </w:tcBorders>
            <w:shd w:val="clear" w:color="auto" w:fill="auto"/>
            <w:noWrap/>
            <w:vAlign w:val="center"/>
            <w:hideMark/>
          </w:tcPr>
          <w:p w14:paraId="005E5BF4" w14:textId="303BF456" w:rsidR="00B05CA5" w:rsidRPr="00F61C20" w:rsidRDefault="00B05CA5" w:rsidP="002E2791">
            <w:pPr>
              <w:pBdr>
                <w:top w:val="none" w:sz="0" w:space="0" w:color="auto"/>
                <w:left w:val="none" w:sz="0" w:space="0" w:color="auto"/>
                <w:bottom w:val="none" w:sz="0" w:space="0" w:color="auto"/>
                <w:right w:val="none" w:sz="0" w:space="0" w:color="auto"/>
                <w:between w:val="none" w:sz="0" w:space="0" w:color="auto"/>
                <w:bar w:val="none" w:sz="0" w:color="auto"/>
              </w:pBdr>
              <w:jc w:val="center"/>
              <w:outlineLvl w:val="9"/>
              <w:rPr>
                <w:rFonts w:eastAsia="Times New Roman"/>
                <w:sz w:val="18"/>
                <w:szCs w:val="18"/>
                <w:bdr w:val="none" w:sz="0" w:space="0" w:color="auto"/>
                <w:lang w:eastAsia="es-ES"/>
              </w:rPr>
            </w:pPr>
          </w:p>
        </w:tc>
        <w:tc>
          <w:tcPr>
            <w:tcW w:w="871" w:type="pct"/>
            <w:tcBorders>
              <w:top w:val="single" w:sz="4" w:space="0" w:color="auto"/>
              <w:left w:val="nil"/>
              <w:bottom w:val="nil"/>
              <w:right w:val="nil"/>
            </w:tcBorders>
            <w:shd w:val="clear" w:color="auto" w:fill="auto"/>
            <w:noWrap/>
            <w:vAlign w:val="center"/>
            <w:hideMark/>
          </w:tcPr>
          <w:p w14:paraId="3EFA57C3" w14:textId="77777777" w:rsidR="00B05CA5" w:rsidRPr="00992840" w:rsidRDefault="00B05CA5" w:rsidP="006248B7">
            <w:pPr>
              <w:pBdr>
                <w:top w:val="none" w:sz="0" w:space="0" w:color="auto"/>
                <w:left w:val="none" w:sz="0" w:space="0" w:color="auto"/>
                <w:bottom w:val="none" w:sz="0" w:space="0" w:color="auto"/>
                <w:right w:val="none" w:sz="0" w:space="0" w:color="auto"/>
                <w:between w:val="none" w:sz="0" w:space="0" w:color="auto"/>
                <w:bar w:val="none" w:sz="0" w:color="auto"/>
              </w:pBdr>
              <w:outlineLvl w:val="9"/>
              <w:rPr>
                <w:rFonts w:eastAsia="Times New Roman"/>
                <w:sz w:val="18"/>
                <w:szCs w:val="18"/>
                <w:bdr w:val="none" w:sz="0" w:space="0" w:color="auto"/>
                <w:lang w:eastAsia="es-ES"/>
              </w:rPr>
            </w:pPr>
            <w:r w:rsidRPr="00992840">
              <w:rPr>
                <w:rFonts w:eastAsia="Times New Roman"/>
                <w:sz w:val="18"/>
                <w:szCs w:val="18"/>
                <w:bdr w:val="none" w:sz="0" w:space="0" w:color="auto"/>
                <w:lang w:eastAsia="es-ES"/>
              </w:rPr>
              <w:t> </w:t>
            </w:r>
          </w:p>
        </w:tc>
        <w:tc>
          <w:tcPr>
            <w:tcW w:w="871" w:type="pct"/>
            <w:tcBorders>
              <w:top w:val="single" w:sz="4" w:space="0" w:color="auto"/>
              <w:left w:val="nil"/>
              <w:bottom w:val="nil"/>
              <w:right w:val="nil"/>
            </w:tcBorders>
            <w:shd w:val="clear" w:color="auto" w:fill="auto"/>
            <w:noWrap/>
            <w:vAlign w:val="center"/>
            <w:hideMark/>
          </w:tcPr>
          <w:p w14:paraId="2505AF8E" w14:textId="77777777" w:rsidR="00B05CA5" w:rsidRPr="00992840" w:rsidRDefault="00B05CA5" w:rsidP="006248B7">
            <w:pPr>
              <w:pBdr>
                <w:top w:val="none" w:sz="0" w:space="0" w:color="auto"/>
                <w:left w:val="none" w:sz="0" w:space="0" w:color="auto"/>
                <w:bottom w:val="none" w:sz="0" w:space="0" w:color="auto"/>
                <w:right w:val="none" w:sz="0" w:space="0" w:color="auto"/>
                <w:between w:val="none" w:sz="0" w:space="0" w:color="auto"/>
                <w:bar w:val="none" w:sz="0" w:color="auto"/>
              </w:pBdr>
              <w:outlineLvl w:val="9"/>
              <w:rPr>
                <w:rFonts w:eastAsia="Times New Roman"/>
                <w:sz w:val="18"/>
                <w:szCs w:val="18"/>
                <w:bdr w:val="none" w:sz="0" w:space="0" w:color="auto"/>
                <w:lang w:eastAsia="es-ES"/>
              </w:rPr>
            </w:pPr>
            <w:r w:rsidRPr="00992840">
              <w:rPr>
                <w:rFonts w:eastAsia="Times New Roman"/>
                <w:sz w:val="18"/>
                <w:szCs w:val="18"/>
                <w:bdr w:val="none" w:sz="0" w:space="0" w:color="auto"/>
                <w:lang w:eastAsia="es-ES"/>
              </w:rPr>
              <w:t> </w:t>
            </w:r>
          </w:p>
        </w:tc>
      </w:tr>
      <w:tr w:rsidR="001F4757" w:rsidRPr="00992840" w14:paraId="1B9D5023" w14:textId="77777777" w:rsidTr="00BA5560">
        <w:trPr>
          <w:trHeight w:val="340"/>
          <w:jc w:val="center"/>
        </w:trPr>
        <w:tc>
          <w:tcPr>
            <w:tcW w:w="2600" w:type="pct"/>
            <w:tcBorders>
              <w:top w:val="nil"/>
              <w:left w:val="nil"/>
              <w:bottom w:val="nil"/>
              <w:right w:val="nil"/>
            </w:tcBorders>
            <w:shd w:val="clear" w:color="auto" w:fill="auto"/>
            <w:noWrap/>
            <w:vAlign w:val="center"/>
            <w:hideMark/>
          </w:tcPr>
          <w:p w14:paraId="5A5D9EED" w14:textId="77777777" w:rsidR="001F4757" w:rsidRPr="00992840" w:rsidRDefault="001F4757" w:rsidP="001F4757">
            <w:pPr>
              <w:pBdr>
                <w:top w:val="none" w:sz="0" w:space="0" w:color="auto"/>
                <w:left w:val="none" w:sz="0" w:space="0" w:color="auto"/>
                <w:bottom w:val="none" w:sz="0" w:space="0" w:color="auto"/>
                <w:right w:val="none" w:sz="0" w:space="0" w:color="auto"/>
                <w:between w:val="none" w:sz="0" w:space="0" w:color="auto"/>
                <w:bar w:val="none" w:sz="0" w:color="auto"/>
              </w:pBdr>
              <w:outlineLvl w:val="9"/>
              <w:rPr>
                <w:rFonts w:eastAsia="Times New Roman"/>
                <w:b/>
                <w:bCs/>
                <w:sz w:val="18"/>
                <w:szCs w:val="18"/>
                <w:bdr w:val="none" w:sz="0" w:space="0" w:color="auto"/>
                <w:lang w:eastAsia="es-ES"/>
              </w:rPr>
            </w:pPr>
            <w:r w:rsidRPr="00992840">
              <w:rPr>
                <w:rFonts w:eastAsia="Times New Roman"/>
                <w:b/>
                <w:bCs/>
                <w:sz w:val="18"/>
                <w:szCs w:val="18"/>
                <w:bdr w:val="none" w:sz="0" w:space="0" w:color="auto"/>
                <w:lang w:eastAsia="es-ES"/>
              </w:rPr>
              <w:t>Importe neto de la cifra de negocios</w:t>
            </w:r>
          </w:p>
        </w:tc>
        <w:tc>
          <w:tcPr>
            <w:tcW w:w="658" w:type="pct"/>
            <w:tcBorders>
              <w:top w:val="nil"/>
              <w:left w:val="nil"/>
              <w:bottom w:val="nil"/>
              <w:right w:val="nil"/>
            </w:tcBorders>
            <w:shd w:val="clear" w:color="auto" w:fill="auto"/>
            <w:noWrap/>
            <w:vAlign w:val="center"/>
            <w:hideMark/>
          </w:tcPr>
          <w:p w14:paraId="54A6D013" w14:textId="3B42D73B" w:rsidR="001F4757" w:rsidRPr="00F61C20" w:rsidRDefault="001F4757" w:rsidP="001F4757">
            <w:pPr>
              <w:pBdr>
                <w:top w:val="none" w:sz="0" w:space="0" w:color="auto"/>
                <w:left w:val="none" w:sz="0" w:space="0" w:color="auto"/>
                <w:bottom w:val="none" w:sz="0" w:space="0" w:color="auto"/>
                <w:right w:val="none" w:sz="0" w:space="0" w:color="auto"/>
                <w:between w:val="none" w:sz="0" w:space="0" w:color="auto"/>
                <w:bar w:val="none" w:sz="0" w:color="auto"/>
              </w:pBdr>
              <w:jc w:val="center"/>
              <w:outlineLvl w:val="9"/>
              <w:rPr>
                <w:rFonts w:eastAsia="Times New Roman"/>
                <w:b/>
                <w:bCs/>
                <w:sz w:val="18"/>
                <w:szCs w:val="18"/>
                <w:bdr w:val="none" w:sz="0" w:space="0" w:color="auto"/>
                <w:lang w:eastAsia="es-ES"/>
              </w:rPr>
            </w:pPr>
            <w:r w:rsidRPr="00F61C20">
              <w:rPr>
                <w:rFonts w:eastAsia="Times New Roman"/>
                <w:b/>
                <w:bCs/>
                <w:sz w:val="18"/>
                <w:szCs w:val="18"/>
                <w:bdr w:val="none" w:sz="0" w:space="0" w:color="auto"/>
                <w:lang w:eastAsia="es-ES"/>
              </w:rPr>
              <w:t>12.a</w:t>
            </w:r>
            <w:r>
              <w:rPr>
                <w:rFonts w:eastAsia="Times New Roman"/>
                <w:b/>
                <w:bCs/>
                <w:sz w:val="18"/>
                <w:szCs w:val="18"/>
                <w:bdr w:val="none" w:sz="0" w:space="0" w:color="auto"/>
                <w:lang w:eastAsia="es-ES"/>
              </w:rPr>
              <w:t xml:space="preserve"> y 17.a</w:t>
            </w:r>
          </w:p>
        </w:tc>
        <w:tc>
          <w:tcPr>
            <w:tcW w:w="871" w:type="pct"/>
            <w:tcBorders>
              <w:top w:val="nil"/>
              <w:left w:val="nil"/>
              <w:bottom w:val="nil"/>
              <w:right w:val="nil"/>
            </w:tcBorders>
            <w:shd w:val="clear" w:color="auto" w:fill="auto"/>
            <w:noWrap/>
            <w:vAlign w:val="center"/>
          </w:tcPr>
          <w:p w14:paraId="1E894AE9" w14:textId="5E814F6B" w:rsidR="001F4757" w:rsidRPr="000E5AB3" w:rsidRDefault="001F4757" w:rsidP="001F4757">
            <w:pPr>
              <w:pBdr>
                <w:top w:val="none" w:sz="0" w:space="0" w:color="auto"/>
                <w:left w:val="none" w:sz="0" w:space="0" w:color="auto"/>
                <w:bottom w:val="none" w:sz="0" w:space="0" w:color="auto"/>
                <w:right w:val="none" w:sz="0" w:space="0" w:color="auto"/>
                <w:between w:val="none" w:sz="0" w:space="0" w:color="auto"/>
                <w:bar w:val="none" w:sz="0" w:color="auto"/>
              </w:pBdr>
              <w:jc w:val="right"/>
              <w:outlineLvl w:val="9"/>
              <w:rPr>
                <w:rFonts w:eastAsia="Times New Roman"/>
                <w:b/>
                <w:bCs/>
                <w:sz w:val="18"/>
                <w:szCs w:val="18"/>
                <w:bdr w:val="none" w:sz="0" w:space="0" w:color="auto"/>
                <w:lang w:eastAsia="es-ES"/>
              </w:rPr>
            </w:pPr>
            <w:r>
              <w:rPr>
                <w:b/>
                <w:bCs/>
                <w:sz w:val="18"/>
                <w:szCs w:val="18"/>
              </w:rPr>
              <w:t>811.576,34</w:t>
            </w:r>
          </w:p>
        </w:tc>
        <w:tc>
          <w:tcPr>
            <w:tcW w:w="871" w:type="pct"/>
            <w:tcBorders>
              <w:top w:val="nil"/>
              <w:left w:val="nil"/>
              <w:bottom w:val="nil"/>
              <w:right w:val="nil"/>
            </w:tcBorders>
            <w:shd w:val="clear" w:color="auto" w:fill="auto"/>
            <w:noWrap/>
            <w:vAlign w:val="center"/>
            <w:hideMark/>
          </w:tcPr>
          <w:p w14:paraId="140B969A" w14:textId="0EC2CD90" w:rsidR="001F4757" w:rsidRPr="00992840" w:rsidRDefault="001F4757" w:rsidP="001F4757">
            <w:pPr>
              <w:pBdr>
                <w:top w:val="none" w:sz="0" w:space="0" w:color="auto"/>
                <w:left w:val="none" w:sz="0" w:space="0" w:color="auto"/>
                <w:bottom w:val="none" w:sz="0" w:space="0" w:color="auto"/>
                <w:right w:val="none" w:sz="0" w:space="0" w:color="auto"/>
                <w:between w:val="none" w:sz="0" w:space="0" w:color="auto"/>
                <w:bar w:val="none" w:sz="0" w:color="auto"/>
              </w:pBdr>
              <w:jc w:val="right"/>
              <w:outlineLvl w:val="9"/>
              <w:rPr>
                <w:rFonts w:eastAsia="Times New Roman"/>
                <w:b/>
                <w:bCs/>
                <w:sz w:val="18"/>
                <w:szCs w:val="18"/>
                <w:bdr w:val="none" w:sz="0" w:space="0" w:color="auto"/>
                <w:lang w:eastAsia="es-ES"/>
              </w:rPr>
            </w:pPr>
            <w:r>
              <w:rPr>
                <w:b/>
                <w:bCs/>
                <w:sz w:val="18"/>
                <w:szCs w:val="18"/>
              </w:rPr>
              <w:t>278.650,74</w:t>
            </w:r>
          </w:p>
        </w:tc>
      </w:tr>
      <w:tr w:rsidR="001F4757" w:rsidRPr="00992840" w14:paraId="7977E99B" w14:textId="77777777" w:rsidTr="00BA5560">
        <w:trPr>
          <w:trHeight w:val="340"/>
          <w:jc w:val="center"/>
        </w:trPr>
        <w:tc>
          <w:tcPr>
            <w:tcW w:w="2600" w:type="pct"/>
            <w:tcBorders>
              <w:top w:val="nil"/>
              <w:left w:val="nil"/>
              <w:bottom w:val="nil"/>
              <w:right w:val="nil"/>
            </w:tcBorders>
            <w:shd w:val="clear" w:color="auto" w:fill="auto"/>
            <w:noWrap/>
            <w:vAlign w:val="center"/>
            <w:hideMark/>
          </w:tcPr>
          <w:p w14:paraId="7D181F69" w14:textId="77777777" w:rsidR="001F4757" w:rsidRPr="00992840" w:rsidRDefault="001F4757" w:rsidP="001F4757">
            <w:pPr>
              <w:pBdr>
                <w:top w:val="none" w:sz="0" w:space="0" w:color="auto"/>
                <w:left w:val="none" w:sz="0" w:space="0" w:color="auto"/>
                <w:bottom w:val="none" w:sz="0" w:space="0" w:color="auto"/>
                <w:right w:val="none" w:sz="0" w:space="0" w:color="auto"/>
                <w:between w:val="none" w:sz="0" w:space="0" w:color="auto"/>
                <w:bar w:val="none" w:sz="0" w:color="auto"/>
              </w:pBdr>
              <w:outlineLvl w:val="9"/>
              <w:rPr>
                <w:rFonts w:eastAsia="Times New Roman"/>
                <w:sz w:val="18"/>
                <w:szCs w:val="18"/>
                <w:bdr w:val="none" w:sz="0" w:space="0" w:color="auto"/>
                <w:lang w:eastAsia="es-ES"/>
              </w:rPr>
            </w:pPr>
            <w:r w:rsidRPr="00992840">
              <w:rPr>
                <w:rFonts w:eastAsia="Times New Roman"/>
                <w:sz w:val="18"/>
                <w:szCs w:val="18"/>
                <w:bdr w:val="none" w:sz="0" w:space="0" w:color="auto"/>
                <w:lang w:eastAsia="es-ES"/>
              </w:rPr>
              <w:t>Prestaciones de servicios</w:t>
            </w:r>
          </w:p>
        </w:tc>
        <w:tc>
          <w:tcPr>
            <w:tcW w:w="658" w:type="pct"/>
            <w:tcBorders>
              <w:top w:val="nil"/>
              <w:left w:val="nil"/>
              <w:bottom w:val="nil"/>
              <w:right w:val="nil"/>
            </w:tcBorders>
            <w:shd w:val="clear" w:color="auto" w:fill="auto"/>
            <w:noWrap/>
            <w:vAlign w:val="center"/>
            <w:hideMark/>
          </w:tcPr>
          <w:p w14:paraId="2179F10A" w14:textId="77777777" w:rsidR="001F4757" w:rsidRPr="00F61C20" w:rsidRDefault="001F4757" w:rsidP="001F4757">
            <w:pPr>
              <w:pBdr>
                <w:top w:val="none" w:sz="0" w:space="0" w:color="auto"/>
                <w:left w:val="none" w:sz="0" w:space="0" w:color="auto"/>
                <w:bottom w:val="none" w:sz="0" w:space="0" w:color="auto"/>
                <w:right w:val="none" w:sz="0" w:space="0" w:color="auto"/>
                <w:between w:val="none" w:sz="0" w:space="0" w:color="auto"/>
                <w:bar w:val="none" w:sz="0" w:color="auto"/>
              </w:pBdr>
              <w:jc w:val="center"/>
              <w:outlineLvl w:val="9"/>
              <w:rPr>
                <w:rFonts w:eastAsia="Times New Roman"/>
                <w:sz w:val="18"/>
                <w:szCs w:val="18"/>
                <w:bdr w:val="none" w:sz="0" w:space="0" w:color="auto"/>
                <w:lang w:eastAsia="es-ES"/>
              </w:rPr>
            </w:pPr>
          </w:p>
        </w:tc>
        <w:tc>
          <w:tcPr>
            <w:tcW w:w="871" w:type="pct"/>
            <w:tcBorders>
              <w:top w:val="nil"/>
              <w:left w:val="nil"/>
              <w:bottom w:val="nil"/>
              <w:right w:val="nil"/>
            </w:tcBorders>
            <w:shd w:val="clear" w:color="auto" w:fill="auto"/>
            <w:noWrap/>
            <w:vAlign w:val="center"/>
          </w:tcPr>
          <w:p w14:paraId="5E20C3B4" w14:textId="21D0A00D" w:rsidR="001F4757" w:rsidRPr="000E5AB3" w:rsidRDefault="001F4757" w:rsidP="001F4757">
            <w:pPr>
              <w:pBdr>
                <w:top w:val="none" w:sz="0" w:space="0" w:color="auto"/>
                <w:left w:val="none" w:sz="0" w:space="0" w:color="auto"/>
                <w:bottom w:val="none" w:sz="0" w:space="0" w:color="auto"/>
                <w:right w:val="none" w:sz="0" w:space="0" w:color="auto"/>
                <w:between w:val="none" w:sz="0" w:space="0" w:color="auto"/>
                <w:bar w:val="none" w:sz="0" w:color="auto"/>
              </w:pBdr>
              <w:jc w:val="right"/>
              <w:outlineLvl w:val="9"/>
              <w:rPr>
                <w:rFonts w:eastAsia="Times New Roman"/>
                <w:sz w:val="18"/>
                <w:szCs w:val="18"/>
                <w:bdr w:val="none" w:sz="0" w:space="0" w:color="auto"/>
                <w:lang w:eastAsia="es-ES"/>
              </w:rPr>
            </w:pPr>
            <w:r>
              <w:rPr>
                <w:sz w:val="18"/>
                <w:szCs w:val="18"/>
              </w:rPr>
              <w:t>811.576,34</w:t>
            </w:r>
          </w:p>
        </w:tc>
        <w:tc>
          <w:tcPr>
            <w:tcW w:w="871" w:type="pct"/>
            <w:tcBorders>
              <w:top w:val="nil"/>
              <w:left w:val="nil"/>
              <w:bottom w:val="nil"/>
              <w:right w:val="nil"/>
            </w:tcBorders>
            <w:shd w:val="clear" w:color="auto" w:fill="auto"/>
            <w:noWrap/>
            <w:vAlign w:val="center"/>
            <w:hideMark/>
          </w:tcPr>
          <w:p w14:paraId="2A00BDA3" w14:textId="6A96FE7B" w:rsidR="001F4757" w:rsidRPr="000E5AB3" w:rsidRDefault="001F4757" w:rsidP="001F4757">
            <w:pPr>
              <w:pBdr>
                <w:top w:val="none" w:sz="0" w:space="0" w:color="auto"/>
                <w:left w:val="none" w:sz="0" w:space="0" w:color="auto"/>
                <w:bottom w:val="none" w:sz="0" w:space="0" w:color="auto"/>
                <w:right w:val="none" w:sz="0" w:space="0" w:color="auto"/>
                <w:between w:val="none" w:sz="0" w:space="0" w:color="auto"/>
                <w:bar w:val="none" w:sz="0" w:color="auto"/>
              </w:pBdr>
              <w:jc w:val="right"/>
              <w:outlineLvl w:val="9"/>
              <w:rPr>
                <w:rFonts w:eastAsia="Times New Roman"/>
                <w:sz w:val="18"/>
                <w:szCs w:val="18"/>
                <w:bdr w:val="none" w:sz="0" w:space="0" w:color="auto"/>
                <w:lang w:eastAsia="es-ES"/>
              </w:rPr>
            </w:pPr>
            <w:r w:rsidRPr="000E5AB3">
              <w:rPr>
                <w:sz w:val="18"/>
                <w:szCs w:val="18"/>
              </w:rPr>
              <w:t>278.650,74</w:t>
            </w:r>
          </w:p>
        </w:tc>
      </w:tr>
      <w:tr w:rsidR="001F4757" w:rsidRPr="00992840" w14:paraId="4AD90003" w14:textId="77777777" w:rsidTr="00BA5560">
        <w:trPr>
          <w:trHeight w:val="340"/>
          <w:jc w:val="center"/>
        </w:trPr>
        <w:tc>
          <w:tcPr>
            <w:tcW w:w="2600" w:type="pct"/>
            <w:tcBorders>
              <w:top w:val="nil"/>
              <w:left w:val="nil"/>
              <w:bottom w:val="nil"/>
              <w:right w:val="nil"/>
            </w:tcBorders>
            <w:shd w:val="clear" w:color="auto" w:fill="auto"/>
            <w:noWrap/>
            <w:vAlign w:val="center"/>
            <w:hideMark/>
          </w:tcPr>
          <w:p w14:paraId="0849E5E2" w14:textId="77777777" w:rsidR="001F4757" w:rsidRPr="00992840" w:rsidRDefault="001F4757" w:rsidP="001F4757">
            <w:pPr>
              <w:pBdr>
                <w:top w:val="none" w:sz="0" w:space="0" w:color="auto"/>
                <w:left w:val="none" w:sz="0" w:space="0" w:color="auto"/>
                <w:bottom w:val="none" w:sz="0" w:space="0" w:color="auto"/>
                <w:right w:val="none" w:sz="0" w:space="0" w:color="auto"/>
                <w:between w:val="none" w:sz="0" w:space="0" w:color="auto"/>
                <w:bar w:val="none" w:sz="0" w:color="auto"/>
              </w:pBdr>
              <w:outlineLvl w:val="9"/>
              <w:rPr>
                <w:rFonts w:eastAsia="Times New Roman"/>
                <w:b/>
                <w:bCs/>
                <w:sz w:val="18"/>
                <w:szCs w:val="18"/>
                <w:bdr w:val="none" w:sz="0" w:space="0" w:color="auto"/>
                <w:lang w:eastAsia="es-ES"/>
              </w:rPr>
            </w:pPr>
            <w:r w:rsidRPr="00992840">
              <w:rPr>
                <w:rFonts w:eastAsia="Times New Roman"/>
                <w:b/>
                <w:bCs/>
                <w:sz w:val="18"/>
                <w:szCs w:val="18"/>
                <w:bdr w:val="none" w:sz="0" w:space="0" w:color="auto"/>
                <w:lang w:eastAsia="es-ES"/>
              </w:rPr>
              <w:t>Aprovisionamientos</w:t>
            </w:r>
          </w:p>
        </w:tc>
        <w:tc>
          <w:tcPr>
            <w:tcW w:w="658" w:type="pct"/>
            <w:tcBorders>
              <w:top w:val="nil"/>
              <w:left w:val="nil"/>
              <w:bottom w:val="nil"/>
              <w:right w:val="nil"/>
            </w:tcBorders>
            <w:shd w:val="clear" w:color="auto" w:fill="auto"/>
            <w:noWrap/>
            <w:vAlign w:val="center"/>
            <w:hideMark/>
          </w:tcPr>
          <w:p w14:paraId="1604CB46" w14:textId="77777777" w:rsidR="001F4757" w:rsidRPr="00F61C20" w:rsidRDefault="001F4757" w:rsidP="001F4757">
            <w:pPr>
              <w:pBdr>
                <w:top w:val="none" w:sz="0" w:space="0" w:color="auto"/>
                <w:left w:val="none" w:sz="0" w:space="0" w:color="auto"/>
                <w:bottom w:val="none" w:sz="0" w:space="0" w:color="auto"/>
                <w:right w:val="none" w:sz="0" w:space="0" w:color="auto"/>
                <w:between w:val="none" w:sz="0" w:space="0" w:color="auto"/>
                <w:bar w:val="none" w:sz="0" w:color="auto"/>
              </w:pBdr>
              <w:jc w:val="center"/>
              <w:outlineLvl w:val="9"/>
              <w:rPr>
                <w:rFonts w:eastAsia="Times New Roman"/>
                <w:b/>
                <w:bCs/>
                <w:sz w:val="18"/>
                <w:szCs w:val="18"/>
                <w:bdr w:val="none" w:sz="0" w:space="0" w:color="auto"/>
                <w:lang w:eastAsia="es-ES"/>
              </w:rPr>
            </w:pPr>
            <w:r w:rsidRPr="00F61C20">
              <w:rPr>
                <w:rFonts w:eastAsia="Times New Roman"/>
                <w:b/>
                <w:bCs/>
                <w:sz w:val="18"/>
                <w:szCs w:val="18"/>
                <w:bdr w:val="none" w:sz="0" w:space="0" w:color="auto"/>
                <w:lang w:eastAsia="es-ES"/>
              </w:rPr>
              <w:t>12.b</w:t>
            </w:r>
          </w:p>
        </w:tc>
        <w:tc>
          <w:tcPr>
            <w:tcW w:w="871" w:type="pct"/>
            <w:tcBorders>
              <w:top w:val="nil"/>
              <w:left w:val="nil"/>
              <w:bottom w:val="nil"/>
              <w:right w:val="nil"/>
            </w:tcBorders>
            <w:shd w:val="clear" w:color="auto" w:fill="auto"/>
            <w:noWrap/>
            <w:vAlign w:val="center"/>
          </w:tcPr>
          <w:p w14:paraId="50F6EA6F" w14:textId="5B98E6F1" w:rsidR="001F4757" w:rsidRPr="000E5AB3" w:rsidRDefault="001F4757" w:rsidP="001F4757">
            <w:pPr>
              <w:pBdr>
                <w:top w:val="none" w:sz="0" w:space="0" w:color="auto"/>
                <w:left w:val="none" w:sz="0" w:space="0" w:color="auto"/>
                <w:bottom w:val="none" w:sz="0" w:space="0" w:color="auto"/>
                <w:right w:val="none" w:sz="0" w:space="0" w:color="auto"/>
                <w:between w:val="none" w:sz="0" w:space="0" w:color="auto"/>
                <w:bar w:val="none" w:sz="0" w:color="auto"/>
              </w:pBdr>
              <w:jc w:val="right"/>
              <w:outlineLvl w:val="9"/>
              <w:rPr>
                <w:rFonts w:eastAsia="Times New Roman"/>
                <w:b/>
                <w:bCs/>
                <w:sz w:val="18"/>
                <w:szCs w:val="18"/>
                <w:bdr w:val="none" w:sz="0" w:space="0" w:color="auto"/>
                <w:lang w:eastAsia="es-ES"/>
              </w:rPr>
            </w:pPr>
            <w:r>
              <w:rPr>
                <w:b/>
                <w:bCs/>
                <w:sz w:val="18"/>
                <w:szCs w:val="18"/>
              </w:rPr>
              <w:t>(49.199.808,29)</w:t>
            </w:r>
          </w:p>
        </w:tc>
        <w:tc>
          <w:tcPr>
            <w:tcW w:w="871" w:type="pct"/>
            <w:tcBorders>
              <w:top w:val="nil"/>
              <w:left w:val="nil"/>
              <w:bottom w:val="nil"/>
              <w:right w:val="nil"/>
            </w:tcBorders>
            <w:shd w:val="clear" w:color="auto" w:fill="auto"/>
            <w:noWrap/>
            <w:vAlign w:val="center"/>
            <w:hideMark/>
          </w:tcPr>
          <w:p w14:paraId="2B8C9265" w14:textId="49945612" w:rsidR="001F4757" w:rsidRPr="00992840" w:rsidRDefault="001F4757" w:rsidP="001F4757">
            <w:pPr>
              <w:pBdr>
                <w:top w:val="none" w:sz="0" w:space="0" w:color="auto"/>
                <w:left w:val="none" w:sz="0" w:space="0" w:color="auto"/>
                <w:bottom w:val="none" w:sz="0" w:space="0" w:color="auto"/>
                <w:right w:val="none" w:sz="0" w:space="0" w:color="auto"/>
                <w:between w:val="none" w:sz="0" w:space="0" w:color="auto"/>
                <w:bar w:val="none" w:sz="0" w:color="auto"/>
              </w:pBdr>
              <w:jc w:val="right"/>
              <w:outlineLvl w:val="9"/>
              <w:rPr>
                <w:rFonts w:eastAsia="Times New Roman"/>
                <w:b/>
                <w:bCs/>
                <w:sz w:val="18"/>
                <w:szCs w:val="18"/>
                <w:bdr w:val="none" w:sz="0" w:space="0" w:color="auto"/>
                <w:lang w:eastAsia="es-ES"/>
              </w:rPr>
            </w:pPr>
            <w:r>
              <w:rPr>
                <w:b/>
                <w:bCs/>
                <w:sz w:val="18"/>
                <w:szCs w:val="18"/>
              </w:rPr>
              <w:t>(47.226.197,07)</w:t>
            </w:r>
          </w:p>
        </w:tc>
      </w:tr>
      <w:tr w:rsidR="001F4757" w:rsidRPr="00992840" w14:paraId="6A349C6C" w14:textId="77777777" w:rsidTr="00BA5560">
        <w:trPr>
          <w:trHeight w:val="340"/>
          <w:jc w:val="center"/>
        </w:trPr>
        <w:tc>
          <w:tcPr>
            <w:tcW w:w="2600" w:type="pct"/>
            <w:tcBorders>
              <w:top w:val="nil"/>
              <w:left w:val="nil"/>
              <w:bottom w:val="nil"/>
              <w:right w:val="nil"/>
            </w:tcBorders>
            <w:shd w:val="clear" w:color="auto" w:fill="auto"/>
            <w:noWrap/>
            <w:vAlign w:val="center"/>
            <w:hideMark/>
          </w:tcPr>
          <w:p w14:paraId="01E24C55" w14:textId="77777777" w:rsidR="001F4757" w:rsidRPr="00992840" w:rsidRDefault="001F4757" w:rsidP="001F4757">
            <w:pPr>
              <w:pBdr>
                <w:top w:val="none" w:sz="0" w:space="0" w:color="auto"/>
                <w:left w:val="none" w:sz="0" w:space="0" w:color="auto"/>
                <w:bottom w:val="none" w:sz="0" w:space="0" w:color="auto"/>
                <w:right w:val="none" w:sz="0" w:space="0" w:color="auto"/>
                <w:between w:val="none" w:sz="0" w:space="0" w:color="auto"/>
                <w:bar w:val="none" w:sz="0" w:color="auto"/>
              </w:pBdr>
              <w:outlineLvl w:val="9"/>
              <w:rPr>
                <w:rFonts w:eastAsia="Times New Roman"/>
                <w:sz w:val="18"/>
                <w:szCs w:val="18"/>
                <w:bdr w:val="none" w:sz="0" w:space="0" w:color="auto"/>
                <w:lang w:eastAsia="es-ES"/>
              </w:rPr>
            </w:pPr>
            <w:r w:rsidRPr="00992840">
              <w:rPr>
                <w:rFonts w:eastAsia="Times New Roman"/>
                <w:sz w:val="18"/>
                <w:szCs w:val="18"/>
                <w:bdr w:val="none" w:sz="0" w:space="0" w:color="auto"/>
                <w:lang w:eastAsia="es-ES"/>
              </w:rPr>
              <w:t>Trabajos realizados por otras empresas</w:t>
            </w:r>
          </w:p>
        </w:tc>
        <w:tc>
          <w:tcPr>
            <w:tcW w:w="658" w:type="pct"/>
            <w:tcBorders>
              <w:top w:val="nil"/>
              <w:left w:val="nil"/>
              <w:bottom w:val="nil"/>
              <w:right w:val="nil"/>
            </w:tcBorders>
            <w:shd w:val="clear" w:color="auto" w:fill="auto"/>
            <w:noWrap/>
            <w:vAlign w:val="center"/>
            <w:hideMark/>
          </w:tcPr>
          <w:p w14:paraId="6197192A" w14:textId="77777777" w:rsidR="001F4757" w:rsidRPr="00F61C20" w:rsidRDefault="001F4757" w:rsidP="001F4757">
            <w:pPr>
              <w:pBdr>
                <w:top w:val="none" w:sz="0" w:space="0" w:color="auto"/>
                <w:left w:val="none" w:sz="0" w:space="0" w:color="auto"/>
                <w:bottom w:val="none" w:sz="0" w:space="0" w:color="auto"/>
                <w:right w:val="none" w:sz="0" w:space="0" w:color="auto"/>
                <w:between w:val="none" w:sz="0" w:space="0" w:color="auto"/>
                <w:bar w:val="none" w:sz="0" w:color="auto"/>
              </w:pBdr>
              <w:jc w:val="center"/>
              <w:outlineLvl w:val="9"/>
              <w:rPr>
                <w:rFonts w:eastAsia="Times New Roman"/>
                <w:sz w:val="18"/>
                <w:szCs w:val="18"/>
                <w:bdr w:val="none" w:sz="0" w:space="0" w:color="auto"/>
                <w:lang w:eastAsia="es-ES"/>
              </w:rPr>
            </w:pPr>
          </w:p>
        </w:tc>
        <w:tc>
          <w:tcPr>
            <w:tcW w:w="871" w:type="pct"/>
            <w:tcBorders>
              <w:top w:val="nil"/>
              <w:left w:val="nil"/>
              <w:bottom w:val="nil"/>
              <w:right w:val="nil"/>
            </w:tcBorders>
            <w:shd w:val="clear" w:color="auto" w:fill="auto"/>
            <w:noWrap/>
            <w:vAlign w:val="center"/>
          </w:tcPr>
          <w:p w14:paraId="7CAD5A9D" w14:textId="13E08BB0" w:rsidR="001F4757" w:rsidRPr="000E5AB3" w:rsidRDefault="001F4757" w:rsidP="001F4757">
            <w:pPr>
              <w:pBdr>
                <w:top w:val="none" w:sz="0" w:space="0" w:color="auto"/>
                <w:left w:val="none" w:sz="0" w:space="0" w:color="auto"/>
                <w:bottom w:val="none" w:sz="0" w:space="0" w:color="auto"/>
                <w:right w:val="none" w:sz="0" w:space="0" w:color="auto"/>
                <w:between w:val="none" w:sz="0" w:space="0" w:color="auto"/>
                <w:bar w:val="none" w:sz="0" w:color="auto"/>
              </w:pBdr>
              <w:jc w:val="right"/>
              <w:outlineLvl w:val="9"/>
              <w:rPr>
                <w:rFonts w:eastAsia="Times New Roman"/>
                <w:sz w:val="18"/>
                <w:szCs w:val="18"/>
                <w:bdr w:val="none" w:sz="0" w:space="0" w:color="auto"/>
                <w:lang w:eastAsia="es-ES"/>
              </w:rPr>
            </w:pPr>
            <w:r>
              <w:rPr>
                <w:sz w:val="18"/>
                <w:szCs w:val="18"/>
              </w:rPr>
              <w:t>(49.199.808,29)</w:t>
            </w:r>
          </w:p>
        </w:tc>
        <w:tc>
          <w:tcPr>
            <w:tcW w:w="871" w:type="pct"/>
            <w:tcBorders>
              <w:top w:val="nil"/>
              <w:left w:val="nil"/>
              <w:bottom w:val="nil"/>
              <w:right w:val="nil"/>
            </w:tcBorders>
            <w:shd w:val="clear" w:color="auto" w:fill="auto"/>
            <w:noWrap/>
            <w:vAlign w:val="center"/>
            <w:hideMark/>
          </w:tcPr>
          <w:p w14:paraId="217A41A2" w14:textId="3298703D" w:rsidR="001F4757" w:rsidRPr="00992840" w:rsidRDefault="001F4757" w:rsidP="001F4757">
            <w:pPr>
              <w:pBdr>
                <w:top w:val="none" w:sz="0" w:space="0" w:color="auto"/>
                <w:left w:val="none" w:sz="0" w:space="0" w:color="auto"/>
                <w:bottom w:val="none" w:sz="0" w:space="0" w:color="auto"/>
                <w:right w:val="none" w:sz="0" w:space="0" w:color="auto"/>
                <w:between w:val="none" w:sz="0" w:space="0" w:color="auto"/>
                <w:bar w:val="none" w:sz="0" w:color="auto"/>
              </w:pBdr>
              <w:jc w:val="right"/>
              <w:outlineLvl w:val="9"/>
              <w:rPr>
                <w:rFonts w:eastAsia="Times New Roman"/>
                <w:sz w:val="18"/>
                <w:szCs w:val="18"/>
                <w:bdr w:val="none" w:sz="0" w:space="0" w:color="auto"/>
                <w:lang w:eastAsia="es-ES"/>
              </w:rPr>
            </w:pPr>
            <w:r>
              <w:rPr>
                <w:sz w:val="18"/>
                <w:szCs w:val="18"/>
              </w:rPr>
              <w:t>(47.226.197,07)</w:t>
            </w:r>
          </w:p>
        </w:tc>
      </w:tr>
      <w:tr w:rsidR="001F4757" w:rsidRPr="00992840" w14:paraId="27B5ED4D" w14:textId="77777777" w:rsidTr="00BA5560">
        <w:trPr>
          <w:trHeight w:val="340"/>
          <w:jc w:val="center"/>
        </w:trPr>
        <w:tc>
          <w:tcPr>
            <w:tcW w:w="2600" w:type="pct"/>
            <w:tcBorders>
              <w:top w:val="nil"/>
              <w:left w:val="nil"/>
              <w:bottom w:val="nil"/>
              <w:right w:val="nil"/>
            </w:tcBorders>
            <w:shd w:val="clear" w:color="auto" w:fill="auto"/>
            <w:noWrap/>
            <w:vAlign w:val="center"/>
            <w:hideMark/>
          </w:tcPr>
          <w:p w14:paraId="7F61BA64" w14:textId="77777777" w:rsidR="001F4757" w:rsidRPr="00BB2CD8" w:rsidRDefault="001F4757" w:rsidP="001F4757">
            <w:pPr>
              <w:pBdr>
                <w:top w:val="none" w:sz="0" w:space="0" w:color="auto"/>
                <w:left w:val="none" w:sz="0" w:space="0" w:color="auto"/>
                <w:bottom w:val="none" w:sz="0" w:space="0" w:color="auto"/>
                <w:right w:val="none" w:sz="0" w:space="0" w:color="auto"/>
                <w:between w:val="none" w:sz="0" w:space="0" w:color="auto"/>
                <w:bar w:val="none" w:sz="0" w:color="auto"/>
              </w:pBdr>
              <w:outlineLvl w:val="9"/>
              <w:rPr>
                <w:rFonts w:eastAsia="Times New Roman"/>
                <w:b/>
                <w:bCs/>
                <w:sz w:val="18"/>
                <w:szCs w:val="18"/>
                <w:bdr w:val="none" w:sz="0" w:space="0" w:color="auto"/>
                <w:lang w:eastAsia="es-ES"/>
              </w:rPr>
            </w:pPr>
            <w:r w:rsidRPr="00BB2CD8">
              <w:rPr>
                <w:rFonts w:eastAsia="Times New Roman"/>
                <w:b/>
                <w:bCs/>
                <w:sz w:val="18"/>
                <w:szCs w:val="18"/>
                <w:bdr w:val="none" w:sz="0" w:space="0" w:color="auto"/>
                <w:lang w:eastAsia="es-ES"/>
              </w:rPr>
              <w:t>Otros ingresos de explotación</w:t>
            </w:r>
          </w:p>
        </w:tc>
        <w:tc>
          <w:tcPr>
            <w:tcW w:w="658" w:type="pct"/>
            <w:tcBorders>
              <w:top w:val="nil"/>
              <w:left w:val="nil"/>
              <w:bottom w:val="nil"/>
              <w:right w:val="nil"/>
            </w:tcBorders>
            <w:shd w:val="clear" w:color="auto" w:fill="auto"/>
            <w:noWrap/>
            <w:vAlign w:val="center"/>
            <w:hideMark/>
          </w:tcPr>
          <w:p w14:paraId="63388264" w14:textId="77777777" w:rsidR="001F4757" w:rsidRPr="00F61C20" w:rsidRDefault="001F4757" w:rsidP="001F4757">
            <w:pPr>
              <w:pBdr>
                <w:top w:val="none" w:sz="0" w:space="0" w:color="auto"/>
                <w:left w:val="none" w:sz="0" w:space="0" w:color="auto"/>
                <w:bottom w:val="none" w:sz="0" w:space="0" w:color="auto"/>
                <w:right w:val="none" w:sz="0" w:space="0" w:color="auto"/>
                <w:between w:val="none" w:sz="0" w:space="0" w:color="auto"/>
                <w:bar w:val="none" w:sz="0" w:color="auto"/>
              </w:pBdr>
              <w:jc w:val="center"/>
              <w:outlineLvl w:val="9"/>
              <w:rPr>
                <w:rFonts w:eastAsia="Times New Roman"/>
                <w:b/>
                <w:bCs/>
                <w:sz w:val="18"/>
                <w:szCs w:val="18"/>
                <w:bdr w:val="none" w:sz="0" w:space="0" w:color="auto"/>
                <w:lang w:eastAsia="es-ES"/>
              </w:rPr>
            </w:pPr>
            <w:r w:rsidRPr="00F61C20">
              <w:rPr>
                <w:rFonts w:eastAsia="Times New Roman"/>
                <w:b/>
                <w:bCs/>
                <w:sz w:val="18"/>
                <w:szCs w:val="18"/>
                <w:bdr w:val="none" w:sz="0" w:space="0" w:color="auto"/>
                <w:lang w:eastAsia="es-ES"/>
              </w:rPr>
              <w:t>12.a</w:t>
            </w:r>
          </w:p>
        </w:tc>
        <w:tc>
          <w:tcPr>
            <w:tcW w:w="871" w:type="pct"/>
            <w:tcBorders>
              <w:top w:val="nil"/>
              <w:left w:val="nil"/>
              <w:bottom w:val="nil"/>
              <w:right w:val="nil"/>
            </w:tcBorders>
            <w:shd w:val="clear" w:color="auto" w:fill="auto"/>
            <w:noWrap/>
            <w:vAlign w:val="center"/>
          </w:tcPr>
          <w:p w14:paraId="09EF1E1C" w14:textId="285B9423" w:rsidR="001F4757" w:rsidRPr="000E5AB3" w:rsidRDefault="001F4757" w:rsidP="001F4757">
            <w:pPr>
              <w:pBdr>
                <w:top w:val="none" w:sz="0" w:space="0" w:color="auto"/>
                <w:left w:val="none" w:sz="0" w:space="0" w:color="auto"/>
                <w:bottom w:val="none" w:sz="0" w:space="0" w:color="auto"/>
                <w:right w:val="none" w:sz="0" w:space="0" w:color="auto"/>
                <w:between w:val="none" w:sz="0" w:space="0" w:color="auto"/>
                <w:bar w:val="none" w:sz="0" w:color="auto"/>
              </w:pBdr>
              <w:jc w:val="right"/>
              <w:outlineLvl w:val="9"/>
              <w:rPr>
                <w:rFonts w:eastAsia="Times New Roman"/>
                <w:b/>
                <w:bCs/>
                <w:sz w:val="18"/>
                <w:szCs w:val="18"/>
                <w:bdr w:val="none" w:sz="0" w:space="0" w:color="auto"/>
                <w:lang w:eastAsia="es-ES"/>
              </w:rPr>
            </w:pPr>
            <w:r>
              <w:rPr>
                <w:b/>
                <w:bCs/>
                <w:sz w:val="18"/>
                <w:szCs w:val="18"/>
              </w:rPr>
              <w:t>48.631.654,58</w:t>
            </w:r>
          </w:p>
        </w:tc>
        <w:tc>
          <w:tcPr>
            <w:tcW w:w="871" w:type="pct"/>
            <w:tcBorders>
              <w:top w:val="nil"/>
              <w:left w:val="nil"/>
              <w:bottom w:val="nil"/>
              <w:right w:val="nil"/>
            </w:tcBorders>
            <w:shd w:val="clear" w:color="auto" w:fill="auto"/>
            <w:noWrap/>
            <w:vAlign w:val="center"/>
            <w:hideMark/>
          </w:tcPr>
          <w:p w14:paraId="3562BB3D" w14:textId="0704AB5F" w:rsidR="001F4757" w:rsidRPr="00992840" w:rsidRDefault="001F4757" w:rsidP="001F4757">
            <w:pPr>
              <w:pBdr>
                <w:top w:val="none" w:sz="0" w:space="0" w:color="auto"/>
                <w:left w:val="none" w:sz="0" w:space="0" w:color="auto"/>
                <w:bottom w:val="none" w:sz="0" w:space="0" w:color="auto"/>
                <w:right w:val="none" w:sz="0" w:space="0" w:color="auto"/>
                <w:between w:val="none" w:sz="0" w:space="0" w:color="auto"/>
                <w:bar w:val="none" w:sz="0" w:color="auto"/>
              </w:pBdr>
              <w:jc w:val="right"/>
              <w:outlineLvl w:val="9"/>
              <w:rPr>
                <w:rFonts w:eastAsia="Times New Roman"/>
                <w:b/>
                <w:bCs/>
                <w:sz w:val="18"/>
                <w:szCs w:val="18"/>
                <w:bdr w:val="none" w:sz="0" w:space="0" w:color="auto"/>
                <w:lang w:eastAsia="es-ES"/>
              </w:rPr>
            </w:pPr>
            <w:r>
              <w:rPr>
                <w:b/>
                <w:bCs/>
                <w:sz w:val="18"/>
                <w:szCs w:val="18"/>
              </w:rPr>
              <w:t>47.052.733,71</w:t>
            </w:r>
          </w:p>
        </w:tc>
      </w:tr>
      <w:tr w:rsidR="001F4757" w:rsidRPr="00992840" w14:paraId="726D69A1" w14:textId="77777777" w:rsidTr="00BA5560">
        <w:trPr>
          <w:trHeight w:val="340"/>
          <w:jc w:val="center"/>
        </w:trPr>
        <w:tc>
          <w:tcPr>
            <w:tcW w:w="2600" w:type="pct"/>
            <w:tcBorders>
              <w:top w:val="nil"/>
              <w:left w:val="nil"/>
              <w:bottom w:val="nil"/>
              <w:right w:val="nil"/>
            </w:tcBorders>
            <w:shd w:val="clear" w:color="auto" w:fill="auto"/>
            <w:noWrap/>
            <w:vAlign w:val="center"/>
            <w:hideMark/>
          </w:tcPr>
          <w:p w14:paraId="095D6A28" w14:textId="77777777" w:rsidR="001F4757" w:rsidRPr="00992840" w:rsidRDefault="001F4757" w:rsidP="001F4757">
            <w:pPr>
              <w:pBdr>
                <w:top w:val="none" w:sz="0" w:space="0" w:color="auto"/>
                <w:left w:val="none" w:sz="0" w:space="0" w:color="auto"/>
                <w:bottom w:val="none" w:sz="0" w:space="0" w:color="auto"/>
                <w:right w:val="none" w:sz="0" w:space="0" w:color="auto"/>
                <w:between w:val="none" w:sz="0" w:space="0" w:color="auto"/>
                <w:bar w:val="none" w:sz="0" w:color="auto"/>
              </w:pBdr>
              <w:outlineLvl w:val="9"/>
              <w:rPr>
                <w:rFonts w:eastAsia="Times New Roman"/>
                <w:sz w:val="18"/>
                <w:szCs w:val="18"/>
                <w:bdr w:val="none" w:sz="0" w:space="0" w:color="auto"/>
                <w:lang w:eastAsia="es-ES"/>
              </w:rPr>
            </w:pPr>
            <w:r w:rsidRPr="00992840">
              <w:rPr>
                <w:rFonts w:eastAsia="Times New Roman"/>
                <w:sz w:val="18"/>
                <w:szCs w:val="18"/>
                <w:bdr w:val="none" w:sz="0" w:space="0" w:color="auto"/>
                <w:lang w:eastAsia="es-ES"/>
              </w:rPr>
              <w:t>Ingresos accesorios y otros de gestión corriente</w:t>
            </w:r>
          </w:p>
        </w:tc>
        <w:tc>
          <w:tcPr>
            <w:tcW w:w="658" w:type="pct"/>
            <w:tcBorders>
              <w:top w:val="nil"/>
              <w:left w:val="nil"/>
              <w:bottom w:val="nil"/>
              <w:right w:val="nil"/>
            </w:tcBorders>
            <w:shd w:val="clear" w:color="auto" w:fill="auto"/>
            <w:noWrap/>
            <w:vAlign w:val="center"/>
            <w:hideMark/>
          </w:tcPr>
          <w:p w14:paraId="5FBE496F" w14:textId="77777777" w:rsidR="001F4757" w:rsidRPr="00F61C20" w:rsidRDefault="001F4757" w:rsidP="001F4757">
            <w:pPr>
              <w:pBdr>
                <w:top w:val="none" w:sz="0" w:space="0" w:color="auto"/>
                <w:left w:val="none" w:sz="0" w:space="0" w:color="auto"/>
                <w:bottom w:val="none" w:sz="0" w:space="0" w:color="auto"/>
                <w:right w:val="none" w:sz="0" w:space="0" w:color="auto"/>
                <w:between w:val="none" w:sz="0" w:space="0" w:color="auto"/>
                <w:bar w:val="none" w:sz="0" w:color="auto"/>
              </w:pBdr>
              <w:jc w:val="center"/>
              <w:outlineLvl w:val="9"/>
              <w:rPr>
                <w:rFonts w:eastAsia="Times New Roman"/>
                <w:sz w:val="18"/>
                <w:szCs w:val="18"/>
                <w:bdr w:val="none" w:sz="0" w:space="0" w:color="auto"/>
                <w:lang w:eastAsia="es-ES"/>
              </w:rPr>
            </w:pPr>
          </w:p>
        </w:tc>
        <w:tc>
          <w:tcPr>
            <w:tcW w:w="871" w:type="pct"/>
            <w:tcBorders>
              <w:top w:val="nil"/>
              <w:left w:val="nil"/>
              <w:bottom w:val="nil"/>
              <w:right w:val="nil"/>
            </w:tcBorders>
            <w:shd w:val="clear" w:color="auto" w:fill="auto"/>
            <w:noWrap/>
            <w:vAlign w:val="center"/>
          </w:tcPr>
          <w:p w14:paraId="22141D6A" w14:textId="5C4EDB34" w:rsidR="001F4757" w:rsidRPr="00992840" w:rsidRDefault="001F4757" w:rsidP="001F4757">
            <w:pPr>
              <w:pBdr>
                <w:top w:val="none" w:sz="0" w:space="0" w:color="auto"/>
                <w:left w:val="none" w:sz="0" w:space="0" w:color="auto"/>
                <w:bottom w:val="none" w:sz="0" w:space="0" w:color="auto"/>
                <w:right w:val="none" w:sz="0" w:space="0" w:color="auto"/>
                <w:between w:val="none" w:sz="0" w:space="0" w:color="auto"/>
                <w:bar w:val="none" w:sz="0" w:color="auto"/>
              </w:pBdr>
              <w:jc w:val="right"/>
              <w:outlineLvl w:val="9"/>
              <w:rPr>
                <w:rFonts w:eastAsia="Times New Roman"/>
                <w:sz w:val="18"/>
                <w:szCs w:val="18"/>
                <w:bdr w:val="none" w:sz="0" w:space="0" w:color="auto"/>
                <w:lang w:eastAsia="es-ES"/>
              </w:rPr>
            </w:pPr>
            <w:r>
              <w:rPr>
                <w:sz w:val="18"/>
                <w:szCs w:val="18"/>
              </w:rPr>
              <w:t>385.338,16</w:t>
            </w:r>
          </w:p>
        </w:tc>
        <w:tc>
          <w:tcPr>
            <w:tcW w:w="871" w:type="pct"/>
            <w:tcBorders>
              <w:top w:val="nil"/>
              <w:left w:val="nil"/>
              <w:bottom w:val="nil"/>
              <w:right w:val="nil"/>
            </w:tcBorders>
            <w:shd w:val="clear" w:color="auto" w:fill="auto"/>
            <w:noWrap/>
            <w:vAlign w:val="center"/>
            <w:hideMark/>
          </w:tcPr>
          <w:p w14:paraId="78B9292C" w14:textId="7B4829A2" w:rsidR="001F4757" w:rsidRPr="00992840" w:rsidRDefault="001F4757" w:rsidP="001F4757">
            <w:pPr>
              <w:pBdr>
                <w:top w:val="none" w:sz="0" w:space="0" w:color="auto"/>
                <w:left w:val="none" w:sz="0" w:space="0" w:color="auto"/>
                <w:bottom w:val="none" w:sz="0" w:space="0" w:color="auto"/>
                <w:right w:val="none" w:sz="0" w:space="0" w:color="auto"/>
                <w:between w:val="none" w:sz="0" w:space="0" w:color="auto"/>
                <w:bar w:val="none" w:sz="0" w:color="auto"/>
              </w:pBdr>
              <w:jc w:val="right"/>
              <w:outlineLvl w:val="9"/>
              <w:rPr>
                <w:rFonts w:eastAsia="Times New Roman"/>
                <w:sz w:val="18"/>
                <w:szCs w:val="18"/>
                <w:bdr w:val="none" w:sz="0" w:space="0" w:color="auto"/>
                <w:lang w:eastAsia="es-ES"/>
              </w:rPr>
            </w:pPr>
            <w:r w:rsidRPr="000E5AB3">
              <w:rPr>
                <w:rFonts w:eastAsia="Times New Roman"/>
                <w:sz w:val="18"/>
                <w:szCs w:val="18"/>
                <w:bdr w:val="none" w:sz="0" w:space="0" w:color="auto"/>
                <w:lang w:eastAsia="es-ES"/>
              </w:rPr>
              <w:t>308.839,43</w:t>
            </w:r>
          </w:p>
        </w:tc>
      </w:tr>
      <w:tr w:rsidR="001F4757" w:rsidRPr="00992840" w14:paraId="3B99A28B" w14:textId="77777777" w:rsidTr="00BA5560">
        <w:trPr>
          <w:trHeight w:val="340"/>
          <w:jc w:val="center"/>
        </w:trPr>
        <w:tc>
          <w:tcPr>
            <w:tcW w:w="2600" w:type="pct"/>
            <w:tcBorders>
              <w:top w:val="nil"/>
              <w:left w:val="nil"/>
              <w:bottom w:val="nil"/>
              <w:right w:val="nil"/>
            </w:tcBorders>
            <w:shd w:val="clear" w:color="auto" w:fill="auto"/>
            <w:noWrap/>
            <w:vAlign w:val="center"/>
          </w:tcPr>
          <w:p w14:paraId="6A7A2E03" w14:textId="77777777" w:rsidR="001F4757" w:rsidRPr="00992840" w:rsidRDefault="001F4757" w:rsidP="001F4757">
            <w:pPr>
              <w:pBdr>
                <w:top w:val="none" w:sz="0" w:space="0" w:color="auto"/>
                <w:left w:val="none" w:sz="0" w:space="0" w:color="auto"/>
                <w:bottom w:val="none" w:sz="0" w:space="0" w:color="auto"/>
                <w:right w:val="none" w:sz="0" w:space="0" w:color="auto"/>
                <w:between w:val="none" w:sz="0" w:space="0" w:color="auto"/>
                <w:bar w:val="none" w:sz="0" w:color="auto"/>
              </w:pBdr>
              <w:outlineLvl w:val="9"/>
              <w:rPr>
                <w:rFonts w:eastAsia="Times New Roman"/>
                <w:sz w:val="18"/>
                <w:szCs w:val="18"/>
                <w:bdr w:val="none" w:sz="0" w:space="0" w:color="auto"/>
                <w:lang w:eastAsia="es-ES"/>
              </w:rPr>
            </w:pPr>
            <w:r w:rsidRPr="00992840">
              <w:rPr>
                <w:rFonts w:eastAsia="Times New Roman"/>
                <w:sz w:val="18"/>
                <w:szCs w:val="18"/>
                <w:bdr w:val="none" w:sz="0" w:space="0" w:color="auto"/>
                <w:lang w:eastAsia="es-ES"/>
              </w:rPr>
              <w:t>Subvenciones de explotación incorporadas al resultado</w:t>
            </w:r>
          </w:p>
        </w:tc>
        <w:tc>
          <w:tcPr>
            <w:tcW w:w="658" w:type="pct"/>
            <w:tcBorders>
              <w:top w:val="nil"/>
              <w:left w:val="nil"/>
              <w:bottom w:val="nil"/>
              <w:right w:val="nil"/>
            </w:tcBorders>
            <w:shd w:val="clear" w:color="auto" w:fill="auto"/>
            <w:noWrap/>
            <w:vAlign w:val="center"/>
          </w:tcPr>
          <w:p w14:paraId="6C4411EA" w14:textId="60FB1EED" w:rsidR="001F4757" w:rsidRPr="00F61C20" w:rsidRDefault="001F4757" w:rsidP="001F4757">
            <w:pPr>
              <w:pBdr>
                <w:top w:val="none" w:sz="0" w:space="0" w:color="auto"/>
                <w:left w:val="none" w:sz="0" w:space="0" w:color="auto"/>
                <w:bottom w:val="none" w:sz="0" w:space="0" w:color="auto"/>
                <w:right w:val="none" w:sz="0" w:space="0" w:color="auto"/>
                <w:between w:val="none" w:sz="0" w:space="0" w:color="auto"/>
                <w:bar w:val="none" w:sz="0" w:color="auto"/>
              </w:pBdr>
              <w:jc w:val="center"/>
              <w:outlineLvl w:val="9"/>
              <w:rPr>
                <w:rFonts w:eastAsia="Times New Roman"/>
                <w:sz w:val="18"/>
                <w:szCs w:val="18"/>
                <w:bdr w:val="none" w:sz="0" w:space="0" w:color="auto"/>
                <w:lang w:eastAsia="es-ES"/>
              </w:rPr>
            </w:pPr>
            <w:r w:rsidRPr="00F61C20">
              <w:rPr>
                <w:rFonts w:eastAsia="Times New Roman"/>
                <w:sz w:val="18"/>
                <w:szCs w:val="18"/>
                <w:bdr w:val="none" w:sz="0" w:space="0" w:color="auto"/>
                <w:lang w:eastAsia="es-ES"/>
              </w:rPr>
              <w:t>15.2</w:t>
            </w:r>
            <w:r>
              <w:rPr>
                <w:rFonts w:eastAsia="Times New Roman"/>
                <w:sz w:val="18"/>
                <w:szCs w:val="18"/>
                <w:bdr w:val="none" w:sz="0" w:space="0" w:color="auto"/>
                <w:lang w:eastAsia="es-ES"/>
              </w:rPr>
              <w:t xml:space="preserve"> y 17.a</w:t>
            </w:r>
          </w:p>
        </w:tc>
        <w:tc>
          <w:tcPr>
            <w:tcW w:w="871" w:type="pct"/>
            <w:tcBorders>
              <w:top w:val="nil"/>
              <w:left w:val="nil"/>
              <w:bottom w:val="nil"/>
              <w:right w:val="nil"/>
            </w:tcBorders>
            <w:shd w:val="clear" w:color="auto" w:fill="auto"/>
            <w:noWrap/>
            <w:vAlign w:val="center"/>
          </w:tcPr>
          <w:p w14:paraId="0A701C45" w14:textId="583C4796" w:rsidR="001F4757" w:rsidRPr="00085996" w:rsidRDefault="001F4757" w:rsidP="001F4757">
            <w:pPr>
              <w:pBdr>
                <w:top w:val="none" w:sz="0" w:space="0" w:color="auto"/>
                <w:left w:val="none" w:sz="0" w:space="0" w:color="auto"/>
                <w:bottom w:val="none" w:sz="0" w:space="0" w:color="auto"/>
                <w:right w:val="none" w:sz="0" w:space="0" w:color="auto"/>
                <w:between w:val="none" w:sz="0" w:space="0" w:color="auto"/>
                <w:bar w:val="none" w:sz="0" w:color="auto"/>
              </w:pBdr>
              <w:jc w:val="right"/>
              <w:outlineLvl w:val="9"/>
              <w:rPr>
                <w:rFonts w:eastAsia="Times New Roman"/>
                <w:sz w:val="18"/>
                <w:szCs w:val="18"/>
                <w:bdr w:val="none" w:sz="0" w:space="0" w:color="auto"/>
                <w:lang w:eastAsia="es-ES"/>
              </w:rPr>
            </w:pPr>
            <w:r>
              <w:rPr>
                <w:sz w:val="18"/>
                <w:szCs w:val="18"/>
              </w:rPr>
              <w:t>48.246.316,42</w:t>
            </w:r>
          </w:p>
        </w:tc>
        <w:tc>
          <w:tcPr>
            <w:tcW w:w="871" w:type="pct"/>
            <w:tcBorders>
              <w:top w:val="nil"/>
              <w:left w:val="nil"/>
              <w:bottom w:val="nil"/>
              <w:right w:val="nil"/>
            </w:tcBorders>
            <w:shd w:val="clear" w:color="auto" w:fill="auto"/>
            <w:noWrap/>
            <w:vAlign w:val="center"/>
          </w:tcPr>
          <w:p w14:paraId="09F94A07" w14:textId="28E2E8E7" w:rsidR="001F4757" w:rsidRPr="00992840" w:rsidRDefault="001F4757" w:rsidP="001F4757">
            <w:pPr>
              <w:pBdr>
                <w:top w:val="none" w:sz="0" w:space="0" w:color="auto"/>
                <w:left w:val="none" w:sz="0" w:space="0" w:color="auto"/>
                <w:bottom w:val="none" w:sz="0" w:space="0" w:color="auto"/>
                <w:right w:val="none" w:sz="0" w:space="0" w:color="auto"/>
                <w:between w:val="none" w:sz="0" w:space="0" w:color="auto"/>
                <w:bar w:val="none" w:sz="0" w:color="auto"/>
              </w:pBdr>
              <w:jc w:val="right"/>
              <w:outlineLvl w:val="9"/>
              <w:rPr>
                <w:rFonts w:eastAsia="Times New Roman"/>
                <w:sz w:val="18"/>
                <w:szCs w:val="18"/>
                <w:bdr w:val="none" w:sz="0" w:space="0" w:color="auto"/>
                <w:lang w:eastAsia="es-ES"/>
              </w:rPr>
            </w:pPr>
            <w:r w:rsidRPr="000E5AB3">
              <w:rPr>
                <w:rFonts w:eastAsia="Times New Roman"/>
                <w:sz w:val="18"/>
                <w:szCs w:val="18"/>
                <w:bdr w:val="none" w:sz="0" w:space="0" w:color="auto"/>
                <w:lang w:eastAsia="es-ES"/>
              </w:rPr>
              <w:t>46.743.894,28</w:t>
            </w:r>
          </w:p>
        </w:tc>
      </w:tr>
      <w:tr w:rsidR="001F4757" w:rsidRPr="00992840" w14:paraId="3CC473FB" w14:textId="77777777" w:rsidTr="00BA5560">
        <w:trPr>
          <w:trHeight w:val="340"/>
          <w:jc w:val="center"/>
        </w:trPr>
        <w:tc>
          <w:tcPr>
            <w:tcW w:w="2600" w:type="pct"/>
            <w:tcBorders>
              <w:top w:val="nil"/>
              <w:left w:val="nil"/>
              <w:bottom w:val="nil"/>
              <w:right w:val="nil"/>
            </w:tcBorders>
            <w:shd w:val="clear" w:color="auto" w:fill="auto"/>
            <w:noWrap/>
            <w:vAlign w:val="center"/>
            <w:hideMark/>
          </w:tcPr>
          <w:p w14:paraId="0FFD8A96" w14:textId="77777777" w:rsidR="001F4757" w:rsidRPr="00992840" w:rsidRDefault="001F4757" w:rsidP="001F4757">
            <w:pPr>
              <w:pBdr>
                <w:top w:val="none" w:sz="0" w:space="0" w:color="auto"/>
                <w:left w:val="none" w:sz="0" w:space="0" w:color="auto"/>
                <w:bottom w:val="none" w:sz="0" w:space="0" w:color="auto"/>
                <w:right w:val="none" w:sz="0" w:space="0" w:color="auto"/>
                <w:between w:val="none" w:sz="0" w:space="0" w:color="auto"/>
                <w:bar w:val="none" w:sz="0" w:color="auto"/>
              </w:pBdr>
              <w:outlineLvl w:val="9"/>
              <w:rPr>
                <w:rFonts w:eastAsia="Times New Roman"/>
                <w:b/>
                <w:bCs/>
                <w:sz w:val="18"/>
                <w:szCs w:val="18"/>
                <w:bdr w:val="none" w:sz="0" w:space="0" w:color="auto"/>
                <w:lang w:eastAsia="es-ES"/>
              </w:rPr>
            </w:pPr>
            <w:r w:rsidRPr="00992840">
              <w:rPr>
                <w:rFonts w:eastAsia="Times New Roman"/>
                <w:b/>
                <w:bCs/>
                <w:sz w:val="18"/>
                <w:szCs w:val="18"/>
                <w:bdr w:val="none" w:sz="0" w:space="0" w:color="auto"/>
                <w:lang w:eastAsia="es-ES"/>
              </w:rPr>
              <w:t>Gastos de personal</w:t>
            </w:r>
          </w:p>
        </w:tc>
        <w:tc>
          <w:tcPr>
            <w:tcW w:w="658" w:type="pct"/>
            <w:tcBorders>
              <w:top w:val="nil"/>
              <w:left w:val="nil"/>
              <w:bottom w:val="nil"/>
              <w:right w:val="nil"/>
            </w:tcBorders>
            <w:shd w:val="clear" w:color="auto" w:fill="auto"/>
            <w:noWrap/>
            <w:vAlign w:val="center"/>
            <w:hideMark/>
          </w:tcPr>
          <w:p w14:paraId="0CBA590A" w14:textId="77777777" w:rsidR="001F4757" w:rsidRPr="00F61C20" w:rsidRDefault="001F4757" w:rsidP="001F4757">
            <w:pPr>
              <w:pBdr>
                <w:top w:val="none" w:sz="0" w:space="0" w:color="auto"/>
                <w:left w:val="none" w:sz="0" w:space="0" w:color="auto"/>
                <w:bottom w:val="none" w:sz="0" w:space="0" w:color="auto"/>
                <w:right w:val="none" w:sz="0" w:space="0" w:color="auto"/>
                <w:between w:val="none" w:sz="0" w:space="0" w:color="auto"/>
                <w:bar w:val="none" w:sz="0" w:color="auto"/>
              </w:pBdr>
              <w:jc w:val="center"/>
              <w:outlineLvl w:val="9"/>
              <w:rPr>
                <w:rFonts w:eastAsia="Times New Roman"/>
                <w:b/>
                <w:bCs/>
                <w:sz w:val="18"/>
                <w:szCs w:val="18"/>
                <w:bdr w:val="none" w:sz="0" w:space="0" w:color="auto"/>
                <w:lang w:eastAsia="es-ES"/>
              </w:rPr>
            </w:pPr>
            <w:r w:rsidRPr="00F61C20">
              <w:rPr>
                <w:rFonts w:eastAsia="Times New Roman"/>
                <w:b/>
                <w:bCs/>
                <w:sz w:val="18"/>
                <w:szCs w:val="18"/>
                <w:bdr w:val="none" w:sz="0" w:space="0" w:color="auto"/>
                <w:lang w:eastAsia="es-ES"/>
              </w:rPr>
              <w:t>12.c</w:t>
            </w:r>
          </w:p>
        </w:tc>
        <w:tc>
          <w:tcPr>
            <w:tcW w:w="871" w:type="pct"/>
            <w:tcBorders>
              <w:top w:val="nil"/>
              <w:left w:val="nil"/>
              <w:bottom w:val="nil"/>
              <w:right w:val="nil"/>
            </w:tcBorders>
            <w:shd w:val="clear" w:color="auto" w:fill="auto"/>
            <w:noWrap/>
            <w:vAlign w:val="center"/>
          </w:tcPr>
          <w:p w14:paraId="63F67F1E" w14:textId="1B931C56" w:rsidR="001F4757" w:rsidRPr="000E5AB3" w:rsidRDefault="001F4757" w:rsidP="001F4757">
            <w:pPr>
              <w:pBdr>
                <w:top w:val="none" w:sz="0" w:space="0" w:color="auto"/>
                <w:left w:val="none" w:sz="0" w:space="0" w:color="auto"/>
                <w:bottom w:val="none" w:sz="0" w:space="0" w:color="auto"/>
                <w:right w:val="none" w:sz="0" w:space="0" w:color="auto"/>
                <w:between w:val="none" w:sz="0" w:space="0" w:color="auto"/>
                <w:bar w:val="none" w:sz="0" w:color="auto"/>
              </w:pBdr>
              <w:jc w:val="right"/>
              <w:outlineLvl w:val="9"/>
              <w:rPr>
                <w:rFonts w:eastAsia="Times New Roman"/>
                <w:b/>
                <w:bCs/>
                <w:sz w:val="18"/>
                <w:szCs w:val="18"/>
                <w:bdr w:val="none" w:sz="0" w:space="0" w:color="auto"/>
                <w:lang w:eastAsia="es-ES"/>
              </w:rPr>
            </w:pPr>
            <w:r>
              <w:rPr>
                <w:b/>
                <w:bCs/>
                <w:sz w:val="18"/>
                <w:szCs w:val="18"/>
              </w:rPr>
              <w:t>(3.304.534,92)</w:t>
            </w:r>
          </w:p>
        </w:tc>
        <w:tc>
          <w:tcPr>
            <w:tcW w:w="871" w:type="pct"/>
            <w:tcBorders>
              <w:top w:val="nil"/>
              <w:left w:val="nil"/>
              <w:bottom w:val="nil"/>
              <w:right w:val="nil"/>
            </w:tcBorders>
            <w:shd w:val="clear" w:color="auto" w:fill="auto"/>
            <w:noWrap/>
            <w:vAlign w:val="center"/>
            <w:hideMark/>
          </w:tcPr>
          <w:p w14:paraId="02777B5E" w14:textId="3DDE6E85" w:rsidR="001F4757" w:rsidRPr="00992840" w:rsidRDefault="001F4757" w:rsidP="001F4757">
            <w:pPr>
              <w:pBdr>
                <w:top w:val="none" w:sz="0" w:space="0" w:color="auto"/>
                <w:left w:val="none" w:sz="0" w:space="0" w:color="auto"/>
                <w:bottom w:val="none" w:sz="0" w:space="0" w:color="auto"/>
                <w:right w:val="none" w:sz="0" w:space="0" w:color="auto"/>
                <w:between w:val="none" w:sz="0" w:space="0" w:color="auto"/>
                <w:bar w:val="none" w:sz="0" w:color="auto"/>
              </w:pBdr>
              <w:jc w:val="right"/>
              <w:outlineLvl w:val="9"/>
              <w:rPr>
                <w:rFonts w:eastAsia="Times New Roman"/>
                <w:b/>
                <w:bCs/>
                <w:sz w:val="18"/>
                <w:szCs w:val="18"/>
                <w:bdr w:val="none" w:sz="0" w:space="0" w:color="auto"/>
                <w:lang w:eastAsia="es-ES"/>
              </w:rPr>
            </w:pPr>
            <w:r>
              <w:rPr>
                <w:b/>
                <w:bCs/>
                <w:sz w:val="18"/>
                <w:szCs w:val="18"/>
              </w:rPr>
              <w:t>(2.771.645,33)</w:t>
            </w:r>
          </w:p>
        </w:tc>
      </w:tr>
      <w:tr w:rsidR="001F4757" w:rsidRPr="00992840" w14:paraId="70551B2D" w14:textId="77777777" w:rsidTr="00BA5560">
        <w:trPr>
          <w:trHeight w:val="340"/>
          <w:jc w:val="center"/>
        </w:trPr>
        <w:tc>
          <w:tcPr>
            <w:tcW w:w="2600" w:type="pct"/>
            <w:tcBorders>
              <w:top w:val="nil"/>
              <w:left w:val="nil"/>
              <w:bottom w:val="nil"/>
              <w:right w:val="nil"/>
            </w:tcBorders>
            <w:shd w:val="clear" w:color="auto" w:fill="auto"/>
            <w:noWrap/>
            <w:vAlign w:val="center"/>
            <w:hideMark/>
          </w:tcPr>
          <w:p w14:paraId="57A22BD1" w14:textId="77777777" w:rsidR="001F4757" w:rsidRPr="00992840" w:rsidRDefault="001F4757" w:rsidP="001F4757">
            <w:pPr>
              <w:pBdr>
                <w:top w:val="none" w:sz="0" w:space="0" w:color="auto"/>
                <w:left w:val="none" w:sz="0" w:space="0" w:color="auto"/>
                <w:bottom w:val="none" w:sz="0" w:space="0" w:color="auto"/>
                <w:right w:val="none" w:sz="0" w:space="0" w:color="auto"/>
                <w:between w:val="none" w:sz="0" w:space="0" w:color="auto"/>
                <w:bar w:val="none" w:sz="0" w:color="auto"/>
              </w:pBdr>
              <w:outlineLvl w:val="9"/>
              <w:rPr>
                <w:rFonts w:eastAsia="Times New Roman"/>
                <w:sz w:val="18"/>
                <w:szCs w:val="18"/>
                <w:bdr w:val="none" w:sz="0" w:space="0" w:color="auto"/>
                <w:lang w:eastAsia="es-ES"/>
              </w:rPr>
            </w:pPr>
            <w:r w:rsidRPr="00992840">
              <w:rPr>
                <w:rFonts w:eastAsia="Times New Roman"/>
                <w:sz w:val="18"/>
                <w:szCs w:val="18"/>
                <w:bdr w:val="none" w:sz="0" w:space="0" w:color="auto"/>
                <w:lang w:eastAsia="es-ES"/>
              </w:rPr>
              <w:t>Sueldos, salarios y asimilados</w:t>
            </w:r>
          </w:p>
        </w:tc>
        <w:tc>
          <w:tcPr>
            <w:tcW w:w="658" w:type="pct"/>
            <w:tcBorders>
              <w:top w:val="nil"/>
              <w:left w:val="nil"/>
              <w:bottom w:val="nil"/>
              <w:right w:val="nil"/>
            </w:tcBorders>
            <w:shd w:val="clear" w:color="auto" w:fill="auto"/>
            <w:noWrap/>
            <w:vAlign w:val="center"/>
            <w:hideMark/>
          </w:tcPr>
          <w:p w14:paraId="0377D449" w14:textId="77777777" w:rsidR="001F4757" w:rsidRPr="00F61C20" w:rsidRDefault="001F4757" w:rsidP="001F4757">
            <w:pPr>
              <w:pBdr>
                <w:top w:val="none" w:sz="0" w:space="0" w:color="auto"/>
                <w:left w:val="none" w:sz="0" w:space="0" w:color="auto"/>
                <w:bottom w:val="none" w:sz="0" w:space="0" w:color="auto"/>
                <w:right w:val="none" w:sz="0" w:space="0" w:color="auto"/>
                <w:between w:val="none" w:sz="0" w:space="0" w:color="auto"/>
                <w:bar w:val="none" w:sz="0" w:color="auto"/>
              </w:pBdr>
              <w:jc w:val="center"/>
              <w:outlineLvl w:val="9"/>
              <w:rPr>
                <w:rFonts w:eastAsia="Times New Roman"/>
                <w:sz w:val="18"/>
                <w:szCs w:val="18"/>
                <w:bdr w:val="none" w:sz="0" w:space="0" w:color="auto"/>
                <w:lang w:eastAsia="es-ES"/>
              </w:rPr>
            </w:pPr>
          </w:p>
        </w:tc>
        <w:tc>
          <w:tcPr>
            <w:tcW w:w="871" w:type="pct"/>
            <w:tcBorders>
              <w:top w:val="nil"/>
              <w:left w:val="nil"/>
              <w:bottom w:val="nil"/>
              <w:right w:val="nil"/>
            </w:tcBorders>
            <w:shd w:val="clear" w:color="auto" w:fill="auto"/>
            <w:noWrap/>
            <w:vAlign w:val="center"/>
          </w:tcPr>
          <w:p w14:paraId="2717A274" w14:textId="75B2D6B9" w:rsidR="001F4757" w:rsidRPr="000E5AB3" w:rsidRDefault="001F4757" w:rsidP="001F4757">
            <w:pPr>
              <w:pBdr>
                <w:top w:val="none" w:sz="0" w:space="0" w:color="auto"/>
                <w:left w:val="none" w:sz="0" w:space="0" w:color="auto"/>
                <w:bottom w:val="none" w:sz="0" w:space="0" w:color="auto"/>
                <w:right w:val="none" w:sz="0" w:space="0" w:color="auto"/>
                <w:between w:val="none" w:sz="0" w:space="0" w:color="auto"/>
                <w:bar w:val="none" w:sz="0" w:color="auto"/>
              </w:pBdr>
              <w:jc w:val="right"/>
              <w:outlineLvl w:val="9"/>
              <w:rPr>
                <w:rFonts w:eastAsia="Times New Roman"/>
                <w:sz w:val="18"/>
                <w:szCs w:val="18"/>
                <w:bdr w:val="none" w:sz="0" w:space="0" w:color="auto"/>
                <w:lang w:eastAsia="es-ES"/>
              </w:rPr>
            </w:pPr>
            <w:r>
              <w:rPr>
                <w:sz w:val="18"/>
                <w:szCs w:val="18"/>
              </w:rPr>
              <w:t>(2.546.300,28)</w:t>
            </w:r>
          </w:p>
        </w:tc>
        <w:tc>
          <w:tcPr>
            <w:tcW w:w="871" w:type="pct"/>
            <w:tcBorders>
              <w:top w:val="nil"/>
              <w:left w:val="nil"/>
              <w:bottom w:val="nil"/>
              <w:right w:val="nil"/>
            </w:tcBorders>
            <w:shd w:val="clear" w:color="auto" w:fill="auto"/>
            <w:noWrap/>
            <w:vAlign w:val="center"/>
            <w:hideMark/>
          </w:tcPr>
          <w:p w14:paraId="50BFFCE1" w14:textId="3129AED5" w:rsidR="001F4757" w:rsidRPr="00992840" w:rsidRDefault="001F4757" w:rsidP="001F4757">
            <w:pPr>
              <w:pBdr>
                <w:top w:val="none" w:sz="0" w:space="0" w:color="auto"/>
                <w:left w:val="none" w:sz="0" w:space="0" w:color="auto"/>
                <w:bottom w:val="none" w:sz="0" w:space="0" w:color="auto"/>
                <w:right w:val="none" w:sz="0" w:space="0" w:color="auto"/>
                <w:between w:val="none" w:sz="0" w:space="0" w:color="auto"/>
                <w:bar w:val="none" w:sz="0" w:color="auto"/>
              </w:pBdr>
              <w:jc w:val="right"/>
              <w:outlineLvl w:val="9"/>
              <w:rPr>
                <w:rFonts w:eastAsia="Times New Roman"/>
                <w:sz w:val="18"/>
                <w:szCs w:val="18"/>
                <w:bdr w:val="none" w:sz="0" w:space="0" w:color="auto"/>
                <w:lang w:eastAsia="es-ES"/>
              </w:rPr>
            </w:pPr>
            <w:r>
              <w:rPr>
                <w:sz w:val="18"/>
                <w:szCs w:val="18"/>
              </w:rPr>
              <w:t>(2.153.407,05)</w:t>
            </w:r>
          </w:p>
        </w:tc>
      </w:tr>
      <w:tr w:rsidR="001F4757" w:rsidRPr="00992840" w14:paraId="06494A80" w14:textId="77777777" w:rsidTr="00BA5560">
        <w:trPr>
          <w:trHeight w:val="340"/>
          <w:jc w:val="center"/>
        </w:trPr>
        <w:tc>
          <w:tcPr>
            <w:tcW w:w="2600" w:type="pct"/>
            <w:tcBorders>
              <w:top w:val="nil"/>
              <w:left w:val="nil"/>
              <w:bottom w:val="nil"/>
              <w:right w:val="nil"/>
            </w:tcBorders>
            <w:shd w:val="clear" w:color="auto" w:fill="auto"/>
            <w:noWrap/>
            <w:vAlign w:val="center"/>
            <w:hideMark/>
          </w:tcPr>
          <w:p w14:paraId="0C008C94" w14:textId="77777777" w:rsidR="001F4757" w:rsidRPr="00992840" w:rsidRDefault="001F4757" w:rsidP="001F4757">
            <w:pPr>
              <w:pBdr>
                <w:top w:val="none" w:sz="0" w:space="0" w:color="auto"/>
                <w:left w:val="none" w:sz="0" w:space="0" w:color="auto"/>
                <w:bottom w:val="none" w:sz="0" w:space="0" w:color="auto"/>
                <w:right w:val="none" w:sz="0" w:space="0" w:color="auto"/>
                <w:between w:val="none" w:sz="0" w:space="0" w:color="auto"/>
                <w:bar w:val="none" w:sz="0" w:color="auto"/>
              </w:pBdr>
              <w:outlineLvl w:val="9"/>
              <w:rPr>
                <w:rFonts w:eastAsia="Times New Roman"/>
                <w:sz w:val="18"/>
                <w:szCs w:val="18"/>
                <w:bdr w:val="none" w:sz="0" w:space="0" w:color="auto"/>
                <w:lang w:eastAsia="es-ES"/>
              </w:rPr>
            </w:pPr>
            <w:r w:rsidRPr="00992840">
              <w:rPr>
                <w:rFonts w:eastAsia="Times New Roman"/>
                <w:sz w:val="18"/>
                <w:szCs w:val="18"/>
                <w:bdr w:val="none" w:sz="0" w:space="0" w:color="auto"/>
                <w:lang w:eastAsia="es-ES"/>
              </w:rPr>
              <w:t>Cargas sociales</w:t>
            </w:r>
          </w:p>
        </w:tc>
        <w:tc>
          <w:tcPr>
            <w:tcW w:w="658" w:type="pct"/>
            <w:tcBorders>
              <w:top w:val="nil"/>
              <w:left w:val="nil"/>
              <w:bottom w:val="nil"/>
              <w:right w:val="nil"/>
            </w:tcBorders>
            <w:shd w:val="clear" w:color="auto" w:fill="auto"/>
            <w:noWrap/>
            <w:vAlign w:val="center"/>
            <w:hideMark/>
          </w:tcPr>
          <w:p w14:paraId="0C1DCDBB" w14:textId="77777777" w:rsidR="001F4757" w:rsidRPr="00F61C20" w:rsidRDefault="001F4757" w:rsidP="001F4757">
            <w:pPr>
              <w:pBdr>
                <w:top w:val="none" w:sz="0" w:space="0" w:color="auto"/>
                <w:left w:val="none" w:sz="0" w:space="0" w:color="auto"/>
                <w:bottom w:val="none" w:sz="0" w:space="0" w:color="auto"/>
                <w:right w:val="none" w:sz="0" w:space="0" w:color="auto"/>
                <w:between w:val="none" w:sz="0" w:space="0" w:color="auto"/>
                <w:bar w:val="none" w:sz="0" w:color="auto"/>
              </w:pBdr>
              <w:jc w:val="center"/>
              <w:outlineLvl w:val="9"/>
              <w:rPr>
                <w:rFonts w:eastAsia="Times New Roman"/>
                <w:sz w:val="18"/>
                <w:szCs w:val="18"/>
                <w:bdr w:val="none" w:sz="0" w:space="0" w:color="auto"/>
                <w:lang w:eastAsia="es-ES"/>
              </w:rPr>
            </w:pPr>
          </w:p>
        </w:tc>
        <w:tc>
          <w:tcPr>
            <w:tcW w:w="871" w:type="pct"/>
            <w:tcBorders>
              <w:top w:val="nil"/>
              <w:left w:val="nil"/>
              <w:bottom w:val="nil"/>
              <w:right w:val="nil"/>
            </w:tcBorders>
            <w:shd w:val="clear" w:color="auto" w:fill="auto"/>
            <w:noWrap/>
            <w:vAlign w:val="center"/>
          </w:tcPr>
          <w:p w14:paraId="6E6A28BE" w14:textId="68E45BFC" w:rsidR="001F4757" w:rsidRPr="00746A5E" w:rsidRDefault="001F4757" w:rsidP="001F4757">
            <w:pPr>
              <w:pBdr>
                <w:top w:val="none" w:sz="0" w:space="0" w:color="auto"/>
                <w:left w:val="none" w:sz="0" w:space="0" w:color="auto"/>
                <w:bottom w:val="none" w:sz="0" w:space="0" w:color="auto"/>
                <w:right w:val="none" w:sz="0" w:space="0" w:color="auto"/>
                <w:between w:val="none" w:sz="0" w:space="0" w:color="auto"/>
                <w:bar w:val="none" w:sz="0" w:color="auto"/>
              </w:pBdr>
              <w:jc w:val="right"/>
              <w:outlineLvl w:val="9"/>
              <w:rPr>
                <w:rFonts w:eastAsia="Times New Roman"/>
                <w:sz w:val="18"/>
                <w:szCs w:val="18"/>
                <w:bdr w:val="none" w:sz="0" w:space="0" w:color="auto"/>
                <w:lang w:eastAsia="es-ES"/>
              </w:rPr>
            </w:pPr>
            <w:r>
              <w:rPr>
                <w:sz w:val="18"/>
                <w:szCs w:val="18"/>
              </w:rPr>
              <w:t>(758.234,64)</w:t>
            </w:r>
          </w:p>
        </w:tc>
        <w:tc>
          <w:tcPr>
            <w:tcW w:w="871" w:type="pct"/>
            <w:tcBorders>
              <w:top w:val="nil"/>
              <w:left w:val="nil"/>
              <w:bottom w:val="nil"/>
              <w:right w:val="nil"/>
            </w:tcBorders>
            <w:shd w:val="clear" w:color="auto" w:fill="auto"/>
            <w:noWrap/>
            <w:vAlign w:val="center"/>
            <w:hideMark/>
          </w:tcPr>
          <w:p w14:paraId="79A9E87F" w14:textId="50000DF0" w:rsidR="001F4757" w:rsidRPr="00992840" w:rsidRDefault="001F4757" w:rsidP="001F4757">
            <w:pPr>
              <w:pBdr>
                <w:top w:val="none" w:sz="0" w:space="0" w:color="auto"/>
                <w:left w:val="none" w:sz="0" w:space="0" w:color="auto"/>
                <w:bottom w:val="none" w:sz="0" w:space="0" w:color="auto"/>
                <w:right w:val="none" w:sz="0" w:space="0" w:color="auto"/>
                <w:between w:val="none" w:sz="0" w:space="0" w:color="auto"/>
                <w:bar w:val="none" w:sz="0" w:color="auto"/>
              </w:pBdr>
              <w:jc w:val="right"/>
              <w:outlineLvl w:val="9"/>
              <w:rPr>
                <w:rFonts w:eastAsia="Times New Roman"/>
                <w:sz w:val="18"/>
                <w:szCs w:val="18"/>
                <w:bdr w:val="none" w:sz="0" w:space="0" w:color="auto"/>
                <w:lang w:eastAsia="es-ES"/>
              </w:rPr>
            </w:pPr>
            <w:r>
              <w:rPr>
                <w:sz w:val="18"/>
                <w:szCs w:val="18"/>
              </w:rPr>
              <w:t>(618.238,28)</w:t>
            </w:r>
          </w:p>
        </w:tc>
      </w:tr>
      <w:tr w:rsidR="001F4757" w:rsidRPr="00992840" w14:paraId="2FD88E29" w14:textId="77777777" w:rsidTr="00BA5560">
        <w:trPr>
          <w:trHeight w:val="340"/>
          <w:jc w:val="center"/>
        </w:trPr>
        <w:tc>
          <w:tcPr>
            <w:tcW w:w="2600" w:type="pct"/>
            <w:tcBorders>
              <w:top w:val="nil"/>
              <w:left w:val="nil"/>
              <w:bottom w:val="nil"/>
              <w:right w:val="nil"/>
            </w:tcBorders>
            <w:shd w:val="clear" w:color="auto" w:fill="auto"/>
            <w:noWrap/>
            <w:vAlign w:val="center"/>
            <w:hideMark/>
          </w:tcPr>
          <w:p w14:paraId="44BBB571" w14:textId="77777777" w:rsidR="001F4757" w:rsidRPr="00992840" w:rsidRDefault="001F4757" w:rsidP="001F4757">
            <w:pPr>
              <w:pBdr>
                <w:top w:val="none" w:sz="0" w:space="0" w:color="auto"/>
                <w:left w:val="none" w:sz="0" w:space="0" w:color="auto"/>
                <w:bottom w:val="none" w:sz="0" w:space="0" w:color="auto"/>
                <w:right w:val="none" w:sz="0" w:space="0" w:color="auto"/>
                <w:between w:val="none" w:sz="0" w:space="0" w:color="auto"/>
                <w:bar w:val="none" w:sz="0" w:color="auto"/>
              </w:pBdr>
              <w:outlineLvl w:val="9"/>
              <w:rPr>
                <w:rFonts w:eastAsia="Times New Roman"/>
                <w:b/>
                <w:bCs/>
                <w:sz w:val="18"/>
                <w:szCs w:val="18"/>
                <w:bdr w:val="none" w:sz="0" w:space="0" w:color="auto"/>
                <w:lang w:eastAsia="es-ES"/>
              </w:rPr>
            </w:pPr>
            <w:r w:rsidRPr="00992840">
              <w:rPr>
                <w:rFonts w:eastAsia="Times New Roman"/>
                <w:b/>
                <w:bCs/>
                <w:sz w:val="18"/>
                <w:szCs w:val="18"/>
                <w:bdr w:val="none" w:sz="0" w:space="0" w:color="auto"/>
                <w:lang w:eastAsia="es-ES"/>
              </w:rPr>
              <w:t>Otros gastos de explotación</w:t>
            </w:r>
          </w:p>
        </w:tc>
        <w:tc>
          <w:tcPr>
            <w:tcW w:w="658" w:type="pct"/>
            <w:tcBorders>
              <w:top w:val="nil"/>
              <w:left w:val="nil"/>
              <w:bottom w:val="nil"/>
              <w:right w:val="nil"/>
            </w:tcBorders>
            <w:shd w:val="clear" w:color="auto" w:fill="auto"/>
            <w:noWrap/>
            <w:vAlign w:val="center"/>
            <w:hideMark/>
          </w:tcPr>
          <w:p w14:paraId="702C7894" w14:textId="4ECBEE17" w:rsidR="001F4757" w:rsidRPr="00F61C20" w:rsidRDefault="001F4757" w:rsidP="001F4757">
            <w:pPr>
              <w:pBdr>
                <w:top w:val="none" w:sz="0" w:space="0" w:color="auto"/>
                <w:left w:val="none" w:sz="0" w:space="0" w:color="auto"/>
                <w:bottom w:val="none" w:sz="0" w:space="0" w:color="auto"/>
                <w:right w:val="none" w:sz="0" w:space="0" w:color="auto"/>
                <w:between w:val="none" w:sz="0" w:space="0" w:color="auto"/>
                <w:bar w:val="none" w:sz="0" w:color="auto"/>
              </w:pBdr>
              <w:jc w:val="center"/>
              <w:outlineLvl w:val="9"/>
              <w:rPr>
                <w:rFonts w:eastAsia="Times New Roman"/>
                <w:b/>
                <w:bCs/>
                <w:sz w:val="18"/>
                <w:szCs w:val="18"/>
                <w:bdr w:val="none" w:sz="0" w:space="0" w:color="auto"/>
                <w:lang w:eastAsia="es-ES"/>
              </w:rPr>
            </w:pPr>
            <w:r>
              <w:rPr>
                <w:rFonts w:eastAsia="Times New Roman"/>
                <w:b/>
                <w:bCs/>
                <w:sz w:val="18"/>
                <w:szCs w:val="18"/>
                <w:bdr w:val="none" w:sz="0" w:space="0" w:color="auto"/>
                <w:lang w:eastAsia="es-ES"/>
              </w:rPr>
              <w:t xml:space="preserve">8.1.a y </w:t>
            </w:r>
            <w:proofErr w:type="gramStart"/>
            <w:r w:rsidRPr="00F61C20">
              <w:rPr>
                <w:rFonts w:eastAsia="Times New Roman"/>
                <w:b/>
                <w:bCs/>
                <w:sz w:val="18"/>
                <w:szCs w:val="18"/>
                <w:bdr w:val="none" w:sz="0" w:space="0" w:color="auto"/>
                <w:lang w:eastAsia="es-ES"/>
              </w:rPr>
              <w:t>12.d</w:t>
            </w:r>
            <w:proofErr w:type="gramEnd"/>
          </w:p>
        </w:tc>
        <w:tc>
          <w:tcPr>
            <w:tcW w:w="871" w:type="pct"/>
            <w:tcBorders>
              <w:top w:val="nil"/>
              <w:left w:val="nil"/>
              <w:bottom w:val="nil"/>
              <w:right w:val="nil"/>
            </w:tcBorders>
            <w:shd w:val="clear" w:color="auto" w:fill="auto"/>
            <w:noWrap/>
            <w:vAlign w:val="center"/>
          </w:tcPr>
          <w:p w14:paraId="751ABF5F" w14:textId="1BA9B83A" w:rsidR="001F4757" w:rsidRPr="00746A5E" w:rsidRDefault="001F4757" w:rsidP="001F4757">
            <w:pPr>
              <w:pBdr>
                <w:top w:val="none" w:sz="0" w:space="0" w:color="auto"/>
                <w:left w:val="none" w:sz="0" w:space="0" w:color="auto"/>
                <w:bottom w:val="none" w:sz="0" w:space="0" w:color="auto"/>
                <w:right w:val="none" w:sz="0" w:space="0" w:color="auto"/>
                <w:between w:val="none" w:sz="0" w:space="0" w:color="auto"/>
                <w:bar w:val="none" w:sz="0" w:color="auto"/>
              </w:pBdr>
              <w:jc w:val="right"/>
              <w:outlineLvl w:val="9"/>
              <w:rPr>
                <w:rFonts w:eastAsia="Times New Roman"/>
                <w:b/>
                <w:bCs/>
                <w:sz w:val="18"/>
                <w:szCs w:val="18"/>
                <w:bdr w:val="none" w:sz="0" w:space="0" w:color="auto"/>
                <w:lang w:eastAsia="es-ES"/>
              </w:rPr>
            </w:pPr>
            <w:r>
              <w:rPr>
                <w:b/>
                <w:bCs/>
                <w:sz w:val="18"/>
                <w:szCs w:val="18"/>
              </w:rPr>
              <w:t>(663.510,83)</w:t>
            </w:r>
          </w:p>
        </w:tc>
        <w:tc>
          <w:tcPr>
            <w:tcW w:w="871" w:type="pct"/>
            <w:tcBorders>
              <w:top w:val="nil"/>
              <w:left w:val="nil"/>
              <w:bottom w:val="nil"/>
              <w:right w:val="nil"/>
            </w:tcBorders>
            <w:shd w:val="clear" w:color="auto" w:fill="auto"/>
            <w:noWrap/>
            <w:vAlign w:val="center"/>
            <w:hideMark/>
          </w:tcPr>
          <w:p w14:paraId="1E2C9839" w14:textId="49C045B4" w:rsidR="001F4757" w:rsidRPr="00992840" w:rsidRDefault="001F4757" w:rsidP="001F4757">
            <w:pPr>
              <w:pBdr>
                <w:top w:val="none" w:sz="0" w:space="0" w:color="auto"/>
                <w:left w:val="none" w:sz="0" w:space="0" w:color="auto"/>
                <w:bottom w:val="none" w:sz="0" w:space="0" w:color="auto"/>
                <w:right w:val="none" w:sz="0" w:space="0" w:color="auto"/>
                <w:between w:val="none" w:sz="0" w:space="0" w:color="auto"/>
                <w:bar w:val="none" w:sz="0" w:color="auto"/>
              </w:pBdr>
              <w:jc w:val="right"/>
              <w:outlineLvl w:val="9"/>
              <w:rPr>
                <w:rFonts w:eastAsia="Times New Roman"/>
                <w:b/>
                <w:bCs/>
                <w:sz w:val="18"/>
                <w:szCs w:val="18"/>
                <w:bdr w:val="none" w:sz="0" w:space="0" w:color="auto"/>
                <w:lang w:eastAsia="es-ES"/>
              </w:rPr>
            </w:pPr>
            <w:r>
              <w:rPr>
                <w:b/>
                <w:bCs/>
                <w:sz w:val="18"/>
                <w:szCs w:val="18"/>
              </w:rPr>
              <w:t>(954.265,62)</w:t>
            </w:r>
          </w:p>
        </w:tc>
      </w:tr>
      <w:tr w:rsidR="001F4757" w:rsidRPr="00992840" w14:paraId="62518493" w14:textId="77777777" w:rsidTr="00BA5560">
        <w:trPr>
          <w:trHeight w:val="340"/>
          <w:jc w:val="center"/>
        </w:trPr>
        <w:tc>
          <w:tcPr>
            <w:tcW w:w="2600" w:type="pct"/>
            <w:tcBorders>
              <w:top w:val="nil"/>
              <w:left w:val="nil"/>
              <w:bottom w:val="nil"/>
              <w:right w:val="nil"/>
            </w:tcBorders>
            <w:shd w:val="clear" w:color="auto" w:fill="auto"/>
            <w:noWrap/>
            <w:vAlign w:val="center"/>
            <w:hideMark/>
          </w:tcPr>
          <w:p w14:paraId="21D2915D" w14:textId="77777777" w:rsidR="001F4757" w:rsidRPr="00992840" w:rsidRDefault="001F4757" w:rsidP="001F4757">
            <w:pPr>
              <w:pBdr>
                <w:top w:val="none" w:sz="0" w:space="0" w:color="auto"/>
                <w:left w:val="none" w:sz="0" w:space="0" w:color="auto"/>
                <w:bottom w:val="none" w:sz="0" w:space="0" w:color="auto"/>
                <w:right w:val="none" w:sz="0" w:space="0" w:color="auto"/>
                <w:between w:val="none" w:sz="0" w:space="0" w:color="auto"/>
                <w:bar w:val="none" w:sz="0" w:color="auto"/>
              </w:pBdr>
              <w:outlineLvl w:val="9"/>
              <w:rPr>
                <w:rFonts w:eastAsia="Times New Roman"/>
                <w:sz w:val="18"/>
                <w:szCs w:val="18"/>
                <w:bdr w:val="none" w:sz="0" w:space="0" w:color="auto"/>
                <w:lang w:eastAsia="es-ES"/>
              </w:rPr>
            </w:pPr>
            <w:r w:rsidRPr="00992840">
              <w:rPr>
                <w:rFonts w:eastAsia="Times New Roman"/>
                <w:sz w:val="18"/>
                <w:szCs w:val="18"/>
                <w:bdr w:val="none" w:sz="0" w:space="0" w:color="auto"/>
                <w:lang w:eastAsia="es-ES"/>
              </w:rPr>
              <w:t>Servicios exteriores</w:t>
            </w:r>
          </w:p>
        </w:tc>
        <w:tc>
          <w:tcPr>
            <w:tcW w:w="658" w:type="pct"/>
            <w:tcBorders>
              <w:top w:val="nil"/>
              <w:left w:val="nil"/>
              <w:bottom w:val="nil"/>
              <w:right w:val="nil"/>
            </w:tcBorders>
            <w:shd w:val="clear" w:color="auto" w:fill="auto"/>
            <w:noWrap/>
            <w:vAlign w:val="center"/>
            <w:hideMark/>
          </w:tcPr>
          <w:p w14:paraId="261F67CA" w14:textId="77777777" w:rsidR="001F4757" w:rsidRPr="00F61C20" w:rsidRDefault="001F4757" w:rsidP="001F4757">
            <w:pPr>
              <w:pBdr>
                <w:top w:val="none" w:sz="0" w:space="0" w:color="auto"/>
                <w:left w:val="none" w:sz="0" w:space="0" w:color="auto"/>
                <w:bottom w:val="none" w:sz="0" w:space="0" w:color="auto"/>
                <w:right w:val="none" w:sz="0" w:space="0" w:color="auto"/>
                <w:between w:val="none" w:sz="0" w:space="0" w:color="auto"/>
                <w:bar w:val="none" w:sz="0" w:color="auto"/>
              </w:pBdr>
              <w:jc w:val="center"/>
              <w:outlineLvl w:val="9"/>
              <w:rPr>
                <w:rFonts w:eastAsia="Times New Roman"/>
                <w:sz w:val="18"/>
                <w:szCs w:val="18"/>
                <w:bdr w:val="none" w:sz="0" w:space="0" w:color="auto"/>
                <w:lang w:eastAsia="es-ES"/>
              </w:rPr>
            </w:pPr>
          </w:p>
        </w:tc>
        <w:tc>
          <w:tcPr>
            <w:tcW w:w="871" w:type="pct"/>
            <w:tcBorders>
              <w:top w:val="nil"/>
              <w:left w:val="nil"/>
              <w:bottom w:val="nil"/>
              <w:right w:val="nil"/>
            </w:tcBorders>
            <w:shd w:val="clear" w:color="auto" w:fill="auto"/>
            <w:noWrap/>
            <w:vAlign w:val="center"/>
          </w:tcPr>
          <w:p w14:paraId="1DDD8368" w14:textId="590D4F34" w:rsidR="001F4757" w:rsidRPr="00746A5E" w:rsidRDefault="001F4757" w:rsidP="001F4757">
            <w:pPr>
              <w:pBdr>
                <w:top w:val="none" w:sz="0" w:space="0" w:color="auto"/>
                <w:left w:val="none" w:sz="0" w:space="0" w:color="auto"/>
                <w:bottom w:val="none" w:sz="0" w:space="0" w:color="auto"/>
                <w:right w:val="none" w:sz="0" w:space="0" w:color="auto"/>
                <w:between w:val="none" w:sz="0" w:space="0" w:color="auto"/>
                <w:bar w:val="none" w:sz="0" w:color="auto"/>
              </w:pBdr>
              <w:jc w:val="right"/>
              <w:outlineLvl w:val="9"/>
              <w:rPr>
                <w:rFonts w:eastAsia="Times New Roman"/>
                <w:sz w:val="18"/>
                <w:szCs w:val="18"/>
                <w:bdr w:val="none" w:sz="0" w:space="0" w:color="auto"/>
                <w:lang w:eastAsia="es-ES"/>
              </w:rPr>
            </w:pPr>
            <w:r>
              <w:rPr>
                <w:sz w:val="18"/>
                <w:szCs w:val="18"/>
              </w:rPr>
              <w:t>(655.177,98)</w:t>
            </w:r>
          </w:p>
        </w:tc>
        <w:tc>
          <w:tcPr>
            <w:tcW w:w="871" w:type="pct"/>
            <w:tcBorders>
              <w:top w:val="nil"/>
              <w:left w:val="nil"/>
              <w:bottom w:val="nil"/>
              <w:right w:val="nil"/>
            </w:tcBorders>
            <w:shd w:val="clear" w:color="auto" w:fill="auto"/>
            <w:noWrap/>
            <w:vAlign w:val="center"/>
            <w:hideMark/>
          </w:tcPr>
          <w:p w14:paraId="5606EA26" w14:textId="37959F4E" w:rsidR="001F4757" w:rsidRPr="00992840" w:rsidRDefault="001F4757" w:rsidP="001F4757">
            <w:pPr>
              <w:pBdr>
                <w:top w:val="none" w:sz="0" w:space="0" w:color="auto"/>
                <w:left w:val="none" w:sz="0" w:space="0" w:color="auto"/>
                <w:bottom w:val="none" w:sz="0" w:space="0" w:color="auto"/>
                <w:right w:val="none" w:sz="0" w:space="0" w:color="auto"/>
                <w:between w:val="none" w:sz="0" w:space="0" w:color="auto"/>
                <w:bar w:val="none" w:sz="0" w:color="auto"/>
              </w:pBdr>
              <w:jc w:val="right"/>
              <w:outlineLvl w:val="9"/>
              <w:rPr>
                <w:rFonts w:eastAsia="Times New Roman"/>
                <w:sz w:val="18"/>
                <w:szCs w:val="18"/>
                <w:bdr w:val="none" w:sz="0" w:space="0" w:color="auto"/>
                <w:lang w:eastAsia="es-ES"/>
              </w:rPr>
            </w:pPr>
            <w:r>
              <w:rPr>
                <w:sz w:val="18"/>
                <w:szCs w:val="18"/>
              </w:rPr>
              <w:t>(944.610,74)</w:t>
            </w:r>
          </w:p>
        </w:tc>
      </w:tr>
      <w:tr w:rsidR="001F4757" w:rsidRPr="00992840" w14:paraId="39B1A314" w14:textId="77777777" w:rsidTr="00BA5560">
        <w:trPr>
          <w:trHeight w:val="340"/>
          <w:jc w:val="center"/>
        </w:trPr>
        <w:tc>
          <w:tcPr>
            <w:tcW w:w="2600" w:type="pct"/>
            <w:tcBorders>
              <w:top w:val="nil"/>
              <w:left w:val="nil"/>
              <w:bottom w:val="nil"/>
              <w:right w:val="nil"/>
            </w:tcBorders>
            <w:shd w:val="clear" w:color="auto" w:fill="auto"/>
            <w:noWrap/>
            <w:vAlign w:val="center"/>
            <w:hideMark/>
          </w:tcPr>
          <w:p w14:paraId="6C57F442" w14:textId="77777777" w:rsidR="001F4757" w:rsidRPr="00992840" w:rsidRDefault="001F4757" w:rsidP="001F4757">
            <w:pPr>
              <w:pBdr>
                <w:top w:val="none" w:sz="0" w:space="0" w:color="auto"/>
                <w:left w:val="none" w:sz="0" w:space="0" w:color="auto"/>
                <w:bottom w:val="none" w:sz="0" w:space="0" w:color="auto"/>
                <w:right w:val="none" w:sz="0" w:space="0" w:color="auto"/>
                <w:between w:val="none" w:sz="0" w:space="0" w:color="auto"/>
                <w:bar w:val="none" w:sz="0" w:color="auto"/>
              </w:pBdr>
              <w:outlineLvl w:val="9"/>
              <w:rPr>
                <w:rFonts w:eastAsia="Times New Roman"/>
                <w:sz w:val="18"/>
                <w:szCs w:val="18"/>
                <w:bdr w:val="none" w:sz="0" w:space="0" w:color="auto"/>
                <w:lang w:eastAsia="es-ES"/>
              </w:rPr>
            </w:pPr>
            <w:r w:rsidRPr="00992840">
              <w:rPr>
                <w:rFonts w:eastAsia="Times New Roman"/>
                <w:sz w:val="18"/>
                <w:szCs w:val="18"/>
                <w:bdr w:val="none" w:sz="0" w:space="0" w:color="auto"/>
                <w:lang w:eastAsia="es-ES"/>
              </w:rPr>
              <w:t>Tributos</w:t>
            </w:r>
          </w:p>
        </w:tc>
        <w:tc>
          <w:tcPr>
            <w:tcW w:w="658" w:type="pct"/>
            <w:tcBorders>
              <w:top w:val="nil"/>
              <w:left w:val="nil"/>
              <w:bottom w:val="nil"/>
              <w:right w:val="nil"/>
            </w:tcBorders>
            <w:shd w:val="clear" w:color="auto" w:fill="auto"/>
            <w:noWrap/>
            <w:vAlign w:val="center"/>
            <w:hideMark/>
          </w:tcPr>
          <w:p w14:paraId="054287A9" w14:textId="77777777" w:rsidR="001F4757" w:rsidRPr="00F61C20" w:rsidRDefault="001F4757" w:rsidP="001F4757">
            <w:pPr>
              <w:pBdr>
                <w:top w:val="none" w:sz="0" w:space="0" w:color="auto"/>
                <w:left w:val="none" w:sz="0" w:space="0" w:color="auto"/>
                <w:bottom w:val="none" w:sz="0" w:space="0" w:color="auto"/>
                <w:right w:val="none" w:sz="0" w:space="0" w:color="auto"/>
                <w:between w:val="none" w:sz="0" w:space="0" w:color="auto"/>
                <w:bar w:val="none" w:sz="0" w:color="auto"/>
              </w:pBdr>
              <w:jc w:val="center"/>
              <w:outlineLvl w:val="9"/>
              <w:rPr>
                <w:rFonts w:eastAsia="Times New Roman"/>
                <w:sz w:val="18"/>
                <w:szCs w:val="18"/>
                <w:bdr w:val="none" w:sz="0" w:space="0" w:color="auto"/>
                <w:lang w:eastAsia="es-ES"/>
              </w:rPr>
            </w:pPr>
          </w:p>
        </w:tc>
        <w:tc>
          <w:tcPr>
            <w:tcW w:w="871" w:type="pct"/>
            <w:tcBorders>
              <w:top w:val="nil"/>
              <w:left w:val="nil"/>
              <w:bottom w:val="nil"/>
              <w:right w:val="nil"/>
            </w:tcBorders>
            <w:shd w:val="clear" w:color="auto" w:fill="auto"/>
            <w:noWrap/>
            <w:vAlign w:val="center"/>
          </w:tcPr>
          <w:p w14:paraId="645AFF49" w14:textId="6EA45854" w:rsidR="001F4757" w:rsidRPr="00992840" w:rsidRDefault="001F4757" w:rsidP="001F4757">
            <w:pPr>
              <w:pBdr>
                <w:top w:val="none" w:sz="0" w:space="0" w:color="auto"/>
                <w:left w:val="none" w:sz="0" w:space="0" w:color="auto"/>
                <w:bottom w:val="none" w:sz="0" w:space="0" w:color="auto"/>
                <w:right w:val="none" w:sz="0" w:space="0" w:color="auto"/>
                <w:between w:val="none" w:sz="0" w:space="0" w:color="auto"/>
                <w:bar w:val="none" w:sz="0" w:color="auto"/>
              </w:pBdr>
              <w:jc w:val="right"/>
              <w:outlineLvl w:val="9"/>
              <w:rPr>
                <w:rFonts w:eastAsia="Times New Roman"/>
                <w:sz w:val="18"/>
                <w:szCs w:val="18"/>
                <w:bdr w:val="none" w:sz="0" w:space="0" w:color="auto"/>
                <w:lang w:eastAsia="es-ES"/>
              </w:rPr>
            </w:pPr>
            <w:r>
              <w:rPr>
                <w:sz w:val="18"/>
                <w:szCs w:val="18"/>
              </w:rPr>
              <w:t>(8.332,85)</w:t>
            </w:r>
          </w:p>
        </w:tc>
        <w:tc>
          <w:tcPr>
            <w:tcW w:w="871" w:type="pct"/>
            <w:tcBorders>
              <w:top w:val="nil"/>
              <w:left w:val="nil"/>
              <w:bottom w:val="nil"/>
              <w:right w:val="nil"/>
            </w:tcBorders>
            <w:shd w:val="clear" w:color="auto" w:fill="auto"/>
            <w:noWrap/>
            <w:vAlign w:val="center"/>
            <w:hideMark/>
          </w:tcPr>
          <w:p w14:paraId="120089C2" w14:textId="5248552D" w:rsidR="001F4757" w:rsidRPr="00992840" w:rsidRDefault="001F4757" w:rsidP="001F4757">
            <w:pPr>
              <w:pBdr>
                <w:top w:val="none" w:sz="0" w:space="0" w:color="auto"/>
                <w:left w:val="none" w:sz="0" w:space="0" w:color="auto"/>
                <w:bottom w:val="none" w:sz="0" w:space="0" w:color="auto"/>
                <w:right w:val="none" w:sz="0" w:space="0" w:color="auto"/>
                <w:between w:val="none" w:sz="0" w:space="0" w:color="auto"/>
                <w:bar w:val="none" w:sz="0" w:color="auto"/>
              </w:pBdr>
              <w:jc w:val="right"/>
              <w:outlineLvl w:val="9"/>
              <w:rPr>
                <w:rFonts w:eastAsia="Times New Roman"/>
                <w:sz w:val="18"/>
                <w:szCs w:val="18"/>
                <w:bdr w:val="none" w:sz="0" w:space="0" w:color="auto"/>
                <w:lang w:eastAsia="es-ES"/>
              </w:rPr>
            </w:pPr>
            <w:r>
              <w:rPr>
                <w:rFonts w:eastAsia="Times New Roman"/>
                <w:sz w:val="18"/>
                <w:szCs w:val="18"/>
                <w:bdr w:val="none" w:sz="0" w:space="0" w:color="auto"/>
                <w:lang w:eastAsia="es-ES"/>
              </w:rPr>
              <w:t>(</w:t>
            </w:r>
            <w:r w:rsidRPr="00746A5E">
              <w:rPr>
                <w:rFonts w:eastAsia="Times New Roman"/>
                <w:sz w:val="18"/>
                <w:szCs w:val="18"/>
                <w:bdr w:val="none" w:sz="0" w:space="0" w:color="auto"/>
                <w:lang w:eastAsia="es-ES"/>
              </w:rPr>
              <w:t>9.654,88</w:t>
            </w:r>
            <w:r>
              <w:rPr>
                <w:rFonts w:eastAsia="Times New Roman"/>
                <w:sz w:val="18"/>
                <w:szCs w:val="18"/>
                <w:bdr w:val="none" w:sz="0" w:space="0" w:color="auto"/>
                <w:lang w:eastAsia="es-ES"/>
              </w:rPr>
              <w:t>)</w:t>
            </w:r>
          </w:p>
        </w:tc>
      </w:tr>
      <w:tr w:rsidR="001F4757" w:rsidRPr="00992840" w14:paraId="0D835AAA" w14:textId="77777777" w:rsidTr="00BA5560">
        <w:trPr>
          <w:trHeight w:val="340"/>
          <w:jc w:val="center"/>
        </w:trPr>
        <w:tc>
          <w:tcPr>
            <w:tcW w:w="2600" w:type="pct"/>
            <w:tcBorders>
              <w:top w:val="nil"/>
              <w:left w:val="nil"/>
              <w:bottom w:val="nil"/>
              <w:right w:val="nil"/>
            </w:tcBorders>
            <w:shd w:val="clear" w:color="auto" w:fill="auto"/>
            <w:noWrap/>
            <w:vAlign w:val="center"/>
            <w:hideMark/>
          </w:tcPr>
          <w:p w14:paraId="6ECA1AAB" w14:textId="77777777" w:rsidR="001F4757" w:rsidRPr="00992840" w:rsidRDefault="001F4757" w:rsidP="001F4757">
            <w:pPr>
              <w:pBdr>
                <w:top w:val="none" w:sz="0" w:space="0" w:color="auto"/>
                <w:left w:val="none" w:sz="0" w:space="0" w:color="auto"/>
                <w:bottom w:val="none" w:sz="0" w:space="0" w:color="auto"/>
                <w:right w:val="none" w:sz="0" w:space="0" w:color="auto"/>
                <w:between w:val="none" w:sz="0" w:space="0" w:color="auto"/>
                <w:bar w:val="none" w:sz="0" w:color="auto"/>
              </w:pBdr>
              <w:outlineLvl w:val="9"/>
              <w:rPr>
                <w:rFonts w:eastAsia="Times New Roman"/>
                <w:b/>
                <w:bCs/>
                <w:sz w:val="18"/>
                <w:szCs w:val="18"/>
                <w:bdr w:val="none" w:sz="0" w:space="0" w:color="auto"/>
                <w:lang w:eastAsia="es-ES"/>
              </w:rPr>
            </w:pPr>
            <w:r w:rsidRPr="00992840">
              <w:rPr>
                <w:rFonts w:eastAsia="Times New Roman"/>
                <w:b/>
                <w:bCs/>
                <w:sz w:val="18"/>
                <w:szCs w:val="18"/>
                <w:bdr w:val="none" w:sz="0" w:space="0" w:color="auto"/>
                <w:lang w:eastAsia="es-ES"/>
              </w:rPr>
              <w:t>Amortización del inmovilizado</w:t>
            </w:r>
          </w:p>
        </w:tc>
        <w:tc>
          <w:tcPr>
            <w:tcW w:w="658" w:type="pct"/>
            <w:tcBorders>
              <w:top w:val="nil"/>
              <w:left w:val="nil"/>
              <w:bottom w:val="nil"/>
              <w:right w:val="nil"/>
            </w:tcBorders>
            <w:shd w:val="clear" w:color="auto" w:fill="auto"/>
            <w:noWrap/>
            <w:vAlign w:val="center"/>
            <w:hideMark/>
          </w:tcPr>
          <w:p w14:paraId="5A6DFB3F" w14:textId="77777777" w:rsidR="001F4757" w:rsidRPr="00F61C20" w:rsidRDefault="001F4757" w:rsidP="001F4757">
            <w:pPr>
              <w:pBdr>
                <w:top w:val="none" w:sz="0" w:space="0" w:color="auto"/>
                <w:left w:val="none" w:sz="0" w:space="0" w:color="auto"/>
                <w:bottom w:val="none" w:sz="0" w:space="0" w:color="auto"/>
                <w:right w:val="none" w:sz="0" w:space="0" w:color="auto"/>
                <w:between w:val="none" w:sz="0" w:space="0" w:color="auto"/>
                <w:bar w:val="none" w:sz="0" w:color="auto"/>
              </w:pBdr>
              <w:jc w:val="center"/>
              <w:outlineLvl w:val="9"/>
              <w:rPr>
                <w:rFonts w:eastAsia="Times New Roman"/>
                <w:b/>
                <w:bCs/>
                <w:sz w:val="18"/>
                <w:szCs w:val="18"/>
                <w:bdr w:val="none" w:sz="0" w:space="0" w:color="auto"/>
                <w:lang w:eastAsia="es-ES"/>
              </w:rPr>
            </w:pPr>
            <w:r w:rsidRPr="00F61C20">
              <w:rPr>
                <w:rFonts w:eastAsia="Times New Roman"/>
                <w:b/>
                <w:bCs/>
                <w:sz w:val="18"/>
                <w:szCs w:val="18"/>
                <w:bdr w:val="none" w:sz="0" w:space="0" w:color="auto"/>
                <w:lang w:eastAsia="es-ES"/>
              </w:rPr>
              <w:t>5 y 6</w:t>
            </w:r>
          </w:p>
        </w:tc>
        <w:tc>
          <w:tcPr>
            <w:tcW w:w="871" w:type="pct"/>
            <w:tcBorders>
              <w:top w:val="nil"/>
              <w:left w:val="nil"/>
              <w:bottom w:val="nil"/>
              <w:right w:val="nil"/>
            </w:tcBorders>
            <w:shd w:val="clear" w:color="auto" w:fill="auto"/>
            <w:noWrap/>
            <w:vAlign w:val="center"/>
          </w:tcPr>
          <w:p w14:paraId="484C73BB" w14:textId="110D008D" w:rsidR="001F4757" w:rsidRPr="00992840" w:rsidRDefault="001F4757" w:rsidP="001F4757">
            <w:pPr>
              <w:pBdr>
                <w:top w:val="none" w:sz="0" w:space="0" w:color="auto"/>
                <w:left w:val="none" w:sz="0" w:space="0" w:color="auto"/>
                <w:bottom w:val="none" w:sz="0" w:space="0" w:color="auto"/>
                <w:right w:val="none" w:sz="0" w:space="0" w:color="auto"/>
                <w:between w:val="none" w:sz="0" w:space="0" w:color="auto"/>
                <w:bar w:val="none" w:sz="0" w:color="auto"/>
              </w:pBdr>
              <w:jc w:val="right"/>
              <w:outlineLvl w:val="9"/>
              <w:rPr>
                <w:rFonts w:eastAsia="Times New Roman"/>
                <w:b/>
                <w:bCs/>
                <w:sz w:val="18"/>
                <w:szCs w:val="18"/>
                <w:bdr w:val="none" w:sz="0" w:space="0" w:color="auto"/>
                <w:lang w:eastAsia="es-ES"/>
              </w:rPr>
            </w:pPr>
            <w:r>
              <w:rPr>
                <w:b/>
                <w:bCs/>
                <w:sz w:val="18"/>
                <w:szCs w:val="18"/>
              </w:rPr>
              <w:t>(99.740,87)</w:t>
            </w:r>
          </w:p>
        </w:tc>
        <w:tc>
          <w:tcPr>
            <w:tcW w:w="871" w:type="pct"/>
            <w:tcBorders>
              <w:top w:val="nil"/>
              <w:left w:val="nil"/>
              <w:bottom w:val="nil"/>
              <w:right w:val="nil"/>
            </w:tcBorders>
            <w:shd w:val="clear" w:color="auto" w:fill="auto"/>
            <w:noWrap/>
            <w:vAlign w:val="center"/>
            <w:hideMark/>
          </w:tcPr>
          <w:p w14:paraId="3800B097" w14:textId="12D3DEE5" w:rsidR="001F4757" w:rsidRPr="00992840" w:rsidRDefault="001F4757" w:rsidP="001F4757">
            <w:pPr>
              <w:pBdr>
                <w:top w:val="none" w:sz="0" w:space="0" w:color="auto"/>
                <w:left w:val="none" w:sz="0" w:space="0" w:color="auto"/>
                <w:bottom w:val="none" w:sz="0" w:space="0" w:color="auto"/>
                <w:right w:val="none" w:sz="0" w:space="0" w:color="auto"/>
                <w:between w:val="none" w:sz="0" w:space="0" w:color="auto"/>
                <w:bar w:val="none" w:sz="0" w:color="auto"/>
              </w:pBdr>
              <w:jc w:val="right"/>
              <w:outlineLvl w:val="9"/>
              <w:rPr>
                <w:rFonts w:eastAsia="Times New Roman"/>
                <w:b/>
                <w:bCs/>
                <w:sz w:val="18"/>
                <w:szCs w:val="18"/>
                <w:bdr w:val="none" w:sz="0" w:space="0" w:color="auto"/>
                <w:lang w:eastAsia="es-ES"/>
              </w:rPr>
            </w:pPr>
            <w:r>
              <w:rPr>
                <w:rFonts w:eastAsia="Times New Roman"/>
                <w:b/>
                <w:bCs/>
                <w:sz w:val="18"/>
                <w:szCs w:val="18"/>
                <w:bdr w:val="none" w:sz="0" w:space="0" w:color="auto"/>
                <w:lang w:eastAsia="es-ES"/>
              </w:rPr>
              <w:t>(</w:t>
            </w:r>
            <w:r w:rsidRPr="00746A5E">
              <w:rPr>
                <w:rFonts w:eastAsia="Times New Roman"/>
                <w:b/>
                <w:bCs/>
                <w:sz w:val="18"/>
                <w:szCs w:val="18"/>
                <w:bdr w:val="none" w:sz="0" w:space="0" w:color="auto"/>
                <w:lang w:eastAsia="es-ES"/>
              </w:rPr>
              <w:t>127.094,75</w:t>
            </w:r>
            <w:r>
              <w:rPr>
                <w:rFonts w:eastAsia="Times New Roman"/>
                <w:b/>
                <w:bCs/>
                <w:sz w:val="18"/>
                <w:szCs w:val="18"/>
                <w:bdr w:val="none" w:sz="0" w:space="0" w:color="auto"/>
                <w:lang w:eastAsia="es-ES"/>
              </w:rPr>
              <w:t>)</w:t>
            </w:r>
          </w:p>
        </w:tc>
      </w:tr>
      <w:tr w:rsidR="001F4757" w:rsidRPr="00992840" w14:paraId="1752FE1D" w14:textId="77777777" w:rsidTr="00BA5560">
        <w:trPr>
          <w:trHeight w:val="340"/>
          <w:jc w:val="center"/>
        </w:trPr>
        <w:tc>
          <w:tcPr>
            <w:tcW w:w="2600" w:type="pct"/>
            <w:tcBorders>
              <w:top w:val="nil"/>
              <w:left w:val="nil"/>
              <w:bottom w:val="nil"/>
              <w:right w:val="nil"/>
            </w:tcBorders>
            <w:shd w:val="clear" w:color="auto" w:fill="auto"/>
            <w:noWrap/>
            <w:vAlign w:val="center"/>
            <w:hideMark/>
          </w:tcPr>
          <w:p w14:paraId="0339DC04" w14:textId="77777777" w:rsidR="001F4757" w:rsidRPr="00992840" w:rsidRDefault="001F4757" w:rsidP="001F4757">
            <w:pPr>
              <w:pBdr>
                <w:top w:val="none" w:sz="0" w:space="0" w:color="auto"/>
                <w:left w:val="none" w:sz="0" w:space="0" w:color="auto"/>
                <w:bottom w:val="none" w:sz="0" w:space="0" w:color="auto"/>
                <w:right w:val="none" w:sz="0" w:space="0" w:color="auto"/>
                <w:between w:val="none" w:sz="0" w:space="0" w:color="auto"/>
                <w:bar w:val="none" w:sz="0" w:color="auto"/>
              </w:pBdr>
              <w:outlineLvl w:val="9"/>
              <w:rPr>
                <w:rFonts w:eastAsia="Times New Roman"/>
                <w:b/>
                <w:bCs/>
                <w:sz w:val="18"/>
                <w:szCs w:val="18"/>
                <w:bdr w:val="none" w:sz="0" w:space="0" w:color="auto"/>
                <w:lang w:eastAsia="es-ES"/>
              </w:rPr>
            </w:pPr>
            <w:r w:rsidRPr="00992840">
              <w:rPr>
                <w:rFonts w:eastAsia="Times New Roman"/>
                <w:b/>
                <w:bCs/>
                <w:sz w:val="18"/>
                <w:szCs w:val="18"/>
                <w:bdr w:val="none" w:sz="0" w:space="0" w:color="auto"/>
                <w:lang w:eastAsia="es-ES"/>
              </w:rPr>
              <w:t>Imputación de subvenciones de inmovilizado no financiero y otras</w:t>
            </w:r>
          </w:p>
        </w:tc>
        <w:tc>
          <w:tcPr>
            <w:tcW w:w="658" w:type="pct"/>
            <w:tcBorders>
              <w:top w:val="nil"/>
              <w:left w:val="nil"/>
              <w:bottom w:val="nil"/>
              <w:right w:val="nil"/>
            </w:tcBorders>
            <w:shd w:val="clear" w:color="auto" w:fill="auto"/>
            <w:noWrap/>
            <w:vAlign w:val="center"/>
            <w:hideMark/>
          </w:tcPr>
          <w:p w14:paraId="5DBA3807" w14:textId="15DB601F" w:rsidR="001F4757" w:rsidRPr="00F61C20" w:rsidRDefault="001F4757" w:rsidP="001F4757">
            <w:pPr>
              <w:pBdr>
                <w:top w:val="none" w:sz="0" w:space="0" w:color="auto"/>
                <w:left w:val="none" w:sz="0" w:space="0" w:color="auto"/>
                <w:bottom w:val="none" w:sz="0" w:space="0" w:color="auto"/>
                <w:right w:val="none" w:sz="0" w:space="0" w:color="auto"/>
                <w:between w:val="none" w:sz="0" w:space="0" w:color="auto"/>
                <w:bar w:val="none" w:sz="0" w:color="auto"/>
              </w:pBdr>
              <w:jc w:val="center"/>
              <w:outlineLvl w:val="9"/>
              <w:rPr>
                <w:rFonts w:eastAsia="Times New Roman"/>
                <w:b/>
                <w:bCs/>
                <w:sz w:val="18"/>
                <w:szCs w:val="18"/>
                <w:bdr w:val="none" w:sz="0" w:space="0" w:color="auto"/>
                <w:lang w:eastAsia="es-ES"/>
              </w:rPr>
            </w:pPr>
            <w:r w:rsidRPr="00F61C20">
              <w:rPr>
                <w:rFonts w:eastAsia="Times New Roman"/>
                <w:b/>
                <w:bCs/>
                <w:sz w:val="18"/>
                <w:szCs w:val="18"/>
                <w:bdr w:val="none" w:sz="0" w:space="0" w:color="auto"/>
                <w:lang w:eastAsia="es-ES"/>
              </w:rPr>
              <w:t>15</w:t>
            </w:r>
            <w:r>
              <w:rPr>
                <w:rFonts w:eastAsia="Times New Roman"/>
                <w:b/>
                <w:bCs/>
                <w:sz w:val="18"/>
                <w:szCs w:val="18"/>
                <w:bdr w:val="none" w:sz="0" w:space="0" w:color="auto"/>
                <w:lang w:eastAsia="es-ES"/>
              </w:rPr>
              <w:t>.1</w:t>
            </w:r>
          </w:p>
        </w:tc>
        <w:tc>
          <w:tcPr>
            <w:tcW w:w="871" w:type="pct"/>
            <w:tcBorders>
              <w:top w:val="nil"/>
              <w:left w:val="nil"/>
              <w:bottom w:val="nil"/>
              <w:right w:val="nil"/>
            </w:tcBorders>
            <w:shd w:val="clear" w:color="auto" w:fill="auto"/>
            <w:noWrap/>
            <w:vAlign w:val="center"/>
          </w:tcPr>
          <w:p w14:paraId="4C0455B0" w14:textId="3ADAE63B" w:rsidR="001F4757" w:rsidRPr="00992840" w:rsidRDefault="001F4757" w:rsidP="001F4757">
            <w:pPr>
              <w:pBdr>
                <w:top w:val="none" w:sz="0" w:space="0" w:color="auto"/>
                <w:left w:val="none" w:sz="0" w:space="0" w:color="auto"/>
                <w:bottom w:val="none" w:sz="0" w:space="0" w:color="auto"/>
                <w:right w:val="none" w:sz="0" w:space="0" w:color="auto"/>
                <w:between w:val="none" w:sz="0" w:space="0" w:color="auto"/>
                <w:bar w:val="none" w:sz="0" w:color="auto"/>
              </w:pBdr>
              <w:jc w:val="right"/>
              <w:outlineLvl w:val="9"/>
              <w:rPr>
                <w:rFonts w:eastAsia="Times New Roman"/>
                <w:b/>
                <w:bCs/>
                <w:sz w:val="18"/>
                <w:szCs w:val="18"/>
                <w:bdr w:val="none" w:sz="0" w:space="0" w:color="auto"/>
                <w:lang w:eastAsia="es-ES"/>
              </w:rPr>
            </w:pPr>
            <w:r>
              <w:rPr>
                <w:b/>
                <w:bCs/>
                <w:sz w:val="18"/>
                <w:szCs w:val="18"/>
              </w:rPr>
              <w:t>48.649,38</w:t>
            </w:r>
          </w:p>
        </w:tc>
        <w:tc>
          <w:tcPr>
            <w:tcW w:w="871" w:type="pct"/>
            <w:tcBorders>
              <w:top w:val="nil"/>
              <w:left w:val="nil"/>
              <w:bottom w:val="nil"/>
              <w:right w:val="nil"/>
            </w:tcBorders>
            <w:shd w:val="clear" w:color="auto" w:fill="auto"/>
            <w:noWrap/>
            <w:vAlign w:val="center"/>
            <w:hideMark/>
          </w:tcPr>
          <w:p w14:paraId="5D58160E" w14:textId="4E792C9B" w:rsidR="001F4757" w:rsidRPr="00992840" w:rsidRDefault="001F4757" w:rsidP="001F4757">
            <w:pPr>
              <w:pBdr>
                <w:top w:val="none" w:sz="0" w:space="0" w:color="auto"/>
                <w:left w:val="none" w:sz="0" w:space="0" w:color="auto"/>
                <w:bottom w:val="none" w:sz="0" w:space="0" w:color="auto"/>
                <w:right w:val="none" w:sz="0" w:space="0" w:color="auto"/>
                <w:between w:val="none" w:sz="0" w:space="0" w:color="auto"/>
                <w:bar w:val="none" w:sz="0" w:color="auto"/>
              </w:pBdr>
              <w:jc w:val="right"/>
              <w:outlineLvl w:val="9"/>
              <w:rPr>
                <w:rFonts w:eastAsia="Times New Roman"/>
                <w:b/>
                <w:bCs/>
                <w:sz w:val="18"/>
                <w:szCs w:val="18"/>
                <w:bdr w:val="none" w:sz="0" w:space="0" w:color="auto"/>
                <w:lang w:eastAsia="es-ES"/>
              </w:rPr>
            </w:pPr>
            <w:r>
              <w:rPr>
                <w:b/>
                <w:bCs/>
                <w:sz w:val="18"/>
                <w:szCs w:val="18"/>
              </w:rPr>
              <w:t>71.771,25</w:t>
            </w:r>
          </w:p>
        </w:tc>
      </w:tr>
      <w:tr w:rsidR="001F4757" w:rsidRPr="00992840" w14:paraId="695D8FA0" w14:textId="77777777" w:rsidTr="00BA5560">
        <w:trPr>
          <w:trHeight w:val="340"/>
          <w:jc w:val="center"/>
        </w:trPr>
        <w:tc>
          <w:tcPr>
            <w:tcW w:w="2600" w:type="pct"/>
            <w:tcBorders>
              <w:top w:val="nil"/>
              <w:left w:val="nil"/>
              <w:bottom w:val="nil"/>
              <w:right w:val="nil"/>
            </w:tcBorders>
            <w:shd w:val="clear" w:color="auto" w:fill="auto"/>
            <w:noWrap/>
            <w:vAlign w:val="center"/>
          </w:tcPr>
          <w:p w14:paraId="27598938" w14:textId="399D7B7B" w:rsidR="001F4757" w:rsidRPr="00746A5E" w:rsidRDefault="001F4757" w:rsidP="001F4757">
            <w:pPr>
              <w:pBdr>
                <w:top w:val="none" w:sz="0" w:space="0" w:color="auto"/>
                <w:left w:val="none" w:sz="0" w:space="0" w:color="auto"/>
                <w:bottom w:val="none" w:sz="0" w:space="0" w:color="auto"/>
                <w:right w:val="none" w:sz="0" w:space="0" w:color="auto"/>
                <w:between w:val="none" w:sz="0" w:space="0" w:color="auto"/>
                <w:bar w:val="none" w:sz="0" w:color="auto"/>
              </w:pBdr>
              <w:outlineLvl w:val="9"/>
              <w:rPr>
                <w:rFonts w:eastAsia="Times New Roman"/>
                <w:b/>
                <w:bCs/>
                <w:sz w:val="18"/>
                <w:szCs w:val="18"/>
                <w:bdr w:val="none" w:sz="0" w:space="0" w:color="auto"/>
                <w:lang w:eastAsia="es-ES"/>
              </w:rPr>
            </w:pPr>
            <w:r>
              <w:rPr>
                <w:b/>
                <w:bCs/>
                <w:sz w:val="18"/>
                <w:szCs w:val="18"/>
              </w:rPr>
              <w:t>Excesos de provisiones</w:t>
            </w:r>
          </w:p>
        </w:tc>
        <w:tc>
          <w:tcPr>
            <w:tcW w:w="658" w:type="pct"/>
            <w:tcBorders>
              <w:top w:val="nil"/>
              <w:left w:val="nil"/>
              <w:bottom w:val="nil"/>
              <w:right w:val="nil"/>
            </w:tcBorders>
            <w:shd w:val="clear" w:color="auto" w:fill="auto"/>
            <w:noWrap/>
            <w:vAlign w:val="center"/>
          </w:tcPr>
          <w:p w14:paraId="30F1F5EC" w14:textId="77777777" w:rsidR="001F4757" w:rsidRPr="00F61C20" w:rsidRDefault="001F4757" w:rsidP="001F4757">
            <w:pPr>
              <w:pBdr>
                <w:top w:val="none" w:sz="0" w:space="0" w:color="auto"/>
                <w:left w:val="none" w:sz="0" w:space="0" w:color="auto"/>
                <w:bottom w:val="none" w:sz="0" w:space="0" w:color="auto"/>
                <w:right w:val="none" w:sz="0" w:space="0" w:color="auto"/>
                <w:between w:val="none" w:sz="0" w:space="0" w:color="auto"/>
                <w:bar w:val="none" w:sz="0" w:color="auto"/>
              </w:pBdr>
              <w:jc w:val="center"/>
              <w:outlineLvl w:val="9"/>
              <w:rPr>
                <w:rFonts w:eastAsia="Times New Roman"/>
                <w:b/>
                <w:bCs/>
                <w:sz w:val="18"/>
                <w:szCs w:val="18"/>
                <w:bdr w:val="none" w:sz="0" w:space="0" w:color="auto"/>
                <w:lang w:eastAsia="es-ES"/>
              </w:rPr>
            </w:pPr>
          </w:p>
        </w:tc>
        <w:tc>
          <w:tcPr>
            <w:tcW w:w="871" w:type="pct"/>
            <w:tcBorders>
              <w:top w:val="nil"/>
              <w:left w:val="nil"/>
              <w:bottom w:val="nil"/>
              <w:right w:val="nil"/>
            </w:tcBorders>
            <w:shd w:val="clear" w:color="auto" w:fill="auto"/>
            <w:noWrap/>
            <w:vAlign w:val="center"/>
          </w:tcPr>
          <w:p w14:paraId="4D742AA3" w14:textId="7ABF4A6F" w:rsidR="001F4757" w:rsidRDefault="001F4757" w:rsidP="001F4757">
            <w:pPr>
              <w:pBdr>
                <w:top w:val="none" w:sz="0" w:space="0" w:color="auto"/>
                <w:left w:val="none" w:sz="0" w:space="0" w:color="auto"/>
                <w:bottom w:val="none" w:sz="0" w:space="0" w:color="auto"/>
                <w:right w:val="none" w:sz="0" w:space="0" w:color="auto"/>
                <w:between w:val="none" w:sz="0" w:space="0" w:color="auto"/>
                <w:bar w:val="none" w:sz="0" w:color="auto"/>
              </w:pBdr>
              <w:jc w:val="right"/>
              <w:outlineLvl w:val="9"/>
              <w:rPr>
                <w:b/>
                <w:bCs/>
                <w:sz w:val="18"/>
                <w:szCs w:val="18"/>
              </w:rPr>
            </w:pPr>
            <w:r>
              <w:rPr>
                <w:b/>
                <w:bCs/>
                <w:sz w:val="18"/>
                <w:szCs w:val="18"/>
              </w:rPr>
              <w:t>5.547,29</w:t>
            </w:r>
          </w:p>
        </w:tc>
        <w:tc>
          <w:tcPr>
            <w:tcW w:w="871" w:type="pct"/>
            <w:tcBorders>
              <w:top w:val="nil"/>
              <w:left w:val="nil"/>
              <w:bottom w:val="nil"/>
              <w:right w:val="nil"/>
            </w:tcBorders>
            <w:shd w:val="clear" w:color="auto" w:fill="auto"/>
            <w:noWrap/>
            <w:vAlign w:val="center"/>
          </w:tcPr>
          <w:p w14:paraId="7C948920" w14:textId="3B4C1661" w:rsidR="001F4757" w:rsidRDefault="001F4757" w:rsidP="001F4757">
            <w:pPr>
              <w:pBdr>
                <w:top w:val="none" w:sz="0" w:space="0" w:color="auto"/>
                <w:left w:val="none" w:sz="0" w:space="0" w:color="auto"/>
                <w:bottom w:val="none" w:sz="0" w:space="0" w:color="auto"/>
                <w:right w:val="none" w:sz="0" w:space="0" w:color="auto"/>
                <w:between w:val="none" w:sz="0" w:space="0" w:color="auto"/>
                <w:bar w:val="none" w:sz="0" w:color="auto"/>
              </w:pBdr>
              <w:jc w:val="right"/>
              <w:outlineLvl w:val="9"/>
              <w:rPr>
                <w:b/>
                <w:bCs/>
                <w:sz w:val="18"/>
                <w:szCs w:val="18"/>
              </w:rPr>
            </w:pPr>
            <w:r w:rsidRPr="00746A5E">
              <w:rPr>
                <w:b/>
                <w:bCs/>
                <w:sz w:val="18"/>
                <w:szCs w:val="18"/>
              </w:rPr>
              <w:t>69.506,52</w:t>
            </w:r>
          </w:p>
        </w:tc>
      </w:tr>
      <w:tr w:rsidR="003F79E8" w:rsidRPr="00992840" w14:paraId="12770BF4" w14:textId="77777777" w:rsidTr="004A2576">
        <w:trPr>
          <w:trHeight w:val="340"/>
          <w:jc w:val="center"/>
        </w:trPr>
        <w:tc>
          <w:tcPr>
            <w:tcW w:w="2600" w:type="pct"/>
            <w:tcBorders>
              <w:top w:val="nil"/>
              <w:left w:val="nil"/>
              <w:bottom w:val="single" w:sz="4" w:space="0" w:color="auto"/>
              <w:right w:val="nil"/>
            </w:tcBorders>
            <w:shd w:val="clear" w:color="auto" w:fill="auto"/>
            <w:noWrap/>
            <w:vAlign w:val="center"/>
            <w:hideMark/>
          </w:tcPr>
          <w:p w14:paraId="65EB6F02" w14:textId="77777777" w:rsidR="003F79E8" w:rsidRPr="00992840" w:rsidRDefault="003F79E8" w:rsidP="003F79E8">
            <w:pPr>
              <w:pBdr>
                <w:top w:val="none" w:sz="0" w:space="0" w:color="auto"/>
                <w:left w:val="none" w:sz="0" w:space="0" w:color="auto"/>
                <w:bottom w:val="none" w:sz="0" w:space="0" w:color="auto"/>
                <w:right w:val="none" w:sz="0" w:space="0" w:color="auto"/>
                <w:between w:val="none" w:sz="0" w:space="0" w:color="auto"/>
                <w:bar w:val="none" w:sz="0" w:color="auto"/>
              </w:pBdr>
              <w:outlineLvl w:val="9"/>
              <w:rPr>
                <w:rFonts w:eastAsia="Times New Roman"/>
                <w:b/>
                <w:bCs/>
                <w:sz w:val="18"/>
                <w:szCs w:val="18"/>
                <w:bdr w:val="none" w:sz="0" w:space="0" w:color="auto"/>
                <w:lang w:eastAsia="es-ES"/>
              </w:rPr>
            </w:pPr>
            <w:r w:rsidRPr="00992840">
              <w:rPr>
                <w:rFonts w:eastAsia="Times New Roman"/>
                <w:b/>
                <w:bCs/>
                <w:sz w:val="18"/>
                <w:szCs w:val="18"/>
                <w:bdr w:val="none" w:sz="0" w:space="0" w:color="auto"/>
                <w:lang w:eastAsia="es-ES"/>
              </w:rPr>
              <w:t>Otros resultados</w:t>
            </w:r>
          </w:p>
        </w:tc>
        <w:tc>
          <w:tcPr>
            <w:tcW w:w="658" w:type="pct"/>
            <w:tcBorders>
              <w:top w:val="nil"/>
              <w:left w:val="nil"/>
              <w:bottom w:val="single" w:sz="4" w:space="0" w:color="auto"/>
              <w:right w:val="nil"/>
            </w:tcBorders>
            <w:shd w:val="clear" w:color="auto" w:fill="auto"/>
            <w:noWrap/>
            <w:vAlign w:val="center"/>
            <w:hideMark/>
          </w:tcPr>
          <w:p w14:paraId="140E7CB7" w14:textId="77777777" w:rsidR="003F79E8" w:rsidRPr="00F61C20" w:rsidRDefault="003F79E8" w:rsidP="003F79E8">
            <w:pPr>
              <w:pBdr>
                <w:top w:val="none" w:sz="0" w:space="0" w:color="auto"/>
                <w:left w:val="none" w:sz="0" w:space="0" w:color="auto"/>
                <w:bottom w:val="none" w:sz="0" w:space="0" w:color="auto"/>
                <w:right w:val="none" w:sz="0" w:space="0" w:color="auto"/>
                <w:between w:val="none" w:sz="0" w:space="0" w:color="auto"/>
                <w:bar w:val="none" w:sz="0" w:color="auto"/>
              </w:pBdr>
              <w:jc w:val="center"/>
              <w:outlineLvl w:val="9"/>
              <w:rPr>
                <w:rFonts w:eastAsia="Times New Roman"/>
                <w:b/>
                <w:bCs/>
                <w:sz w:val="18"/>
                <w:szCs w:val="18"/>
                <w:bdr w:val="none" w:sz="0" w:space="0" w:color="auto"/>
                <w:lang w:eastAsia="es-ES"/>
              </w:rPr>
            </w:pPr>
          </w:p>
        </w:tc>
        <w:tc>
          <w:tcPr>
            <w:tcW w:w="871" w:type="pct"/>
            <w:tcBorders>
              <w:top w:val="nil"/>
              <w:left w:val="nil"/>
              <w:bottom w:val="single" w:sz="4" w:space="0" w:color="auto"/>
              <w:right w:val="nil"/>
            </w:tcBorders>
            <w:shd w:val="clear" w:color="auto" w:fill="auto"/>
            <w:noWrap/>
            <w:vAlign w:val="center"/>
          </w:tcPr>
          <w:p w14:paraId="0AD33BEB" w14:textId="3103103D" w:rsidR="003F79E8" w:rsidRPr="001F4757" w:rsidRDefault="001F4757" w:rsidP="001F4757">
            <w:pPr>
              <w:pBdr>
                <w:top w:val="none" w:sz="0" w:space="0" w:color="auto"/>
                <w:left w:val="none" w:sz="0" w:space="0" w:color="auto"/>
                <w:bottom w:val="none" w:sz="0" w:space="0" w:color="auto"/>
                <w:right w:val="none" w:sz="0" w:space="0" w:color="auto"/>
                <w:between w:val="none" w:sz="0" w:space="0" w:color="auto"/>
                <w:bar w:val="none" w:sz="0" w:color="auto"/>
              </w:pBdr>
              <w:jc w:val="right"/>
              <w:outlineLvl w:val="9"/>
              <w:rPr>
                <w:rFonts w:eastAsia="Times New Roman"/>
                <w:b/>
                <w:bCs/>
                <w:sz w:val="18"/>
                <w:szCs w:val="18"/>
                <w:bdr w:val="none" w:sz="0" w:space="0" w:color="auto"/>
                <w:lang w:eastAsia="es-ES"/>
              </w:rPr>
            </w:pPr>
            <w:r>
              <w:rPr>
                <w:b/>
                <w:bCs/>
                <w:sz w:val="18"/>
                <w:szCs w:val="18"/>
              </w:rPr>
              <w:t>(712,00)</w:t>
            </w:r>
          </w:p>
        </w:tc>
        <w:tc>
          <w:tcPr>
            <w:tcW w:w="871" w:type="pct"/>
            <w:tcBorders>
              <w:top w:val="nil"/>
              <w:left w:val="nil"/>
              <w:bottom w:val="single" w:sz="4" w:space="0" w:color="auto"/>
              <w:right w:val="nil"/>
            </w:tcBorders>
            <w:shd w:val="clear" w:color="auto" w:fill="auto"/>
            <w:noWrap/>
            <w:vAlign w:val="center"/>
            <w:hideMark/>
          </w:tcPr>
          <w:p w14:paraId="64AE6C21" w14:textId="28A4B9F7" w:rsidR="003F79E8" w:rsidRPr="00992840" w:rsidRDefault="003F79E8" w:rsidP="003F79E8">
            <w:pPr>
              <w:pBdr>
                <w:top w:val="none" w:sz="0" w:space="0" w:color="auto"/>
                <w:left w:val="none" w:sz="0" w:space="0" w:color="auto"/>
                <w:bottom w:val="none" w:sz="0" w:space="0" w:color="auto"/>
                <w:right w:val="none" w:sz="0" w:space="0" w:color="auto"/>
                <w:between w:val="none" w:sz="0" w:space="0" w:color="auto"/>
                <w:bar w:val="none" w:sz="0" w:color="auto"/>
              </w:pBdr>
              <w:jc w:val="right"/>
              <w:outlineLvl w:val="9"/>
              <w:rPr>
                <w:rFonts w:eastAsia="Times New Roman"/>
                <w:b/>
                <w:bCs/>
                <w:sz w:val="18"/>
                <w:szCs w:val="18"/>
                <w:bdr w:val="none" w:sz="0" w:space="0" w:color="auto"/>
                <w:lang w:eastAsia="es-ES"/>
              </w:rPr>
            </w:pPr>
            <w:r w:rsidRPr="00746A5E">
              <w:rPr>
                <w:rFonts w:eastAsia="Times New Roman"/>
                <w:b/>
                <w:bCs/>
                <w:sz w:val="18"/>
                <w:szCs w:val="18"/>
                <w:bdr w:val="none" w:sz="0" w:space="0" w:color="auto"/>
                <w:lang w:eastAsia="es-ES"/>
              </w:rPr>
              <w:t>2.676,08</w:t>
            </w:r>
          </w:p>
        </w:tc>
      </w:tr>
      <w:tr w:rsidR="001F4757" w:rsidRPr="00992840" w14:paraId="135E4421" w14:textId="77777777" w:rsidTr="004A2576">
        <w:trPr>
          <w:trHeight w:val="340"/>
          <w:jc w:val="center"/>
        </w:trPr>
        <w:tc>
          <w:tcPr>
            <w:tcW w:w="2600" w:type="pct"/>
            <w:tcBorders>
              <w:top w:val="single" w:sz="4" w:space="0" w:color="auto"/>
              <w:left w:val="nil"/>
              <w:bottom w:val="single" w:sz="4" w:space="0" w:color="auto"/>
              <w:right w:val="nil"/>
            </w:tcBorders>
            <w:shd w:val="clear" w:color="000000" w:fill="F2F2F2"/>
            <w:noWrap/>
            <w:vAlign w:val="center"/>
            <w:hideMark/>
          </w:tcPr>
          <w:p w14:paraId="7C123A92" w14:textId="77777777" w:rsidR="001F4757" w:rsidRPr="00992840" w:rsidRDefault="001F4757" w:rsidP="001F4757">
            <w:pPr>
              <w:pBdr>
                <w:top w:val="none" w:sz="0" w:space="0" w:color="auto"/>
                <w:left w:val="none" w:sz="0" w:space="0" w:color="auto"/>
                <w:bottom w:val="none" w:sz="0" w:space="0" w:color="auto"/>
                <w:right w:val="none" w:sz="0" w:space="0" w:color="auto"/>
                <w:between w:val="none" w:sz="0" w:space="0" w:color="auto"/>
                <w:bar w:val="none" w:sz="0" w:color="auto"/>
              </w:pBdr>
              <w:outlineLvl w:val="9"/>
              <w:rPr>
                <w:rFonts w:eastAsia="Times New Roman"/>
                <w:b/>
                <w:bCs/>
                <w:sz w:val="18"/>
                <w:szCs w:val="18"/>
                <w:bdr w:val="none" w:sz="0" w:space="0" w:color="auto"/>
                <w:lang w:eastAsia="es-ES"/>
              </w:rPr>
            </w:pPr>
            <w:r w:rsidRPr="00992840">
              <w:rPr>
                <w:rFonts w:eastAsia="Times New Roman"/>
                <w:b/>
                <w:bCs/>
                <w:sz w:val="18"/>
                <w:szCs w:val="18"/>
                <w:bdr w:val="none" w:sz="0" w:space="0" w:color="auto"/>
                <w:lang w:eastAsia="es-ES"/>
              </w:rPr>
              <w:t>RESULTADO DE EXPLOTACIÓN</w:t>
            </w:r>
          </w:p>
        </w:tc>
        <w:tc>
          <w:tcPr>
            <w:tcW w:w="658" w:type="pct"/>
            <w:tcBorders>
              <w:top w:val="single" w:sz="4" w:space="0" w:color="auto"/>
              <w:left w:val="nil"/>
              <w:bottom w:val="single" w:sz="4" w:space="0" w:color="auto"/>
              <w:right w:val="nil"/>
            </w:tcBorders>
            <w:shd w:val="clear" w:color="000000" w:fill="F2F2F2"/>
            <w:noWrap/>
            <w:vAlign w:val="center"/>
            <w:hideMark/>
          </w:tcPr>
          <w:p w14:paraId="625DF650" w14:textId="071942F7" w:rsidR="001F4757" w:rsidRPr="00F61C20" w:rsidRDefault="001F4757" w:rsidP="001F4757">
            <w:pPr>
              <w:pBdr>
                <w:top w:val="none" w:sz="0" w:space="0" w:color="auto"/>
                <w:left w:val="none" w:sz="0" w:space="0" w:color="auto"/>
                <w:bottom w:val="none" w:sz="0" w:space="0" w:color="auto"/>
                <w:right w:val="none" w:sz="0" w:space="0" w:color="auto"/>
                <w:between w:val="none" w:sz="0" w:space="0" w:color="auto"/>
                <w:bar w:val="none" w:sz="0" w:color="auto"/>
              </w:pBdr>
              <w:jc w:val="center"/>
              <w:outlineLvl w:val="9"/>
              <w:rPr>
                <w:rFonts w:eastAsia="Times New Roman"/>
                <w:sz w:val="18"/>
                <w:szCs w:val="18"/>
                <w:bdr w:val="none" w:sz="0" w:space="0" w:color="auto"/>
                <w:lang w:eastAsia="es-ES"/>
              </w:rPr>
            </w:pPr>
          </w:p>
        </w:tc>
        <w:tc>
          <w:tcPr>
            <w:tcW w:w="871" w:type="pct"/>
            <w:tcBorders>
              <w:top w:val="single" w:sz="4" w:space="0" w:color="auto"/>
              <w:left w:val="nil"/>
              <w:bottom w:val="single" w:sz="4" w:space="0" w:color="auto"/>
              <w:right w:val="nil"/>
            </w:tcBorders>
            <w:shd w:val="clear" w:color="000000" w:fill="F2F2F2"/>
            <w:noWrap/>
            <w:vAlign w:val="center"/>
          </w:tcPr>
          <w:p w14:paraId="49BF3DE5" w14:textId="70A1DC55" w:rsidR="001F4757" w:rsidRPr="00712D3F" w:rsidRDefault="001F4757" w:rsidP="001F4757">
            <w:pPr>
              <w:pBdr>
                <w:top w:val="none" w:sz="0" w:space="0" w:color="auto"/>
                <w:left w:val="none" w:sz="0" w:space="0" w:color="auto"/>
                <w:bottom w:val="none" w:sz="0" w:space="0" w:color="auto"/>
                <w:right w:val="none" w:sz="0" w:space="0" w:color="auto"/>
                <w:between w:val="none" w:sz="0" w:space="0" w:color="auto"/>
                <w:bar w:val="none" w:sz="0" w:color="auto"/>
              </w:pBdr>
              <w:jc w:val="right"/>
              <w:outlineLvl w:val="9"/>
              <w:rPr>
                <w:rFonts w:eastAsia="Times New Roman"/>
                <w:b/>
                <w:bCs/>
                <w:sz w:val="18"/>
                <w:szCs w:val="18"/>
                <w:bdr w:val="none" w:sz="0" w:space="0" w:color="auto"/>
                <w:lang w:eastAsia="es-ES"/>
              </w:rPr>
            </w:pPr>
            <w:r>
              <w:rPr>
                <w:b/>
                <w:bCs/>
                <w:sz w:val="18"/>
                <w:szCs w:val="18"/>
              </w:rPr>
              <w:t>(3.770.879,32)</w:t>
            </w:r>
          </w:p>
        </w:tc>
        <w:tc>
          <w:tcPr>
            <w:tcW w:w="871" w:type="pct"/>
            <w:tcBorders>
              <w:top w:val="single" w:sz="4" w:space="0" w:color="auto"/>
              <w:left w:val="nil"/>
              <w:bottom w:val="single" w:sz="4" w:space="0" w:color="auto"/>
              <w:right w:val="nil"/>
            </w:tcBorders>
            <w:shd w:val="clear" w:color="000000" w:fill="F2F2F2"/>
            <w:noWrap/>
            <w:vAlign w:val="center"/>
            <w:hideMark/>
          </w:tcPr>
          <w:p w14:paraId="48B64412" w14:textId="6FDB7E00" w:rsidR="001F4757" w:rsidRPr="00992840" w:rsidRDefault="001F4757" w:rsidP="001F4757">
            <w:pPr>
              <w:pBdr>
                <w:top w:val="none" w:sz="0" w:space="0" w:color="auto"/>
                <w:left w:val="none" w:sz="0" w:space="0" w:color="auto"/>
                <w:bottom w:val="none" w:sz="0" w:space="0" w:color="auto"/>
                <w:right w:val="none" w:sz="0" w:space="0" w:color="auto"/>
                <w:between w:val="none" w:sz="0" w:space="0" w:color="auto"/>
                <w:bar w:val="none" w:sz="0" w:color="auto"/>
              </w:pBdr>
              <w:jc w:val="right"/>
              <w:outlineLvl w:val="9"/>
              <w:rPr>
                <w:rFonts w:eastAsia="Times New Roman"/>
                <w:b/>
                <w:bCs/>
                <w:sz w:val="18"/>
                <w:szCs w:val="18"/>
                <w:bdr w:val="none" w:sz="0" w:space="0" w:color="auto"/>
                <w:lang w:eastAsia="es-ES"/>
              </w:rPr>
            </w:pPr>
            <w:r>
              <w:rPr>
                <w:rFonts w:eastAsia="Times New Roman"/>
                <w:b/>
                <w:bCs/>
                <w:sz w:val="18"/>
                <w:szCs w:val="18"/>
                <w:bdr w:val="none" w:sz="0" w:space="0" w:color="auto"/>
                <w:lang w:eastAsia="es-ES"/>
              </w:rPr>
              <w:t>(</w:t>
            </w:r>
            <w:r w:rsidRPr="00746A5E">
              <w:rPr>
                <w:rFonts w:eastAsia="Times New Roman"/>
                <w:b/>
                <w:bCs/>
                <w:sz w:val="18"/>
                <w:szCs w:val="18"/>
                <w:bdr w:val="none" w:sz="0" w:space="0" w:color="auto"/>
                <w:lang w:eastAsia="es-ES"/>
              </w:rPr>
              <w:t>3.603.864,47</w:t>
            </w:r>
            <w:r>
              <w:rPr>
                <w:rFonts w:eastAsia="Times New Roman"/>
                <w:b/>
                <w:bCs/>
                <w:sz w:val="18"/>
                <w:szCs w:val="18"/>
                <w:bdr w:val="none" w:sz="0" w:space="0" w:color="auto"/>
                <w:lang w:eastAsia="es-ES"/>
              </w:rPr>
              <w:t>)</w:t>
            </w:r>
          </w:p>
        </w:tc>
      </w:tr>
      <w:tr w:rsidR="001F4757" w:rsidRPr="00992840" w14:paraId="09CBDC22" w14:textId="77777777" w:rsidTr="004A2576">
        <w:trPr>
          <w:trHeight w:val="340"/>
          <w:jc w:val="center"/>
        </w:trPr>
        <w:tc>
          <w:tcPr>
            <w:tcW w:w="2600" w:type="pct"/>
            <w:tcBorders>
              <w:top w:val="single" w:sz="4" w:space="0" w:color="auto"/>
              <w:left w:val="nil"/>
              <w:bottom w:val="nil"/>
              <w:right w:val="nil"/>
            </w:tcBorders>
            <w:shd w:val="clear" w:color="auto" w:fill="auto"/>
            <w:noWrap/>
            <w:vAlign w:val="center"/>
            <w:hideMark/>
          </w:tcPr>
          <w:p w14:paraId="22685472" w14:textId="77777777" w:rsidR="001F4757" w:rsidRPr="00992840" w:rsidRDefault="001F4757" w:rsidP="001F4757">
            <w:pPr>
              <w:pBdr>
                <w:top w:val="none" w:sz="0" w:space="0" w:color="auto"/>
                <w:left w:val="none" w:sz="0" w:space="0" w:color="auto"/>
                <w:bottom w:val="none" w:sz="0" w:space="0" w:color="auto"/>
                <w:right w:val="none" w:sz="0" w:space="0" w:color="auto"/>
                <w:between w:val="none" w:sz="0" w:space="0" w:color="auto"/>
                <w:bar w:val="none" w:sz="0" w:color="auto"/>
              </w:pBdr>
              <w:outlineLvl w:val="9"/>
              <w:rPr>
                <w:rFonts w:eastAsia="Times New Roman"/>
                <w:b/>
                <w:bCs/>
                <w:sz w:val="18"/>
                <w:szCs w:val="18"/>
                <w:bdr w:val="none" w:sz="0" w:space="0" w:color="auto"/>
                <w:lang w:eastAsia="es-ES"/>
              </w:rPr>
            </w:pPr>
            <w:r w:rsidRPr="00992840">
              <w:rPr>
                <w:rFonts w:eastAsia="Times New Roman"/>
                <w:b/>
                <w:bCs/>
                <w:sz w:val="18"/>
                <w:szCs w:val="18"/>
                <w:bdr w:val="none" w:sz="0" w:space="0" w:color="auto"/>
                <w:lang w:eastAsia="es-ES"/>
              </w:rPr>
              <w:t>Ingresos financieros</w:t>
            </w:r>
          </w:p>
        </w:tc>
        <w:tc>
          <w:tcPr>
            <w:tcW w:w="658" w:type="pct"/>
            <w:tcBorders>
              <w:top w:val="single" w:sz="4" w:space="0" w:color="auto"/>
              <w:left w:val="nil"/>
              <w:bottom w:val="nil"/>
              <w:right w:val="nil"/>
            </w:tcBorders>
            <w:shd w:val="clear" w:color="auto" w:fill="auto"/>
            <w:noWrap/>
            <w:vAlign w:val="center"/>
            <w:hideMark/>
          </w:tcPr>
          <w:p w14:paraId="177C6492" w14:textId="77777777" w:rsidR="001F4757" w:rsidRPr="00F61C20" w:rsidRDefault="001F4757" w:rsidP="001F4757">
            <w:pPr>
              <w:pBdr>
                <w:top w:val="none" w:sz="0" w:space="0" w:color="auto"/>
                <w:left w:val="none" w:sz="0" w:space="0" w:color="auto"/>
                <w:bottom w:val="none" w:sz="0" w:space="0" w:color="auto"/>
                <w:right w:val="none" w:sz="0" w:space="0" w:color="auto"/>
                <w:between w:val="none" w:sz="0" w:space="0" w:color="auto"/>
                <w:bar w:val="none" w:sz="0" w:color="auto"/>
              </w:pBdr>
              <w:jc w:val="center"/>
              <w:outlineLvl w:val="9"/>
              <w:rPr>
                <w:rFonts w:eastAsia="Times New Roman"/>
                <w:b/>
                <w:bCs/>
                <w:sz w:val="18"/>
                <w:szCs w:val="18"/>
                <w:bdr w:val="none" w:sz="0" w:space="0" w:color="auto"/>
                <w:lang w:eastAsia="es-ES"/>
              </w:rPr>
            </w:pPr>
            <w:r w:rsidRPr="00F61C20">
              <w:rPr>
                <w:rFonts w:eastAsia="Times New Roman"/>
                <w:b/>
                <w:bCs/>
                <w:sz w:val="18"/>
                <w:szCs w:val="18"/>
                <w:bdr w:val="none" w:sz="0" w:space="0" w:color="auto"/>
                <w:lang w:eastAsia="es-ES"/>
              </w:rPr>
              <w:t>12.e</w:t>
            </w:r>
          </w:p>
        </w:tc>
        <w:tc>
          <w:tcPr>
            <w:tcW w:w="871" w:type="pct"/>
            <w:tcBorders>
              <w:top w:val="single" w:sz="4" w:space="0" w:color="auto"/>
              <w:left w:val="nil"/>
              <w:bottom w:val="nil"/>
              <w:right w:val="nil"/>
            </w:tcBorders>
            <w:shd w:val="clear" w:color="auto" w:fill="auto"/>
            <w:noWrap/>
            <w:vAlign w:val="center"/>
          </w:tcPr>
          <w:p w14:paraId="1A2AEFA3" w14:textId="0C8EAC88" w:rsidR="001F4757" w:rsidRPr="00992840" w:rsidRDefault="001F4757" w:rsidP="001F4757">
            <w:pPr>
              <w:pBdr>
                <w:top w:val="none" w:sz="0" w:space="0" w:color="auto"/>
                <w:left w:val="none" w:sz="0" w:space="0" w:color="auto"/>
                <w:bottom w:val="none" w:sz="0" w:space="0" w:color="auto"/>
                <w:right w:val="none" w:sz="0" w:space="0" w:color="auto"/>
                <w:between w:val="none" w:sz="0" w:space="0" w:color="auto"/>
                <w:bar w:val="none" w:sz="0" w:color="auto"/>
              </w:pBdr>
              <w:jc w:val="right"/>
              <w:outlineLvl w:val="9"/>
              <w:rPr>
                <w:rFonts w:eastAsia="Times New Roman"/>
                <w:b/>
                <w:bCs/>
                <w:sz w:val="18"/>
                <w:szCs w:val="18"/>
                <w:bdr w:val="none" w:sz="0" w:space="0" w:color="auto"/>
                <w:lang w:eastAsia="es-ES"/>
              </w:rPr>
            </w:pPr>
            <w:r>
              <w:rPr>
                <w:b/>
                <w:bCs/>
                <w:sz w:val="18"/>
                <w:szCs w:val="18"/>
              </w:rPr>
              <w:t>180.879,32</w:t>
            </w:r>
          </w:p>
        </w:tc>
        <w:tc>
          <w:tcPr>
            <w:tcW w:w="871" w:type="pct"/>
            <w:tcBorders>
              <w:top w:val="single" w:sz="4" w:space="0" w:color="auto"/>
              <w:left w:val="nil"/>
              <w:bottom w:val="nil"/>
              <w:right w:val="nil"/>
            </w:tcBorders>
            <w:shd w:val="clear" w:color="auto" w:fill="auto"/>
            <w:noWrap/>
            <w:vAlign w:val="center"/>
            <w:hideMark/>
          </w:tcPr>
          <w:p w14:paraId="7C37F556" w14:textId="4ABEFA5E" w:rsidR="001F4757" w:rsidRPr="00992840" w:rsidRDefault="001F4757" w:rsidP="001F4757">
            <w:pPr>
              <w:pBdr>
                <w:top w:val="none" w:sz="0" w:space="0" w:color="auto"/>
                <w:left w:val="none" w:sz="0" w:space="0" w:color="auto"/>
                <w:bottom w:val="none" w:sz="0" w:space="0" w:color="auto"/>
                <w:right w:val="none" w:sz="0" w:space="0" w:color="auto"/>
                <w:between w:val="none" w:sz="0" w:space="0" w:color="auto"/>
                <w:bar w:val="none" w:sz="0" w:color="auto"/>
              </w:pBdr>
              <w:jc w:val="right"/>
              <w:outlineLvl w:val="9"/>
              <w:rPr>
                <w:rFonts w:eastAsia="Times New Roman"/>
                <w:b/>
                <w:bCs/>
                <w:sz w:val="18"/>
                <w:szCs w:val="18"/>
                <w:bdr w:val="none" w:sz="0" w:space="0" w:color="auto"/>
                <w:lang w:eastAsia="es-ES"/>
              </w:rPr>
            </w:pPr>
            <w:r w:rsidRPr="00746A5E">
              <w:rPr>
                <w:rFonts w:eastAsia="Times New Roman"/>
                <w:b/>
                <w:bCs/>
                <w:sz w:val="18"/>
                <w:szCs w:val="18"/>
                <w:bdr w:val="none" w:sz="0" w:space="0" w:color="auto"/>
                <w:lang w:eastAsia="es-ES"/>
              </w:rPr>
              <w:t>26.725,47</w:t>
            </w:r>
          </w:p>
        </w:tc>
      </w:tr>
      <w:tr w:rsidR="003F79E8" w:rsidRPr="00992840" w14:paraId="5A93FBB5" w14:textId="77777777" w:rsidTr="004A2576">
        <w:trPr>
          <w:trHeight w:val="340"/>
          <w:jc w:val="center"/>
        </w:trPr>
        <w:tc>
          <w:tcPr>
            <w:tcW w:w="2600" w:type="pct"/>
            <w:tcBorders>
              <w:top w:val="nil"/>
              <w:left w:val="nil"/>
              <w:right w:val="nil"/>
            </w:tcBorders>
            <w:shd w:val="clear" w:color="auto" w:fill="auto"/>
            <w:noWrap/>
            <w:vAlign w:val="center"/>
            <w:hideMark/>
          </w:tcPr>
          <w:p w14:paraId="6CC8A970" w14:textId="77777777" w:rsidR="003F79E8" w:rsidRPr="00992840" w:rsidRDefault="003F79E8" w:rsidP="003F79E8">
            <w:pPr>
              <w:pBdr>
                <w:top w:val="none" w:sz="0" w:space="0" w:color="auto"/>
                <w:left w:val="none" w:sz="0" w:space="0" w:color="auto"/>
                <w:bottom w:val="none" w:sz="0" w:space="0" w:color="auto"/>
                <w:right w:val="none" w:sz="0" w:space="0" w:color="auto"/>
                <w:between w:val="none" w:sz="0" w:space="0" w:color="auto"/>
                <w:bar w:val="none" w:sz="0" w:color="auto"/>
              </w:pBdr>
              <w:outlineLvl w:val="9"/>
              <w:rPr>
                <w:rFonts w:eastAsia="Times New Roman"/>
                <w:b/>
                <w:bCs/>
                <w:sz w:val="18"/>
                <w:szCs w:val="18"/>
                <w:bdr w:val="none" w:sz="0" w:space="0" w:color="auto"/>
                <w:lang w:eastAsia="es-ES"/>
              </w:rPr>
            </w:pPr>
            <w:r w:rsidRPr="00992840">
              <w:rPr>
                <w:rFonts w:eastAsia="Times New Roman"/>
                <w:b/>
                <w:bCs/>
                <w:sz w:val="18"/>
                <w:szCs w:val="18"/>
                <w:bdr w:val="none" w:sz="0" w:space="0" w:color="auto"/>
                <w:lang w:eastAsia="es-ES"/>
              </w:rPr>
              <w:t>Gastos financieros</w:t>
            </w:r>
          </w:p>
        </w:tc>
        <w:tc>
          <w:tcPr>
            <w:tcW w:w="658" w:type="pct"/>
            <w:tcBorders>
              <w:top w:val="nil"/>
              <w:left w:val="nil"/>
              <w:right w:val="nil"/>
            </w:tcBorders>
            <w:shd w:val="clear" w:color="auto" w:fill="auto"/>
            <w:noWrap/>
            <w:vAlign w:val="center"/>
            <w:hideMark/>
          </w:tcPr>
          <w:p w14:paraId="69192A84" w14:textId="77777777" w:rsidR="003F79E8" w:rsidRPr="00F61C20" w:rsidRDefault="003F79E8" w:rsidP="003F79E8">
            <w:pPr>
              <w:pBdr>
                <w:top w:val="none" w:sz="0" w:space="0" w:color="auto"/>
                <w:left w:val="none" w:sz="0" w:space="0" w:color="auto"/>
                <w:bottom w:val="none" w:sz="0" w:space="0" w:color="auto"/>
                <w:right w:val="none" w:sz="0" w:space="0" w:color="auto"/>
                <w:between w:val="none" w:sz="0" w:space="0" w:color="auto"/>
                <w:bar w:val="none" w:sz="0" w:color="auto"/>
              </w:pBdr>
              <w:jc w:val="center"/>
              <w:outlineLvl w:val="9"/>
              <w:rPr>
                <w:rFonts w:eastAsia="Times New Roman"/>
                <w:b/>
                <w:bCs/>
                <w:sz w:val="18"/>
                <w:szCs w:val="18"/>
                <w:bdr w:val="none" w:sz="0" w:space="0" w:color="auto"/>
                <w:lang w:eastAsia="es-ES"/>
              </w:rPr>
            </w:pPr>
            <w:r w:rsidRPr="00F61C20">
              <w:rPr>
                <w:rFonts w:eastAsia="Times New Roman"/>
                <w:b/>
                <w:bCs/>
                <w:sz w:val="18"/>
                <w:szCs w:val="18"/>
                <w:bdr w:val="none" w:sz="0" w:space="0" w:color="auto"/>
                <w:lang w:eastAsia="es-ES"/>
              </w:rPr>
              <w:t>12.e</w:t>
            </w:r>
          </w:p>
        </w:tc>
        <w:tc>
          <w:tcPr>
            <w:tcW w:w="871" w:type="pct"/>
            <w:tcBorders>
              <w:top w:val="nil"/>
              <w:left w:val="nil"/>
              <w:right w:val="nil"/>
            </w:tcBorders>
            <w:shd w:val="clear" w:color="auto" w:fill="auto"/>
            <w:noWrap/>
            <w:vAlign w:val="center"/>
          </w:tcPr>
          <w:p w14:paraId="0580FB79" w14:textId="587D966D" w:rsidR="003F79E8" w:rsidRPr="00992840" w:rsidRDefault="001F4757" w:rsidP="003F79E8">
            <w:pPr>
              <w:pBdr>
                <w:top w:val="none" w:sz="0" w:space="0" w:color="auto"/>
                <w:left w:val="none" w:sz="0" w:space="0" w:color="auto"/>
                <w:bottom w:val="none" w:sz="0" w:space="0" w:color="auto"/>
                <w:right w:val="none" w:sz="0" w:space="0" w:color="auto"/>
                <w:between w:val="none" w:sz="0" w:space="0" w:color="auto"/>
                <w:bar w:val="none" w:sz="0" w:color="auto"/>
              </w:pBdr>
              <w:jc w:val="right"/>
              <w:outlineLvl w:val="9"/>
              <w:rPr>
                <w:rFonts w:eastAsia="Times New Roman"/>
                <w:b/>
                <w:bCs/>
                <w:sz w:val="18"/>
                <w:szCs w:val="18"/>
                <w:bdr w:val="none" w:sz="0" w:space="0" w:color="auto"/>
                <w:lang w:eastAsia="es-ES"/>
              </w:rPr>
            </w:pPr>
            <w:r>
              <w:rPr>
                <w:rFonts w:eastAsia="Times New Roman"/>
                <w:b/>
                <w:bCs/>
                <w:sz w:val="18"/>
                <w:szCs w:val="18"/>
                <w:bdr w:val="none" w:sz="0" w:space="0" w:color="auto"/>
                <w:lang w:eastAsia="es-ES"/>
              </w:rPr>
              <w:t>-</w:t>
            </w:r>
          </w:p>
        </w:tc>
        <w:tc>
          <w:tcPr>
            <w:tcW w:w="871" w:type="pct"/>
            <w:tcBorders>
              <w:top w:val="nil"/>
              <w:left w:val="nil"/>
              <w:right w:val="nil"/>
            </w:tcBorders>
            <w:shd w:val="clear" w:color="auto" w:fill="auto"/>
            <w:noWrap/>
            <w:vAlign w:val="center"/>
            <w:hideMark/>
          </w:tcPr>
          <w:p w14:paraId="403C0B8D" w14:textId="294469B6" w:rsidR="003F79E8" w:rsidRPr="00992840" w:rsidRDefault="003F79E8" w:rsidP="003F79E8">
            <w:pPr>
              <w:pBdr>
                <w:top w:val="none" w:sz="0" w:space="0" w:color="auto"/>
                <w:left w:val="none" w:sz="0" w:space="0" w:color="auto"/>
                <w:bottom w:val="none" w:sz="0" w:space="0" w:color="auto"/>
                <w:right w:val="none" w:sz="0" w:space="0" w:color="auto"/>
                <w:between w:val="none" w:sz="0" w:space="0" w:color="auto"/>
                <w:bar w:val="none" w:sz="0" w:color="auto"/>
              </w:pBdr>
              <w:jc w:val="right"/>
              <w:outlineLvl w:val="9"/>
              <w:rPr>
                <w:rFonts w:eastAsia="Times New Roman"/>
                <w:b/>
                <w:bCs/>
                <w:sz w:val="18"/>
                <w:szCs w:val="18"/>
                <w:bdr w:val="none" w:sz="0" w:space="0" w:color="auto"/>
                <w:lang w:eastAsia="es-ES"/>
              </w:rPr>
            </w:pPr>
            <w:r>
              <w:rPr>
                <w:b/>
                <w:bCs/>
                <w:sz w:val="18"/>
                <w:szCs w:val="18"/>
              </w:rPr>
              <w:t>-</w:t>
            </w:r>
          </w:p>
        </w:tc>
      </w:tr>
      <w:tr w:rsidR="003F79E8" w:rsidRPr="00992840" w14:paraId="11EE5FA7" w14:textId="77777777" w:rsidTr="004A2576">
        <w:trPr>
          <w:trHeight w:val="340"/>
          <w:jc w:val="center"/>
        </w:trPr>
        <w:tc>
          <w:tcPr>
            <w:tcW w:w="2600" w:type="pct"/>
            <w:tcBorders>
              <w:top w:val="nil"/>
              <w:left w:val="nil"/>
              <w:bottom w:val="single" w:sz="4" w:space="0" w:color="auto"/>
              <w:right w:val="nil"/>
            </w:tcBorders>
            <w:shd w:val="clear" w:color="auto" w:fill="auto"/>
            <w:noWrap/>
            <w:vAlign w:val="center"/>
            <w:hideMark/>
          </w:tcPr>
          <w:p w14:paraId="7A2C46A3" w14:textId="77777777" w:rsidR="003F79E8" w:rsidRPr="00992840" w:rsidRDefault="003F79E8" w:rsidP="003F79E8">
            <w:pPr>
              <w:pBdr>
                <w:top w:val="none" w:sz="0" w:space="0" w:color="auto"/>
                <w:left w:val="none" w:sz="0" w:space="0" w:color="auto"/>
                <w:bottom w:val="none" w:sz="0" w:space="0" w:color="auto"/>
                <w:right w:val="none" w:sz="0" w:space="0" w:color="auto"/>
                <w:between w:val="none" w:sz="0" w:space="0" w:color="auto"/>
                <w:bar w:val="none" w:sz="0" w:color="auto"/>
              </w:pBdr>
              <w:outlineLvl w:val="9"/>
              <w:rPr>
                <w:rFonts w:eastAsia="Times New Roman"/>
                <w:b/>
                <w:bCs/>
                <w:sz w:val="18"/>
                <w:szCs w:val="18"/>
                <w:bdr w:val="none" w:sz="0" w:space="0" w:color="auto"/>
                <w:lang w:eastAsia="es-ES"/>
              </w:rPr>
            </w:pPr>
            <w:r w:rsidRPr="00992840">
              <w:rPr>
                <w:rFonts w:eastAsia="Times New Roman"/>
                <w:b/>
                <w:bCs/>
                <w:sz w:val="18"/>
                <w:szCs w:val="18"/>
                <w:bdr w:val="none" w:sz="0" w:space="0" w:color="auto"/>
                <w:lang w:eastAsia="es-ES"/>
              </w:rPr>
              <w:t>Diferencias de cambio</w:t>
            </w:r>
          </w:p>
        </w:tc>
        <w:tc>
          <w:tcPr>
            <w:tcW w:w="658" w:type="pct"/>
            <w:tcBorders>
              <w:top w:val="nil"/>
              <w:left w:val="nil"/>
              <w:bottom w:val="single" w:sz="4" w:space="0" w:color="auto"/>
              <w:right w:val="nil"/>
            </w:tcBorders>
            <w:shd w:val="clear" w:color="auto" w:fill="auto"/>
            <w:noWrap/>
            <w:vAlign w:val="center"/>
            <w:hideMark/>
          </w:tcPr>
          <w:p w14:paraId="0F9ECD09" w14:textId="77777777" w:rsidR="003F79E8" w:rsidRPr="00F61C20" w:rsidRDefault="003F79E8" w:rsidP="003F79E8">
            <w:pPr>
              <w:pBdr>
                <w:top w:val="none" w:sz="0" w:space="0" w:color="auto"/>
                <w:left w:val="none" w:sz="0" w:space="0" w:color="auto"/>
                <w:bottom w:val="none" w:sz="0" w:space="0" w:color="auto"/>
                <w:right w:val="none" w:sz="0" w:space="0" w:color="auto"/>
                <w:between w:val="none" w:sz="0" w:space="0" w:color="auto"/>
                <w:bar w:val="none" w:sz="0" w:color="auto"/>
              </w:pBdr>
              <w:jc w:val="center"/>
              <w:outlineLvl w:val="9"/>
              <w:rPr>
                <w:rFonts w:eastAsia="Times New Roman"/>
                <w:b/>
                <w:bCs/>
                <w:sz w:val="18"/>
                <w:szCs w:val="18"/>
                <w:bdr w:val="none" w:sz="0" w:space="0" w:color="auto"/>
                <w:lang w:eastAsia="es-ES"/>
              </w:rPr>
            </w:pPr>
            <w:r w:rsidRPr="00F61C20">
              <w:rPr>
                <w:rFonts w:eastAsia="Times New Roman"/>
                <w:b/>
                <w:bCs/>
                <w:sz w:val="18"/>
                <w:szCs w:val="18"/>
                <w:bdr w:val="none" w:sz="0" w:space="0" w:color="auto"/>
                <w:lang w:eastAsia="es-ES"/>
              </w:rPr>
              <w:t>12.e</w:t>
            </w:r>
          </w:p>
        </w:tc>
        <w:tc>
          <w:tcPr>
            <w:tcW w:w="871" w:type="pct"/>
            <w:tcBorders>
              <w:top w:val="nil"/>
              <w:left w:val="nil"/>
              <w:bottom w:val="single" w:sz="4" w:space="0" w:color="auto"/>
              <w:right w:val="nil"/>
            </w:tcBorders>
            <w:shd w:val="clear" w:color="auto" w:fill="auto"/>
            <w:noWrap/>
            <w:vAlign w:val="center"/>
          </w:tcPr>
          <w:p w14:paraId="5A2C8272" w14:textId="6500B634" w:rsidR="003F79E8" w:rsidRPr="00992840" w:rsidRDefault="001F4757" w:rsidP="003F79E8">
            <w:pPr>
              <w:pBdr>
                <w:top w:val="none" w:sz="0" w:space="0" w:color="auto"/>
                <w:left w:val="none" w:sz="0" w:space="0" w:color="auto"/>
                <w:bottom w:val="none" w:sz="0" w:space="0" w:color="auto"/>
                <w:right w:val="none" w:sz="0" w:space="0" w:color="auto"/>
                <w:between w:val="none" w:sz="0" w:space="0" w:color="auto"/>
                <w:bar w:val="none" w:sz="0" w:color="auto"/>
              </w:pBdr>
              <w:jc w:val="right"/>
              <w:outlineLvl w:val="9"/>
              <w:rPr>
                <w:rFonts w:eastAsia="Times New Roman"/>
                <w:b/>
                <w:bCs/>
                <w:sz w:val="18"/>
                <w:szCs w:val="18"/>
                <w:bdr w:val="none" w:sz="0" w:space="0" w:color="auto"/>
                <w:lang w:eastAsia="es-ES"/>
              </w:rPr>
            </w:pPr>
            <w:r>
              <w:rPr>
                <w:rFonts w:eastAsia="Times New Roman"/>
                <w:b/>
                <w:bCs/>
                <w:sz w:val="18"/>
                <w:szCs w:val="18"/>
                <w:bdr w:val="none" w:sz="0" w:space="0" w:color="auto"/>
                <w:lang w:eastAsia="es-ES"/>
              </w:rPr>
              <w:t>-</w:t>
            </w:r>
          </w:p>
        </w:tc>
        <w:tc>
          <w:tcPr>
            <w:tcW w:w="871" w:type="pct"/>
            <w:tcBorders>
              <w:top w:val="nil"/>
              <w:left w:val="nil"/>
              <w:bottom w:val="single" w:sz="4" w:space="0" w:color="auto"/>
              <w:right w:val="nil"/>
            </w:tcBorders>
            <w:shd w:val="clear" w:color="auto" w:fill="auto"/>
            <w:noWrap/>
            <w:vAlign w:val="center"/>
            <w:hideMark/>
          </w:tcPr>
          <w:p w14:paraId="789547BF" w14:textId="2A80B4DC" w:rsidR="003F79E8" w:rsidRPr="00992840" w:rsidRDefault="003F79E8" w:rsidP="003F79E8">
            <w:pPr>
              <w:pBdr>
                <w:top w:val="none" w:sz="0" w:space="0" w:color="auto"/>
                <w:left w:val="none" w:sz="0" w:space="0" w:color="auto"/>
                <w:bottom w:val="none" w:sz="0" w:space="0" w:color="auto"/>
                <w:right w:val="none" w:sz="0" w:space="0" w:color="auto"/>
                <w:between w:val="none" w:sz="0" w:space="0" w:color="auto"/>
                <w:bar w:val="none" w:sz="0" w:color="auto"/>
              </w:pBdr>
              <w:jc w:val="right"/>
              <w:outlineLvl w:val="9"/>
              <w:rPr>
                <w:rFonts w:eastAsia="Times New Roman"/>
                <w:b/>
                <w:bCs/>
                <w:sz w:val="18"/>
                <w:szCs w:val="18"/>
                <w:bdr w:val="none" w:sz="0" w:space="0" w:color="auto"/>
                <w:lang w:eastAsia="es-ES"/>
              </w:rPr>
            </w:pPr>
            <w:r>
              <w:rPr>
                <w:b/>
                <w:bCs/>
                <w:sz w:val="18"/>
                <w:szCs w:val="18"/>
              </w:rPr>
              <w:t>-</w:t>
            </w:r>
          </w:p>
        </w:tc>
      </w:tr>
      <w:tr w:rsidR="001F4757" w:rsidRPr="00992840" w14:paraId="15054402" w14:textId="77777777" w:rsidTr="004A2576">
        <w:trPr>
          <w:trHeight w:val="340"/>
          <w:jc w:val="center"/>
        </w:trPr>
        <w:tc>
          <w:tcPr>
            <w:tcW w:w="2600" w:type="pct"/>
            <w:tcBorders>
              <w:top w:val="single" w:sz="4" w:space="0" w:color="auto"/>
              <w:left w:val="nil"/>
              <w:bottom w:val="single" w:sz="4" w:space="0" w:color="auto"/>
              <w:right w:val="nil"/>
            </w:tcBorders>
            <w:shd w:val="clear" w:color="000000" w:fill="F2F2F2"/>
            <w:noWrap/>
            <w:vAlign w:val="center"/>
            <w:hideMark/>
          </w:tcPr>
          <w:p w14:paraId="00D8477D" w14:textId="77777777" w:rsidR="001F4757" w:rsidRPr="00085996" w:rsidRDefault="001F4757" w:rsidP="001F4757">
            <w:pPr>
              <w:pBdr>
                <w:top w:val="none" w:sz="0" w:space="0" w:color="auto"/>
                <w:left w:val="none" w:sz="0" w:space="0" w:color="auto"/>
                <w:bottom w:val="none" w:sz="0" w:space="0" w:color="auto"/>
                <w:right w:val="none" w:sz="0" w:space="0" w:color="auto"/>
                <w:between w:val="none" w:sz="0" w:space="0" w:color="auto"/>
                <w:bar w:val="none" w:sz="0" w:color="auto"/>
              </w:pBdr>
              <w:outlineLvl w:val="9"/>
              <w:rPr>
                <w:rFonts w:eastAsia="Times New Roman"/>
                <w:b/>
                <w:bCs/>
                <w:sz w:val="18"/>
                <w:szCs w:val="18"/>
                <w:bdr w:val="none" w:sz="0" w:space="0" w:color="auto"/>
                <w:lang w:eastAsia="es-ES"/>
              </w:rPr>
            </w:pPr>
            <w:r w:rsidRPr="00085996">
              <w:rPr>
                <w:rFonts w:eastAsia="Times New Roman"/>
                <w:b/>
                <w:bCs/>
                <w:sz w:val="18"/>
                <w:szCs w:val="18"/>
                <w:bdr w:val="none" w:sz="0" w:space="0" w:color="auto"/>
                <w:lang w:eastAsia="es-ES"/>
              </w:rPr>
              <w:t>RESULTADO FINANCIERO</w:t>
            </w:r>
          </w:p>
        </w:tc>
        <w:tc>
          <w:tcPr>
            <w:tcW w:w="658" w:type="pct"/>
            <w:tcBorders>
              <w:top w:val="single" w:sz="4" w:space="0" w:color="auto"/>
              <w:left w:val="nil"/>
              <w:bottom w:val="single" w:sz="4" w:space="0" w:color="auto"/>
              <w:right w:val="nil"/>
            </w:tcBorders>
            <w:shd w:val="clear" w:color="000000" w:fill="F2F2F2"/>
            <w:noWrap/>
            <w:vAlign w:val="center"/>
            <w:hideMark/>
          </w:tcPr>
          <w:p w14:paraId="043B3445" w14:textId="6F2AA84A" w:rsidR="001F4757" w:rsidRPr="00F61C20" w:rsidRDefault="001F4757" w:rsidP="001F4757">
            <w:pPr>
              <w:pBdr>
                <w:top w:val="none" w:sz="0" w:space="0" w:color="auto"/>
                <w:left w:val="none" w:sz="0" w:space="0" w:color="auto"/>
                <w:bottom w:val="none" w:sz="0" w:space="0" w:color="auto"/>
                <w:right w:val="none" w:sz="0" w:space="0" w:color="auto"/>
                <w:between w:val="none" w:sz="0" w:space="0" w:color="auto"/>
                <w:bar w:val="none" w:sz="0" w:color="auto"/>
              </w:pBdr>
              <w:jc w:val="center"/>
              <w:outlineLvl w:val="9"/>
              <w:rPr>
                <w:rFonts w:eastAsia="Times New Roman"/>
                <w:sz w:val="18"/>
                <w:szCs w:val="18"/>
                <w:bdr w:val="none" w:sz="0" w:space="0" w:color="auto"/>
                <w:lang w:eastAsia="es-ES"/>
              </w:rPr>
            </w:pPr>
          </w:p>
        </w:tc>
        <w:tc>
          <w:tcPr>
            <w:tcW w:w="871" w:type="pct"/>
            <w:tcBorders>
              <w:top w:val="single" w:sz="4" w:space="0" w:color="auto"/>
              <w:left w:val="nil"/>
              <w:bottom w:val="single" w:sz="4" w:space="0" w:color="auto"/>
              <w:right w:val="nil"/>
            </w:tcBorders>
            <w:shd w:val="clear" w:color="000000" w:fill="F2F2F2"/>
            <w:noWrap/>
            <w:vAlign w:val="center"/>
          </w:tcPr>
          <w:p w14:paraId="6E50F4D6" w14:textId="2EE2AA2D" w:rsidR="001F4757" w:rsidRPr="00992840" w:rsidRDefault="001F4757" w:rsidP="001F4757">
            <w:pPr>
              <w:pBdr>
                <w:top w:val="none" w:sz="0" w:space="0" w:color="auto"/>
                <w:left w:val="none" w:sz="0" w:space="0" w:color="auto"/>
                <w:bottom w:val="none" w:sz="0" w:space="0" w:color="auto"/>
                <w:right w:val="none" w:sz="0" w:space="0" w:color="auto"/>
                <w:between w:val="none" w:sz="0" w:space="0" w:color="auto"/>
                <w:bar w:val="none" w:sz="0" w:color="auto"/>
              </w:pBdr>
              <w:jc w:val="right"/>
              <w:outlineLvl w:val="9"/>
              <w:rPr>
                <w:rFonts w:eastAsia="Times New Roman"/>
                <w:b/>
                <w:bCs/>
                <w:sz w:val="18"/>
                <w:szCs w:val="18"/>
                <w:bdr w:val="none" w:sz="0" w:space="0" w:color="auto"/>
                <w:lang w:eastAsia="es-ES"/>
              </w:rPr>
            </w:pPr>
            <w:r>
              <w:rPr>
                <w:b/>
                <w:bCs/>
                <w:sz w:val="18"/>
                <w:szCs w:val="18"/>
              </w:rPr>
              <w:t>180.879,32</w:t>
            </w:r>
          </w:p>
        </w:tc>
        <w:tc>
          <w:tcPr>
            <w:tcW w:w="871" w:type="pct"/>
            <w:tcBorders>
              <w:top w:val="single" w:sz="4" w:space="0" w:color="auto"/>
              <w:left w:val="nil"/>
              <w:bottom w:val="single" w:sz="4" w:space="0" w:color="auto"/>
              <w:right w:val="nil"/>
            </w:tcBorders>
            <w:shd w:val="clear" w:color="000000" w:fill="F2F2F2"/>
            <w:noWrap/>
            <w:vAlign w:val="center"/>
            <w:hideMark/>
          </w:tcPr>
          <w:p w14:paraId="32CD9CCD" w14:textId="449E04E8" w:rsidR="001F4757" w:rsidRPr="00992840" w:rsidRDefault="001F4757" w:rsidP="001F4757">
            <w:pPr>
              <w:pBdr>
                <w:top w:val="none" w:sz="0" w:space="0" w:color="auto"/>
                <w:left w:val="none" w:sz="0" w:space="0" w:color="auto"/>
                <w:bottom w:val="none" w:sz="0" w:space="0" w:color="auto"/>
                <w:right w:val="none" w:sz="0" w:space="0" w:color="auto"/>
                <w:between w:val="none" w:sz="0" w:space="0" w:color="auto"/>
                <w:bar w:val="none" w:sz="0" w:color="auto"/>
              </w:pBdr>
              <w:jc w:val="right"/>
              <w:outlineLvl w:val="9"/>
              <w:rPr>
                <w:rFonts w:eastAsia="Times New Roman"/>
                <w:b/>
                <w:bCs/>
                <w:sz w:val="18"/>
                <w:szCs w:val="18"/>
                <w:bdr w:val="none" w:sz="0" w:space="0" w:color="auto"/>
                <w:lang w:eastAsia="es-ES"/>
              </w:rPr>
            </w:pPr>
            <w:r w:rsidRPr="003F79E8">
              <w:rPr>
                <w:b/>
                <w:bCs/>
                <w:sz w:val="18"/>
                <w:szCs w:val="18"/>
              </w:rPr>
              <w:t>26.725,47</w:t>
            </w:r>
          </w:p>
        </w:tc>
      </w:tr>
      <w:tr w:rsidR="001F4757" w:rsidRPr="00992840" w14:paraId="55B54D92" w14:textId="77777777" w:rsidTr="004A2576">
        <w:trPr>
          <w:trHeight w:val="340"/>
          <w:jc w:val="center"/>
        </w:trPr>
        <w:tc>
          <w:tcPr>
            <w:tcW w:w="2600" w:type="pct"/>
            <w:tcBorders>
              <w:top w:val="single" w:sz="4" w:space="0" w:color="auto"/>
              <w:left w:val="nil"/>
              <w:bottom w:val="single" w:sz="4" w:space="0" w:color="auto"/>
              <w:right w:val="nil"/>
            </w:tcBorders>
            <w:shd w:val="clear" w:color="000000" w:fill="F2F2F2"/>
            <w:noWrap/>
            <w:vAlign w:val="center"/>
            <w:hideMark/>
          </w:tcPr>
          <w:p w14:paraId="060ECAE9" w14:textId="77777777" w:rsidR="001F4757" w:rsidRPr="00085996" w:rsidRDefault="001F4757" w:rsidP="001F4757">
            <w:pPr>
              <w:pBdr>
                <w:top w:val="none" w:sz="0" w:space="0" w:color="auto"/>
                <w:left w:val="none" w:sz="0" w:space="0" w:color="auto"/>
                <w:bottom w:val="none" w:sz="0" w:space="0" w:color="auto"/>
                <w:right w:val="none" w:sz="0" w:space="0" w:color="auto"/>
                <w:between w:val="none" w:sz="0" w:space="0" w:color="auto"/>
                <w:bar w:val="none" w:sz="0" w:color="auto"/>
              </w:pBdr>
              <w:outlineLvl w:val="9"/>
              <w:rPr>
                <w:rFonts w:eastAsia="Times New Roman"/>
                <w:b/>
                <w:bCs/>
                <w:sz w:val="18"/>
                <w:szCs w:val="18"/>
                <w:bdr w:val="none" w:sz="0" w:space="0" w:color="auto"/>
                <w:lang w:eastAsia="es-ES"/>
              </w:rPr>
            </w:pPr>
            <w:r w:rsidRPr="00085996">
              <w:rPr>
                <w:rFonts w:eastAsia="Times New Roman"/>
                <w:b/>
                <w:bCs/>
                <w:sz w:val="18"/>
                <w:szCs w:val="18"/>
                <w:bdr w:val="none" w:sz="0" w:space="0" w:color="auto"/>
                <w:lang w:eastAsia="es-ES"/>
              </w:rPr>
              <w:t>RESULTADO ANTES DE IMPUESTOS</w:t>
            </w:r>
          </w:p>
        </w:tc>
        <w:tc>
          <w:tcPr>
            <w:tcW w:w="658" w:type="pct"/>
            <w:tcBorders>
              <w:top w:val="single" w:sz="4" w:space="0" w:color="auto"/>
              <w:left w:val="nil"/>
              <w:bottom w:val="single" w:sz="4" w:space="0" w:color="auto"/>
              <w:right w:val="nil"/>
            </w:tcBorders>
            <w:shd w:val="clear" w:color="000000" w:fill="F2F2F2"/>
            <w:noWrap/>
            <w:vAlign w:val="center"/>
            <w:hideMark/>
          </w:tcPr>
          <w:p w14:paraId="008AF962" w14:textId="5286FF51" w:rsidR="001F4757" w:rsidRPr="00F61C20" w:rsidRDefault="001F4757" w:rsidP="001F4757">
            <w:pPr>
              <w:pBdr>
                <w:top w:val="none" w:sz="0" w:space="0" w:color="auto"/>
                <w:left w:val="none" w:sz="0" w:space="0" w:color="auto"/>
                <w:bottom w:val="none" w:sz="0" w:space="0" w:color="auto"/>
                <w:right w:val="none" w:sz="0" w:space="0" w:color="auto"/>
                <w:between w:val="none" w:sz="0" w:space="0" w:color="auto"/>
                <w:bar w:val="none" w:sz="0" w:color="auto"/>
              </w:pBdr>
              <w:jc w:val="center"/>
              <w:outlineLvl w:val="9"/>
              <w:rPr>
                <w:rFonts w:eastAsia="Times New Roman"/>
                <w:sz w:val="18"/>
                <w:szCs w:val="18"/>
                <w:bdr w:val="none" w:sz="0" w:space="0" w:color="auto"/>
                <w:lang w:eastAsia="es-ES"/>
              </w:rPr>
            </w:pPr>
          </w:p>
        </w:tc>
        <w:tc>
          <w:tcPr>
            <w:tcW w:w="871" w:type="pct"/>
            <w:tcBorders>
              <w:top w:val="single" w:sz="4" w:space="0" w:color="auto"/>
              <w:left w:val="nil"/>
              <w:bottom w:val="single" w:sz="4" w:space="0" w:color="auto"/>
              <w:right w:val="nil"/>
            </w:tcBorders>
            <w:shd w:val="clear" w:color="000000" w:fill="F2F2F2"/>
            <w:noWrap/>
            <w:vAlign w:val="center"/>
          </w:tcPr>
          <w:p w14:paraId="6E8DC292" w14:textId="48A74E59" w:rsidR="001F4757" w:rsidRPr="00746A5E" w:rsidRDefault="001F4757" w:rsidP="001F4757">
            <w:pPr>
              <w:pBdr>
                <w:top w:val="none" w:sz="0" w:space="0" w:color="auto"/>
                <w:left w:val="none" w:sz="0" w:space="0" w:color="auto"/>
                <w:bottom w:val="none" w:sz="0" w:space="0" w:color="auto"/>
                <w:right w:val="none" w:sz="0" w:space="0" w:color="auto"/>
                <w:between w:val="none" w:sz="0" w:space="0" w:color="auto"/>
                <w:bar w:val="none" w:sz="0" w:color="auto"/>
              </w:pBdr>
              <w:jc w:val="right"/>
              <w:outlineLvl w:val="9"/>
              <w:rPr>
                <w:rFonts w:eastAsia="Times New Roman"/>
                <w:b/>
                <w:bCs/>
                <w:sz w:val="18"/>
                <w:szCs w:val="18"/>
                <w:bdr w:val="none" w:sz="0" w:space="0" w:color="auto"/>
                <w:lang w:eastAsia="es-ES"/>
              </w:rPr>
            </w:pPr>
            <w:r>
              <w:rPr>
                <w:b/>
                <w:bCs/>
                <w:sz w:val="18"/>
                <w:szCs w:val="18"/>
              </w:rPr>
              <w:t>(3.590.000,00)</w:t>
            </w:r>
          </w:p>
        </w:tc>
        <w:tc>
          <w:tcPr>
            <w:tcW w:w="871" w:type="pct"/>
            <w:tcBorders>
              <w:top w:val="single" w:sz="4" w:space="0" w:color="auto"/>
              <w:left w:val="nil"/>
              <w:bottom w:val="single" w:sz="4" w:space="0" w:color="auto"/>
              <w:right w:val="nil"/>
            </w:tcBorders>
            <w:shd w:val="clear" w:color="000000" w:fill="F2F2F2"/>
            <w:noWrap/>
            <w:vAlign w:val="center"/>
            <w:hideMark/>
          </w:tcPr>
          <w:p w14:paraId="4F6E4E0E" w14:textId="2DC0CAC3" w:rsidR="001F4757" w:rsidRPr="00992840" w:rsidRDefault="001F4757" w:rsidP="001F4757">
            <w:pPr>
              <w:pBdr>
                <w:top w:val="none" w:sz="0" w:space="0" w:color="auto"/>
                <w:left w:val="none" w:sz="0" w:space="0" w:color="auto"/>
                <w:bottom w:val="none" w:sz="0" w:space="0" w:color="auto"/>
                <w:right w:val="none" w:sz="0" w:space="0" w:color="auto"/>
                <w:between w:val="none" w:sz="0" w:space="0" w:color="auto"/>
                <w:bar w:val="none" w:sz="0" w:color="auto"/>
              </w:pBdr>
              <w:jc w:val="right"/>
              <w:outlineLvl w:val="9"/>
              <w:rPr>
                <w:rFonts w:eastAsia="Times New Roman"/>
                <w:b/>
                <w:bCs/>
                <w:sz w:val="18"/>
                <w:szCs w:val="18"/>
                <w:bdr w:val="none" w:sz="0" w:space="0" w:color="auto"/>
                <w:lang w:eastAsia="es-ES"/>
              </w:rPr>
            </w:pPr>
            <w:r>
              <w:rPr>
                <w:b/>
                <w:bCs/>
                <w:sz w:val="18"/>
                <w:szCs w:val="18"/>
              </w:rPr>
              <w:t>(3.577.139,00)</w:t>
            </w:r>
          </w:p>
        </w:tc>
      </w:tr>
      <w:tr w:rsidR="001F4757" w:rsidRPr="00992840" w14:paraId="1E98B89E" w14:textId="77777777" w:rsidTr="004A2576">
        <w:trPr>
          <w:trHeight w:val="340"/>
          <w:jc w:val="center"/>
        </w:trPr>
        <w:tc>
          <w:tcPr>
            <w:tcW w:w="2600" w:type="pct"/>
            <w:tcBorders>
              <w:top w:val="single" w:sz="4" w:space="0" w:color="auto"/>
              <w:left w:val="nil"/>
              <w:bottom w:val="single" w:sz="4" w:space="0" w:color="auto"/>
              <w:right w:val="nil"/>
            </w:tcBorders>
            <w:shd w:val="clear" w:color="auto" w:fill="auto"/>
            <w:noWrap/>
            <w:vAlign w:val="center"/>
            <w:hideMark/>
          </w:tcPr>
          <w:p w14:paraId="276DB5C1" w14:textId="77777777" w:rsidR="001F4757" w:rsidRPr="00992840" w:rsidRDefault="001F4757" w:rsidP="001F4757">
            <w:pPr>
              <w:pBdr>
                <w:top w:val="none" w:sz="0" w:space="0" w:color="auto"/>
                <w:left w:val="none" w:sz="0" w:space="0" w:color="auto"/>
                <w:bottom w:val="none" w:sz="0" w:space="0" w:color="auto"/>
                <w:right w:val="none" w:sz="0" w:space="0" w:color="auto"/>
                <w:between w:val="none" w:sz="0" w:space="0" w:color="auto"/>
                <w:bar w:val="none" w:sz="0" w:color="auto"/>
              </w:pBdr>
              <w:outlineLvl w:val="9"/>
              <w:rPr>
                <w:rFonts w:eastAsia="Times New Roman"/>
                <w:b/>
                <w:bCs/>
                <w:sz w:val="18"/>
                <w:szCs w:val="18"/>
                <w:bdr w:val="none" w:sz="0" w:space="0" w:color="auto"/>
                <w:lang w:eastAsia="es-ES"/>
              </w:rPr>
            </w:pPr>
            <w:r w:rsidRPr="00992840">
              <w:rPr>
                <w:rFonts w:eastAsia="Times New Roman"/>
                <w:b/>
                <w:bCs/>
                <w:sz w:val="18"/>
                <w:szCs w:val="18"/>
                <w:bdr w:val="none" w:sz="0" w:space="0" w:color="auto"/>
                <w:lang w:eastAsia="es-ES"/>
              </w:rPr>
              <w:t>Impuestos sobre beneficios</w:t>
            </w:r>
          </w:p>
        </w:tc>
        <w:tc>
          <w:tcPr>
            <w:tcW w:w="658" w:type="pct"/>
            <w:tcBorders>
              <w:top w:val="single" w:sz="4" w:space="0" w:color="auto"/>
              <w:left w:val="nil"/>
              <w:bottom w:val="single" w:sz="4" w:space="0" w:color="auto"/>
              <w:right w:val="nil"/>
            </w:tcBorders>
            <w:shd w:val="clear" w:color="auto" w:fill="auto"/>
            <w:noWrap/>
            <w:vAlign w:val="center"/>
            <w:hideMark/>
          </w:tcPr>
          <w:p w14:paraId="36E26D2E" w14:textId="77777777" w:rsidR="001F4757" w:rsidRPr="00F61C20" w:rsidRDefault="001F4757" w:rsidP="001F4757">
            <w:pPr>
              <w:pBdr>
                <w:top w:val="none" w:sz="0" w:space="0" w:color="auto"/>
                <w:left w:val="none" w:sz="0" w:space="0" w:color="auto"/>
                <w:bottom w:val="none" w:sz="0" w:space="0" w:color="auto"/>
                <w:right w:val="none" w:sz="0" w:space="0" w:color="auto"/>
                <w:between w:val="none" w:sz="0" w:space="0" w:color="auto"/>
                <w:bar w:val="none" w:sz="0" w:color="auto"/>
              </w:pBdr>
              <w:jc w:val="center"/>
              <w:outlineLvl w:val="9"/>
              <w:rPr>
                <w:rFonts w:eastAsia="Times New Roman"/>
                <w:b/>
                <w:bCs/>
                <w:sz w:val="18"/>
                <w:szCs w:val="18"/>
                <w:bdr w:val="none" w:sz="0" w:space="0" w:color="auto"/>
                <w:lang w:eastAsia="es-ES"/>
              </w:rPr>
            </w:pPr>
            <w:r w:rsidRPr="00F61C20">
              <w:rPr>
                <w:rFonts w:eastAsia="Times New Roman"/>
                <w:b/>
                <w:bCs/>
                <w:sz w:val="18"/>
                <w:szCs w:val="18"/>
                <w:bdr w:val="none" w:sz="0" w:space="0" w:color="auto"/>
                <w:lang w:eastAsia="es-ES"/>
              </w:rPr>
              <w:t>11.2</w:t>
            </w:r>
          </w:p>
        </w:tc>
        <w:tc>
          <w:tcPr>
            <w:tcW w:w="871" w:type="pct"/>
            <w:tcBorders>
              <w:top w:val="single" w:sz="4" w:space="0" w:color="auto"/>
              <w:left w:val="nil"/>
              <w:bottom w:val="single" w:sz="4" w:space="0" w:color="auto"/>
              <w:right w:val="nil"/>
            </w:tcBorders>
            <w:shd w:val="clear" w:color="auto" w:fill="auto"/>
            <w:noWrap/>
            <w:vAlign w:val="center"/>
          </w:tcPr>
          <w:p w14:paraId="27833CCD" w14:textId="5575898B" w:rsidR="001F4757" w:rsidRPr="00085996" w:rsidRDefault="001F4757" w:rsidP="001F4757">
            <w:pPr>
              <w:pBdr>
                <w:top w:val="none" w:sz="0" w:space="0" w:color="auto"/>
                <w:left w:val="none" w:sz="0" w:space="0" w:color="auto"/>
                <w:bottom w:val="none" w:sz="0" w:space="0" w:color="auto"/>
                <w:right w:val="none" w:sz="0" w:space="0" w:color="auto"/>
                <w:between w:val="none" w:sz="0" w:space="0" w:color="auto"/>
                <w:bar w:val="none" w:sz="0" w:color="auto"/>
              </w:pBdr>
              <w:jc w:val="right"/>
              <w:outlineLvl w:val="9"/>
              <w:rPr>
                <w:rFonts w:ascii="Times New Roman" w:eastAsia="Times New Roman" w:hAnsi="Times New Roman" w:cs="Times New Roman"/>
                <w:color w:val="auto"/>
                <w:sz w:val="18"/>
                <w:szCs w:val="18"/>
                <w:bdr w:val="none" w:sz="0" w:space="0" w:color="auto"/>
                <w:lang w:eastAsia="es-ES"/>
              </w:rPr>
            </w:pPr>
            <w:r>
              <w:rPr>
                <w:b/>
                <w:bCs/>
                <w:sz w:val="18"/>
                <w:szCs w:val="18"/>
              </w:rPr>
              <w:t xml:space="preserve"> -</w:t>
            </w:r>
          </w:p>
        </w:tc>
        <w:tc>
          <w:tcPr>
            <w:tcW w:w="871" w:type="pct"/>
            <w:tcBorders>
              <w:top w:val="single" w:sz="4" w:space="0" w:color="auto"/>
              <w:left w:val="nil"/>
              <w:bottom w:val="single" w:sz="4" w:space="0" w:color="auto"/>
              <w:right w:val="nil"/>
            </w:tcBorders>
            <w:shd w:val="clear" w:color="auto" w:fill="auto"/>
            <w:noWrap/>
            <w:vAlign w:val="center"/>
            <w:hideMark/>
          </w:tcPr>
          <w:p w14:paraId="70C05C10" w14:textId="2BCD94BA" w:rsidR="001F4757" w:rsidRPr="00992840" w:rsidRDefault="001F4757" w:rsidP="001F4757">
            <w:pPr>
              <w:pBdr>
                <w:top w:val="none" w:sz="0" w:space="0" w:color="auto"/>
                <w:left w:val="none" w:sz="0" w:space="0" w:color="auto"/>
                <w:bottom w:val="none" w:sz="0" w:space="0" w:color="auto"/>
                <w:right w:val="none" w:sz="0" w:space="0" w:color="auto"/>
                <w:between w:val="none" w:sz="0" w:space="0" w:color="auto"/>
                <w:bar w:val="none" w:sz="0" w:color="auto"/>
              </w:pBdr>
              <w:jc w:val="right"/>
              <w:outlineLvl w:val="9"/>
              <w:rPr>
                <w:rFonts w:eastAsia="Times New Roman"/>
                <w:b/>
                <w:bCs/>
                <w:sz w:val="18"/>
                <w:szCs w:val="18"/>
                <w:bdr w:val="none" w:sz="0" w:space="0" w:color="auto"/>
                <w:lang w:eastAsia="es-ES"/>
              </w:rPr>
            </w:pPr>
            <w:r w:rsidRPr="00085996">
              <w:rPr>
                <w:b/>
                <w:bCs/>
                <w:sz w:val="18"/>
                <w:szCs w:val="18"/>
              </w:rPr>
              <w:t>-</w:t>
            </w:r>
          </w:p>
        </w:tc>
      </w:tr>
      <w:tr w:rsidR="001F4757" w:rsidRPr="00992840" w14:paraId="4E61994B" w14:textId="77777777" w:rsidTr="004A2576">
        <w:trPr>
          <w:trHeight w:val="340"/>
          <w:jc w:val="center"/>
        </w:trPr>
        <w:tc>
          <w:tcPr>
            <w:tcW w:w="2600" w:type="pct"/>
            <w:tcBorders>
              <w:top w:val="single" w:sz="4" w:space="0" w:color="auto"/>
              <w:left w:val="nil"/>
              <w:bottom w:val="single" w:sz="4" w:space="0" w:color="auto"/>
              <w:right w:val="nil"/>
            </w:tcBorders>
            <w:shd w:val="clear" w:color="000000" w:fill="F2F2F2"/>
            <w:noWrap/>
            <w:vAlign w:val="center"/>
            <w:hideMark/>
          </w:tcPr>
          <w:p w14:paraId="63EF40F7" w14:textId="77777777" w:rsidR="001F4757" w:rsidRPr="00992840" w:rsidRDefault="001F4757" w:rsidP="001F4757">
            <w:pPr>
              <w:pBdr>
                <w:top w:val="none" w:sz="0" w:space="0" w:color="auto"/>
                <w:left w:val="none" w:sz="0" w:space="0" w:color="auto"/>
                <w:bottom w:val="none" w:sz="0" w:space="0" w:color="auto"/>
                <w:right w:val="none" w:sz="0" w:space="0" w:color="auto"/>
                <w:between w:val="none" w:sz="0" w:space="0" w:color="auto"/>
                <w:bar w:val="none" w:sz="0" w:color="auto"/>
              </w:pBdr>
              <w:outlineLvl w:val="9"/>
              <w:rPr>
                <w:rFonts w:eastAsia="Times New Roman"/>
                <w:b/>
                <w:bCs/>
                <w:sz w:val="18"/>
                <w:szCs w:val="18"/>
                <w:bdr w:val="none" w:sz="0" w:space="0" w:color="auto"/>
                <w:lang w:eastAsia="es-ES"/>
              </w:rPr>
            </w:pPr>
            <w:r w:rsidRPr="00992840">
              <w:rPr>
                <w:rFonts w:eastAsia="Times New Roman"/>
                <w:b/>
                <w:bCs/>
                <w:sz w:val="18"/>
                <w:szCs w:val="18"/>
                <w:bdr w:val="none" w:sz="0" w:space="0" w:color="auto"/>
                <w:lang w:eastAsia="es-ES"/>
              </w:rPr>
              <w:t>RESULTADO DEL EJERCICIO</w:t>
            </w:r>
          </w:p>
        </w:tc>
        <w:tc>
          <w:tcPr>
            <w:tcW w:w="658" w:type="pct"/>
            <w:tcBorders>
              <w:top w:val="single" w:sz="4" w:space="0" w:color="auto"/>
              <w:left w:val="nil"/>
              <w:bottom w:val="single" w:sz="4" w:space="0" w:color="auto"/>
              <w:right w:val="nil"/>
            </w:tcBorders>
            <w:shd w:val="clear" w:color="000000" w:fill="F2F2F2"/>
            <w:noWrap/>
            <w:vAlign w:val="center"/>
            <w:hideMark/>
          </w:tcPr>
          <w:p w14:paraId="6C9C2D14" w14:textId="77777777" w:rsidR="001F4757" w:rsidRPr="00F61C20" w:rsidRDefault="001F4757" w:rsidP="001F4757">
            <w:pPr>
              <w:pBdr>
                <w:top w:val="none" w:sz="0" w:space="0" w:color="auto"/>
                <w:left w:val="none" w:sz="0" w:space="0" w:color="auto"/>
                <w:bottom w:val="none" w:sz="0" w:space="0" w:color="auto"/>
                <w:right w:val="none" w:sz="0" w:space="0" w:color="auto"/>
                <w:between w:val="none" w:sz="0" w:space="0" w:color="auto"/>
                <w:bar w:val="none" w:sz="0" w:color="auto"/>
              </w:pBdr>
              <w:jc w:val="center"/>
              <w:outlineLvl w:val="9"/>
              <w:rPr>
                <w:rFonts w:eastAsia="Times New Roman"/>
                <w:b/>
                <w:bCs/>
                <w:sz w:val="18"/>
                <w:szCs w:val="18"/>
                <w:bdr w:val="none" w:sz="0" w:space="0" w:color="auto"/>
                <w:lang w:eastAsia="es-ES"/>
              </w:rPr>
            </w:pPr>
            <w:r w:rsidRPr="00F61C20">
              <w:rPr>
                <w:rFonts w:eastAsia="Times New Roman"/>
                <w:b/>
                <w:bCs/>
                <w:sz w:val="18"/>
                <w:szCs w:val="18"/>
                <w:bdr w:val="none" w:sz="0" w:space="0" w:color="auto"/>
                <w:lang w:eastAsia="es-ES"/>
              </w:rPr>
              <w:t>3</w:t>
            </w:r>
          </w:p>
        </w:tc>
        <w:tc>
          <w:tcPr>
            <w:tcW w:w="871" w:type="pct"/>
            <w:tcBorders>
              <w:top w:val="single" w:sz="4" w:space="0" w:color="auto"/>
              <w:left w:val="nil"/>
              <w:bottom w:val="single" w:sz="4" w:space="0" w:color="auto"/>
              <w:right w:val="nil"/>
            </w:tcBorders>
            <w:shd w:val="clear" w:color="000000" w:fill="F2F2F2"/>
            <w:noWrap/>
            <w:vAlign w:val="center"/>
          </w:tcPr>
          <w:p w14:paraId="3E7A40F1" w14:textId="192A71D7" w:rsidR="001F4757" w:rsidRPr="006D37A3" w:rsidRDefault="001F4757" w:rsidP="001F4757">
            <w:pPr>
              <w:pBdr>
                <w:top w:val="none" w:sz="0" w:space="0" w:color="auto"/>
                <w:left w:val="none" w:sz="0" w:space="0" w:color="auto"/>
                <w:bottom w:val="none" w:sz="0" w:space="0" w:color="auto"/>
                <w:right w:val="none" w:sz="0" w:space="0" w:color="auto"/>
                <w:between w:val="none" w:sz="0" w:space="0" w:color="auto"/>
                <w:bar w:val="none" w:sz="0" w:color="auto"/>
              </w:pBdr>
              <w:jc w:val="right"/>
              <w:outlineLvl w:val="9"/>
              <w:rPr>
                <w:rFonts w:eastAsia="Times New Roman"/>
                <w:b/>
                <w:bCs/>
                <w:sz w:val="18"/>
                <w:szCs w:val="18"/>
                <w:bdr w:val="none" w:sz="0" w:space="0" w:color="auto"/>
                <w:lang w:eastAsia="es-ES"/>
              </w:rPr>
            </w:pPr>
            <w:r>
              <w:rPr>
                <w:b/>
                <w:bCs/>
                <w:sz w:val="18"/>
                <w:szCs w:val="18"/>
              </w:rPr>
              <w:t>(3.590.000,00)</w:t>
            </w:r>
          </w:p>
        </w:tc>
        <w:tc>
          <w:tcPr>
            <w:tcW w:w="871" w:type="pct"/>
            <w:tcBorders>
              <w:top w:val="single" w:sz="4" w:space="0" w:color="auto"/>
              <w:left w:val="nil"/>
              <w:bottom w:val="single" w:sz="4" w:space="0" w:color="auto"/>
              <w:right w:val="nil"/>
            </w:tcBorders>
            <w:shd w:val="clear" w:color="000000" w:fill="F2F2F2"/>
            <w:noWrap/>
            <w:vAlign w:val="center"/>
            <w:hideMark/>
          </w:tcPr>
          <w:p w14:paraId="731A2DF2" w14:textId="179E3E43" w:rsidR="001F4757" w:rsidRPr="00992840" w:rsidRDefault="001F4757" w:rsidP="001F4757">
            <w:pPr>
              <w:pBdr>
                <w:top w:val="none" w:sz="0" w:space="0" w:color="auto"/>
                <w:left w:val="none" w:sz="0" w:space="0" w:color="auto"/>
                <w:bottom w:val="none" w:sz="0" w:space="0" w:color="auto"/>
                <w:right w:val="none" w:sz="0" w:space="0" w:color="auto"/>
                <w:between w:val="none" w:sz="0" w:space="0" w:color="auto"/>
                <w:bar w:val="none" w:sz="0" w:color="auto"/>
              </w:pBdr>
              <w:jc w:val="right"/>
              <w:outlineLvl w:val="9"/>
              <w:rPr>
                <w:rFonts w:eastAsia="Times New Roman"/>
                <w:b/>
                <w:bCs/>
                <w:sz w:val="18"/>
                <w:szCs w:val="18"/>
                <w:bdr w:val="none" w:sz="0" w:space="0" w:color="auto"/>
                <w:lang w:eastAsia="es-ES"/>
              </w:rPr>
            </w:pPr>
            <w:r>
              <w:rPr>
                <w:b/>
                <w:bCs/>
                <w:sz w:val="18"/>
                <w:szCs w:val="18"/>
              </w:rPr>
              <w:t>(3.577.139,00)</w:t>
            </w:r>
          </w:p>
        </w:tc>
      </w:tr>
    </w:tbl>
    <w:p w14:paraId="605AC2D8" w14:textId="6F9DC2F7" w:rsidR="006220A2" w:rsidRPr="00BA5560" w:rsidRDefault="006220A2" w:rsidP="00BA5560">
      <w:pPr>
        <w:widowControl w:val="0"/>
        <w:tabs>
          <w:tab w:val="left" w:pos="737"/>
          <w:tab w:val="left" w:pos="1474"/>
          <w:tab w:val="left" w:pos="2324"/>
          <w:tab w:val="left" w:pos="4320"/>
          <w:tab w:val="left" w:pos="5040"/>
          <w:tab w:val="left" w:pos="5760"/>
          <w:tab w:val="left" w:pos="6480"/>
          <w:tab w:val="decimal" w:pos="6520"/>
          <w:tab w:val="left" w:pos="7200"/>
          <w:tab w:val="left" w:pos="7920"/>
          <w:tab w:val="right" w:pos="8505"/>
          <w:tab w:val="left" w:pos="8640"/>
        </w:tabs>
        <w:spacing w:before="120"/>
        <w:jc w:val="center"/>
        <w:outlineLvl w:val="9"/>
        <w:rPr>
          <w:i/>
          <w:iCs/>
          <w:sz w:val="18"/>
          <w:szCs w:val="18"/>
        </w:rPr>
      </w:pPr>
      <w:r w:rsidRPr="00BA5560">
        <w:rPr>
          <w:i/>
          <w:iCs/>
          <w:sz w:val="18"/>
          <w:szCs w:val="18"/>
        </w:rPr>
        <w:t>Las Cuentas Anuales de la Sociedad, que forman una sola unidad, comprenden esta Cuenta de Pérdidas y Ganancias, el Balance, el Estado de Cambios en el Patrimonio Neto, el Estado de Flujos de Efectivo adjuntos y la Memoria Anual adjunta que const</w:t>
      </w:r>
      <w:r w:rsidR="00A05A11" w:rsidRPr="00BA5560">
        <w:rPr>
          <w:i/>
          <w:iCs/>
          <w:sz w:val="18"/>
          <w:szCs w:val="18"/>
        </w:rPr>
        <w:t>a de 20</w:t>
      </w:r>
      <w:r w:rsidRPr="00BA5560">
        <w:rPr>
          <w:i/>
          <w:iCs/>
          <w:sz w:val="18"/>
          <w:szCs w:val="18"/>
        </w:rPr>
        <w:t xml:space="preserve"> Notas</w:t>
      </w:r>
    </w:p>
    <w:p w14:paraId="14F1BE60" w14:textId="77777777" w:rsidR="003A4111" w:rsidRPr="0083433F" w:rsidRDefault="006220A2" w:rsidP="006220A2">
      <w:pPr>
        <w:widowControl w:val="0"/>
        <w:tabs>
          <w:tab w:val="left" w:pos="284"/>
          <w:tab w:val="left" w:pos="567"/>
          <w:tab w:val="left" w:pos="851"/>
        </w:tabs>
        <w:rPr>
          <w:sz w:val="20"/>
        </w:rPr>
      </w:pPr>
      <w:r w:rsidRPr="0083433F">
        <w:rPr>
          <w:sz w:val="20"/>
        </w:rPr>
        <w:br w:type="page"/>
      </w:r>
    </w:p>
    <w:p w14:paraId="19211D8D" w14:textId="77777777" w:rsidR="006220A2" w:rsidRPr="0083433F" w:rsidRDefault="006220A2" w:rsidP="007825C6">
      <w:pPr>
        <w:widowControl w:val="0"/>
        <w:tabs>
          <w:tab w:val="left" w:pos="284"/>
          <w:tab w:val="left" w:pos="567"/>
          <w:tab w:val="left" w:pos="851"/>
        </w:tabs>
        <w:spacing w:line="280" w:lineRule="exact"/>
        <w:rPr>
          <w:b/>
          <w:snapToGrid w:val="0"/>
          <w:sz w:val="20"/>
        </w:rPr>
      </w:pPr>
      <w:r w:rsidRPr="0083433F">
        <w:rPr>
          <w:b/>
          <w:snapToGrid w:val="0"/>
          <w:sz w:val="20"/>
        </w:rPr>
        <w:lastRenderedPageBreak/>
        <w:t>PROMOTUR TURISMO CANARIAS, S.A.</w:t>
      </w:r>
    </w:p>
    <w:p w14:paraId="2677784D" w14:textId="1FDC63E4" w:rsidR="006220A2" w:rsidRPr="0083433F" w:rsidRDefault="006220A2" w:rsidP="007825C6">
      <w:pPr>
        <w:widowControl w:val="0"/>
        <w:shd w:val="clear" w:color="auto" w:fill="FFFFFF"/>
        <w:tabs>
          <w:tab w:val="left" w:pos="1440"/>
          <w:tab w:val="left" w:pos="2160"/>
          <w:tab w:val="left" w:pos="2880"/>
          <w:tab w:val="left" w:pos="3600"/>
          <w:tab w:val="left" w:pos="4320"/>
          <w:tab w:val="left" w:pos="5040"/>
          <w:tab w:val="left" w:pos="5760"/>
          <w:tab w:val="left" w:pos="6480"/>
          <w:tab w:val="left" w:pos="7200"/>
          <w:tab w:val="left" w:pos="7920"/>
          <w:tab w:val="left" w:pos="8640"/>
        </w:tabs>
        <w:spacing w:line="280" w:lineRule="exact"/>
        <w:jc w:val="both"/>
        <w:rPr>
          <w:b/>
          <w:snapToGrid w:val="0"/>
          <w:sz w:val="20"/>
        </w:rPr>
      </w:pPr>
      <w:r w:rsidRPr="0083433F">
        <w:rPr>
          <w:b/>
          <w:snapToGrid w:val="0"/>
          <w:sz w:val="20"/>
        </w:rPr>
        <w:t>ESTADO DE CAMBIOS EN EL PATRIMONIO NETO CORRESPONDIENTE AL EJERCICIO ANUAL TERMI</w:t>
      </w:r>
      <w:r w:rsidR="00556E1C" w:rsidRPr="0083433F">
        <w:rPr>
          <w:b/>
          <w:snapToGrid w:val="0"/>
          <w:sz w:val="20"/>
        </w:rPr>
        <w:t>NADO EL 31 DE DICIEMBRE DE 20</w:t>
      </w:r>
      <w:r w:rsidR="006248B7">
        <w:rPr>
          <w:b/>
          <w:snapToGrid w:val="0"/>
          <w:sz w:val="20"/>
        </w:rPr>
        <w:t>2</w:t>
      </w:r>
      <w:r w:rsidR="00680BE3">
        <w:rPr>
          <w:b/>
          <w:snapToGrid w:val="0"/>
          <w:sz w:val="20"/>
        </w:rPr>
        <w:t>4</w:t>
      </w:r>
      <w:r w:rsidR="00556E1C" w:rsidRPr="0083433F">
        <w:rPr>
          <w:b/>
          <w:snapToGrid w:val="0"/>
          <w:sz w:val="20"/>
        </w:rPr>
        <w:t xml:space="preserve"> Y 20</w:t>
      </w:r>
      <w:r w:rsidR="00C97B50">
        <w:rPr>
          <w:b/>
          <w:snapToGrid w:val="0"/>
          <w:sz w:val="20"/>
        </w:rPr>
        <w:t>2</w:t>
      </w:r>
      <w:r w:rsidR="00680BE3">
        <w:rPr>
          <w:b/>
          <w:snapToGrid w:val="0"/>
          <w:sz w:val="20"/>
        </w:rPr>
        <w:t>3</w:t>
      </w:r>
    </w:p>
    <w:p w14:paraId="504EDFCA" w14:textId="77777777" w:rsidR="006220A2" w:rsidRPr="0083433F" w:rsidRDefault="006220A2" w:rsidP="006220A2">
      <w:pPr>
        <w:widowControl w:val="0"/>
        <w:shd w:val="clear" w:color="auto" w:fill="FFFFFF"/>
        <w:tabs>
          <w:tab w:val="left" w:pos="1440"/>
          <w:tab w:val="left" w:pos="2160"/>
          <w:tab w:val="left" w:pos="2880"/>
          <w:tab w:val="left" w:pos="3600"/>
          <w:tab w:val="left" w:pos="4320"/>
          <w:tab w:val="left" w:pos="5040"/>
          <w:tab w:val="left" w:pos="5760"/>
          <w:tab w:val="left" w:pos="6480"/>
          <w:tab w:val="left" w:pos="7200"/>
          <w:tab w:val="left" w:pos="7920"/>
          <w:tab w:val="left" w:pos="8640"/>
        </w:tabs>
        <w:rPr>
          <w:b/>
          <w:snapToGrid w:val="0"/>
          <w:sz w:val="20"/>
        </w:rPr>
      </w:pPr>
    </w:p>
    <w:p w14:paraId="7CEC1C99" w14:textId="77777777" w:rsidR="006220A2" w:rsidRPr="0083433F" w:rsidRDefault="006220A2" w:rsidP="006220A2">
      <w:pPr>
        <w:widowControl w:val="0"/>
        <w:shd w:val="clear" w:color="auto" w:fill="FFFFFF"/>
        <w:tabs>
          <w:tab w:val="left" w:pos="1440"/>
          <w:tab w:val="left" w:pos="2160"/>
          <w:tab w:val="left" w:pos="2880"/>
          <w:tab w:val="left" w:pos="3600"/>
          <w:tab w:val="left" w:pos="4320"/>
          <w:tab w:val="left" w:pos="5040"/>
          <w:tab w:val="left" w:pos="5760"/>
          <w:tab w:val="left" w:pos="6480"/>
          <w:tab w:val="left" w:pos="7200"/>
          <w:tab w:val="left" w:pos="7920"/>
          <w:tab w:val="left" w:pos="8640"/>
        </w:tabs>
        <w:rPr>
          <w:b/>
          <w:bCs/>
          <w:snapToGrid w:val="0"/>
          <w:sz w:val="20"/>
        </w:rPr>
      </w:pPr>
      <w:r w:rsidRPr="0083433F">
        <w:rPr>
          <w:b/>
          <w:snapToGrid w:val="0"/>
          <w:sz w:val="20"/>
        </w:rPr>
        <w:t xml:space="preserve">A) ESTADO DE INGRESOS Y GASTOS RECONOCIDOS </w:t>
      </w:r>
      <w:r w:rsidRPr="0083433F">
        <w:rPr>
          <w:b/>
          <w:bCs/>
          <w:sz w:val="20"/>
        </w:rPr>
        <w:t>(Expresado en euros)</w:t>
      </w:r>
      <w:r w:rsidRPr="0083433F">
        <w:rPr>
          <w:b/>
          <w:bCs/>
          <w:snapToGrid w:val="0"/>
          <w:sz w:val="20"/>
        </w:rPr>
        <w:t xml:space="preserve"> </w:t>
      </w:r>
    </w:p>
    <w:p w14:paraId="09122015" w14:textId="77777777" w:rsidR="006220A2" w:rsidRPr="0083433F" w:rsidRDefault="006220A2" w:rsidP="006220A2">
      <w:pPr>
        <w:widowControl w:val="0"/>
        <w:tabs>
          <w:tab w:val="left" w:pos="284"/>
          <w:tab w:val="left" w:pos="567"/>
          <w:tab w:val="left" w:pos="851"/>
        </w:tabs>
        <w:rPr>
          <w:b/>
          <w:snapToGrid w:val="0"/>
          <w:sz w:val="20"/>
        </w:rPr>
      </w:pPr>
    </w:p>
    <w:tbl>
      <w:tblPr>
        <w:tblW w:w="5000" w:type="pct"/>
        <w:jc w:val="center"/>
        <w:tblCellMar>
          <w:left w:w="70" w:type="dxa"/>
          <w:right w:w="70" w:type="dxa"/>
        </w:tblCellMar>
        <w:tblLook w:val="04A0" w:firstRow="1" w:lastRow="0" w:firstColumn="1" w:lastColumn="0" w:noHBand="0" w:noVBand="1"/>
      </w:tblPr>
      <w:tblGrid>
        <w:gridCol w:w="4542"/>
        <w:gridCol w:w="841"/>
        <w:gridCol w:w="1885"/>
        <w:gridCol w:w="1797"/>
      </w:tblGrid>
      <w:tr w:rsidR="009524CA" w:rsidRPr="00433906" w14:paraId="65DA3B98" w14:textId="77777777" w:rsidTr="00866EC2">
        <w:trPr>
          <w:trHeight w:val="238"/>
          <w:jc w:val="center"/>
        </w:trPr>
        <w:tc>
          <w:tcPr>
            <w:tcW w:w="2505" w:type="pct"/>
            <w:tcBorders>
              <w:top w:val="single" w:sz="4" w:space="0" w:color="auto"/>
              <w:left w:val="nil"/>
              <w:bottom w:val="nil"/>
              <w:right w:val="nil"/>
            </w:tcBorders>
            <w:shd w:val="clear" w:color="auto" w:fill="D9D9D9" w:themeFill="background1" w:themeFillShade="D9"/>
            <w:noWrap/>
            <w:vAlign w:val="bottom"/>
            <w:hideMark/>
          </w:tcPr>
          <w:p w14:paraId="17657AE8" w14:textId="77777777" w:rsidR="006220A2" w:rsidRPr="00433906" w:rsidRDefault="006220A2" w:rsidP="00852114">
            <w:pPr>
              <w:rPr>
                <w:rFonts w:eastAsia="Times New Roman"/>
                <w:color w:val="auto"/>
                <w:sz w:val="18"/>
                <w:szCs w:val="18"/>
              </w:rPr>
            </w:pPr>
            <w:r w:rsidRPr="00433906">
              <w:rPr>
                <w:rFonts w:eastAsia="Times New Roman"/>
                <w:color w:val="auto"/>
                <w:sz w:val="18"/>
                <w:szCs w:val="18"/>
              </w:rPr>
              <w:t> </w:t>
            </w:r>
          </w:p>
        </w:tc>
        <w:tc>
          <w:tcPr>
            <w:tcW w:w="464" w:type="pct"/>
            <w:tcBorders>
              <w:top w:val="single" w:sz="4" w:space="0" w:color="auto"/>
              <w:left w:val="nil"/>
              <w:bottom w:val="nil"/>
              <w:right w:val="nil"/>
            </w:tcBorders>
            <w:shd w:val="clear" w:color="auto" w:fill="D9D9D9" w:themeFill="background1" w:themeFillShade="D9"/>
            <w:noWrap/>
            <w:vAlign w:val="bottom"/>
            <w:hideMark/>
          </w:tcPr>
          <w:p w14:paraId="2B28CF61" w14:textId="77777777" w:rsidR="006220A2" w:rsidRPr="00433906" w:rsidRDefault="006220A2" w:rsidP="00852114">
            <w:pPr>
              <w:rPr>
                <w:rFonts w:eastAsia="Times New Roman"/>
                <w:color w:val="auto"/>
                <w:sz w:val="18"/>
                <w:szCs w:val="18"/>
              </w:rPr>
            </w:pPr>
            <w:r w:rsidRPr="00433906">
              <w:rPr>
                <w:rFonts w:eastAsia="Times New Roman"/>
                <w:color w:val="auto"/>
                <w:sz w:val="18"/>
                <w:szCs w:val="18"/>
              </w:rPr>
              <w:t> </w:t>
            </w:r>
          </w:p>
        </w:tc>
        <w:tc>
          <w:tcPr>
            <w:tcW w:w="1040" w:type="pct"/>
            <w:tcBorders>
              <w:top w:val="single" w:sz="4" w:space="0" w:color="auto"/>
              <w:left w:val="nil"/>
              <w:bottom w:val="single" w:sz="4" w:space="0" w:color="auto"/>
              <w:right w:val="nil"/>
            </w:tcBorders>
            <w:shd w:val="clear" w:color="auto" w:fill="D9D9D9" w:themeFill="background1" w:themeFillShade="D9"/>
            <w:noWrap/>
            <w:vAlign w:val="bottom"/>
            <w:hideMark/>
          </w:tcPr>
          <w:p w14:paraId="57A87F73" w14:textId="77777777" w:rsidR="006220A2" w:rsidRPr="00433906" w:rsidRDefault="006220A2" w:rsidP="00414B3D">
            <w:pPr>
              <w:jc w:val="center"/>
              <w:rPr>
                <w:rFonts w:eastAsia="Times New Roman"/>
                <w:b/>
                <w:bCs/>
                <w:color w:val="auto"/>
                <w:sz w:val="18"/>
                <w:szCs w:val="18"/>
              </w:rPr>
            </w:pPr>
            <w:r w:rsidRPr="00433906">
              <w:rPr>
                <w:rFonts w:eastAsia="Times New Roman"/>
                <w:b/>
                <w:bCs/>
                <w:color w:val="auto"/>
                <w:sz w:val="18"/>
                <w:szCs w:val="18"/>
              </w:rPr>
              <w:t>Al 31 de diciembre</w:t>
            </w:r>
          </w:p>
        </w:tc>
        <w:tc>
          <w:tcPr>
            <w:tcW w:w="991" w:type="pct"/>
            <w:tcBorders>
              <w:top w:val="single" w:sz="4" w:space="0" w:color="auto"/>
              <w:left w:val="nil"/>
              <w:bottom w:val="single" w:sz="4" w:space="0" w:color="auto"/>
              <w:right w:val="nil"/>
            </w:tcBorders>
            <w:shd w:val="clear" w:color="auto" w:fill="D9D9D9" w:themeFill="background1" w:themeFillShade="D9"/>
            <w:noWrap/>
            <w:vAlign w:val="bottom"/>
            <w:hideMark/>
          </w:tcPr>
          <w:p w14:paraId="762E35FE" w14:textId="77777777" w:rsidR="006220A2" w:rsidRPr="00433906" w:rsidRDefault="006220A2" w:rsidP="00414B3D">
            <w:pPr>
              <w:jc w:val="center"/>
              <w:rPr>
                <w:rFonts w:eastAsia="Times New Roman"/>
                <w:b/>
                <w:bCs/>
                <w:color w:val="auto"/>
                <w:sz w:val="18"/>
                <w:szCs w:val="18"/>
              </w:rPr>
            </w:pPr>
            <w:r w:rsidRPr="00433906">
              <w:rPr>
                <w:rFonts w:eastAsia="Times New Roman"/>
                <w:b/>
                <w:bCs/>
                <w:color w:val="auto"/>
                <w:sz w:val="18"/>
                <w:szCs w:val="18"/>
              </w:rPr>
              <w:t>Al 31 de diciembre</w:t>
            </w:r>
          </w:p>
        </w:tc>
      </w:tr>
      <w:tr w:rsidR="000C344E" w:rsidRPr="00433906" w14:paraId="4B5F68CF" w14:textId="77777777" w:rsidTr="00866EC2">
        <w:trPr>
          <w:trHeight w:val="238"/>
          <w:jc w:val="center"/>
        </w:trPr>
        <w:tc>
          <w:tcPr>
            <w:tcW w:w="2505" w:type="pct"/>
            <w:tcBorders>
              <w:top w:val="nil"/>
              <w:left w:val="nil"/>
              <w:bottom w:val="single" w:sz="4" w:space="0" w:color="auto"/>
              <w:right w:val="nil"/>
            </w:tcBorders>
            <w:shd w:val="clear" w:color="auto" w:fill="D9D9D9" w:themeFill="background1" w:themeFillShade="D9"/>
            <w:noWrap/>
            <w:vAlign w:val="bottom"/>
            <w:hideMark/>
          </w:tcPr>
          <w:p w14:paraId="002D2CD6" w14:textId="77777777" w:rsidR="000C344E" w:rsidRPr="00433906" w:rsidRDefault="000C344E" w:rsidP="000C344E">
            <w:pPr>
              <w:rPr>
                <w:rFonts w:eastAsia="Times New Roman"/>
                <w:color w:val="auto"/>
                <w:sz w:val="18"/>
                <w:szCs w:val="18"/>
              </w:rPr>
            </w:pPr>
            <w:r w:rsidRPr="00433906">
              <w:rPr>
                <w:rFonts w:eastAsia="Times New Roman"/>
                <w:color w:val="auto"/>
                <w:sz w:val="18"/>
                <w:szCs w:val="18"/>
              </w:rPr>
              <w:t> </w:t>
            </w:r>
          </w:p>
        </w:tc>
        <w:tc>
          <w:tcPr>
            <w:tcW w:w="464" w:type="pct"/>
            <w:tcBorders>
              <w:top w:val="nil"/>
              <w:left w:val="nil"/>
              <w:bottom w:val="single" w:sz="4" w:space="0" w:color="auto"/>
              <w:right w:val="nil"/>
            </w:tcBorders>
            <w:shd w:val="clear" w:color="auto" w:fill="D9D9D9" w:themeFill="background1" w:themeFillShade="D9"/>
            <w:noWrap/>
            <w:vAlign w:val="center"/>
            <w:hideMark/>
          </w:tcPr>
          <w:p w14:paraId="601DAF75" w14:textId="77777777" w:rsidR="000C344E" w:rsidRPr="00433906" w:rsidRDefault="000C344E" w:rsidP="000C344E">
            <w:pPr>
              <w:jc w:val="center"/>
              <w:rPr>
                <w:rFonts w:eastAsia="Times New Roman"/>
                <w:b/>
                <w:bCs/>
                <w:color w:val="auto"/>
                <w:sz w:val="18"/>
                <w:szCs w:val="18"/>
              </w:rPr>
            </w:pPr>
            <w:r w:rsidRPr="00433906">
              <w:rPr>
                <w:rFonts w:eastAsia="Times New Roman"/>
                <w:b/>
                <w:bCs/>
                <w:color w:val="auto"/>
                <w:sz w:val="18"/>
                <w:szCs w:val="18"/>
              </w:rPr>
              <w:t>Notas</w:t>
            </w:r>
          </w:p>
        </w:tc>
        <w:tc>
          <w:tcPr>
            <w:tcW w:w="1040" w:type="pct"/>
            <w:tcBorders>
              <w:top w:val="single" w:sz="4" w:space="0" w:color="auto"/>
              <w:left w:val="nil"/>
              <w:bottom w:val="single" w:sz="4" w:space="0" w:color="auto"/>
              <w:right w:val="nil"/>
            </w:tcBorders>
            <w:shd w:val="clear" w:color="auto" w:fill="D9D9D9" w:themeFill="background1" w:themeFillShade="D9"/>
            <w:noWrap/>
            <w:vAlign w:val="bottom"/>
            <w:hideMark/>
          </w:tcPr>
          <w:p w14:paraId="6DE111AA" w14:textId="0A38F4B6" w:rsidR="000C344E" w:rsidRPr="00433906" w:rsidRDefault="000C344E" w:rsidP="000C344E">
            <w:pPr>
              <w:jc w:val="center"/>
              <w:rPr>
                <w:rFonts w:eastAsia="Times New Roman"/>
                <w:b/>
                <w:bCs/>
                <w:color w:val="auto"/>
                <w:sz w:val="18"/>
                <w:szCs w:val="18"/>
              </w:rPr>
            </w:pPr>
            <w:r w:rsidRPr="00433906">
              <w:rPr>
                <w:rFonts w:eastAsia="Times New Roman"/>
                <w:b/>
                <w:bCs/>
                <w:color w:val="auto"/>
                <w:sz w:val="18"/>
                <w:szCs w:val="18"/>
              </w:rPr>
              <w:t>202</w:t>
            </w:r>
            <w:r w:rsidR="00680BE3">
              <w:rPr>
                <w:rFonts w:eastAsia="Times New Roman"/>
                <w:b/>
                <w:bCs/>
                <w:color w:val="auto"/>
                <w:sz w:val="18"/>
                <w:szCs w:val="18"/>
              </w:rPr>
              <w:t>4</w:t>
            </w:r>
          </w:p>
        </w:tc>
        <w:tc>
          <w:tcPr>
            <w:tcW w:w="991" w:type="pct"/>
            <w:tcBorders>
              <w:top w:val="single" w:sz="4" w:space="0" w:color="auto"/>
              <w:left w:val="nil"/>
              <w:bottom w:val="single" w:sz="4" w:space="0" w:color="auto"/>
              <w:right w:val="nil"/>
            </w:tcBorders>
            <w:shd w:val="clear" w:color="auto" w:fill="D9D9D9" w:themeFill="background1" w:themeFillShade="D9"/>
            <w:noWrap/>
            <w:vAlign w:val="bottom"/>
            <w:hideMark/>
          </w:tcPr>
          <w:p w14:paraId="6E6FA024" w14:textId="09887EB8" w:rsidR="000C344E" w:rsidRPr="00433906" w:rsidRDefault="00D053B4" w:rsidP="000C344E">
            <w:pPr>
              <w:jc w:val="center"/>
              <w:rPr>
                <w:rFonts w:eastAsia="Times New Roman"/>
                <w:b/>
                <w:bCs/>
                <w:color w:val="auto"/>
                <w:sz w:val="18"/>
                <w:szCs w:val="18"/>
              </w:rPr>
            </w:pPr>
            <w:r>
              <w:rPr>
                <w:rFonts w:eastAsia="Times New Roman"/>
                <w:b/>
                <w:bCs/>
                <w:color w:val="auto"/>
                <w:sz w:val="18"/>
                <w:szCs w:val="18"/>
              </w:rPr>
              <w:t>202</w:t>
            </w:r>
            <w:r w:rsidR="00680BE3">
              <w:rPr>
                <w:rFonts w:eastAsia="Times New Roman"/>
                <w:b/>
                <w:bCs/>
                <w:color w:val="auto"/>
                <w:sz w:val="18"/>
                <w:szCs w:val="18"/>
              </w:rPr>
              <w:t>3</w:t>
            </w:r>
          </w:p>
        </w:tc>
      </w:tr>
      <w:tr w:rsidR="00A0199E" w:rsidRPr="00433906" w14:paraId="3870BF95" w14:textId="77777777" w:rsidTr="00A0199E">
        <w:trPr>
          <w:trHeight w:val="340"/>
          <w:jc w:val="center"/>
        </w:trPr>
        <w:tc>
          <w:tcPr>
            <w:tcW w:w="2505" w:type="pct"/>
            <w:tcBorders>
              <w:top w:val="single" w:sz="4" w:space="0" w:color="auto"/>
              <w:left w:val="nil"/>
              <w:bottom w:val="single" w:sz="4" w:space="0" w:color="auto"/>
              <w:right w:val="nil"/>
            </w:tcBorders>
            <w:shd w:val="clear" w:color="auto" w:fill="F2F2F2" w:themeFill="background1" w:themeFillShade="F2"/>
            <w:noWrap/>
            <w:vAlign w:val="center"/>
            <w:hideMark/>
          </w:tcPr>
          <w:p w14:paraId="26449E0C" w14:textId="77777777" w:rsidR="00A0199E" w:rsidRPr="00433906" w:rsidRDefault="00A0199E" w:rsidP="00A0199E">
            <w:pPr>
              <w:rPr>
                <w:rFonts w:eastAsia="Times New Roman"/>
                <w:b/>
                <w:bCs/>
                <w:color w:val="auto"/>
                <w:sz w:val="18"/>
                <w:szCs w:val="18"/>
              </w:rPr>
            </w:pPr>
            <w:r w:rsidRPr="00433906">
              <w:rPr>
                <w:rFonts w:eastAsia="Times New Roman"/>
                <w:b/>
                <w:bCs/>
                <w:color w:val="auto"/>
                <w:sz w:val="18"/>
                <w:szCs w:val="18"/>
              </w:rPr>
              <w:t>Resultado de la cuenta de pérdidas y ganancias</w:t>
            </w:r>
          </w:p>
        </w:tc>
        <w:tc>
          <w:tcPr>
            <w:tcW w:w="464" w:type="pct"/>
            <w:tcBorders>
              <w:top w:val="single" w:sz="4" w:space="0" w:color="auto"/>
              <w:left w:val="nil"/>
              <w:bottom w:val="single" w:sz="4" w:space="0" w:color="auto"/>
              <w:right w:val="nil"/>
            </w:tcBorders>
            <w:shd w:val="clear" w:color="auto" w:fill="F2F2F2" w:themeFill="background1" w:themeFillShade="F2"/>
            <w:noWrap/>
            <w:vAlign w:val="center"/>
            <w:hideMark/>
          </w:tcPr>
          <w:p w14:paraId="31700BD3" w14:textId="604A6AD4" w:rsidR="00A0199E" w:rsidRPr="00433906" w:rsidRDefault="00A0199E" w:rsidP="00A0199E">
            <w:pPr>
              <w:jc w:val="center"/>
              <w:rPr>
                <w:rFonts w:eastAsia="Times New Roman"/>
                <w:color w:val="auto"/>
                <w:sz w:val="18"/>
                <w:szCs w:val="18"/>
              </w:rPr>
            </w:pPr>
          </w:p>
        </w:tc>
        <w:tc>
          <w:tcPr>
            <w:tcW w:w="1040" w:type="pct"/>
            <w:tcBorders>
              <w:top w:val="single" w:sz="4" w:space="0" w:color="auto"/>
              <w:left w:val="nil"/>
              <w:bottom w:val="single" w:sz="4" w:space="0" w:color="auto"/>
              <w:right w:val="nil"/>
            </w:tcBorders>
            <w:shd w:val="clear" w:color="auto" w:fill="F2F2F2" w:themeFill="background1" w:themeFillShade="F2"/>
            <w:noWrap/>
            <w:vAlign w:val="center"/>
          </w:tcPr>
          <w:p w14:paraId="328272D9" w14:textId="68B1B5D1" w:rsidR="00A0199E" w:rsidRPr="00547143" w:rsidRDefault="00A0199E" w:rsidP="00A0199E">
            <w:pPr>
              <w:pBdr>
                <w:top w:val="none" w:sz="0" w:space="0" w:color="auto"/>
                <w:left w:val="none" w:sz="0" w:space="0" w:color="auto"/>
                <w:bottom w:val="none" w:sz="0" w:space="0" w:color="auto"/>
                <w:right w:val="none" w:sz="0" w:space="0" w:color="auto"/>
                <w:between w:val="none" w:sz="0" w:space="0" w:color="auto"/>
                <w:bar w:val="none" w:sz="0" w:color="auto"/>
              </w:pBdr>
              <w:jc w:val="right"/>
              <w:outlineLvl w:val="9"/>
              <w:rPr>
                <w:rFonts w:eastAsia="Times New Roman"/>
                <w:b/>
                <w:bCs/>
                <w:color w:val="auto"/>
                <w:sz w:val="18"/>
                <w:szCs w:val="18"/>
                <w:bdr w:val="none" w:sz="0" w:space="0" w:color="auto"/>
                <w:lang w:eastAsia="es-ES"/>
              </w:rPr>
            </w:pPr>
            <w:r>
              <w:rPr>
                <w:b/>
                <w:bCs/>
                <w:sz w:val="18"/>
                <w:szCs w:val="18"/>
              </w:rPr>
              <w:t>(3.590.000,00)</w:t>
            </w:r>
          </w:p>
        </w:tc>
        <w:tc>
          <w:tcPr>
            <w:tcW w:w="991" w:type="pct"/>
            <w:tcBorders>
              <w:top w:val="single" w:sz="4" w:space="0" w:color="auto"/>
              <w:left w:val="nil"/>
              <w:bottom w:val="single" w:sz="4" w:space="0" w:color="auto"/>
              <w:right w:val="nil"/>
            </w:tcBorders>
            <w:shd w:val="clear" w:color="auto" w:fill="F2F2F2" w:themeFill="background1" w:themeFillShade="F2"/>
            <w:noWrap/>
            <w:vAlign w:val="center"/>
            <w:hideMark/>
          </w:tcPr>
          <w:p w14:paraId="517CB676" w14:textId="0C3F4424" w:rsidR="00A0199E" w:rsidRPr="00433906" w:rsidRDefault="00A0199E" w:rsidP="00A0199E">
            <w:pPr>
              <w:jc w:val="right"/>
              <w:rPr>
                <w:b/>
                <w:bCs/>
                <w:color w:val="auto"/>
                <w:sz w:val="18"/>
                <w:szCs w:val="18"/>
              </w:rPr>
            </w:pPr>
            <w:r w:rsidRPr="00547143">
              <w:rPr>
                <w:b/>
                <w:bCs/>
                <w:sz w:val="18"/>
                <w:szCs w:val="18"/>
              </w:rPr>
              <w:t>(3.577.139,00)</w:t>
            </w:r>
          </w:p>
        </w:tc>
      </w:tr>
      <w:tr w:rsidR="00A0199E" w:rsidRPr="00433906" w14:paraId="2D389334" w14:textId="77777777" w:rsidTr="00A0199E">
        <w:trPr>
          <w:trHeight w:val="255"/>
          <w:jc w:val="center"/>
        </w:trPr>
        <w:tc>
          <w:tcPr>
            <w:tcW w:w="2505" w:type="pct"/>
            <w:tcBorders>
              <w:top w:val="single" w:sz="4" w:space="0" w:color="auto"/>
              <w:left w:val="nil"/>
              <w:right w:val="nil"/>
            </w:tcBorders>
            <w:shd w:val="clear" w:color="auto" w:fill="auto"/>
            <w:noWrap/>
            <w:vAlign w:val="center"/>
            <w:hideMark/>
          </w:tcPr>
          <w:p w14:paraId="5872947D" w14:textId="77777777" w:rsidR="00A0199E" w:rsidRPr="00433906" w:rsidRDefault="00A0199E" w:rsidP="00A0199E">
            <w:pPr>
              <w:rPr>
                <w:rFonts w:eastAsia="Times New Roman"/>
                <w:b/>
                <w:bCs/>
                <w:color w:val="auto"/>
                <w:sz w:val="18"/>
                <w:szCs w:val="18"/>
              </w:rPr>
            </w:pPr>
            <w:r w:rsidRPr="00433906">
              <w:rPr>
                <w:rFonts w:eastAsia="Times New Roman"/>
                <w:b/>
                <w:bCs/>
                <w:color w:val="auto"/>
                <w:sz w:val="18"/>
                <w:szCs w:val="18"/>
              </w:rPr>
              <w:t xml:space="preserve">Ingresos y gastos imputados directamente </w:t>
            </w:r>
          </w:p>
          <w:p w14:paraId="3EB765B0" w14:textId="77777777" w:rsidR="00A0199E" w:rsidRPr="00433906" w:rsidRDefault="00A0199E" w:rsidP="00A0199E">
            <w:pPr>
              <w:rPr>
                <w:rFonts w:eastAsia="Times New Roman"/>
                <w:b/>
                <w:bCs/>
                <w:color w:val="auto"/>
                <w:sz w:val="18"/>
                <w:szCs w:val="18"/>
              </w:rPr>
            </w:pPr>
            <w:r w:rsidRPr="00433906">
              <w:rPr>
                <w:rFonts w:eastAsia="Times New Roman"/>
                <w:b/>
                <w:bCs/>
                <w:color w:val="auto"/>
                <w:sz w:val="18"/>
                <w:szCs w:val="18"/>
              </w:rPr>
              <w:t>al patrimonio neto</w:t>
            </w:r>
          </w:p>
        </w:tc>
        <w:tc>
          <w:tcPr>
            <w:tcW w:w="464" w:type="pct"/>
            <w:tcBorders>
              <w:top w:val="single" w:sz="4" w:space="0" w:color="auto"/>
              <w:left w:val="nil"/>
              <w:right w:val="nil"/>
            </w:tcBorders>
            <w:shd w:val="clear" w:color="auto" w:fill="auto"/>
            <w:noWrap/>
            <w:vAlign w:val="center"/>
            <w:hideMark/>
          </w:tcPr>
          <w:p w14:paraId="1CC4E875" w14:textId="21F139E2" w:rsidR="00A0199E" w:rsidRPr="00433906" w:rsidRDefault="00A0199E" w:rsidP="00A0199E">
            <w:pPr>
              <w:jc w:val="center"/>
              <w:rPr>
                <w:rFonts w:eastAsia="Times New Roman"/>
                <w:color w:val="auto"/>
                <w:sz w:val="18"/>
                <w:szCs w:val="18"/>
              </w:rPr>
            </w:pPr>
          </w:p>
        </w:tc>
        <w:tc>
          <w:tcPr>
            <w:tcW w:w="1040" w:type="pct"/>
            <w:tcBorders>
              <w:top w:val="single" w:sz="4" w:space="0" w:color="auto"/>
              <w:left w:val="nil"/>
              <w:right w:val="nil"/>
            </w:tcBorders>
            <w:shd w:val="clear" w:color="auto" w:fill="auto"/>
            <w:noWrap/>
            <w:vAlign w:val="center"/>
          </w:tcPr>
          <w:p w14:paraId="491689F9" w14:textId="04990545" w:rsidR="00A0199E" w:rsidRPr="00547143" w:rsidRDefault="00A0199E" w:rsidP="00A0199E">
            <w:pPr>
              <w:jc w:val="right"/>
              <w:rPr>
                <w:color w:val="auto"/>
                <w:sz w:val="18"/>
                <w:szCs w:val="18"/>
              </w:rPr>
            </w:pPr>
            <w:r>
              <w:rPr>
                <w:sz w:val="18"/>
                <w:szCs w:val="18"/>
              </w:rPr>
              <w:t xml:space="preserve"> -</w:t>
            </w:r>
          </w:p>
        </w:tc>
        <w:tc>
          <w:tcPr>
            <w:tcW w:w="991" w:type="pct"/>
            <w:tcBorders>
              <w:top w:val="single" w:sz="4" w:space="0" w:color="auto"/>
              <w:left w:val="nil"/>
              <w:right w:val="nil"/>
            </w:tcBorders>
            <w:shd w:val="clear" w:color="auto" w:fill="auto"/>
            <w:noWrap/>
            <w:vAlign w:val="center"/>
            <w:hideMark/>
          </w:tcPr>
          <w:p w14:paraId="00B7FB83" w14:textId="2FF14C14" w:rsidR="00A0199E" w:rsidRPr="00433906" w:rsidRDefault="00A0199E" w:rsidP="00A0199E">
            <w:pPr>
              <w:jc w:val="right"/>
              <w:rPr>
                <w:color w:val="auto"/>
                <w:sz w:val="18"/>
                <w:szCs w:val="18"/>
              </w:rPr>
            </w:pPr>
            <w:r w:rsidRPr="00547143">
              <w:rPr>
                <w:color w:val="auto"/>
                <w:sz w:val="18"/>
                <w:szCs w:val="18"/>
              </w:rPr>
              <w:t>-</w:t>
            </w:r>
          </w:p>
        </w:tc>
      </w:tr>
      <w:tr w:rsidR="00A0199E" w:rsidRPr="00433906" w14:paraId="509815AD" w14:textId="77777777" w:rsidTr="00A0199E">
        <w:trPr>
          <w:trHeight w:val="255"/>
          <w:jc w:val="center"/>
        </w:trPr>
        <w:tc>
          <w:tcPr>
            <w:tcW w:w="2505" w:type="pct"/>
            <w:tcBorders>
              <w:left w:val="nil"/>
              <w:right w:val="nil"/>
            </w:tcBorders>
            <w:shd w:val="clear" w:color="auto" w:fill="auto"/>
            <w:noWrap/>
            <w:vAlign w:val="center"/>
          </w:tcPr>
          <w:p w14:paraId="6E73F7B9" w14:textId="77777777" w:rsidR="00A0199E" w:rsidRPr="00433906" w:rsidRDefault="00A0199E" w:rsidP="00A0199E">
            <w:pPr>
              <w:rPr>
                <w:rFonts w:eastAsia="Times New Roman"/>
                <w:color w:val="auto"/>
                <w:sz w:val="18"/>
                <w:szCs w:val="18"/>
              </w:rPr>
            </w:pPr>
            <w:r w:rsidRPr="00433906">
              <w:rPr>
                <w:rFonts w:eastAsia="Times New Roman"/>
                <w:color w:val="auto"/>
                <w:sz w:val="18"/>
                <w:szCs w:val="18"/>
              </w:rPr>
              <w:t>Subvenciones, donaciones y legados recibidos</w:t>
            </w:r>
          </w:p>
        </w:tc>
        <w:tc>
          <w:tcPr>
            <w:tcW w:w="464" w:type="pct"/>
            <w:tcBorders>
              <w:left w:val="nil"/>
              <w:right w:val="nil"/>
            </w:tcBorders>
            <w:shd w:val="clear" w:color="auto" w:fill="auto"/>
            <w:noWrap/>
            <w:vAlign w:val="center"/>
          </w:tcPr>
          <w:p w14:paraId="71F364A2" w14:textId="77777777" w:rsidR="00A0199E" w:rsidRPr="00433906" w:rsidRDefault="00A0199E" w:rsidP="00A0199E">
            <w:pPr>
              <w:jc w:val="center"/>
              <w:rPr>
                <w:rFonts w:eastAsia="Times New Roman"/>
                <w:color w:val="auto"/>
                <w:sz w:val="18"/>
                <w:szCs w:val="18"/>
              </w:rPr>
            </w:pPr>
            <w:r w:rsidRPr="00433906">
              <w:rPr>
                <w:rFonts w:eastAsia="Times New Roman"/>
                <w:color w:val="auto"/>
                <w:sz w:val="18"/>
                <w:szCs w:val="18"/>
              </w:rPr>
              <w:t>15</w:t>
            </w:r>
          </w:p>
        </w:tc>
        <w:tc>
          <w:tcPr>
            <w:tcW w:w="1040" w:type="pct"/>
            <w:tcBorders>
              <w:left w:val="nil"/>
              <w:right w:val="nil"/>
            </w:tcBorders>
            <w:shd w:val="clear" w:color="auto" w:fill="auto"/>
            <w:noWrap/>
            <w:vAlign w:val="center"/>
          </w:tcPr>
          <w:p w14:paraId="21689D27" w14:textId="7D6BE295" w:rsidR="00A0199E" w:rsidRPr="00547143" w:rsidRDefault="00A0199E" w:rsidP="00A0199E">
            <w:pPr>
              <w:pBdr>
                <w:top w:val="none" w:sz="0" w:space="0" w:color="auto"/>
                <w:left w:val="none" w:sz="0" w:space="0" w:color="auto"/>
                <w:bottom w:val="none" w:sz="0" w:space="0" w:color="auto"/>
                <w:right w:val="none" w:sz="0" w:space="0" w:color="auto"/>
                <w:between w:val="none" w:sz="0" w:space="0" w:color="auto"/>
                <w:bar w:val="none" w:sz="0" w:color="auto"/>
              </w:pBdr>
              <w:jc w:val="right"/>
              <w:outlineLvl w:val="9"/>
              <w:rPr>
                <w:rFonts w:eastAsia="Times New Roman"/>
                <w:color w:val="auto"/>
                <w:sz w:val="18"/>
                <w:szCs w:val="18"/>
                <w:bdr w:val="none" w:sz="0" w:space="0" w:color="auto"/>
                <w:lang w:eastAsia="es-ES"/>
              </w:rPr>
            </w:pPr>
            <w:r>
              <w:rPr>
                <w:sz w:val="18"/>
                <w:szCs w:val="18"/>
              </w:rPr>
              <w:t xml:space="preserve"> -</w:t>
            </w:r>
          </w:p>
        </w:tc>
        <w:tc>
          <w:tcPr>
            <w:tcW w:w="991" w:type="pct"/>
            <w:tcBorders>
              <w:left w:val="nil"/>
              <w:right w:val="nil"/>
            </w:tcBorders>
            <w:shd w:val="clear" w:color="auto" w:fill="auto"/>
            <w:noWrap/>
            <w:vAlign w:val="center"/>
          </w:tcPr>
          <w:p w14:paraId="4561B636" w14:textId="43F048A4" w:rsidR="00A0199E" w:rsidRPr="00433906" w:rsidRDefault="00A0199E" w:rsidP="00A0199E">
            <w:pPr>
              <w:jc w:val="right"/>
              <w:rPr>
                <w:color w:val="auto"/>
                <w:sz w:val="18"/>
                <w:szCs w:val="18"/>
              </w:rPr>
            </w:pPr>
            <w:r w:rsidRPr="00547143">
              <w:rPr>
                <w:rFonts w:eastAsia="Times New Roman"/>
                <w:color w:val="auto"/>
                <w:sz w:val="18"/>
                <w:szCs w:val="18"/>
                <w:bdr w:val="none" w:sz="0" w:space="0" w:color="auto"/>
                <w:lang w:eastAsia="es-ES"/>
              </w:rPr>
              <w:t>-</w:t>
            </w:r>
          </w:p>
        </w:tc>
      </w:tr>
      <w:tr w:rsidR="00A0199E" w:rsidRPr="00433906" w14:paraId="552CC16D" w14:textId="77777777" w:rsidTr="00A0199E">
        <w:trPr>
          <w:trHeight w:val="255"/>
          <w:jc w:val="center"/>
        </w:trPr>
        <w:tc>
          <w:tcPr>
            <w:tcW w:w="2505" w:type="pct"/>
            <w:tcBorders>
              <w:left w:val="nil"/>
              <w:bottom w:val="single" w:sz="4" w:space="0" w:color="auto"/>
              <w:right w:val="nil"/>
            </w:tcBorders>
            <w:shd w:val="clear" w:color="auto" w:fill="auto"/>
            <w:noWrap/>
            <w:vAlign w:val="center"/>
          </w:tcPr>
          <w:p w14:paraId="75846270" w14:textId="77777777" w:rsidR="00A0199E" w:rsidRPr="00433906" w:rsidRDefault="00A0199E" w:rsidP="00A0199E">
            <w:pPr>
              <w:rPr>
                <w:rFonts w:eastAsia="Times New Roman"/>
                <w:color w:val="auto"/>
                <w:sz w:val="18"/>
                <w:szCs w:val="18"/>
              </w:rPr>
            </w:pPr>
            <w:r w:rsidRPr="00433906">
              <w:rPr>
                <w:rFonts w:eastAsia="Times New Roman"/>
                <w:color w:val="auto"/>
                <w:sz w:val="18"/>
                <w:szCs w:val="18"/>
              </w:rPr>
              <w:t>Efecto impositivo</w:t>
            </w:r>
          </w:p>
        </w:tc>
        <w:tc>
          <w:tcPr>
            <w:tcW w:w="464" w:type="pct"/>
            <w:tcBorders>
              <w:left w:val="nil"/>
              <w:bottom w:val="single" w:sz="4" w:space="0" w:color="auto"/>
              <w:right w:val="nil"/>
            </w:tcBorders>
            <w:shd w:val="clear" w:color="auto" w:fill="auto"/>
            <w:noWrap/>
            <w:vAlign w:val="center"/>
          </w:tcPr>
          <w:p w14:paraId="72C165A9" w14:textId="77777777" w:rsidR="00A0199E" w:rsidRPr="00433906" w:rsidRDefault="00A0199E" w:rsidP="00A0199E">
            <w:pPr>
              <w:jc w:val="center"/>
              <w:rPr>
                <w:rFonts w:eastAsia="Times New Roman"/>
                <w:color w:val="auto"/>
                <w:sz w:val="18"/>
                <w:szCs w:val="18"/>
              </w:rPr>
            </w:pPr>
            <w:r w:rsidRPr="00433906">
              <w:rPr>
                <w:rFonts w:eastAsia="Times New Roman"/>
                <w:color w:val="auto"/>
                <w:sz w:val="18"/>
                <w:szCs w:val="18"/>
              </w:rPr>
              <w:t>11.3 / 15</w:t>
            </w:r>
          </w:p>
        </w:tc>
        <w:tc>
          <w:tcPr>
            <w:tcW w:w="1040" w:type="pct"/>
            <w:tcBorders>
              <w:left w:val="nil"/>
              <w:bottom w:val="single" w:sz="4" w:space="0" w:color="auto"/>
              <w:right w:val="nil"/>
            </w:tcBorders>
            <w:shd w:val="clear" w:color="auto" w:fill="auto"/>
            <w:noWrap/>
            <w:vAlign w:val="center"/>
          </w:tcPr>
          <w:p w14:paraId="0065F1B8" w14:textId="2EE06903" w:rsidR="00A0199E" w:rsidRPr="00547143" w:rsidRDefault="00A0199E" w:rsidP="00A0199E">
            <w:pPr>
              <w:jc w:val="right"/>
              <w:rPr>
                <w:sz w:val="18"/>
                <w:szCs w:val="18"/>
              </w:rPr>
            </w:pPr>
            <w:r>
              <w:rPr>
                <w:sz w:val="18"/>
                <w:szCs w:val="18"/>
              </w:rPr>
              <w:t xml:space="preserve"> -</w:t>
            </w:r>
          </w:p>
        </w:tc>
        <w:tc>
          <w:tcPr>
            <w:tcW w:w="991" w:type="pct"/>
            <w:tcBorders>
              <w:left w:val="nil"/>
              <w:bottom w:val="single" w:sz="4" w:space="0" w:color="auto"/>
              <w:right w:val="nil"/>
            </w:tcBorders>
            <w:shd w:val="clear" w:color="auto" w:fill="auto"/>
            <w:noWrap/>
            <w:vAlign w:val="center"/>
          </w:tcPr>
          <w:p w14:paraId="61F6D3EB" w14:textId="7ABF7B06" w:rsidR="00A0199E" w:rsidRPr="00433906" w:rsidRDefault="00A0199E" w:rsidP="00A0199E">
            <w:pPr>
              <w:jc w:val="right"/>
              <w:rPr>
                <w:color w:val="auto"/>
                <w:sz w:val="18"/>
                <w:szCs w:val="18"/>
              </w:rPr>
            </w:pPr>
            <w:r w:rsidRPr="00547143">
              <w:rPr>
                <w:sz w:val="18"/>
                <w:szCs w:val="18"/>
              </w:rPr>
              <w:t>-</w:t>
            </w:r>
          </w:p>
        </w:tc>
      </w:tr>
      <w:tr w:rsidR="00A0199E" w:rsidRPr="00433906" w14:paraId="7E95668D" w14:textId="77777777" w:rsidTr="00A0199E">
        <w:trPr>
          <w:trHeight w:val="340"/>
          <w:jc w:val="center"/>
        </w:trPr>
        <w:tc>
          <w:tcPr>
            <w:tcW w:w="2505" w:type="pct"/>
            <w:tcBorders>
              <w:top w:val="single" w:sz="4" w:space="0" w:color="auto"/>
              <w:left w:val="nil"/>
              <w:bottom w:val="single" w:sz="4" w:space="0" w:color="auto"/>
              <w:right w:val="nil"/>
            </w:tcBorders>
            <w:shd w:val="clear" w:color="auto" w:fill="F2F2F2" w:themeFill="background1" w:themeFillShade="F2"/>
            <w:noWrap/>
            <w:vAlign w:val="center"/>
            <w:hideMark/>
          </w:tcPr>
          <w:p w14:paraId="31055FC5" w14:textId="77777777" w:rsidR="00A0199E" w:rsidRPr="00433906" w:rsidRDefault="00A0199E" w:rsidP="00A0199E">
            <w:pPr>
              <w:rPr>
                <w:rFonts w:eastAsia="Times New Roman"/>
                <w:b/>
                <w:bCs/>
                <w:color w:val="auto"/>
                <w:sz w:val="18"/>
                <w:szCs w:val="18"/>
              </w:rPr>
            </w:pPr>
            <w:r w:rsidRPr="00433906">
              <w:rPr>
                <w:rFonts w:eastAsia="Times New Roman"/>
                <w:b/>
                <w:bCs/>
                <w:color w:val="auto"/>
                <w:sz w:val="18"/>
                <w:szCs w:val="18"/>
              </w:rPr>
              <w:t xml:space="preserve">Ingresos y Gastos imputados directamente </w:t>
            </w:r>
          </w:p>
          <w:p w14:paraId="3637D4FF" w14:textId="77777777" w:rsidR="00A0199E" w:rsidRPr="00433906" w:rsidRDefault="00A0199E" w:rsidP="00A0199E">
            <w:pPr>
              <w:rPr>
                <w:rFonts w:eastAsia="Times New Roman"/>
                <w:b/>
                <w:bCs/>
                <w:color w:val="auto"/>
                <w:sz w:val="18"/>
                <w:szCs w:val="18"/>
              </w:rPr>
            </w:pPr>
            <w:r w:rsidRPr="00433906">
              <w:rPr>
                <w:rFonts w:eastAsia="Times New Roman"/>
                <w:b/>
                <w:bCs/>
                <w:color w:val="auto"/>
                <w:sz w:val="18"/>
                <w:szCs w:val="18"/>
              </w:rPr>
              <w:t>en el Patrimonio neto</w:t>
            </w:r>
          </w:p>
        </w:tc>
        <w:tc>
          <w:tcPr>
            <w:tcW w:w="464" w:type="pct"/>
            <w:tcBorders>
              <w:top w:val="single" w:sz="4" w:space="0" w:color="auto"/>
              <w:left w:val="nil"/>
              <w:bottom w:val="single" w:sz="4" w:space="0" w:color="auto"/>
              <w:right w:val="nil"/>
            </w:tcBorders>
            <w:shd w:val="clear" w:color="auto" w:fill="F2F2F2" w:themeFill="background1" w:themeFillShade="F2"/>
            <w:noWrap/>
            <w:vAlign w:val="center"/>
            <w:hideMark/>
          </w:tcPr>
          <w:p w14:paraId="16F2F89B" w14:textId="3E465809" w:rsidR="00A0199E" w:rsidRPr="00433906" w:rsidRDefault="00A0199E" w:rsidP="00A0199E">
            <w:pPr>
              <w:jc w:val="center"/>
              <w:rPr>
                <w:rFonts w:eastAsia="Times New Roman"/>
                <w:color w:val="auto"/>
                <w:sz w:val="18"/>
                <w:szCs w:val="18"/>
                <w:highlight w:val="yellow"/>
              </w:rPr>
            </w:pPr>
          </w:p>
        </w:tc>
        <w:tc>
          <w:tcPr>
            <w:tcW w:w="1040" w:type="pct"/>
            <w:tcBorders>
              <w:top w:val="single" w:sz="4" w:space="0" w:color="auto"/>
              <w:left w:val="nil"/>
              <w:bottom w:val="single" w:sz="4" w:space="0" w:color="auto"/>
              <w:right w:val="nil"/>
            </w:tcBorders>
            <w:shd w:val="clear" w:color="auto" w:fill="F2F2F2" w:themeFill="background1" w:themeFillShade="F2"/>
            <w:noWrap/>
            <w:vAlign w:val="center"/>
          </w:tcPr>
          <w:p w14:paraId="02380E1B" w14:textId="72296DBB" w:rsidR="00A0199E" w:rsidRPr="00547143" w:rsidRDefault="00A0199E" w:rsidP="00A0199E">
            <w:pPr>
              <w:jc w:val="right"/>
              <w:rPr>
                <w:b/>
                <w:bCs/>
                <w:sz w:val="18"/>
                <w:szCs w:val="18"/>
              </w:rPr>
            </w:pPr>
            <w:r>
              <w:rPr>
                <w:b/>
                <w:bCs/>
                <w:sz w:val="18"/>
                <w:szCs w:val="18"/>
              </w:rPr>
              <w:t xml:space="preserve"> -</w:t>
            </w:r>
          </w:p>
        </w:tc>
        <w:tc>
          <w:tcPr>
            <w:tcW w:w="991" w:type="pct"/>
            <w:tcBorders>
              <w:top w:val="single" w:sz="4" w:space="0" w:color="auto"/>
              <w:left w:val="nil"/>
              <w:bottom w:val="single" w:sz="4" w:space="0" w:color="auto"/>
              <w:right w:val="nil"/>
            </w:tcBorders>
            <w:shd w:val="clear" w:color="auto" w:fill="F2F2F2" w:themeFill="background1" w:themeFillShade="F2"/>
            <w:noWrap/>
            <w:vAlign w:val="center"/>
            <w:hideMark/>
          </w:tcPr>
          <w:p w14:paraId="3B81D356" w14:textId="7FEEBF50" w:rsidR="00A0199E" w:rsidRPr="00433906" w:rsidRDefault="00A0199E" w:rsidP="00A0199E">
            <w:pPr>
              <w:jc w:val="right"/>
              <w:rPr>
                <w:b/>
                <w:bCs/>
                <w:color w:val="auto"/>
                <w:sz w:val="18"/>
                <w:szCs w:val="18"/>
              </w:rPr>
            </w:pPr>
            <w:r w:rsidRPr="00547143">
              <w:rPr>
                <w:b/>
                <w:bCs/>
                <w:sz w:val="18"/>
                <w:szCs w:val="18"/>
              </w:rPr>
              <w:t>-</w:t>
            </w:r>
          </w:p>
        </w:tc>
      </w:tr>
      <w:tr w:rsidR="00A0199E" w:rsidRPr="00433906" w14:paraId="6D188F0B" w14:textId="77777777" w:rsidTr="00A0199E">
        <w:trPr>
          <w:trHeight w:val="255"/>
          <w:jc w:val="center"/>
        </w:trPr>
        <w:tc>
          <w:tcPr>
            <w:tcW w:w="2505" w:type="pct"/>
            <w:tcBorders>
              <w:top w:val="single" w:sz="4" w:space="0" w:color="auto"/>
              <w:left w:val="nil"/>
              <w:bottom w:val="nil"/>
              <w:right w:val="nil"/>
            </w:tcBorders>
            <w:shd w:val="clear" w:color="auto" w:fill="auto"/>
            <w:noWrap/>
            <w:vAlign w:val="center"/>
            <w:hideMark/>
          </w:tcPr>
          <w:p w14:paraId="448C3E09" w14:textId="77777777" w:rsidR="00A0199E" w:rsidRPr="00433906" w:rsidRDefault="00A0199E" w:rsidP="00A0199E">
            <w:pPr>
              <w:rPr>
                <w:rFonts w:eastAsia="Times New Roman"/>
                <w:color w:val="auto"/>
                <w:sz w:val="18"/>
                <w:szCs w:val="18"/>
              </w:rPr>
            </w:pPr>
            <w:r w:rsidRPr="00433906">
              <w:rPr>
                <w:rFonts w:eastAsia="Times New Roman"/>
                <w:color w:val="auto"/>
                <w:sz w:val="18"/>
                <w:szCs w:val="18"/>
              </w:rPr>
              <w:t>Subvenciones, donaciones y legados recibidos</w:t>
            </w:r>
          </w:p>
        </w:tc>
        <w:tc>
          <w:tcPr>
            <w:tcW w:w="464" w:type="pct"/>
            <w:tcBorders>
              <w:top w:val="single" w:sz="4" w:space="0" w:color="auto"/>
              <w:left w:val="nil"/>
              <w:bottom w:val="nil"/>
              <w:right w:val="nil"/>
            </w:tcBorders>
            <w:shd w:val="clear" w:color="auto" w:fill="auto"/>
            <w:noWrap/>
            <w:vAlign w:val="center"/>
            <w:hideMark/>
          </w:tcPr>
          <w:p w14:paraId="5334C133" w14:textId="77777777" w:rsidR="00A0199E" w:rsidRPr="00433906" w:rsidRDefault="00A0199E" w:rsidP="00A0199E">
            <w:pPr>
              <w:jc w:val="center"/>
              <w:rPr>
                <w:rFonts w:eastAsia="Times New Roman"/>
                <w:color w:val="auto"/>
                <w:sz w:val="18"/>
                <w:szCs w:val="18"/>
              </w:rPr>
            </w:pPr>
            <w:r w:rsidRPr="00433906">
              <w:rPr>
                <w:rFonts w:eastAsia="Times New Roman"/>
                <w:color w:val="auto"/>
                <w:sz w:val="18"/>
                <w:szCs w:val="18"/>
              </w:rPr>
              <w:t>15</w:t>
            </w:r>
          </w:p>
        </w:tc>
        <w:tc>
          <w:tcPr>
            <w:tcW w:w="1040" w:type="pct"/>
            <w:tcBorders>
              <w:top w:val="single" w:sz="4" w:space="0" w:color="auto"/>
              <w:left w:val="nil"/>
              <w:bottom w:val="nil"/>
              <w:right w:val="nil"/>
            </w:tcBorders>
            <w:shd w:val="clear" w:color="auto" w:fill="auto"/>
            <w:noWrap/>
            <w:vAlign w:val="center"/>
          </w:tcPr>
          <w:p w14:paraId="29E4AAE1" w14:textId="3A639060" w:rsidR="00A0199E" w:rsidRPr="00547143" w:rsidRDefault="00A0199E" w:rsidP="00A0199E">
            <w:pPr>
              <w:jc w:val="right"/>
              <w:rPr>
                <w:sz w:val="18"/>
                <w:szCs w:val="18"/>
                <w:highlight w:val="yellow"/>
              </w:rPr>
            </w:pPr>
            <w:r>
              <w:rPr>
                <w:sz w:val="18"/>
                <w:szCs w:val="18"/>
              </w:rPr>
              <w:t>(48.649,38)</w:t>
            </w:r>
          </w:p>
        </w:tc>
        <w:tc>
          <w:tcPr>
            <w:tcW w:w="991" w:type="pct"/>
            <w:tcBorders>
              <w:top w:val="single" w:sz="4" w:space="0" w:color="auto"/>
              <w:left w:val="nil"/>
              <w:bottom w:val="nil"/>
              <w:right w:val="nil"/>
            </w:tcBorders>
            <w:shd w:val="clear" w:color="auto" w:fill="auto"/>
            <w:noWrap/>
            <w:vAlign w:val="center"/>
            <w:hideMark/>
          </w:tcPr>
          <w:p w14:paraId="447C3C0D" w14:textId="6085F322" w:rsidR="00A0199E" w:rsidRPr="00433906" w:rsidRDefault="00A0199E" w:rsidP="00A0199E">
            <w:pPr>
              <w:jc w:val="right"/>
              <w:rPr>
                <w:color w:val="auto"/>
                <w:sz w:val="18"/>
                <w:szCs w:val="18"/>
              </w:rPr>
            </w:pPr>
            <w:r w:rsidRPr="00547143">
              <w:rPr>
                <w:sz w:val="18"/>
                <w:szCs w:val="18"/>
              </w:rPr>
              <w:t>(71.771,25)</w:t>
            </w:r>
          </w:p>
        </w:tc>
      </w:tr>
      <w:tr w:rsidR="00A0199E" w:rsidRPr="00433906" w14:paraId="479C1167" w14:textId="77777777" w:rsidTr="00A0199E">
        <w:trPr>
          <w:trHeight w:val="255"/>
          <w:jc w:val="center"/>
        </w:trPr>
        <w:tc>
          <w:tcPr>
            <w:tcW w:w="2505" w:type="pct"/>
            <w:tcBorders>
              <w:top w:val="nil"/>
              <w:left w:val="nil"/>
              <w:bottom w:val="single" w:sz="4" w:space="0" w:color="auto"/>
              <w:right w:val="nil"/>
            </w:tcBorders>
            <w:shd w:val="clear" w:color="auto" w:fill="auto"/>
            <w:noWrap/>
            <w:vAlign w:val="center"/>
            <w:hideMark/>
          </w:tcPr>
          <w:p w14:paraId="62348E68" w14:textId="77777777" w:rsidR="00A0199E" w:rsidRPr="00433906" w:rsidRDefault="00A0199E" w:rsidP="00A0199E">
            <w:pPr>
              <w:rPr>
                <w:rFonts w:eastAsia="Times New Roman"/>
                <w:color w:val="auto"/>
                <w:sz w:val="18"/>
                <w:szCs w:val="18"/>
              </w:rPr>
            </w:pPr>
            <w:r w:rsidRPr="00433906">
              <w:rPr>
                <w:rFonts w:eastAsia="Times New Roman"/>
                <w:color w:val="auto"/>
                <w:sz w:val="18"/>
                <w:szCs w:val="18"/>
              </w:rPr>
              <w:t>Efecto impositivo</w:t>
            </w:r>
          </w:p>
        </w:tc>
        <w:tc>
          <w:tcPr>
            <w:tcW w:w="464" w:type="pct"/>
            <w:tcBorders>
              <w:top w:val="nil"/>
              <w:left w:val="nil"/>
              <w:bottom w:val="single" w:sz="4" w:space="0" w:color="auto"/>
              <w:right w:val="nil"/>
            </w:tcBorders>
            <w:shd w:val="clear" w:color="auto" w:fill="auto"/>
            <w:noWrap/>
            <w:vAlign w:val="center"/>
            <w:hideMark/>
          </w:tcPr>
          <w:p w14:paraId="15481DE6" w14:textId="77777777" w:rsidR="00A0199E" w:rsidRPr="00433906" w:rsidRDefault="00A0199E" w:rsidP="00A0199E">
            <w:pPr>
              <w:jc w:val="center"/>
              <w:rPr>
                <w:rFonts w:eastAsia="Times New Roman"/>
                <w:color w:val="auto"/>
                <w:sz w:val="18"/>
                <w:szCs w:val="18"/>
              </w:rPr>
            </w:pPr>
            <w:r w:rsidRPr="00433906">
              <w:rPr>
                <w:rFonts w:eastAsia="Times New Roman"/>
                <w:color w:val="auto"/>
                <w:sz w:val="18"/>
                <w:szCs w:val="18"/>
              </w:rPr>
              <w:t>11.3 / 15</w:t>
            </w:r>
          </w:p>
        </w:tc>
        <w:tc>
          <w:tcPr>
            <w:tcW w:w="1040" w:type="pct"/>
            <w:tcBorders>
              <w:top w:val="nil"/>
              <w:left w:val="nil"/>
              <w:bottom w:val="single" w:sz="4" w:space="0" w:color="auto"/>
              <w:right w:val="nil"/>
            </w:tcBorders>
            <w:shd w:val="clear" w:color="auto" w:fill="auto"/>
            <w:noWrap/>
            <w:vAlign w:val="center"/>
          </w:tcPr>
          <w:p w14:paraId="0AAFCC89" w14:textId="18A68D04" w:rsidR="00A0199E" w:rsidRPr="00547143" w:rsidRDefault="00A0199E" w:rsidP="00A0199E">
            <w:pPr>
              <w:jc w:val="right"/>
              <w:rPr>
                <w:sz w:val="18"/>
                <w:szCs w:val="18"/>
                <w:highlight w:val="yellow"/>
              </w:rPr>
            </w:pPr>
            <w:r>
              <w:rPr>
                <w:sz w:val="18"/>
                <w:szCs w:val="18"/>
              </w:rPr>
              <w:t>12.306,35</w:t>
            </w:r>
          </w:p>
        </w:tc>
        <w:tc>
          <w:tcPr>
            <w:tcW w:w="991" w:type="pct"/>
            <w:tcBorders>
              <w:top w:val="nil"/>
              <w:left w:val="nil"/>
              <w:bottom w:val="single" w:sz="4" w:space="0" w:color="auto"/>
              <w:right w:val="nil"/>
            </w:tcBorders>
            <w:shd w:val="clear" w:color="auto" w:fill="auto"/>
            <w:noWrap/>
            <w:vAlign w:val="center"/>
            <w:hideMark/>
          </w:tcPr>
          <w:p w14:paraId="15465E4B" w14:textId="185C58D7" w:rsidR="00A0199E" w:rsidRPr="00433906" w:rsidRDefault="00A0199E" w:rsidP="00A0199E">
            <w:pPr>
              <w:jc w:val="right"/>
              <w:rPr>
                <w:color w:val="auto"/>
                <w:sz w:val="18"/>
                <w:szCs w:val="18"/>
              </w:rPr>
            </w:pPr>
            <w:r w:rsidRPr="00547143">
              <w:rPr>
                <w:sz w:val="18"/>
                <w:szCs w:val="18"/>
              </w:rPr>
              <w:t>17.906,82</w:t>
            </w:r>
          </w:p>
        </w:tc>
      </w:tr>
      <w:tr w:rsidR="00A0199E" w:rsidRPr="00433906" w14:paraId="1FEE4BEB" w14:textId="77777777" w:rsidTr="00A0199E">
        <w:trPr>
          <w:trHeight w:val="283"/>
          <w:jc w:val="center"/>
        </w:trPr>
        <w:tc>
          <w:tcPr>
            <w:tcW w:w="2505" w:type="pct"/>
            <w:tcBorders>
              <w:top w:val="single" w:sz="4" w:space="0" w:color="auto"/>
              <w:left w:val="nil"/>
              <w:bottom w:val="single" w:sz="4" w:space="0" w:color="auto"/>
              <w:right w:val="nil"/>
            </w:tcBorders>
            <w:shd w:val="clear" w:color="auto" w:fill="F2F2F2" w:themeFill="background1" w:themeFillShade="F2"/>
            <w:noWrap/>
            <w:vAlign w:val="center"/>
          </w:tcPr>
          <w:p w14:paraId="49547210" w14:textId="77777777" w:rsidR="00A0199E" w:rsidRPr="00433906" w:rsidRDefault="00A0199E" w:rsidP="00A0199E">
            <w:pPr>
              <w:rPr>
                <w:rFonts w:eastAsia="Times New Roman"/>
                <w:b/>
                <w:bCs/>
                <w:color w:val="auto"/>
                <w:sz w:val="18"/>
                <w:szCs w:val="18"/>
              </w:rPr>
            </w:pPr>
            <w:r w:rsidRPr="00433906">
              <w:rPr>
                <w:rFonts w:eastAsia="Times New Roman"/>
                <w:b/>
                <w:bCs/>
                <w:color w:val="auto"/>
                <w:sz w:val="18"/>
                <w:szCs w:val="18"/>
              </w:rPr>
              <w:t>Transferencias a la cuenta de pérdidas y ganancias</w:t>
            </w:r>
          </w:p>
        </w:tc>
        <w:tc>
          <w:tcPr>
            <w:tcW w:w="464" w:type="pct"/>
            <w:tcBorders>
              <w:top w:val="single" w:sz="4" w:space="0" w:color="auto"/>
              <w:left w:val="nil"/>
              <w:bottom w:val="single" w:sz="4" w:space="0" w:color="auto"/>
              <w:right w:val="nil"/>
            </w:tcBorders>
            <w:shd w:val="clear" w:color="auto" w:fill="F2F2F2" w:themeFill="background1" w:themeFillShade="F2"/>
            <w:noWrap/>
            <w:vAlign w:val="center"/>
          </w:tcPr>
          <w:p w14:paraId="47A89AE4" w14:textId="2BAC2F4E" w:rsidR="00A0199E" w:rsidRPr="00433906" w:rsidRDefault="00A0199E" w:rsidP="00A0199E">
            <w:pPr>
              <w:jc w:val="center"/>
              <w:rPr>
                <w:rFonts w:eastAsia="Times New Roman"/>
                <w:color w:val="auto"/>
                <w:sz w:val="18"/>
                <w:szCs w:val="18"/>
              </w:rPr>
            </w:pPr>
          </w:p>
        </w:tc>
        <w:tc>
          <w:tcPr>
            <w:tcW w:w="1040" w:type="pct"/>
            <w:tcBorders>
              <w:top w:val="single" w:sz="4" w:space="0" w:color="auto"/>
              <w:left w:val="nil"/>
              <w:bottom w:val="single" w:sz="4" w:space="0" w:color="auto"/>
              <w:right w:val="nil"/>
            </w:tcBorders>
            <w:shd w:val="clear" w:color="auto" w:fill="F2F2F2" w:themeFill="background1" w:themeFillShade="F2"/>
            <w:noWrap/>
            <w:vAlign w:val="center"/>
          </w:tcPr>
          <w:p w14:paraId="2A4AF6D2" w14:textId="487C99A3" w:rsidR="00A0199E" w:rsidRPr="00547143" w:rsidRDefault="00A0199E" w:rsidP="00A0199E">
            <w:pPr>
              <w:jc w:val="right"/>
              <w:rPr>
                <w:b/>
                <w:bCs/>
                <w:sz w:val="18"/>
                <w:szCs w:val="18"/>
              </w:rPr>
            </w:pPr>
            <w:r>
              <w:rPr>
                <w:b/>
                <w:bCs/>
                <w:sz w:val="18"/>
                <w:szCs w:val="18"/>
              </w:rPr>
              <w:t>(36.343,03)</w:t>
            </w:r>
          </w:p>
        </w:tc>
        <w:tc>
          <w:tcPr>
            <w:tcW w:w="991" w:type="pct"/>
            <w:tcBorders>
              <w:top w:val="single" w:sz="4" w:space="0" w:color="auto"/>
              <w:left w:val="nil"/>
              <w:bottom w:val="single" w:sz="4" w:space="0" w:color="auto"/>
              <w:right w:val="nil"/>
            </w:tcBorders>
            <w:shd w:val="clear" w:color="auto" w:fill="F2F2F2" w:themeFill="background1" w:themeFillShade="F2"/>
            <w:noWrap/>
            <w:vAlign w:val="center"/>
          </w:tcPr>
          <w:p w14:paraId="18EB8F89" w14:textId="1EFFCC91" w:rsidR="00A0199E" w:rsidRPr="00433906" w:rsidRDefault="00A0199E" w:rsidP="00A0199E">
            <w:pPr>
              <w:jc w:val="right"/>
              <w:rPr>
                <w:b/>
                <w:bCs/>
                <w:color w:val="auto"/>
                <w:sz w:val="18"/>
                <w:szCs w:val="18"/>
              </w:rPr>
            </w:pPr>
            <w:r w:rsidRPr="00547143">
              <w:rPr>
                <w:b/>
                <w:bCs/>
                <w:sz w:val="18"/>
                <w:szCs w:val="18"/>
              </w:rPr>
              <w:t>(53.864,43)</w:t>
            </w:r>
          </w:p>
        </w:tc>
      </w:tr>
      <w:tr w:rsidR="00A0199E" w:rsidRPr="00433906" w14:paraId="42D48848" w14:textId="77777777" w:rsidTr="00A0199E">
        <w:trPr>
          <w:trHeight w:val="283"/>
          <w:jc w:val="center"/>
        </w:trPr>
        <w:tc>
          <w:tcPr>
            <w:tcW w:w="2505" w:type="pct"/>
            <w:tcBorders>
              <w:top w:val="single" w:sz="4" w:space="0" w:color="auto"/>
              <w:left w:val="nil"/>
              <w:bottom w:val="single" w:sz="4" w:space="0" w:color="auto"/>
              <w:right w:val="nil"/>
            </w:tcBorders>
            <w:shd w:val="clear" w:color="auto" w:fill="F2F2F2" w:themeFill="background1" w:themeFillShade="F2"/>
            <w:noWrap/>
            <w:vAlign w:val="center"/>
            <w:hideMark/>
          </w:tcPr>
          <w:p w14:paraId="13E34559" w14:textId="77777777" w:rsidR="00A0199E" w:rsidRPr="00433906" w:rsidRDefault="00A0199E" w:rsidP="00A0199E">
            <w:pPr>
              <w:rPr>
                <w:rFonts w:eastAsia="Times New Roman"/>
                <w:b/>
                <w:bCs/>
                <w:color w:val="auto"/>
                <w:sz w:val="18"/>
                <w:szCs w:val="18"/>
              </w:rPr>
            </w:pPr>
            <w:r w:rsidRPr="00433906">
              <w:rPr>
                <w:rFonts w:eastAsia="Times New Roman"/>
                <w:b/>
                <w:bCs/>
                <w:color w:val="auto"/>
                <w:sz w:val="18"/>
                <w:szCs w:val="18"/>
              </w:rPr>
              <w:t>TOTAL DE INGRESOS Y GASTOS RECONOCIDOS</w:t>
            </w:r>
          </w:p>
        </w:tc>
        <w:tc>
          <w:tcPr>
            <w:tcW w:w="464" w:type="pct"/>
            <w:tcBorders>
              <w:top w:val="single" w:sz="4" w:space="0" w:color="auto"/>
              <w:left w:val="nil"/>
              <w:bottom w:val="single" w:sz="4" w:space="0" w:color="auto"/>
              <w:right w:val="nil"/>
            </w:tcBorders>
            <w:shd w:val="clear" w:color="auto" w:fill="F2F2F2" w:themeFill="background1" w:themeFillShade="F2"/>
            <w:noWrap/>
            <w:vAlign w:val="center"/>
            <w:hideMark/>
          </w:tcPr>
          <w:p w14:paraId="10E82C0B" w14:textId="77777777" w:rsidR="00A0199E" w:rsidRPr="00433906" w:rsidRDefault="00A0199E" w:rsidP="00A0199E">
            <w:pPr>
              <w:rPr>
                <w:rFonts w:eastAsia="Times New Roman"/>
                <w:color w:val="auto"/>
                <w:sz w:val="18"/>
                <w:szCs w:val="18"/>
              </w:rPr>
            </w:pPr>
            <w:r w:rsidRPr="00433906">
              <w:rPr>
                <w:rFonts w:eastAsia="Times New Roman"/>
                <w:color w:val="auto"/>
                <w:sz w:val="18"/>
                <w:szCs w:val="18"/>
              </w:rPr>
              <w:t> </w:t>
            </w:r>
          </w:p>
        </w:tc>
        <w:tc>
          <w:tcPr>
            <w:tcW w:w="1040" w:type="pct"/>
            <w:tcBorders>
              <w:top w:val="single" w:sz="4" w:space="0" w:color="auto"/>
              <w:left w:val="nil"/>
              <w:bottom w:val="single" w:sz="4" w:space="0" w:color="auto"/>
              <w:right w:val="nil"/>
            </w:tcBorders>
            <w:shd w:val="clear" w:color="auto" w:fill="F2F2F2" w:themeFill="background1" w:themeFillShade="F2"/>
            <w:noWrap/>
            <w:vAlign w:val="center"/>
          </w:tcPr>
          <w:p w14:paraId="35EE6B21" w14:textId="6F1ECB1E" w:rsidR="00A0199E" w:rsidRPr="00547143" w:rsidRDefault="00A0199E" w:rsidP="00A0199E">
            <w:pPr>
              <w:jc w:val="right"/>
              <w:rPr>
                <w:b/>
                <w:bCs/>
                <w:sz w:val="18"/>
                <w:szCs w:val="18"/>
              </w:rPr>
            </w:pPr>
            <w:r>
              <w:rPr>
                <w:b/>
                <w:bCs/>
                <w:sz w:val="18"/>
                <w:szCs w:val="18"/>
              </w:rPr>
              <w:t>(3.626.343,03)</w:t>
            </w:r>
          </w:p>
        </w:tc>
        <w:tc>
          <w:tcPr>
            <w:tcW w:w="991" w:type="pct"/>
            <w:tcBorders>
              <w:top w:val="single" w:sz="4" w:space="0" w:color="auto"/>
              <w:left w:val="nil"/>
              <w:bottom w:val="single" w:sz="4" w:space="0" w:color="auto"/>
              <w:right w:val="nil"/>
            </w:tcBorders>
            <w:shd w:val="clear" w:color="auto" w:fill="F2F2F2" w:themeFill="background1" w:themeFillShade="F2"/>
            <w:noWrap/>
            <w:vAlign w:val="center"/>
            <w:hideMark/>
          </w:tcPr>
          <w:p w14:paraId="16908F42" w14:textId="76E5F124" w:rsidR="00A0199E" w:rsidRPr="00433906" w:rsidRDefault="00A0199E" w:rsidP="00A0199E">
            <w:pPr>
              <w:jc w:val="right"/>
              <w:rPr>
                <w:b/>
                <w:bCs/>
                <w:color w:val="auto"/>
                <w:sz w:val="18"/>
                <w:szCs w:val="18"/>
              </w:rPr>
            </w:pPr>
            <w:r w:rsidRPr="00547143">
              <w:rPr>
                <w:b/>
                <w:bCs/>
                <w:sz w:val="18"/>
                <w:szCs w:val="18"/>
              </w:rPr>
              <w:t>(3.631.003,43)</w:t>
            </w:r>
          </w:p>
        </w:tc>
      </w:tr>
    </w:tbl>
    <w:p w14:paraId="6E7CF98F" w14:textId="77777777" w:rsidR="006220A2" w:rsidRPr="0083433F" w:rsidRDefault="006220A2" w:rsidP="006220A2">
      <w:pPr>
        <w:widowControl w:val="0"/>
        <w:tabs>
          <w:tab w:val="left" w:pos="284"/>
          <w:tab w:val="left" w:pos="567"/>
          <w:tab w:val="left" w:pos="851"/>
        </w:tabs>
        <w:rPr>
          <w:b/>
          <w:snapToGrid w:val="0"/>
          <w:sz w:val="20"/>
        </w:rPr>
      </w:pPr>
    </w:p>
    <w:p w14:paraId="4B7EE71F" w14:textId="77777777" w:rsidR="006220A2" w:rsidRPr="0083433F" w:rsidRDefault="006220A2" w:rsidP="006220A2">
      <w:pPr>
        <w:widowControl w:val="0"/>
        <w:shd w:val="clear" w:color="auto" w:fill="FFFFFF"/>
        <w:tabs>
          <w:tab w:val="left" w:pos="1440"/>
          <w:tab w:val="left" w:pos="2160"/>
          <w:tab w:val="left" w:pos="2880"/>
          <w:tab w:val="left" w:pos="3600"/>
          <w:tab w:val="left" w:pos="4320"/>
          <w:tab w:val="left" w:pos="5040"/>
          <w:tab w:val="left" w:pos="5760"/>
          <w:tab w:val="left" w:pos="6480"/>
          <w:tab w:val="left" w:pos="7200"/>
          <w:tab w:val="left" w:pos="7920"/>
          <w:tab w:val="left" w:pos="8640"/>
        </w:tabs>
        <w:rPr>
          <w:b/>
          <w:snapToGrid w:val="0"/>
          <w:sz w:val="20"/>
        </w:rPr>
      </w:pPr>
    </w:p>
    <w:p w14:paraId="5E7579FC" w14:textId="77777777" w:rsidR="006220A2" w:rsidRPr="0083433F" w:rsidRDefault="006220A2" w:rsidP="006220A2">
      <w:pPr>
        <w:widowControl w:val="0"/>
        <w:shd w:val="clear" w:color="auto" w:fill="FFFFFF"/>
        <w:tabs>
          <w:tab w:val="left" w:pos="1440"/>
          <w:tab w:val="left" w:pos="2160"/>
          <w:tab w:val="left" w:pos="2880"/>
          <w:tab w:val="left" w:pos="3600"/>
          <w:tab w:val="left" w:pos="4320"/>
          <w:tab w:val="left" w:pos="5040"/>
          <w:tab w:val="left" w:pos="5760"/>
          <w:tab w:val="left" w:pos="6480"/>
          <w:tab w:val="left" w:pos="7200"/>
          <w:tab w:val="left" w:pos="7920"/>
          <w:tab w:val="left" w:pos="8640"/>
        </w:tabs>
        <w:rPr>
          <w:b/>
          <w:bCs/>
          <w:snapToGrid w:val="0"/>
          <w:sz w:val="20"/>
        </w:rPr>
      </w:pPr>
      <w:r w:rsidRPr="0083433F">
        <w:rPr>
          <w:b/>
          <w:snapToGrid w:val="0"/>
          <w:sz w:val="20"/>
        </w:rPr>
        <w:t xml:space="preserve">B) </w:t>
      </w:r>
      <w:r w:rsidRPr="00A347E9">
        <w:rPr>
          <w:b/>
          <w:snapToGrid w:val="0"/>
          <w:sz w:val="20"/>
        </w:rPr>
        <w:t xml:space="preserve">ESTADO TOTAL DE CAMBIOS EN EL PATRIMONIO NETO </w:t>
      </w:r>
      <w:r w:rsidRPr="00A347E9">
        <w:rPr>
          <w:b/>
          <w:bCs/>
          <w:sz w:val="20"/>
        </w:rPr>
        <w:t>(Expresado en euros)</w:t>
      </w:r>
    </w:p>
    <w:p w14:paraId="5BD59DB3" w14:textId="77777777" w:rsidR="006220A2" w:rsidRPr="0083433F" w:rsidRDefault="006220A2" w:rsidP="006220A2">
      <w:pPr>
        <w:widowControl w:val="0"/>
        <w:shd w:val="clear" w:color="auto" w:fill="FFFFFF"/>
        <w:tabs>
          <w:tab w:val="left" w:pos="1440"/>
          <w:tab w:val="left" w:pos="2160"/>
          <w:tab w:val="left" w:pos="2880"/>
          <w:tab w:val="left" w:pos="3600"/>
          <w:tab w:val="left" w:pos="4320"/>
          <w:tab w:val="left" w:pos="5040"/>
          <w:tab w:val="left" w:pos="5760"/>
          <w:tab w:val="left" w:pos="6480"/>
          <w:tab w:val="left" w:pos="7200"/>
          <w:tab w:val="left" w:pos="7920"/>
          <w:tab w:val="left" w:pos="8640"/>
        </w:tabs>
        <w:rPr>
          <w:snapToGrid w:val="0"/>
          <w:sz w:val="20"/>
        </w:rPr>
      </w:pPr>
    </w:p>
    <w:tbl>
      <w:tblPr>
        <w:tblW w:w="5000" w:type="pct"/>
        <w:tblCellMar>
          <w:left w:w="70" w:type="dxa"/>
          <w:right w:w="70" w:type="dxa"/>
        </w:tblCellMar>
        <w:tblLook w:val="04A0" w:firstRow="1" w:lastRow="0" w:firstColumn="1" w:lastColumn="0" w:noHBand="0" w:noVBand="1"/>
      </w:tblPr>
      <w:tblGrid>
        <w:gridCol w:w="3032"/>
        <w:gridCol w:w="988"/>
        <w:gridCol w:w="1289"/>
        <w:gridCol w:w="1285"/>
        <w:gridCol w:w="1180"/>
        <w:gridCol w:w="1291"/>
      </w:tblGrid>
      <w:tr w:rsidR="00BA5560" w:rsidRPr="00724D7B" w14:paraId="2315E829" w14:textId="77777777" w:rsidTr="00220522">
        <w:trPr>
          <w:trHeight w:val="278"/>
        </w:trPr>
        <w:tc>
          <w:tcPr>
            <w:tcW w:w="1672" w:type="pct"/>
            <w:tcBorders>
              <w:top w:val="single" w:sz="4" w:space="0" w:color="auto"/>
              <w:left w:val="nil"/>
              <w:bottom w:val="single" w:sz="4" w:space="0" w:color="auto"/>
              <w:right w:val="nil"/>
            </w:tcBorders>
            <w:shd w:val="clear" w:color="000000" w:fill="D9D9D9"/>
            <w:noWrap/>
            <w:vAlign w:val="bottom"/>
            <w:hideMark/>
          </w:tcPr>
          <w:p w14:paraId="2D0FBE1C" w14:textId="50C6E863" w:rsidR="00BA5560" w:rsidRPr="00724D7B" w:rsidRDefault="00BA5560" w:rsidP="002E3C11">
            <w:pPr>
              <w:pBdr>
                <w:top w:val="none" w:sz="0" w:space="0" w:color="auto"/>
                <w:left w:val="none" w:sz="0" w:space="0" w:color="auto"/>
                <w:bottom w:val="none" w:sz="0" w:space="0" w:color="auto"/>
                <w:right w:val="none" w:sz="0" w:space="0" w:color="auto"/>
                <w:between w:val="none" w:sz="0" w:space="0" w:color="auto"/>
                <w:bar w:val="none" w:sz="0" w:color="auto"/>
              </w:pBdr>
              <w:jc w:val="center"/>
              <w:outlineLvl w:val="9"/>
              <w:rPr>
                <w:rFonts w:eastAsia="Times New Roman"/>
                <w:sz w:val="16"/>
                <w:szCs w:val="16"/>
                <w:bdr w:val="none" w:sz="0" w:space="0" w:color="auto"/>
                <w:lang w:eastAsia="es-ES"/>
              </w:rPr>
            </w:pPr>
          </w:p>
        </w:tc>
        <w:tc>
          <w:tcPr>
            <w:tcW w:w="545" w:type="pct"/>
            <w:tcBorders>
              <w:top w:val="single" w:sz="4" w:space="0" w:color="auto"/>
              <w:left w:val="nil"/>
              <w:bottom w:val="single" w:sz="4" w:space="0" w:color="auto"/>
              <w:right w:val="nil"/>
            </w:tcBorders>
            <w:shd w:val="clear" w:color="000000" w:fill="D9D9D9"/>
            <w:vAlign w:val="bottom"/>
            <w:hideMark/>
          </w:tcPr>
          <w:p w14:paraId="4FFD0918" w14:textId="77777777" w:rsidR="00BA5560" w:rsidRPr="00724D7B" w:rsidRDefault="00BA5560" w:rsidP="002E3C11">
            <w:pPr>
              <w:pBdr>
                <w:top w:val="none" w:sz="0" w:space="0" w:color="auto"/>
                <w:left w:val="none" w:sz="0" w:space="0" w:color="auto"/>
                <w:bottom w:val="none" w:sz="0" w:space="0" w:color="auto"/>
                <w:right w:val="none" w:sz="0" w:space="0" w:color="auto"/>
                <w:between w:val="none" w:sz="0" w:space="0" w:color="auto"/>
                <w:bar w:val="none" w:sz="0" w:color="auto"/>
              </w:pBdr>
              <w:jc w:val="center"/>
              <w:outlineLvl w:val="9"/>
              <w:rPr>
                <w:rFonts w:eastAsia="Times New Roman"/>
                <w:b/>
                <w:bCs/>
                <w:sz w:val="16"/>
                <w:szCs w:val="16"/>
                <w:bdr w:val="none" w:sz="0" w:space="0" w:color="auto"/>
                <w:lang w:eastAsia="es-ES"/>
              </w:rPr>
            </w:pPr>
            <w:r w:rsidRPr="00724D7B">
              <w:rPr>
                <w:rFonts w:eastAsia="Times New Roman"/>
                <w:b/>
                <w:bCs/>
                <w:sz w:val="16"/>
                <w:szCs w:val="16"/>
                <w:bdr w:val="none" w:sz="0" w:space="0" w:color="auto"/>
                <w:lang w:eastAsia="es-ES"/>
              </w:rPr>
              <w:t>Capital</w:t>
            </w:r>
          </w:p>
        </w:tc>
        <w:tc>
          <w:tcPr>
            <w:tcW w:w="711" w:type="pct"/>
            <w:tcBorders>
              <w:top w:val="single" w:sz="4" w:space="0" w:color="auto"/>
              <w:left w:val="nil"/>
              <w:bottom w:val="single" w:sz="4" w:space="0" w:color="auto"/>
              <w:right w:val="nil"/>
            </w:tcBorders>
            <w:shd w:val="clear" w:color="000000" w:fill="D9D9D9"/>
            <w:vAlign w:val="bottom"/>
            <w:hideMark/>
          </w:tcPr>
          <w:p w14:paraId="3655AF3E" w14:textId="77777777" w:rsidR="00BA5560" w:rsidRPr="00724D7B" w:rsidRDefault="00BA5560" w:rsidP="002E3C11">
            <w:pPr>
              <w:pBdr>
                <w:top w:val="none" w:sz="0" w:space="0" w:color="auto"/>
                <w:left w:val="none" w:sz="0" w:space="0" w:color="auto"/>
                <w:bottom w:val="none" w:sz="0" w:space="0" w:color="auto"/>
                <w:right w:val="none" w:sz="0" w:space="0" w:color="auto"/>
                <w:between w:val="none" w:sz="0" w:space="0" w:color="auto"/>
                <w:bar w:val="none" w:sz="0" w:color="auto"/>
              </w:pBdr>
              <w:jc w:val="center"/>
              <w:outlineLvl w:val="9"/>
              <w:rPr>
                <w:rFonts w:eastAsia="Times New Roman"/>
                <w:b/>
                <w:bCs/>
                <w:sz w:val="16"/>
                <w:szCs w:val="16"/>
                <w:bdr w:val="none" w:sz="0" w:space="0" w:color="auto"/>
                <w:lang w:eastAsia="es-ES"/>
              </w:rPr>
            </w:pPr>
            <w:r w:rsidRPr="00724D7B">
              <w:rPr>
                <w:rFonts w:eastAsia="Times New Roman"/>
                <w:b/>
                <w:bCs/>
                <w:sz w:val="16"/>
                <w:szCs w:val="16"/>
                <w:bdr w:val="none" w:sz="0" w:space="0" w:color="auto"/>
                <w:lang w:eastAsia="es-ES"/>
              </w:rPr>
              <w:t>Otras aportaciones de socios</w:t>
            </w:r>
          </w:p>
        </w:tc>
        <w:tc>
          <w:tcPr>
            <w:tcW w:w="709" w:type="pct"/>
            <w:tcBorders>
              <w:top w:val="single" w:sz="4" w:space="0" w:color="auto"/>
              <w:left w:val="nil"/>
              <w:bottom w:val="single" w:sz="4" w:space="0" w:color="auto"/>
              <w:right w:val="nil"/>
            </w:tcBorders>
            <w:shd w:val="clear" w:color="000000" w:fill="D9D9D9"/>
            <w:vAlign w:val="bottom"/>
            <w:hideMark/>
          </w:tcPr>
          <w:p w14:paraId="1030A588" w14:textId="77777777" w:rsidR="00BA5560" w:rsidRPr="00724D7B" w:rsidRDefault="00BA5560" w:rsidP="002E3C11">
            <w:pPr>
              <w:pBdr>
                <w:top w:val="none" w:sz="0" w:space="0" w:color="auto"/>
                <w:left w:val="none" w:sz="0" w:space="0" w:color="auto"/>
                <w:bottom w:val="none" w:sz="0" w:space="0" w:color="auto"/>
                <w:right w:val="none" w:sz="0" w:space="0" w:color="auto"/>
                <w:between w:val="none" w:sz="0" w:space="0" w:color="auto"/>
                <w:bar w:val="none" w:sz="0" w:color="auto"/>
              </w:pBdr>
              <w:jc w:val="center"/>
              <w:outlineLvl w:val="9"/>
              <w:rPr>
                <w:rFonts w:eastAsia="Times New Roman"/>
                <w:b/>
                <w:bCs/>
                <w:sz w:val="16"/>
                <w:szCs w:val="16"/>
                <w:bdr w:val="none" w:sz="0" w:space="0" w:color="auto"/>
                <w:lang w:eastAsia="es-ES"/>
              </w:rPr>
            </w:pPr>
            <w:r w:rsidRPr="00724D7B">
              <w:rPr>
                <w:rFonts w:eastAsia="Times New Roman"/>
                <w:b/>
                <w:bCs/>
                <w:sz w:val="16"/>
                <w:szCs w:val="16"/>
                <w:bdr w:val="none" w:sz="0" w:space="0" w:color="auto"/>
                <w:lang w:eastAsia="es-ES"/>
              </w:rPr>
              <w:t>Resultado del ejercicio</w:t>
            </w:r>
          </w:p>
        </w:tc>
        <w:tc>
          <w:tcPr>
            <w:tcW w:w="651" w:type="pct"/>
            <w:tcBorders>
              <w:top w:val="single" w:sz="4" w:space="0" w:color="auto"/>
              <w:left w:val="nil"/>
              <w:bottom w:val="single" w:sz="4" w:space="0" w:color="auto"/>
              <w:right w:val="nil"/>
            </w:tcBorders>
            <w:shd w:val="clear" w:color="000000" w:fill="D9D9D9"/>
            <w:vAlign w:val="bottom"/>
            <w:hideMark/>
          </w:tcPr>
          <w:p w14:paraId="354B1B3D" w14:textId="6F82B62B" w:rsidR="00BA5560" w:rsidRPr="00724D7B" w:rsidRDefault="00BA5560" w:rsidP="002E3C11">
            <w:pPr>
              <w:pBdr>
                <w:top w:val="none" w:sz="0" w:space="0" w:color="auto"/>
                <w:left w:val="none" w:sz="0" w:space="0" w:color="auto"/>
                <w:bottom w:val="none" w:sz="0" w:space="0" w:color="auto"/>
                <w:right w:val="none" w:sz="0" w:space="0" w:color="auto"/>
                <w:between w:val="none" w:sz="0" w:space="0" w:color="auto"/>
                <w:bar w:val="none" w:sz="0" w:color="auto"/>
              </w:pBdr>
              <w:jc w:val="center"/>
              <w:outlineLvl w:val="9"/>
              <w:rPr>
                <w:rFonts w:eastAsia="Times New Roman"/>
                <w:b/>
                <w:bCs/>
                <w:sz w:val="16"/>
                <w:szCs w:val="16"/>
                <w:bdr w:val="none" w:sz="0" w:space="0" w:color="auto"/>
                <w:lang w:eastAsia="es-ES"/>
              </w:rPr>
            </w:pPr>
            <w:proofErr w:type="spellStart"/>
            <w:r w:rsidRPr="00724D7B">
              <w:rPr>
                <w:rFonts w:eastAsia="Times New Roman"/>
                <w:b/>
                <w:bCs/>
                <w:sz w:val="16"/>
                <w:szCs w:val="16"/>
                <w:bdr w:val="none" w:sz="0" w:space="0" w:color="auto"/>
                <w:lang w:eastAsia="es-ES"/>
              </w:rPr>
              <w:t>Subv</w:t>
            </w:r>
            <w:proofErr w:type="spellEnd"/>
            <w:r w:rsidRPr="00724D7B">
              <w:rPr>
                <w:rFonts w:eastAsia="Times New Roman"/>
                <w:b/>
                <w:bCs/>
                <w:sz w:val="16"/>
                <w:szCs w:val="16"/>
                <w:bdr w:val="none" w:sz="0" w:space="0" w:color="auto"/>
                <w:lang w:eastAsia="es-ES"/>
              </w:rPr>
              <w:t>, donaciones y legados recibidos</w:t>
            </w:r>
          </w:p>
        </w:tc>
        <w:tc>
          <w:tcPr>
            <w:tcW w:w="712" w:type="pct"/>
            <w:tcBorders>
              <w:top w:val="single" w:sz="4" w:space="0" w:color="auto"/>
              <w:left w:val="nil"/>
              <w:bottom w:val="single" w:sz="4" w:space="0" w:color="auto"/>
              <w:right w:val="nil"/>
            </w:tcBorders>
            <w:shd w:val="clear" w:color="000000" w:fill="D9D9D9"/>
            <w:vAlign w:val="bottom"/>
            <w:hideMark/>
          </w:tcPr>
          <w:p w14:paraId="1D60BBEB" w14:textId="77777777" w:rsidR="00BA5560" w:rsidRPr="00724D7B" w:rsidRDefault="00BA5560" w:rsidP="002E3C11">
            <w:pPr>
              <w:pBdr>
                <w:top w:val="none" w:sz="0" w:space="0" w:color="auto"/>
                <w:left w:val="none" w:sz="0" w:space="0" w:color="auto"/>
                <w:bottom w:val="none" w:sz="0" w:space="0" w:color="auto"/>
                <w:right w:val="none" w:sz="0" w:space="0" w:color="auto"/>
                <w:between w:val="none" w:sz="0" w:space="0" w:color="auto"/>
                <w:bar w:val="none" w:sz="0" w:color="auto"/>
              </w:pBdr>
              <w:jc w:val="center"/>
              <w:outlineLvl w:val="9"/>
              <w:rPr>
                <w:rFonts w:eastAsia="Times New Roman"/>
                <w:b/>
                <w:bCs/>
                <w:sz w:val="16"/>
                <w:szCs w:val="16"/>
                <w:bdr w:val="none" w:sz="0" w:space="0" w:color="auto"/>
                <w:lang w:eastAsia="es-ES"/>
              </w:rPr>
            </w:pPr>
            <w:r w:rsidRPr="00724D7B">
              <w:rPr>
                <w:rFonts w:eastAsia="Times New Roman"/>
                <w:b/>
                <w:bCs/>
                <w:sz w:val="16"/>
                <w:szCs w:val="16"/>
                <w:bdr w:val="none" w:sz="0" w:space="0" w:color="auto"/>
                <w:lang w:eastAsia="es-ES"/>
              </w:rPr>
              <w:t>Total</w:t>
            </w:r>
          </w:p>
        </w:tc>
      </w:tr>
      <w:tr w:rsidR="00680BE3" w:rsidRPr="00724D7B" w14:paraId="21118D78" w14:textId="77777777" w:rsidTr="00220522">
        <w:trPr>
          <w:trHeight w:val="283"/>
        </w:trPr>
        <w:tc>
          <w:tcPr>
            <w:tcW w:w="1672" w:type="pct"/>
            <w:tcBorders>
              <w:top w:val="single" w:sz="4" w:space="0" w:color="auto"/>
              <w:left w:val="nil"/>
              <w:bottom w:val="single" w:sz="4" w:space="0" w:color="auto"/>
              <w:right w:val="nil"/>
            </w:tcBorders>
            <w:shd w:val="clear" w:color="auto" w:fill="F2F2F2" w:themeFill="background1" w:themeFillShade="F2"/>
            <w:noWrap/>
            <w:vAlign w:val="center"/>
            <w:hideMark/>
          </w:tcPr>
          <w:p w14:paraId="1A7832CE" w14:textId="1E874A60" w:rsidR="00680BE3" w:rsidRPr="00724D7B" w:rsidRDefault="00680BE3" w:rsidP="00680BE3">
            <w:pPr>
              <w:pBdr>
                <w:top w:val="none" w:sz="0" w:space="0" w:color="auto"/>
                <w:left w:val="none" w:sz="0" w:space="0" w:color="auto"/>
                <w:bottom w:val="none" w:sz="0" w:space="0" w:color="auto"/>
                <w:right w:val="none" w:sz="0" w:space="0" w:color="auto"/>
                <w:between w:val="none" w:sz="0" w:space="0" w:color="auto"/>
                <w:bar w:val="none" w:sz="0" w:color="auto"/>
              </w:pBdr>
              <w:outlineLvl w:val="9"/>
              <w:rPr>
                <w:rFonts w:eastAsia="Times New Roman"/>
                <w:b/>
                <w:bCs/>
                <w:sz w:val="16"/>
                <w:szCs w:val="16"/>
                <w:bdr w:val="none" w:sz="0" w:space="0" w:color="auto"/>
                <w:lang w:eastAsia="es-ES"/>
              </w:rPr>
            </w:pPr>
            <w:r w:rsidRPr="00724D7B">
              <w:rPr>
                <w:rFonts w:eastAsia="Times New Roman"/>
                <w:b/>
                <w:bCs/>
                <w:sz w:val="16"/>
                <w:szCs w:val="16"/>
                <w:bdr w:val="none" w:sz="0" w:space="0" w:color="auto"/>
                <w:lang w:eastAsia="es-ES"/>
              </w:rPr>
              <w:t>SALDO, FINAL 31.12.</w:t>
            </w:r>
            <w:r>
              <w:rPr>
                <w:rFonts w:eastAsia="Times New Roman"/>
                <w:b/>
                <w:bCs/>
                <w:sz w:val="16"/>
                <w:szCs w:val="16"/>
                <w:bdr w:val="none" w:sz="0" w:space="0" w:color="auto"/>
                <w:lang w:eastAsia="es-ES"/>
              </w:rPr>
              <w:t>22</w:t>
            </w:r>
          </w:p>
        </w:tc>
        <w:tc>
          <w:tcPr>
            <w:tcW w:w="545" w:type="pct"/>
            <w:tcBorders>
              <w:top w:val="single" w:sz="4" w:space="0" w:color="auto"/>
              <w:left w:val="nil"/>
              <w:bottom w:val="single" w:sz="4" w:space="0" w:color="auto"/>
              <w:right w:val="nil"/>
            </w:tcBorders>
            <w:shd w:val="clear" w:color="auto" w:fill="F2F2F2" w:themeFill="background1" w:themeFillShade="F2"/>
            <w:noWrap/>
            <w:vAlign w:val="center"/>
            <w:hideMark/>
          </w:tcPr>
          <w:p w14:paraId="1041CE5F" w14:textId="499EEFB1" w:rsidR="00680BE3" w:rsidRPr="00724D7B" w:rsidRDefault="00680BE3" w:rsidP="00680BE3">
            <w:pPr>
              <w:pBdr>
                <w:top w:val="none" w:sz="0" w:space="0" w:color="auto"/>
                <w:left w:val="none" w:sz="0" w:space="0" w:color="auto"/>
                <w:bottom w:val="none" w:sz="0" w:space="0" w:color="auto"/>
                <w:right w:val="none" w:sz="0" w:space="0" w:color="auto"/>
                <w:between w:val="none" w:sz="0" w:space="0" w:color="auto"/>
                <w:bar w:val="none" w:sz="0" w:color="auto"/>
              </w:pBdr>
              <w:jc w:val="right"/>
              <w:outlineLvl w:val="9"/>
              <w:rPr>
                <w:rFonts w:eastAsia="Times New Roman"/>
                <w:b/>
                <w:bCs/>
                <w:sz w:val="16"/>
                <w:szCs w:val="16"/>
                <w:bdr w:val="none" w:sz="0" w:space="0" w:color="auto"/>
                <w:lang w:eastAsia="es-ES"/>
              </w:rPr>
            </w:pPr>
            <w:r w:rsidRPr="00724D7B">
              <w:rPr>
                <w:rFonts w:eastAsia="Times New Roman"/>
                <w:b/>
                <w:bCs/>
                <w:sz w:val="16"/>
                <w:szCs w:val="16"/>
                <w:bdr w:val="none" w:sz="0" w:space="0" w:color="auto"/>
                <w:lang w:eastAsia="es-ES"/>
              </w:rPr>
              <w:t>600.000,00</w:t>
            </w:r>
          </w:p>
        </w:tc>
        <w:tc>
          <w:tcPr>
            <w:tcW w:w="711" w:type="pct"/>
            <w:tcBorders>
              <w:top w:val="single" w:sz="4" w:space="0" w:color="auto"/>
              <w:left w:val="nil"/>
              <w:bottom w:val="single" w:sz="4" w:space="0" w:color="auto"/>
              <w:right w:val="nil"/>
            </w:tcBorders>
            <w:shd w:val="clear" w:color="auto" w:fill="F2F2F2" w:themeFill="background1" w:themeFillShade="F2"/>
            <w:noWrap/>
            <w:vAlign w:val="center"/>
          </w:tcPr>
          <w:p w14:paraId="01722757" w14:textId="44784DC9" w:rsidR="00680BE3" w:rsidRPr="00D053B4" w:rsidRDefault="00680BE3" w:rsidP="00680BE3">
            <w:pPr>
              <w:pBdr>
                <w:top w:val="none" w:sz="0" w:space="0" w:color="auto"/>
                <w:left w:val="none" w:sz="0" w:space="0" w:color="auto"/>
                <w:bottom w:val="none" w:sz="0" w:space="0" w:color="auto"/>
                <w:right w:val="none" w:sz="0" w:space="0" w:color="auto"/>
                <w:between w:val="none" w:sz="0" w:space="0" w:color="auto"/>
                <w:bar w:val="none" w:sz="0" w:color="auto"/>
              </w:pBdr>
              <w:jc w:val="right"/>
              <w:outlineLvl w:val="9"/>
              <w:rPr>
                <w:rFonts w:eastAsia="Times New Roman"/>
                <w:b/>
                <w:bCs/>
                <w:color w:val="auto"/>
                <w:sz w:val="16"/>
                <w:szCs w:val="16"/>
                <w:bdr w:val="none" w:sz="0" w:space="0" w:color="auto"/>
                <w:lang w:eastAsia="es-ES"/>
              </w:rPr>
            </w:pPr>
            <w:r>
              <w:rPr>
                <w:b/>
                <w:bCs/>
                <w:sz w:val="16"/>
                <w:szCs w:val="16"/>
              </w:rPr>
              <w:t>2.327.888,00</w:t>
            </w:r>
          </w:p>
        </w:tc>
        <w:tc>
          <w:tcPr>
            <w:tcW w:w="709" w:type="pct"/>
            <w:tcBorders>
              <w:top w:val="single" w:sz="4" w:space="0" w:color="auto"/>
              <w:left w:val="nil"/>
              <w:bottom w:val="single" w:sz="4" w:space="0" w:color="auto"/>
              <w:right w:val="nil"/>
            </w:tcBorders>
            <w:shd w:val="clear" w:color="auto" w:fill="F2F2F2" w:themeFill="background1" w:themeFillShade="F2"/>
            <w:noWrap/>
            <w:vAlign w:val="center"/>
          </w:tcPr>
          <w:p w14:paraId="135BEA08" w14:textId="62B341E6" w:rsidR="00680BE3" w:rsidRPr="00D053B4" w:rsidRDefault="00680BE3" w:rsidP="00680BE3">
            <w:pPr>
              <w:pBdr>
                <w:top w:val="none" w:sz="0" w:space="0" w:color="auto"/>
                <w:left w:val="none" w:sz="0" w:space="0" w:color="auto"/>
                <w:bottom w:val="none" w:sz="0" w:space="0" w:color="auto"/>
                <w:right w:val="none" w:sz="0" w:space="0" w:color="auto"/>
                <w:between w:val="none" w:sz="0" w:space="0" w:color="auto"/>
                <w:bar w:val="none" w:sz="0" w:color="auto"/>
              </w:pBdr>
              <w:jc w:val="right"/>
              <w:outlineLvl w:val="9"/>
              <w:rPr>
                <w:rFonts w:eastAsia="Times New Roman"/>
                <w:b/>
                <w:bCs/>
                <w:color w:val="auto"/>
                <w:sz w:val="16"/>
                <w:szCs w:val="16"/>
                <w:bdr w:val="none" w:sz="0" w:space="0" w:color="auto"/>
                <w:lang w:eastAsia="es-ES"/>
              </w:rPr>
            </w:pPr>
            <w:r>
              <w:rPr>
                <w:b/>
                <w:bCs/>
                <w:sz w:val="16"/>
                <w:szCs w:val="16"/>
              </w:rPr>
              <w:t>(2.327.888,00)</w:t>
            </w:r>
          </w:p>
        </w:tc>
        <w:tc>
          <w:tcPr>
            <w:tcW w:w="651" w:type="pct"/>
            <w:tcBorders>
              <w:top w:val="single" w:sz="4" w:space="0" w:color="auto"/>
              <w:left w:val="nil"/>
              <w:bottom w:val="single" w:sz="4" w:space="0" w:color="auto"/>
              <w:right w:val="nil"/>
            </w:tcBorders>
            <w:shd w:val="clear" w:color="auto" w:fill="F2F2F2" w:themeFill="background1" w:themeFillShade="F2"/>
            <w:noWrap/>
            <w:vAlign w:val="center"/>
          </w:tcPr>
          <w:p w14:paraId="482DFBF0" w14:textId="5AA7F557" w:rsidR="00680BE3" w:rsidRPr="00FB2137" w:rsidRDefault="00680BE3" w:rsidP="00680BE3">
            <w:pPr>
              <w:pBdr>
                <w:top w:val="none" w:sz="0" w:space="0" w:color="auto"/>
                <w:left w:val="none" w:sz="0" w:space="0" w:color="auto"/>
                <w:bottom w:val="none" w:sz="0" w:space="0" w:color="auto"/>
                <w:right w:val="none" w:sz="0" w:space="0" w:color="auto"/>
                <w:between w:val="none" w:sz="0" w:space="0" w:color="auto"/>
                <w:bar w:val="none" w:sz="0" w:color="auto"/>
              </w:pBdr>
              <w:jc w:val="right"/>
              <w:outlineLvl w:val="9"/>
              <w:rPr>
                <w:rFonts w:eastAsia="Times New Roman"/>
                <w:b/>
                <w:bCs/>
                <w:sz w:val="16"/>
                <w:szCs w:val="16"/>
                <w:bdr w:val="none" w:sz="0" w:space="0" w:color="auto"/>
                <w:lang w:eastAsia="es-ES"/>
              </w:rPr>
            </w:pPr>
            <w:r>
              <w:rPr>
                <w:b/>
                <w:bCs/>
                <w:sz w:val="16"/>
                <w:szCs w:val="16"/>
              </w:rPr>
              <w:t>118.536,68</w:t>
            </w:r>
          </w:p>
        </w:tc>
        <w:tc>
          <w:tcPr>
            <w:tcW w:w="712" w:type="pct"/>
            <w:tcBorders>
              <w:top w:val="single" w:sz="4" w:space="0" w:color="auto"/>
              <w:left w:val="nil"/>
              <w:bottom w:val="single" w:sz="4" w:space="0" w:color="auto"/>
              <w:right w:val="nil"/>
            </w:tcBorders>
            <w:shd w:val="clear" w:color="auto" w:fill="F2F2F2" w:themeFill="background1" w:themeFillShade="F2"/>
            <w:noWrap/>
            <w:vAlign w:val="center"/>
          </w:tcPr>
          <w:p w14:paraId="27271306" w14:textId="43A73EB5" w:rsidR="00680BE3" w:rsidRPr="00FB2137" w:rsidRDefault="00680BE3" w:rsidP="00680BE3">
            <w:pPr>
              <w:pBdr>
                <w:top w:val="none" w:sz="0" w:space="0" w:color="auto"/>
                <w:left w:val="none" w:sz="0" w:space="0" w:color="auto"/>
                <w:bottom w:val="none" w:sz="0" w:space="0" w:color="auto"/>
                <w:right w:val="none" w:sz="0" w:space="0" w:color="auto"/>
                <w:between w:val="none" w:sz="0" w:space="0" w:color="auto"/>
                <w:bar w:val="none" w:sz="0" w:color="auto"/>
              </w:pBdr>
              <w:jc w:val="right"/>
              <w:outlineLvl w:val="9"/>
              <w:rPr>
                <w:rFonts w:eastAsia="Times New Roman"/>
                <w:b/>
                <w:bCs/>
                <w:sz w:val="16"/>
                <w:szCs w:val="16"/>
                <w:bdr w:val="none" w:sz="0" w:space="0" w:color="auto"/>
                <w:lang w:eastAsia="es-ES"/>
              </w:rPr>
            </w:pPr>
            <w:r>
              <w:rPr>
                <w:b/>
                <w:bCs/>
                <w:sz w:val="16"/>
                <w:szCs w:val="16"/>
              </w:rPr>
              <w:t>718.536,68</w:t>
            </w:r>
          </w:p>
        </w:tc>
      </w:tr>
      <w:tr w:rsidR="00BA5560" w:rsidRPr="00724D7B" w14:paraId="570FED82" w14:textId="77777777" w:rsidTr="00220522">
        <w:trPr>
          <w:trHeight w:val="283"/>
        </w:trPr>
        <w:tc>
          <w:tcPr>
            <w:tcW w:w="1672" w:type="pct"/>
            <w:tcBorders>
              <w:top w:val="single" w:sz="4" w:space="0" w:color="auto"/>
              <w:left w:val="nil"/>
              <w:bottom w:val="single" w:sz="4" w:space="0" w:color="auto"/>
              <w:right w:val="nil"/>
            </w:tcBorders>
            <w:shd w:val="clear" w:color="auto" w:fill="auto"/>
            <w:noWrap/>
            <w:vAlign w:val="center"/>
            <w:hideMark/>
          </w:tcPr>
          <w:p w14:paraId="396D0897" w14:textId="77777777" w:rsidR="00BA5560" w:rsidRPr="00724D7B" w:rsidRDefault="00BA5560" w:rsidP="00FB2137">
            <w:pPr>
              <w:pBdr>
                <w:top w:val="none" w:sz="0" w:space="0" w:color="auto"/>
                <w:left w:val="none" w:sz="0" w:space="0" w:color="auto"/>
                <w:bottom w:val="none" w:sz="0" w:space="0" w:color="auto"/>
                <w:right w:val="none" w:sz="0" w:space="0" w:color="auto"/>
                <w:between w:val="none" w:sz="0" w:space="0" w:color="auto"/>
                <w:bar w:val="none" w:sz="0" w:color="auto"/>
              </w:pBdr>
              <w:outlineLvl w:val="9"/>
              <w:rPr>
                <w:rFonts w:eastAsia="Times New Roman"/>
                <w:sz w:val="16"/>
                <w:szCs w:val="16"/>
                <w:bdr w:val="none" w:sz="0" w:space="0" w:color="auto"/>
                <w:lang w:eastAsia="es-ES"/>
              </w:rPr>
            </w:pPr>
            <w:r w:rsidRPr="00724D7B">
              <w:rPr>
                <w:rFonts w:eastAsia="Times New Roman"/>
                <w:sz w:val="16"/>
                <w:szCs w:val="16"/>
                <w:bdr w:val="none" w:sz="0" w:space="0" w:color="auto"/>
                <w:lang w:eastAsia="es-ES"/>
              </w:rPr>
              <w:t>Ajustes corrección de errores</w:t>
            </w:r>
          </w:p>
        </w:tc>
        <w:tc>
          <w:tcPr>
            <w:tcW w:w="545" w:type="pct"/>
            <w:tcBorders>
              <w:top w:val="single" w:sz="4" w:space="0" w:color="auto"/>
              <w:left w:val="nil"/>
              <w:bottom w:val="single" w:sz="4" w:space="0" w:color="auto"/>
              <w:right w:val="nil"/>
            </w:tcBorders>
            <w:shd w:val="clear" w:color="auto" w:fill="auto"/>
            <w:noWrap/>
            <w:vAlign w:val="center"/>
            <w:hideMark/>
          </w:tcPr>
          <w:p w14:paraId="26EF5416" w14:textId="77777777" w:rsidR="00BA5560" w:rsidRPr="00724D7B" w:rsidRDefault="00BA5560" w:rsidP="00FB2137">
            <w:pPr>
              <w:pBdr>
                <w:top w:val="none" w:sz="0" w:space="0" w:color="auto"/>
                <w:left w:val="none" w:sz="0" w:space="0" w:color="auto"/>
                <w:bottom w:val="none" w:sz="0" w:space="0" w:color="auto"/>
                <w:right w:val="none" w:sz="0" w:space="0" w:color="auto"/>
                <w:between w:val="none" w:sz="0" w:space="0" w:color="auto"/>
                <w:bar w:val="none" w:sz="0" w:color="auto"/>
              </w:pBdr>
              <w:jc w:val="right"/>
              <w:outlineLvl w:val="9"/>
              <w:rPr>
                <w:rFonts w:eastAsia="Times New Roman"/>
                <w:sz w:val="16"/>
                <w:szCs w:val="16"/>
                <w:bdr w:val="none" w:sz="0" w:space="0" w:color="auto"/>
                <w:lang w:eastAsia="es-ES"/>
              </w:rPr>
            </w:pPr>
            <w:r w:rsidRPr="00724D7B">
              <w:rPr>
                <w:rFonts w:eastAsia="Times New Roman"/>
                <w:sz w:val="16"/>
                <w:szCs w:val="16"/>
                <w:bdr w:val="none" w:sz="0" w:space="0" w:color="auto"/>
                <w:lang w:eastAsia="es-ES"/>
              </w:rPr>
              <w:t>-</w:t>
            </w:r>
          </w:p>
        </w:tc>
        <w:tc>
          <w:tcPr>
            <w:tcW w:w="711" w:type="pct"/>
            <w:tcBorders>
              <w:top w:val="single" w:sz="4" w:space="0" w:color="auto"/>
              <w:left w:val="nil"/>
              <w:bottom w:val="single" w:sz="4" w:space="0" w:color="auto"/>
              <w:right w:val="nil"/>
            </w:tcBorders>
            <w:shd w:val="clear" w:color="auto" w:fill="auto"/>
            <w:noWrap/>
            <w:vAlign w:val="center"/>
          </w:tcPr>
          <w:p w14:paraId="40D1CBF4" w14:textId="5588466C" w:rsidR="00BA5560" w:rsidRPr="00FB2137" w:rsidRDefault="00BA5560" w:rsidP="00FB2137">
            <w:pPr>
              <w:pBdr>
                <w:top w:val="none" w:sz="0" w:space="0" w:color="auto"/>
                <w:left w:val="none" w:sz="0" w:space="0" w:color="auto"/>
                <w:bottom w:val="none" w:sz="0" w:space="0" w:color="auto"/>
                <w:right w:val="none" w:sz="0" w:space="0" w:color="auto"/>
                <w:between w:val="none" w:sz="0" w:space="0" w:color="auto"/>
                <w:bar w:val="none" w:sz="0" w:color="auto"/>
              </w:pBdr>
              <w:jc w:val="right"/>
              <w:outlineLvl w:val="9"/>
              <w:rPr>
                <w:rFonts w:eastAsia="Times New Roman"/>
                <w:color w:val="auto"/>
                <w:sz w:val="16"/>
                <w:szCs w:val="16"/>
                <w:bdr w:val="none" w:sz="0" w:space="0" w:color="auto"/>
                <w:lang w:eastAsia="es-ES"/>
              </w:rPr>
            </w:pPr>
            <w:r w:rsidRPr="00FB2137">
              <w:rPr>
                <w:b/>
                <w:bCs/>
                <w:sz w:val="16"/>
                <w:szCs w:val="16"/>
              </w:rPr>
              <w:t xml:space="preserve"> -</w:t>
            </w:r>
          </w:p>
        </w:tc>
        <w:tc>
          <w:tcPr>
            <w:tcW w:w="709" w:type="pct"/>
            <w:tcBorders>
              <w:top w:val="single" w:sz="4" w:space="0" w:color="auto"/>
              <w:left w:val="nil"/>
              <w:bottom w:val="single" w:sz="4" w:space="0" w:color="auto"/>
              <w:right w:val="nil"/>
            </w:tcBorders>
            <w:shd w:val="clear" w:color="auto" w:fill="auto"/>
            <w:noWrap/>
            <w:vAlign w:val="center"/>
          </w:tcPr>
          <w:p w14:paraId="4B8A2189" w14:textId="6802792B" w:rsidR="00BA5560" w:rsidRPr="00FB2137" w:rsidRDefault="00BA5560" w:rsidP="00FB2137">
            <w:pPr>
              <w:pBdr>
                <w:top w:val="none" w:sz="0" w:space="0" w:color="auto"/>
                <w:left w:val="none" w:sz="0" w:space="0" w:color="auto"/>
                <w:bottom w:val="none" w:sz="0" w:space="0" w:color="auto"/>
                <w:right w:val="none" w:sz="0" w:space="0" w:color="auto"/>
                <w:between w:val="none" w:sz="0" w:space="0" w:color="auto"/>
                <w:bar w:val="none" w:sz="0" w:color="auto"/>
              </w:pBdr>
              <w:jc w:val="right"/>
              <w:outlineLvl w:val="9"/>
              <w:rPr>
                <w:rFonts w:eastAsia="Times New Roman"/>
                <w:color w:val="auto"/>
                <w:sz w:val="16"/>
                <w:szCs w:val="16"/>
                <w:bdr w:val="none" w:sz="0" w:space="0" w:color="auto"/>
                <w:lang w:eastAsia="es-ES"/>
              </w:rPr>
            </w:pPr>
            <w:r w:rsidRPr="00FB2137">
              <w:rPr>
                <w:b/>
                <w:bCs/>
                <w:sz w:val="16"/>
                <w:szCs w:val="16"/>
              </w:rPr>
              <w:t xml:space="preserve"> -</w:t>
            </w:r>
          </w:p>
        </w:tc>
        <w:tc>
          <w:tcPr>
            <w:tcW w:w="651" w:type="pct"/>
            <w:tcBorders>
              <w:top w:val="single" w:sz="4" w:space="0" w:color="auto"/>
              <w:left w:val="nil"/>
              <w:bottom w:val="single" w:sz="4" w:space="0" w:color="auto"/>
              <w:right w:val="nil"/>
            </w:tcBorders>
            <w:shd w:val="clear" w:color="auto" w:fill="auto"/>
            <w:noWrap/>
            <w:vAlign w:val="center"/>
          </w:tcPr>
          <w:p w14:paraId="0D357311" w14:textId="41EF61F4" w:rsidR="00BA5560" w:rsidRPr="00FB2137" w:rsidRDefault="00BA5560" w:rsidP="00FB2137">
            <w:pPr>
              <w:pBdr>
                <w:top w:val="none" w:sz="0" w:space="0" w:color="auto"/>
                <w:left w:val="none" w:sz="0" w:space="0" w:color="auto"/>
                <w:bottom w:val="none" w:sz="0" w:space="0" w:color="auto"/>
                <w:right w:val="none" w:sz="0" w:space="0" w:color="auto"/>
                <w:between w:val="none" w:sz="0" w:space="0" w:color="auto"/>
                <w:bar w:val="none" w:sz="0" w:color="auto"/>
              </w:pBdr>
              <w:jc w:val="right"/>
              <w:outlineLvl w:val="9"/>
              <w:rPr>
                <w:rFonts w:eastAsia="Times New Roman"/>
                <w:color w:val="auto"/>
                <w:sz w:val="16"/>
                <w:szCs w:val="16"/>
                <w:bdr w:val="none" w:sz="0" w:space="0" w:color="auto"/>
                <w:lang w:eastAsia="es-ES"/>
              </w:rPr>
            </w:pPr>
            <w:r w:rsidRPr="00FB2137">
              <w:rPr>
                <w:b/>
                <w:bCs/>
                <w:sz w:val="16"/>
                <w:szCs w:val="16"/>
              </w:rPr>
              <w:t xml:space="preserve"> -</w:t>
            </w:r>
          </w:p>
        </w:tc>
        <w:tc>
          <w:tcPr>
            <w:tcW w:w="712" w:type="pct"/>
            <w:tcBorders>
              <w:top w:val="single" w:sz="4" w:space="0" w:color="auto"/>
              <w:left w:val="nil"/>
              <w:bottom w:val="single" w:sz="4" w:space="0" w:color="auto"/>
              <w:right w:val="nil"/>
            </w:tcBorders>
            <w:shd w:val="clear" w:color="auto" w:fill="auto"/>
            <w:noWrap/>
            <w:vAlign w:val="center"/>
          </w:tcPr>
          <w:p w14:paraId="568C1509" w14:textId="178DA6BC" w:rsidR="00BA5560" w:rsidRPr="00FB2137" w:rsidRDefault="00BA5560" w:rsidP="00FB2137">
            <w:pPr>
              <w:pBdr>
                <w:top w:val="none" w:sz="0" w:space="0" w:color="auto"/>
                <w:left w:val="none" w:sz="0" w:space="0" w:color="auto"/>
                <w:bottom w:val="none" w:sz="0" w:space="0" w:color="auto"/>
                <w:right w:val="none" w:sz="0" w:space="0" w:color="auto"/>
                <w:between w:val="none" w:sz="0" w:space="0" w:color="auto"/>
                <w:bar w:val="none" w:sz="0" w:color="auto"/>
              </w:pBdr>
              <w:jc w:val="right"/>
              <w:outlineLvl w:val="9"/>
              <w:rPr>
                <w:rFonts w:eastAsia="Times New Roman"/>
                <w:color w:val="auto"/>
                <w:sz w:val="16"/>
                <w:szCs w:val="16"/>
                <w:bdr w:val="none" w:sz="0" w:space="0" w:color="auto"/>
                <w:lang w:eastAsia="es-ES"/>
              </w:rPr>
            </w:pPr>
            <w:r w:rsidRPr="00FB2137">
              <w:rPr>
                <w:b/>
                <w:bCs/>
                <w:sz w:val="16"/>
                <w:szCs w:val="16"/>
              </w:rPr>
              <w:t xml:space="preserve"> -</w:t>
            </w:r>
          </w:p>
        </w:tc>
      </w:tr>
      <w:tr w:rsidR="00680BE3" w:rsidRPr="00724D7B" w14:paraId="6EB7177F" w14:textId="77777777" w:rsidTr="00220522">
        <w:trPr>
          <w:trHeight w:val="283"/>
        </w:trPr>
        <w:tc>
          <w:tcPr>
            <w:tcW w:w="1672" w:type="pct"/>
            <w:tcBorders>
              <w:top w:val="single" w:sz="4" w:space="0" w:color="auto"/>
              <w:left w:val="nil"/>
              <w:bottom w:val="single" w:sz="4" w:space="0" w:color="auto"/>
              <w:right w:val="nil"/>
            </w:tcBorders>
            <w:shd w:val="clear" w:color="auto" w:fill="F2F2F2" w:themeFill="background1" w:themeFillShade="F2"/>
            <w:noWrap/>
            <w:vAlign w:val="center"/>
            <w:hideMark/>
          </w:tcPr>
          <w:p w14:paraId="19177C01" w14:textId="0DEFEE3E" w:rsidR="00680BE3" w:rsidRPr="00724D7B" w:rsidRDefault="00680BE3" w:rsidP="00680BE3">
            <w:pPr>
              <w:pBdr>
                <w:top w:val="none" w:sz="0" w:space="0" w:color="auto"/>
                <w:left w:val="none" w:sz="0" w:space="0" w:color="auto"/>
                <w:bottom w:val="none" w:sz="0" w:space="0" w:color="auto"/>
                <w:right w:val="none" w:sz="0" w:space="0" w:color="auto"/>
                <w:between w:val="none" w:sz="0" w:space="0" w:color="auto"/>
                <w:bar w:val="none" w:sz="0" w:color="auto"/>
              </w:pBdr>
              <w:outlineLvl w:val="9"/>
              <w:rPr>
                <w:rFonts w:eastAsia="Times New Roman"/>
                <w:b/>
                <w:bCs/>
                <w:sz w:val="16"/>
                <w:szCs w:val="16"/>
                <w:bdr w:val="none" w:sz="0" w:space="0" w:color="auto"/>
                <w:lang w:eastAsia="es-ES"/>
              </w:rPr>
            </w:pPr>
            <w:r w:rsidRPr="00724D7B">
              <w:rPr>
                <w:rFonts w:eastAsia="Times New Roman"/>
                <w:b/>
                <w:bCs/>
                <w:sz w:val="16"/>
                <w:szCs w:val="16"/>
                <w:bdr w:val="none" w:sz="0" w:space="0" w:color="auto"/>
                <w:lang w:eastAsia="es-ES"/>
              </w:rPr>
              <w:t>SALDO AJUSTADO, 01.01.</w:t>
            </w:r>
            <w:r>
              <w:rPr>
                <w:rFonts w:eastAsia="Times New Roman"/>
                <w:b/>
                <w:bCs/>
                <w:sz w:val="16"/>
                <w:szCs w:val="16"/>
                <w:bdr w:val="none" w:sz="0" w:space="0" w:color="auto"/>
                <w:lang w:eastAsia="es-ES"/>
              </w:rPr>
              <w:t>23</w:t>
            </w:r>
          </w:p>
        </w:tc>
        <w:tc>
          <w:tcPr>
            <w:tcW w:w="545" w:type="pct"/>
            <w:tcBorders>
              <w:top w:val="single" w:sz="4" w:space="0" w:color="auto"/>
              <w:left w:val="nil"/>
              <w:bottom w:val="single" w:sz="4" w:space="0" w:color="auto"/>
              <w:right w:val="nil"/>
            </w:tcBorders>
            <w:shd w:val="clear" w:color="auto" w:fill="F2F2F2" w:themeFill="background1" w:themeFillShade="F2"/>
            <w:noWrap/>
            <w:vAlign w:val="center"/>
            <w:hideMark/>
          </w:tcPr>
          <w:p w14:paraId="34FCFBCB" w14:textId="18952D9A" w:rsidR="00680BE3" w:rsidRPr="00D053B4" w:rsidRDefault="00680BE3" w:rsidP="00680BE3">
            <w:pPr>
              <w:pBdr>
                <w:top w:val="none" w:sz="0" w:space="0" w:color="auto"/>
                <w:left w:val="none" w:sz="0" w:space="0" w:color="auto"/>
                <w:bottom w:val="none" w:sz="0" w:space="0" w:color="auto"/>
                <w:right w:val="none" w:sz="0" w:space="0" w:color="auto"/>
                <w:between w:val="none" w:sz="0" w:space="0" w:color="auto"/>
                <w:bar w:val="none" w:sz="0" w:color="auto"/>
              </w:pBdr>
              <w:jc w:val="right"/>
              <w:outlineLvl w:val="9"/>
              <w:rPr>
                <w:rFonts w:eastAsia="Times New Roman"/>
                <w:b/>
                <w:bCs/>
                <w:color w:val="auto"/>
                <w:sz w:val="16"/>
                <w:szCs w:val="16"/>
                <w:bdr w:val="none" w:sz="0" w:space="0" w:color="auto"/>
                <w:lang w:eastAsia="es-ES"/>
              </w:rPr>
            </w:pPr>
            <w:r w:rsidRPr="00724D7B">
              <w:rPr>
                <w:b/>
                <w:bCs/>
                <w:sz w:val="16"/>
                <w:szCs w:val="16"/>
              </w:rPr>
              <w:t>600.000,00</w:t>
            </w:r>
          </w:p>
        </w:tc>
        <w:tc>
          <w:tcPr>
            <w:tcW w:w="711" w:type="pct"/>
            <w:tcBorders>
              <w:top w:val="single" w:sz="4" w:space="0" w:color="auto"/>
              <w:left w:val="nil"/>
              <w:bottom w:val="single" w:sz="4" w:space="0" w:color="auto"/>
              <w:right w:val="nil"/>
            </w:tcBorders>
            <w:shd w:val="clear" w:color="auto" w:fill="F2F2F2" w:themeFill="background1" w:themeFillShade="F2"/>
            <w:noWrap/>
            <w:vAlign w:val="center"/>
          </w:tcPr>
          <w:p w14:paraId="0B14EFA6" w14:textId="491F3F7C" w:rsidR="00680BE3" w:rsidRPr="00D053B4" w:rsidRDefault="00680BE3" w:rsidP="00680BE3">
            <w:pPr>
              <w:pBdr>
                <w:top w:val="none" w:sz="0" w:space="0" w:color="auto"/>
                <w:left w:val="none" w:sz="0" w:space="0" w:color="auto"/>
                <w:bottom w:val="none" w:sz="0" w:space="0" w:color="auto"/>
                <w:right w:val="none" w:sz="0" w:space="0" w:color="auto"/>
                <w:between w:val="none" w:sz="0" w:space="0" w:color="auto"/>
                <w:bar w:val="none" w:sz="0" w:color="auto"/>
              </w:pBdr>
              <w:jc w:val="right"/>
              <w:outlineLvl w:val="9"/>
              <w:rPr>
                <w:rFonts w:eastAsia="Times New Roman"/>
                <w:b/>
                <w:bCs/>
                <w:color w:val="auto"/>
                <w:sz w:val="16"/>
                <w:szCs w:val="16"/>
                <w:bdr w:val="none" w:sz="0" w:space="0" w:color="auto"/>
                <w:lang w:eastAsia="es-ES"/>
              </w:rPr>
            </w:pPr>
            <w:r>
              <w:rPr>
                <w:rFonts w:ascii="Trebuchet MS" w:hAnsi="Trebuchet MS" w:cs="Calibri"/>
                <w:b/>
                <w:bCs/>
                <w:sz w:val="16"/>
                <w:szCs w:val="16"/>
              </w:rPr>
              <w:t>2.327.888,00</w:t>
            </w:r>
          </w:p>
        </w:tc>
        <w:tc>
          <w:tcPr>
            <w:tcW w:w="709" w:type="pct"/>
            <w:tcBorders>
              <w:top w:val="single" w:sz="4" w:space="0" w:color="auto"/>
              <w:left w:val="nil"/>
              <w:bottom w:val="single" w:sz="4" w:space="0" w:color="auto"/>
              <w:right w:val="nil"/>
            </w:tcBorders>
            <w:shd w:val="clear" w:color="auto" w:fill="F2F2F2" w:themeFill="background1" w:themeFillShade="F2"/>
            <w:noWrap/>
            <w:vAlign w:val="center"/>
          </w:tcPr>
          <w:p w14:paraId="3D3A7C36" w14:textId="1ADCAFF1" w:rsidR="00680BE3" w:rsidRPr="00FB2137" w:rsidRDefault="00680BE3" w:rsidP="00680BE3">
            <w:pPr>
              <w:pBdr>
                <w:top w:val="none" w:sz="0" w:space="0" w:color="auto"/>
                <w:left w:val="none" w:sz="0" w:space="0" w:color="auto"/>
                <w:bottom w:val="none" w:sz="0" w:space="0" w:color="auto"/>
                <w:right w:val="none" w:sz="0" w:space="0" w:color="auto"/>
                <w:between w:val="none" w:sz="0" w:space="0" w:color="auto"/>
                <w:bar w:val="none" w:sz="0" w:color="auto"/>
              </w:pBdr>
              <w:jc w:val="right"/>
              <w:outlineLvl w:val="9"/>
              <w:rPr>
                <w:rFonts w:eastAsia="Times New Roman"/>
                <w:b/>
                <w:bCs/>
                <w:sz w:val="16"/>
                <w:szCs w:val="16"/>
                <w:bdr w:val="none" w:sz="0" w:space="0" w:color="auto"/>
                <w:lang w:eastAsia="es-ES"/>
              </w:rPr>
            </w:pPr>
            <w:r>
              <w:rPr>
                <w:rFonts w:ascii="Trebuchet MS" w:hAnsi="Trebuchet MS" w:cs="Calibri"/>
                <w:b/>
                <w:bCs/>
                <w:sz w:val="16"/>
                <w:szCs w:val="16"/>
              </w:rPr>
              <w:t>(2.327.888,00)</w:t>
            </w:r>
          </w:p>
        </w:tc>
        <w:tc>
          <w:tcPr>
            <w:tcW w:w="651" w:type="pct"/>
            <w:tcBorders>
              <w:top w:val="single" w:sz="4" w:space="0" w:color="auto"/>
              <w:left w:val="nil"/>
              <w:bottom w:val="single" w:sz="4" w:space="0" w:color="auto"/>
              <w:right w:val="nil"/>
            </w:tcBorders>
            <w:shd w:val="clear" w:color="auto" w:fill="F2F2F2" w:themeFill="background1" w:themeFillShade="F2"/>
            <w:noWrap/>
            <w:vAlign w:val="center"/>
          </w:tcPr>
          <w:p w14:paraId="07BBF358" w14:textId="53DD28F5" w:rsidR="00680BE3" w:rsidRPr="00FB2137" w:rsidRDefault="00680BE3" w:rsidP="00680BE3">
            <w:pPr>
              <w:pBdr>
                <w:top w:val="none" w:sz="0" w:space="0" w:color="auto"/>
                <w:left w:val="none" w:sz="0" w:space="0" w:color="auto"/>
                <w:bottom w:val="none" w:sz="0" w:space="0" w:color="auto"/>
                <w:right w:val="none" w:sz="0" w:space="0" w:color="auto"/>
                <w:between w:val="none" w:sz="0" w:space="0" w:color="auto"/>
                <w:bar w:val="none" w:sz="0" w:color="auto"/>
              </w:pBdr>
              <w:jc w:val="right"/>
              <w:outlineLvl w:val="9"/>
              <w:rPr>
                <w:rFonts w:eastAsia="Times New Roman"/>
                <w:b/>
                <w:bCs/>
                <w:sz w:val="16"/>
                <w:szCs w:val="16"/>
                <w:bdr w:val="none" w:sz="0" w:space="0" w:color="auto"/>
                <w:lang w:eastAsia="es-ES"/>
              </w:rPr>
            </w:pPr>
            <w:r>
              <w:rPr>
                <w:rFonts w:ascii="Trebuchet MS" w:hAnsi="Trebuchet MS" w:cs="Calibri"/>
                <w:b/>
                <w:bCs/>
                <w:sz w:val="16"/>
                <w:szCs w:val="16"/>
              </w:rPr>
              <w:t>118.536,68</w:t>
            </w:r>
          </w:p>
        </w:tc>
        <w:tc>
          <w:tcPr>
            <w:tcW w:w="712" w:type="pct"/>
            <w:tcBorders>
              <w:top w:val="single" w:sz="4" w:space="0" w:color="auto"/>
              <w:left w:val="nil"/>
              <w:bottom w:val="single" w:sz="4" w:space="0" w:color="auto"/>
              <w:right w:val="nil"/>
            </w:tcBorders>
            <w:shd w:val="clear" w:color="auto" w:fill="F2F2F2" w:themeFill="background1" w:themeFillShade="F2"/>
            <w:noWrap/>
            <w:vAlign w:val="center"/>
          </w:tcPr>
          <w:p w14:paraId="507334A2" w14:textId="52DF986B" w:rsidR="00680BE3" w:rsidRPr="00FB2137" w:rsidRDefault="00680BE3" w:rsidP="00680BE3">
            <w:pPr>
              <w:pBdr>
                <w:top w:val="none" w:sz="0" w:space="0" w:color="auto"/>
                <w:left w:val="none" w:sz="0" w:space="0" w:color="auto"/>
                <w:bottom w:val="none" w:sz="0" w:space="0" w:color="auto"/>
                <w:right w:val="none" w:sz="0" w:space="0" w:color="auto"/>
                <w:between w:val="none" w:sz="0" w:space="0" w:color="auto"/>
                <w:bar w:val="none" w:sz="0" w:color="auto"/>
              </w:pBdr>
              <w:jc w:val="right"/>
              <w:outlineLvl w:val="9"/>
              <w:rPr>
                <w:rFonts w:eastAsia="Times New Roman"/>
                <w:b/>
                <w:bCs/>
                <w:sz w:val="16"/>
                <w:szCs w:val="16"/>
                <w:bdr w:val="none" w:sz="0" w:space="0" w:color="auto"/>
                <w:lang w:eastAsia="es-ES"/>
              </w:rPr>
            </w:pPr>
            <w:r>
              <w:rPr>
                <w:rFonts w:ascii="Trebuchet MS" w:hAnsi="Trebuchet MS" w:cs="Calibri"/>
                <w:b/>
                <w:bCs/>
                <w:sz w:val="16"/>
                <w:szCs w:val="16"/>
              </w:rPr>
              <w:t>718.536,68</w:t>
            </w:r>
          </w:p>
        </w:tc>
      </w:tr>
      <w:tr w:rsidR="00680BE3" w:rsidRPr="00724D7B" w14:paraId="668EADF9" w14:textId="77777777" w:rsidTr="00220522">
        <w:trPr>
          <w:trHeight w:val="283"/>
        </w:trPr>
        <w:tc>
          <w:tcPr>
            <w:tcW w:w="1672" w:type="pct"/>
            <w:tcBorders>
              <w:top w:val="single" w:sz="4" w:space="0" w:color="auto"/>
              <w:left w:val="nil"/>
              <w:bottom w:val="nil"/>
              <w:right w:val="nil"/>
            </w:tcBorders>
            <w:shd w:val="clear" w:color="auto" w:fill="auto"/>
            <w:noWrap/>
            <w:vAlign w:val="center"/>
            <w:hideMark/>
          </w:tcPr>
          <w:p w14:paraId="010D4B84" w14:textId="77777777" w:rsidR="00680BE3" w:rsidRPr="00724D7B" w:rsidRDefault="00680BE3" w:rsidP="00680BE3">
            <w:pPr>
              <w:pBdr>
                <w:top w:val="none" w:sz="0" w:space="0" w:color="auto"/>
                <w:left w:val="none" w:sz="0" w:space="0" w:color="auto"/>
                <w:bottom w:val="none" w:sz="0" w:space="0" w:color="auto"/>
                <w:right w:val="none" w:sz="0" w:space="0" w:color="auto"/>
                <w:between w:val="none" w:sz="0" w:space="0" w:color="auto"/>
                <w:bar w:val="none" w:sz="0" w:color="auto"/>
              </w:pBdr>
              <w:outlineLvl w:val="9"/>
              <w:rPr>
                <w:rFonts w:eastAsia="Times New Roman"/>
                <w:sz w:val="16"/>
                <w:szCs w:val="16"/>
                <w:bdr w:val="none" w:sz="0" w:space="0" w:color="auto"/>
                <w:lang w:eastAsia="es-ES"/>
              </w:rPr>
            </w:pPr>
            <w:r w:rsidRPr="00724D7B">
              <w:rPr>
                <w:rFonts w:eastAsia="Times New Roman"/>
                <w:sz w:val="16"/>
                <w:szCs w:val="16"/>
                <w:bdr w:val="none" w:sz="0" w:space="0" w:color="auto"/>
                <w:lang w:eastAsia="es-ES"/>
              </w:rPr>
              <w:t>Total ingresos y gastos reconocidos</w:t>
            </w:r>
          </w:p>
        </w:tc>
        <w:tc>
          <w:tcPr>
            <w:tcW w:w="545" w:type="pct"/>
            <w:tcBorders>
              <w:top w:val="single" w:sz="4" w:space="0" w:color="auto"/>
              <w:left w:val="nil"/>
              <w:bottom w:val="nil"/>
              <w:right w:val="nil"/>
            </w:tcBorders>
            <w:shd w:val="clear" w:color="auto" w:fill="auto"/>
            <w:noWrap/>
            <w:vAlign w:val="center"/>
            <w:hideMark/>
          </w:tcPr>
          <w:p w14:paraId="7616BB7A" w14:textId="6FEB6430" w:rsidR="00680BE3" w:rsidRPr="00724D7B" w:rsidRDefault="00680BE3" w:rsidP="00680BE3">
            <w:pPr>
              <w:pBdr>
                <w:top w:val="none" w:sz="0" w:space="0" w:color="auto"/>
                <w:left w:val="none" w:sz="0" w:space="0" w:color="auto"/>
                <w:bottom w:val="none" w:sz="0" w:space="0" w:color="auto"/>
                <w:right w:val="none" w:sz="0" w:space="0" w:color="auto"/>
                <w:between w:val="none" w:sz="0" w:space="0" w:color="auto"/>
                <w:bar w:val="none" w:sz="0" w:color="auto"/>
              </w:pBdr>
              <w:jc w:val="right"/>
              <w:outlineLvl w:val="9"/>
              <w:rPr>
                <w:rFonts w:eastAsia="Times New Roman"/>
                <w:b/>
                <w:bCs/>
                <w:sz w:val="16"/>
                <w:szCs w:val="16"/>
                <w:bdr w:val="none" w:sz="0" w:space="0" w:color="auto"/>
                <w:lang w:eastAsia="es-ES"/>
              </w:rPr>
            </w:pPr>
            <w:r w:rsidRPr="00724D7B">
              <w:rPr>
                <w:b/>
                <w:bCs/>
                <w:sz w:val="16"/>
                <w:szCs w:val="16"/>
              </w:rPr>
              <w:t xml:space="preserve"> -</w:t>
            </w:r>
          </w:p>
        </w:tc>
        <w:tc>
          <w:tcPr>
            <w:tcW w:w="711" w:type="pct"/>
            <w:tcBorders>
              <w:top w:val="single" w:sz="4" w:space="0" w:color="auto"/>
              <w:left w:val="nil"/>
              <w:bottom w:val="nil"/>
              <w:right w:val="nil"/>
            </w:tcBorders>
            <w:shd w:val="clear" w:color="auto" w:fill="auto"/>
            <w:noWrap/>
            <w:vAlign w:val="center"/>
          </w:tcPr>
          <w:p w14:paraId="1B3BF940" w14:textId="332D8FEF" w:rsidR="00680BE3" w:rsidRPr="00FB2137" w:rsidRDefault="00680BE3" w:rsidP="00680BE3">
            <w:pPr>
              <w:pBdr>
                <w:top w:val="none" w:sz="0" w:space="0" w:color="auto"/>
                <w:left w:val="none" w:sz="0" w:space="0" w:color="auto"/>
                <w:bottom w:val="none" w:sz="0" w:space="0" w:color="auto"/>
                <w:right w:val="none" w:sz="0" w:space="0" w:color="auto"/>
                <w:between w:val="none" w:sz="0" w:space="0" w:color="auto"/>
                <w:bar w:val="none" w:sz="0" w:color="auto"/>
              </w:pBdr>
              <w:jc w:val="right"/>
              <w:outlineLvl w:val="9"/>
              <w:rPr>
                <w:rFonts w:eastAsia="Times New Roman"/>
                <w:sz w:val="16"/>
                <w:szCs w:val="16"/>
                <w:bdr w:val="none" w:sz="0" w:space="0" w:color="auto"/>
                <w:lang w:eastAsia="es-ES"/>
              </w:rPr>
            </w:pPr>
            <w:r w:rsidRPr="003D1564">
              <w:rPr>
                <w:sz w:val="16"/>
                <w:szCs w:val="16"/>
              </w:rPr>
              <w:t xml:space="preserve"> -</w:t>
            </w:r>
          </w:p>
        </w:tc>
        <w:tc>
          <w:tcPr>
            <w:tcW w:w="709" w:type="pct"/>
            <w:tcBorders>
              <w:top w:val="single" w:sz="4" w:space="0" w:color="auto"/>
              <w:left w:val="nil"/>
              <w:bottom w:val="nil"/>
              <w:right w:val="nil"/>
            </w:tcBorders>
            <w:shd w:val="clear" w:color="auto" w:fill="auto"/>
            <w:noWrap/>
            <w:vAlign w:val="center"/>
          </w:tcPr>
          <w:p w14:paraId="66D5DEAB" w14:textId="342F598C" w:rsidR="00680BE3" w:rsidRPr="00FB2137" w:rsidRDefault="00680BE3" w:rsidP="00680BE3">
            <w:pPr>
              <w:pBdr>
                <w:top w:val="none" w:sz="0" w:space="0" w:color="auto"/>
                <w:left w:val="none" w:sz="0" w:space="0" w:color="auto"/>
                <w:bottom w:val="none" w:sz="0" w:space="0" w:color="auto"/>
                <w:right w:val="none" w:sz="0" w:space="0" w:color="auto"/>
                <w:between w:val="none" w:sz="0" w:space="0" w:color="auto"/>
                <w:bar w:val="none" w:sz="0" w:color="auto"/>
              </w:pBdr>
              <w:jc w:val="right"/>
              <w:outlineLvl w:val="9"/>
              <w:rPr>
                <w:rFonts w:eastAsia="Times New Roman"/>
                <w:sz w:val="16"/>
                <w:szCs w:val="16"/>
                <w:bdr w:val="none" w:sz="0" w:space="0" w:color="auto"/>
                <w:lang w:eastAsia="es-ES"/>
              </w:rPr>
            </w:pPr>
            <w:r w:rsidRPr="003D1564">
              <w:rPr>
                <w:sz w:val="16"/>
                <w:szCs w:val="16"/>
              </w:rPr>
              <w:t>(3.577.139,00)</w:t>
            </w:r>
          </w:p>
        </w:tc>
        <w:tc>
          <w:tcPr>
            <w:tcW w:w="651" w:type="pct"/>
            <w:tcBorders>
              <w:top w:val="single" w:sz="4" w:space="0" w:color="auto"/>
              <w:left w:val="nil"/>
              <w:bottom w:val="nil"/>
              <w:right w:val="nil"/>
            </w:tcBorders>
            <w:shd w:val="clear" w:color="auto" w:fill="auto"/>
            <w:noWrap/>
            <w:vAlign w:val="center"/>
          </w:tcPr>
          <w:p w14:paraId="35CC3ED5" w14:textId="4FC31599" w:rsidR="00680BE3" w:rsidRPr="00FB2137" w:rsidRDefault="00680BE3" w:rsidP="00680BE3">
            <w:pPr>
              <w:pBdr>
                <w:top w:val="none" w:sz="0" w:space="0" w:color="auto"/>
                <w:left w:val="none" w:sz="0" w:space="0" w:color="auto"/>
                <w:bottom w:val="none" w:sz="0" w:space="0" w:color="auto"/>
                <w:right w:val="none" w:sz="0" w:space="0" w:color="auto"/>
                <w:between w:val="none" w:sz="0" w:space="0" w:color="auto"/>
                <w:bar w:val="none" w:sz="0" w:color="auto"/>
              </w:pBdr>
              <w:jc w:val="right"/>
              <w:outlineLvl w:val="9"/>
              <w:rPr>
                <w:rFonts w:eastAsia="Times New Roman"/>
                <w:sz w:val="16"/>
                <w:szCs w:val="16"/>
                <w:bdr w:val="none" w:sz="0" w:space="0" w:color="auto"/>
                <w:lang w:eastAsia="es-ES"/>
              </w:rPr>
            </w:pPr>
            <w:r w:rsidRPr="003D1564">
              <w:rPr>
                <w:sz w:val="16"/>
                <w:szCs w:val="16"/>
              </w:rPr>
              <w:t>(53.864,43)</w:t>
            </w:r>
          </w:p>
        </w:tc>
        <w:tc>
          <w:tcPr>
            <w:tcW w:w="712" w:type="pct"/>
            <w:tcBorders>
              <w:top w:val="single" w:sz="4" w:space="0" w:color="auto"/>
              <w:left w:val="nil"/>
              <w:bottom w:val="nil"/>
              <w:right w:val="nil"/>
            </w:tcBorders>
            <w:shd w:val="clear" w:color="auto" w:fill="auto"/>
            <w:noWrap/>
            <w:vAlign w:val="center"/>
          </w:tcPr>
          <w:p w14:paraId="77933CC1" w14:textId="17951172" w:rsidR="00680BE3" w:rsidRPr="00FB2137" w:rsidRDefault="00680BE3" w:rsidP="00680BE3">
            <w:pPr>
              <w:pBdr>
                <w:top w:val="none" w:sz="0" w:space="0" w:color="auto"/>
                <w:left w:val="none" w:sz="0" w:space="0" w:color="auto"/>
                <w:bottom w:val="none" w:sz="0" w:space="0" w:color="auto"/>
                <w:right w:val="none" w:sz="0" w:space="0" w:color="auto"/>
                <w:between w:val="none" w:sz="0" w:space="0" w:color="auto"/>
                <w:bar w:val="none" w:sz="0" w:color="auto"/>
              </w:pBdr>
              <w:jc w:val="right"/>
              <w:outlineLvl w:val="9"/>
              <w:rPr>
                <w:rFonts w:eastAsia="Times New Roman"/>
                <w:sz w:val="16"/>
                <w:szCs w:val="16"/>
                <w:bdr w:val="none" w:sz="0" w:space="0" w:color="auto"/>
                <w:lang w:eastAsia="es-ES"/>
              </w:rPr>
            </w:pPr>
            <w:r w:rsidRPr="003D1564">
              <w:rPr>
                <w:sz w:val="16"/>
                <w:szCs w:val="16"/>
              </w:rPr>
              <w:t>(3.631.003,43)</w:t>
            </w:r>
          </w:p>
        </w:tc>
      </w:tr>
      <w:tr w:rsidR="00680BE3" w:rsidRPr="00724D7B" w14:paraId="68EB2C5B" w14:textId="77777777" w:rsidTr="00220522">
        <w:trPr>
          <w:trHeight w:val="283"/>
        </w:trPr>
        <w:tc>
          <w:tcPr>
            <w:tcW w:w="1672" w:type="pct"/>
            <w:tcBorders>
              <w:top w:val="nil"/>
              <w:left w:val="nil"/>
              <w:bottom w:val="nil"/>
              <w:right w:val="nil"/>
            </w:tcBorders>
            <w:shd w:val="clear" w:color="auto" w:fill="auto"/>
            <w:noWrap/>
            <w:vAlign w:val="center"/>
            <w:hideMark/>
          </w:tcPr>
          <w:p w14:paraId="0AB51F06" w14:textId="77777777" w:rsidR="00680BE3" w:rsidRPr="00724D7B" w:rsidRDefault="00680BE3" w:rsidP="00680BE3">
            <w:pPr>
              <w:pBdr>
                <w:top w:val="none" w:sz="0" w:space="0" w:color="auto"/>
                <w:left w:val="none" w:sz="0" w:space="0" w:color="auto"/>
                <w:bottom w:val="none" w:sz="0" w:space="0" w:color="auto"/>
                <w:right w:val="none" w:sz="0" w:space="0" w:color="auto"/>
                <w:between w:val="none" w:sz="0" w:space="0" w:color="auto"/>
                <w:bar w:val="none" w:sz="0" w:color="auto"/>
              </w:pBdr>
              <w:outlineLvl w:val="9"/>
              <w:rPr>
                <w:rFonts w:eastAsia="Times New Roman"/>
                <w:sz w:val="16"/>
                <w:szCs w:val="16"/>
                <w:bdr w:val="none" w:sz="0" w:space="0" w:color="auto"/>
                <w:lang w:eastAsia="es-ES"/>
              </w:rPr>
            </w:pPr>
            <w:r w:rsidRPr="00724D7B">
              <w:rPr>
                <w:rFonts w:eastAsia="Times New Roman"/>
                <w:sz w:val="16"/>
                <w:szCs w:val="16"/>
                <w:bdr w:val="none" w:sz="0" w:space="0" w:color="auto"/>
                <w:lang w:eastAsia="es-ES"/>
              </w:rPr>
              <w:t>Operaciones con socios</w:t>
            </w:r>
          </w:p>
        </w:tc>
        <w:tc>
          <w:tcPr>
            <w:tcW w:w="545" w:type="pct"/>
            <w:tcBorders>
              <w:top w:val="nil"/>
              <w:left w:val="nil"/>
              <w:bottom w:val="nil"/>
              <w:right w:val="nil"/>
            </w:tcBorders>
            <w:shd w:val="clear" w:color="auto" w:fill="auto"/>
            <w:noWrap/>
            <w:vAlign w:val="center"/>
            <w:hideMark/>
          </w:tcPr>
          <w:p w14:paraId="6173DC6E" w14:textId="21BAF854" w:rsidR="00680BE3" w:rsidRPr="00724D7B" w:rsidRDefault="00680BE3" w:rsidP="00680BE3">
            <w:pPr>
              <w:pBdr>
                <w:top w:val="none" w:sz="0" w:space="0" w:color="auto"/>
                <w:left w:val="none" w:sz="0" w:space="0" w:color="auto"/>
                <w:bottom w:val="none" w:sz="0" w:space="0" w:color="auto"/>
                <w:right w:val="none" w:sz="0" w:space="0" w:color="auto"/>
                <w:between w:val="none" w:sz="0" w:space="0" w:color="auto"/>
                <w:bar w:val="none" w:sz="0" w:color="auto"/>
              </w:pBdr>
              <w:jc w:val="right"/>
              <w:outlineLvl w:val="9"/>
              <w:rPr>
                <w:rFonts w:eastAsia="Times New Roman"/>
                <w:b/>
                <w:bCs/>
                <w:sz w:val="16"/>
                <w:szCs w:val="16"/>
                <w:bdr w:val="none" w:sz="0" w:space="0" w:color="auto"/>
                <w:lang w:eastAsia="es-ES"/>
              </w:rPr>
            </w:pPr>
            <w:r w:rsidRPr="00724D7B">
              <w:rPr>
                <w:b/>
                <w:bCs/>
                <w:sz w:val="16"/>
                <w:szCs w:val="16"/>
              </w:rPr>
              <w:t xml:space="preserve"> -</w:t>
            </w:r>
          </w:p>
        </w:tc>
        <w:tc>
          <w:tcPr>
            <w:tcW w:w="711" w:type="pct"/>
            <w:tcBorders>
              <w:top w:val="nil"/>
              <w:left w:val="nil"/>
              <w:bottom w:val="nil"/>
              <w:right w:val="nil"/>
            </w:tcBorders>
            <w:shd w:val="clear" w:color="auto" w:fill="auto"/>
            <w:noWrap/>
            <w:vAlign w:val="center"/>
          </w:tcPr>
          <w:p w14:paraId="0239971D" w14:textId="4516B12A" w:rsidR="00680BE3" w:rsidRPr="00FB2137" w:rsidRDefault="00680BE3" w:rsidP="00680BE3">
            <w:pPr>
              <w:pBdr>
                <w:top w:val="none" w:sz="0" w:space="0" w:color="auto"/>
                <w:left w:val="none" w:sz="0" w:space="0" w:color="auto"/>
                <w:bottom w:val="none" w:sz="0" w:space="0" w:color="auto"/>
                <w:right w:val="none" w:sz="0" w:space="0" w:color="auto"/>
                <w:between w:val="none" w:sz="0" w:space="0" w:color="auto"/>
                <w:bar w:val="none" w:sz="0" w:color="auto"/>
              </w:pBdr>
              <w:jc w:val="right"/>
              <w:outlineLvl w:val="9"/>
              <w:rPr>
                <w:rFonts w:eastAsia="Times New Roman"/>
                <w:sz w:val="16"/>
                <w:szCs w:val="16"/>
                <w:bdr w:val="none" w:sz="0" w:space="0" w:color="auto"/>
                <w:lang w:eastAsia="es-ES"/>
              </w:rPr>
            </w:pPr>
            <w:r w:rsidRPr="003D1564">
              <w:rPr>
                <w:sz w:val="16"/>
                <w:szCs w:val="16"/>
              </w:rPr>
              <w:t>3.577.139,00</w:t>
            </w:r>
          </w:p>
        </w:tc>
        <w:tc>
          <w:tcPr>
            <w:tcW w:w="709" w:type="pct"/>
            <w:tcBorders>
              <w:top w:val="nil"/>
              <w:left w:val="nil"/>
              <w:bottom w:val="nil"/>
              <w:right w:val="nil"/>
            </w:tcBorders>
            <w:shd w:val="clear" w:color="auto" w:fill="auto"/>
            <w:noWrap/>
            <w:vAlign w:val="center"/>
          </w:tcPr>
          <w:p w14:paraId="7666DA45" w14:textId="56C77D57" w:rsidR="00680BE3" w:rsidRPr="00FB2137" w:rsidRDefault="00680BE3" w:rsidP="00680BE3">
            <w:pPr>
              <w:pBdr>
                <w:top w:val="none" w:sz="0" w:space="0" w:color="auto"/>
                <w:left w:val="none" w:sz="0" w:space="0" w:color="auto"/>
                <w:bottom w:val="none" w:sz="0" w:space="0" w:color="auto"/>
                <w:right w:val="none" w:sz="0" w:space="0" w:color="auto"/>
                <w:between w:val="none" w:sz="0" w:space="0" w:color="auto"/>
                <w:bar w:val="none" w:sz="0" w:color="auto"/>
              </w:pBdr>
              <w:jc w:val="right"/>
              <w:outlineLvl w:val="9"/>
              <w:rPr>
                <w:rFonts w:eastAsia="Times New Roman"/>
                <w:sz w:val="16"/>
                <w:szCs w:val="16"/>
                <w:bdr w:val="none" w:sz="0" w:space="0" w:color="auto"/>
                <w:lang w:eastAsia="es-ES"/>
              </w:rPr>
            </w:pPr>
            <w:r w:rsidRPr="003D1564">
              <w:rPr>
                <w:sz w:val="16"/>
                <w:szCs w:val="16"/>
              </w:rPr>
              <w:t xml:space="preserve"> -</w:t>
            </w:r>
          </w:p>
        </w:tc>
        <w:tc>
          <w:tcPr>
            <w:tcW w:w="651" w:type="pct"/>
            <w:tcBorders>
              <w:top w:val="nil"/>
              <w:left w:val="nil"/>
              <w:bottom w:val="nil"/>
              <w:right w:val="nil"/>
            </w:tcBorders>
            <w:shd w:val="clear" w:color="auto" w:fill="auto"/>
            <w:noWrap/>
            <w:vAlign w:val="center"/>
          </w:tcPr>
          <w:p w14:paraId="62D085BF" w14:textId="78EABA08" w:rsidR="00680BE3" w:rsidRPr="00FB2137" w:rsidRDefault="00680BE3" w:rsidP="00680BE3">
            <w:pPr>
              <w:pBdr>
                <w:top w:val="none" w:sz="0" w:space="0" w:color="auto"/>
                <w:left w:val="none" w:sz="0" w:space="0" w:color="auto"/>
                <w:bottom w:val="none" w:sz="0" w:space="0" w:color="auto"/>
                <w:right w:val="none" w:sz="0" w:space="0" w:color="auto"/>
                <w:between w:val="none" w:sz="0" w:space="0" w:color="auto"/>
                <w:bar w:val="none" w:sz="0" w:color="auto"/>
              </w:pBdr>
              <w:jc w:val="right"/>
              <w:outlineLvl w:val="9"/>
              <w:rPr>
                <w:rFonts w:eastAsia="Times New Roman"/>
                <w:sz w:val="16"/>
                <w:szCs w:val="16"/>
                <w:bdr w:val="none" w:sz="0" w:space="0" w:color="auto"/>
                <w:lang w:eastAsia="es-ES"/>
              </w:rPr>
            </w:pPr>
            <w:r w:rsidRPr="003D1564">
              <w:rPr>
                <w:sz w:val="16"/>
                <w:szCs w:val="16"/>
              </w:rPr>
              <w:t xml:space="preserve"> -</w:t>
            </w:r>
          </w:p>
        </w:tc>
        <w:tc>
          <w:tcPr>
            <w:tcW w:w="712" w:type="pct"/>
            <w:tcBorders>
              <w:top w:val="nil"/>
              <w:left w:val="nil"/>
              <w:bottom w:val="nil"/>
              <w:right w:val="nil"/>
            </w:tcBorders>
            <w:shd w:val="clear" w:color="auto" w:fill="auto"/>
            <w:noWrap/>
            <w:vAlign w:val="center"/>
          </w:tcPr>
          <w:p w14:paraId="74A7EAE4" w14:textId="095BB819" w:rsidR="00680BE3" w:rsidRPr="00FB2137" w:rsidRDefault="00680BE3" w:rsidP="00680BE3">
            <w:pPr>
              <w:pBdr>
                <w:top w:val="none" w:sz="0" w:space="0" w:color="auto"/>
                <w:left w:val="none" w:sz="0" w:space="0" w:color="auto"/>
                <w:bottom w:val="none" w:sz="0" w:space="0" w:color="auto"/>
                <w:right w:val="none" w:sz="0" w:space="0" w:color="auto"/>
                <w:between w:val="none" w:sz="0" w:space="0" w:color="auto"/>
                <w:bar w:val="none" w:sz="0" w:color="auto"/>
              </w:pBdr>
              <w:jc w:val="right"/>
              <w:outlineLvl w:val="9"/>
              <w:rPr>
                <w:rFonts w:eastAsia="Times New Roman"/>
                <w:sz w:val="16"/>
                <w:szCs w:val="16"/>
                <w:bdr w:val="none" w:sz="0" w:space="0" w:color="auto"/>
                <w:lang w:eastAsia="es-ES"/>
              </w:rPr>
            </w:pPr>
            <w:r w:rsidRPr="003D1564">
              <w:rPr>
                <w:sz w:val="16"/>
                <w:szCs w:val="16"/>
              </w:rPr>
              <w:t>3.577.139,00</w:t>
            </w:r>
          </w:p>
        </w:tc>
      </w:tr>
      <w:tr w:rsidR="00680BE3" w:rsidRPr="00724D7B" w14:paraId="32941C20" w14:textId="77777777" w:rsidTr="00220522">
        <w:trPr>
          <w:trHeight w:val="283"/>
        </w:trPr>
        <w:tc>
          <w:tcPr>
            <w:tcW w:w="1672" w:type="pct"/>
            <w:tcBorders>
              <w:top w:val="nil"/>
              <w:left w:val="nil"/>
              <w:right w:val="nil"/>
            </w:tcBorders>
            <w:shd w:val="clear" w:color="auto" w:fill="auto"/>
            <w:noWrap/>
            <w:vAlign w:val="center"/>
            <w:hideMark/>
          </w:tcPr>
          <w:p w14:paraId="13D01423" w14:textId="598EA7C4" w:rsidR="00680BE3" w:rsidRPr="00724D7B" w:rsidRDefault="00680BE3" w:rsidP="00680BE3">
            <w:pPr>
              <w:pBdr>
                <w:top w:val="none" w:sz="0" w:space="0" w:color="auto"/>
                <w:left w:val="none" w:sz="0" w:space="0" w:color="auto"/>
                <w:bottom w:val="none" w:sz="0" w:space="0" w:color="auto"/>
                <w:right w:val="none" w:sz="0" w:space="0" w:color="auto"/>
                <w:between w:val="none" w:sz="0" w:space="0" w:color="auto"/>
                <w:bar w:val="none" w:sz="0" w:color="auto"/>
              </w:pBdr>
              <w:outlineLvl w:val="9"/>
              <w:rPr>
                <w:rFonts w:eastAsia="Times New Roman"/>
                <w:sz w:val="16"/>
                <w:szCs w:val="16"/>
                <w:bdr w:val="none" w:sz="0" w:space="0" w:color="auto"/>
                <w:lang w:eastAsia="es-ES"/>
              </w:rPr>
            </w:pPr>
            <w:r w:rsidRPr="00724D7B">
              <w:rPr>
                <w:rFonts w:eastAsia="Times New Roman"/>
                <w:sz w:val="16"/>
                <w:szCs w:val="16"/>
                <w:bdr w:val="none" w:sz="0" w:space="0" w:color="auto"/>
                <w:lang w:eastAsia="es-ES"/>
              </w:rPr>
              <w:t xml:space="preserve">Distribución del </w:t>
            </w:r>
            <w:proofErr w:type="spellStart"/>
            <w:r w:rsidRPr="00724D7B">
              <w:rPr>
                <w:rFonts w:eastAsia="Times New Roman"/>
                <w:sz w:val="16"/>
                <w:szCs w:val="16"/>
                <w:bdr w:val="none" w:sz="0" w:space="0" w:color="auto"/>
                <w:lang w:eastAsia="es-ES"/>
              </w:rPr>
              <w:t>rtdo</w:t>
            </w:r>
            <w:proofErr w:type="spellEnd"/>
            <w:r w:rsidRPr="00724D7B">
              <w:rPr>
                <w:rFonts w:eastAsia="Times New Roman"/>
                <w:sz w:val="16"/>
                <w:szCs w:val="16"/>
                <w:bdr w:val="none" w:sz="0" w:space="0" w:color="auto"/>
                <w:lang w:eastAsia="es-ES"/>
              </w:rPr>
              <w:t xml:space="preserve"> del </w:t>
            </w:r>
          </w:p>
          <w:p w14:paraId="21117EE5" w14:textId="1AE24C47" w:rsidR="00680BE3" w:rsidRPr="00724D7B" w:rsidRDefault="00680BE3" w:rsidP="00680BE3">
            <w:pPr>
              <w:pBdr>
                <w:top w:val="none" w:sz="0" w:space="0" w:color="auto"/>
                <w:left w:val="none" w:sz="0" w:space="0" w:color="auto"/>
                <w:bottom w:val="none" w:sz="0" w:space="0" w:color="auto"/>
                <w:right w:val="none" w:sz="0" w:space="0" w:color="auto"/>
                <w:between w:val="none" w:sz="0" w:space="0" w:color="auto"/>
                <w:bar w:val="none" w:sz="0" w:color="auto"/>
              </w:pBdr>
              <w:outlineLvl w:val="9"/>
              <w:rPr>
                <w:rFonts w:eastAsia="Times New Roman"/>
                <w:sz w:val="16"/>
                <w:szCs w:val="16"/>
                <w:bdr w:val="none" w:sz="0" w:space="0" w:color="auto"/>
                <w:lang w:eastAsia="es-ES"/>
              </w:rPr>
            </w:pPr>
            <w:r w:rsidRPr="00724D7B">
              <w:rPr>
                <w:rFonts w:eastAsia="Times New Roman"/>
                <w:sz w:val="16"/>
                <w:szCs w:val="16"/>
                <w:bdr w:val="none" w:sz="0" w:space="0" w:color="auto"/>
                <w:lang w:eastAsia="es-ES"/>
              </w:rPr>
              <w:t>ejercicio anterior</w:t>
            </w:r>
          </w:p>
        </w:tc>
        <w:tc>
          <w:tcPr>
            <w:tcW w:w="545" w:type="pct"/>
            <w:tcBorders>
              <w:top w:val="nil"/>
              <w:left w:val="nil"/>
              <w:right w:val="nil"/>
            </w:tcBorders>
            <w:shd w:val="clear" w:color="auto" w:fill="auto"/>
            <w:noWrap/>
            <w:vAlign w:val="center"/>
            <w:hideMark/>
          </w:tcPr>
          <w:p w14:paraId="373DD6E2" w14:textId="3B1F27E3" w:rsidR="00680BE3" w:rsidRPr="00724D7B" w:rsidRDefault="00680BE3" w:rsidP="00680BE3">
            <w:pPr>
              <w:pBdr>
                <w:top w:val="none" w:sz="0" w:space="0" w:color="auto"/>
                <w:left w:val="none" w:sz="0" w:space="0" w:color="auto"/>
                <w:bottom w:val="none" w:sz="0" w:space="0" w:color="auto"/>
                <w:right w:val="none" w:sz="0" w:space="0" w:color="auto"/>
                <w:between w:val="none" w:sz="0" w:space="0" w:color="auto"/>
                <w:bar w:val="none" w:sz="0" w:color="auto"/>
              </w:pBdr>
              <w:jc w:val="right"/>
              <w:outlineLvl w:val="9"/>
              <w:rPr>
                <w:rFonts w:eastAsia="Times New Roman"/>
                <w:b/>
                <w:bCs/>
                <w:sz w:val="16"/>
                <w:szCs w:val="16"/>
                <w:bdr w:val="none" w:sz="0" w:space="0" w:color="auto"/>
                <w:lang w:eastAsia="es-ES"/>
              </w:rPr>
            </w:pPr>
            <w:r w:rsidRPr="00724D7B">
              <w:rPr>
                <w:b/>
                <w:bCs/>
                <w:sz w:val="16"/>
                <w:szCs w:val="16"/>
              </w:rPr>
              <w:t xml:space="preserve"> -</w:t>
            </w:r>
          </w:p>
        </w:tc>
        <w:tc>
          <w:tcPr>
            <w:tcW w:w="711" w:type="pct"/>
            <w:tcBorders>
              <w:top w:val="nil"/>
              <w:left w:val="nil"/>
              <w:right w:val="nil"/>
            </w:tcBorders>
            <w:shd w:val="clear" w:color="auto" w:fill="auto"/>
            <w:noWrap/>
            <w:vAlign w:val="center"/>
          </w:tcPr>
          <w:p w14:paraId="17635851" w14:textId="7217C0BE" w:rsidR="00680BE3" w:rsidRPr="00FB2137" w:rsidRDefault="00680BE3" w:rsidP="00680BE3">
            <w:pPr>
              <w:pBdr>
                <w:top w:val="none" w:sz="0" w:space="0" w:color="auto"/>
                <w:left w:val="none" w:sz="0" w:space="0" w:color="auto"/>
                <w:bottom w:val="none" w:sz="0" w:space="0" w:color="auto"/>
                <w:right w:val="none" w:sz="0" w:space="0" w:color="auto"/>
                <w:between w:val="none" w:sz="0" w:space="0" w:color="auto"/>
                <w:bar w:val="none" w:sz="0" w:color="auto"/>
              </w:pBdr>
              <w:jc w:val="right"/>
              <w:outlineLvl w:val="9"/>
              <w:rPr>
                <w:rFonts w:eastAsia="Times New Roman"/>
                <w:sz w:val="16"/>
                <w:szCs w:val="16"/>
                <w:bdr w:val="none" w:sz="0" w:space="0" w:color="auto"/>
                <w:lang w:eastAsia="es-ES"/>
              </w:rPr>
            </w:pPr>
            <w:r w:rsidRPr="00D053B4">
              <w:rPr>
                <w:sz w:val="16"/>
                <w:szCs w:val="16"/>
              </w:rPr>
              <w:t>(2.327.888,00)</w:t>
            </w:r>
          </w:p>
        </w:tc>
        <w:tc>
          <w:tcPr>
            <w:tcW w:w="709" w:type="pct"/>
            <w:tcBorders>
              <w:top w:val="nil"/>
              <w:left w:val="nil"/>
              <w:right w:val="nil"/>
            </w:tcBorders>
            <w:shd w:val="clear" w:color="auto" w:fill="auto"/>
            <w:noWrap/>
            <w:vAlign w:val="center"/>
          </w:tcPr>
          <w:p w14:paraId="593FD9FD" w14:textId="7ADC01EB" w:rsidR="00680BE3" w:rsidRPr="00FB2137" w:rsidRDefault="00680BE3" w:rsidP="00680BE3">
            <w:pPr>
              <w:pBdr>
                <w:top w:val="none" w:sz="0" w:space="0" w:color="auto"/>
                <w:left w:val="none" w:sz="0" w:space="0" w:color="auto"/>
                <w:bottom w:val="none" w:sz="0" w:space="0" w:color="auto"/>
                <w:right w:val="none" w:sz="0" w:space="0" w:color="auto"/>
                <w:between w:val="none" w:sz="0" w:space="0" w:color="auto"/>
                <w:bar w:val="none" w:sz="0" w:color="auto"/>
              </w:pBdr>
              <w:jc w:val="right"/>
              <w:outlineLvl w:val="9"/>
              <w:rPr>
                <w:rFonts w:eastAsia="Times New Roman"/>
                <w:sz w:val="16"/>
                <w:szCs w:val="16"/>
                <w:bdr w:val="none" w:sz="0" w:space="0" w:color="auto"/>
                <w:lang w:eastAsia="es-ES"/>
              </w:rPr>
            </w:pPr>
            <w:r w:rsidRPr="00D053B4">
              <w:rPr>
                <w:sz w:val="16"/>
                <w:szCs w:val="16"/>
              </w:rPr>
              <w:t>2.327.888,00</w:t>
            </w:r>
          </w:p>
        </w:tc>
        <w:tc>
          <w:tcPr>
            <w:tcW w:w="651" w:type="pct"/>
            <w:tcBorders>
              <w:top w:val="nil"/>
              <w:left w:val="nil"/>
              <w:right w:val="nil"/>
            </w:tcBorders>
            <w:shd w:val="clear" w:color="auto" w:fill="auto"/>
            <w:noWrap/>
            <w:vAlign w:val="center"/>
          </w:tcPr>
          <w:p w14:paraId="019AB274" w14:textId="47CEABC4" w:rsidR="00680BE3" w:rsidRPr="00FB2137" w:rsidRDefault="00680BE3" w:rsidP="00680BE3">
            <w:pPr>
              <w:pBdr>
                <w:top w:val="none" w:sz="0" w:space="0" w:color="auto"/>
                <w:left w:val="none" w:sz="0" w:space="0" w:color="auto"/>
                <w:bottom w:val="none" w:sz="0" w:space="0" w:color="auto"/>
                <w:right w:val="none" w:sz="0" w:space="0" w:color="auto"/>
                <w:between w:val="none" w:sz="0" w:space="0" w:color="auto"/>
                <w:bar w:val="none" w:sz="0" w:color="auto"/>
              </w:pBdr>
              <w:jc w:val="right"/>
              <w:outlineLvl w:val="9"/>
              <w:rPr>
                <w:rFonts w:eastAsia="Times New Roman"/>
                <w:sz w:val="16"/>
                <w:szCs w:val="16"/>
                <w:bdr w:val="none" w:sz="0" w:space="0" w:color="auto"/>
                <w:lang w:eastAsia="es-ES"/>
              </w:rPr>
            </w:pPr>
            <w:r w:rsidRPr="00FB2137">
              <w:rPr>
                <w:sz w:val="16"/>
                <w:szCs w:val="16"/>
              </w:rPr>
              <w:t xml:space="preserve"> -</w:t>
            </w:r>
          </w:p>
        </w:tc>
        <w:tc>
          <w:tcPr>
            <w:tcW w:w="712" w:type="pct"/>
            <w:tcBorders>
              <w:top w:val="nil"/>
              <w:left w:val="nil"/>
              <w:right w:val="nil"/>
            </w:tcBorders>
            <w:shd w:val="clear" w:color="auto" w:fill="auto"/>
            <w:noWrap/>
            <w:vAlign w:val="center"/>
          </w:tcPr>
          <w:p w14:paraId="26BCC311" w14:textId="478119A0" w:rsidR="00680BE3" w:rsidRPr="00FB2137" w:rsidRDefault="00680BE3" w:rsidP="00680BE3">
            <w:pPr>
              <w:pBdr>
                <w:top w:val="none" w:sz="0" w:space="0" w:color="auto"/>
                <w:left w:val="none" w:sz="0" w:space="0" w:color="auto"/>
                <w:bottom w:val="none" w:sz="0" w:space="0" w:color="auto"/>
                <w:right w:val="none" w:sz="0" w:space="0" w:color="auto"/>
                <w:between w:val="none" w:sz="0" w:space="0" w:color="auto"/>
                <w:bar w:val="none" w:sz="0" w:color="auto"/>
              </w:pBdr>
              <w:jc w:val="right"/>
              <w:outlineLvl w:val="9"/>
              <w:rPr>
                <w:rFonts w:eastAsia="Times New Roman"/>
                <w:sz w:val="16"/>
                <w:szCs w:val="16"/>
                <w:bdr w:val="none" w:sz="0" w:space="0" w:color="auto"/>
                <w:lang w:eastAsia="es-ES"/>
              </w:rPr>
            </w:pPr>
            <w:r w:rsidRPr="00FB2137">
              <w:rPr>
                <w:sz w:val="16"/>
                <w:szCs w:val="16"/>
              </w:rPr>
              <w:t xml:space="preserve"> -</w:t>
            </w:r>
          </w:p>
        </w:tc>
      </w:tr>
      <w:tr w:rsidR="00680BE3" w:rsidRPr="00724D7B" w14:paraId="051D6F26" w14:textId="77777777" w:rsidTr="00220522">
        <w:trPr>
          <w:trHeight w:val="283"/>
        </w:trPr>
        <w:tc>
          <w:tcPr>
            <w:tcW w:w="1672" w:type="pct"/>
            <w:tcBorders>
              <w:top w:val="nil"/>
              <w:left w:val="nil"/>
              <w:bottom w:val="single" w:sz="4" w:space="0" w:color="auto"/>
              <w:right w:val="nil"/>
            </w:tcBorders>
            <w:shd w:val="clear" w:color="auto" w:fill="auto"/>
            <w:noWrap/>
            <w:vAlign w:val="center"/>
            <w:hideMark/>
          </w:tcPr>
          <w:p w14:paraId="7707B866" w14:textId="40EA4088" w:rsidR="00680BE3" w:rsidRPr="00724D7B" w:rsidRDefault="00680BE3" w:rsidP="00680BE3">
            <w:pPr>
              <w:pBdr>
                <w:top w:val="none" w:sz="0" w:space="0" w:color="auto"/>
                <w:left w:val="none" w:sz="0" w:space="0" w:color="auto"/>
                <w:bottom w:val="none" w:sz="0" w:space="0" w:color="auto"/>
                <w:right w:val="none" w:sz="0" w:space="0" w:color="auto"/>
                <w:between w:val="none" w:sz="0" w:space="0" w:color="auto"/>
                <w:bar w:val="none" w:sz="0" w:color="auto"/>
              </w:pBdr>
              <w:outlineLvl w:val="9"/>
              <w:rPr>
                <w:rFonts w:eastAsia="Times New Roman"/>
                <w:sz w:val="16"/>
                <w:szCs w:val="16"/>
                <w:bdr w:val="none" w:sz="0" w:space="0" w:color="auto"/>
                <w:lang w:eastAsia="es-ES"/>
              </w:rPr>
            </w:pPr>
            <w:r w:rsidRPr="00724D7B">
              <w:rPr>
                <w:rFonts w:eastAsia="Times New Roman"/>
                <w:sz w:val="16"/>
                <w:szCs w:val="16"/>
                <w:bdr w:val="none" w:sz="0" w:space="0" w:color="auto"/>
                <w:lang w:eastAsia="es-ES"/>
              </w:rPr>
              <w:t>Otras variaciones</w:t>
            </w:r>
          </w:p>
        </w:tc>
        <w:tc>
          <w:tcPr>
            <w:tcW w:w="545" w:type="pct"/>
            <w:tcBorders>
              <w:top w:val="nil"/>
              <w:left w:val="nil"/>
              <w:bottom w:val="single" w:sz="4" w:space="0" w:color="auto"/>
              <w:right w:val="nil"/>
            </w:tcBorders>
            <w:shd w:val="clear" w:color="auto" w:fill="auto"/>
            <w:noWrap/>
            <w:vAlign w:val="center"/>
            <w:hideMark/>
          </w:tcPr>
          <w:p w14:paraId="7E3A0F29" w14:textId="0B346C35" w:rsidR="00680BE3" w:rsidRPr="00724D7B" w:rsidRDefault="00680BE3" w:rsidP="00680BE3">
            <w:pPr>
              <w:pBdr>
                <w:top w:val="none" w:sz="0" w:space="0" w:color="auto"/>
                <w:left w:val="none" w:sz="0" w:space="0" w:color="auto"/>
                <w:bottom w:val="none" w:sz="0" w:space="0" w:color="auto"/>
                <w:right w:val="none" w:sz="0" w:space="0" w:color="auto"/>
                <w:between w:val="none" w:sz="0" w:space="0" w:color="auto"/>
                <w:bar w:val="none" w:sz="0" w:color="auto"/>
              </w:pBdr>
              <w:jc w:val="right"/>
              <w:outlineLvl w:val="9"/>
              <w:rPr>
                <w:rFonts w:eastAsia="Times New Roman"/>
                <w:b/>
                <w:bCs/>
                <w:sz w:val="16"/>
                <w:szCs w:val="16"/>
                <w:bdr w:val="none" w:sz="0" w:space="0" w:color="auto"/>
                <w:lang w:eastAsia="es-ES"/>
              </w:rPr>
            </w:pPr>
            <w:r w:rsidRPr="00724D7B">
              <w:rPr>
                <w:b/>
                <w:bCs/>
                <w:sz w:val="16"/>
                <w:szCs w:val="16"/>
              </w:rPr>
              <w:t xml:space="preserve"> -</w:t>
            </w:r>
          </w:p>
        </w:tc>
        <w:tc>
          <w:tcPr>
            <w:tcW w:w="711" w:type="pct"/>
            <w:tcBorders>
              <w:top w:val="nil"/>
              <w:left w:val="nil"/>
              <w:bottom w:val="single" w:sz="4" w:space="0" w:color="auto"/>
              <w:right w:val="nil"/>
            </w:tcBorders>
            <w:shd w:val="clear" w:color="auto" w:fill="auto"/>
            <w:noWrap/>
            <w:vAlign w:val="center"/>
          </w:tcPr>
          <w:p w14:paraId="6ED8EF1B" w14:textId="142D6B65" w:rsidR="00680BE3" w:rsidRPr="00FB2137" w:rsidRDefault="00680BE3" w:rsidP="00680BE3">
            <w:pPr>
              <w:pBdr>
                <w:top w:val="none" w:sz="0" w:space="0" w:color="auto"/>
                <w:left w:val="none" w:sz="0" w:space="0" w:color="auto"/>
                <w:bottom w:val="none" w:sz="0" w:space="0" w:color="auto"/>
                <w:right w:val="none" w:sz="0" w:space="0" w:color="auto"/>
                <w:between w:val="none" w:sz="0" w:space="0" w:color="auto"/>
                <w:bar w:val="none" w:sz="0" w:color="auto"/>
              </w:pBdr>
              <w:jc w:val="right"/>
              <w:outlineLvl w:val="9"/>
              <w:rPr>
                <w:rFonts w:eastAsia="Times New Roman"/>
                <w:sz w:val="16"/>
                <w:szCs w:val="16"/>
                <w:bdr w:val="none" w:sz="0" w:space="0" w:color="auto"/>
                <w:lang w:eastAsia="es-ES"/>
              </w:rPr>
            </w:pPr>
            <w:r w:rsidRPr="00FB2137">
              <w:rPr>
                <w:sz w:val="16"/>
                <w:szCs w:val="16"/>
              </w:rPr>
              <w:t xml:space="preserve"> -</w:t>
            </w:r>
          </w:p>
        </w:tc>
        <w:tc>
          <w:tcPr>
            <w:tcW w:w="709" w:type="pct"/>
            <w:tcBorders>
              <w:top w:val="nil"/>
              <w:left w:val="nil"/>
              <w:bottom w:val="single" w:sz="4" w:space="0" w:color="auto"/>
              <w:right w:val="nil"/>
            </w:tcBorders>
            <w:shd w:val="clear" w:color="auto" w:fill="auto"/>
            <w:noWrap/>
            <w:vAlign w:val="center"/>
          </w:tcPr>
          <w:p w14:paraId="1359DDBD" w14:textId="4D0EA819" w:rsidR="00680BE3" w:rsidRPr="00FB2137" w:rsidRDefault="00680BE3" w:rsidP="00680BE3">
            <w:pPr>
              <w:pBdr>
                <w:top w:val="none" w:sz="0" w:space="0" w:color="auto"/>
                <w:left w:val="none" w:sz="0" w:space="0" w:color="auto"/>
                <w:bottom w:val="none" w:sz="0" w:space="0" w:color="auto"/>
                <w:right w:val="none" w:sz="0" w:space="0" w:color="auto"/>
                <w:between w:val="none" w:sz="0" w:space="0" w:color="auto"/>
                <w:bar w:val="none" w:sz="0" w:color="auto"/>
              </w:pBdr>
              <w:jc w:val="right"/>
              <w:outlineLvl w:val="9"/>
              <w:rPr>
                <w:rFonts w:eastAsia="Times New Roman"/>
                <w:sz w:val="16"/>
                <w:szCs w:val="16"/>
                <w:bdr w:val="none" w:sz="0" w:space="0" w:color="auto"/>
                <w:lang w:eastAsia="es-ES"/>
              </w:rPr>
            </w:pPr>
            <w:r w:rsidRPr="00FB2137">
              <w:rPr>
                <w:sz w:val="16"/>
                <w:szCs w:val="16"/>
              </w:rPr>
              <w:t xml:space="preserve"> -</w:t>
            </w:r>
          </w:p>
        </w:tc>
        <w:tc>
          <w:tcPr>
            <w:tcW w:w="651" w:type="pct"/>
            <w:tcBorders>
              <w:top w:val="nil"/>
              <w:left w:val="nil"/>
              <w:bottom w:val="single" w:sz="4" w:space="0" w:color="auto"/>
              <w:right w:val="nil"/>
            </w:tcBorders>
            <w:shd w:val="clear" w:color="auto" w:fill="auto"/>
            <w:noWrap/>
            <w:vAlign w:val="center"/>
          </w:tcPr>
          <w:p w14:paraId="799C6A1B" w14:textId="1498A9A5" w:rsidR="00680BE3" w:rsidRPr="00FB2137" w:rsidRDefault="00680BE3" w:rsidP="00680BE3">
            <w:pPr>
              <w:pBdr>
                <w:top w:val="none" w:sz="0" w:space="0" w:color="auto"/>
                <w:left w:val="none" w:sz="0" w:space="0" w:color="auto"/>
                <w:bottom w:val="none" w:sz="0" w:space="0" w:color="auto"/>
                <w:right w:val="none" w:sz="0" w:space="0" w:color="auto"/>
                <w:between w:val="none" w:sz="0" w:space="0" w:color="auto"/>
                <w:bar w:val="none" w:sz="0" w:color="auto"/>
              </w:pBdr>
              <w:jc w:val="right"/>
              <w:outlineLvl w:val="9"/>
              <w:rPr>
                <w:rFonts w:eastAsia="Times New Roman"/>
                <w:sz w:val="16"/>
                <w:szCs w:val="16"/>
                <w:bdr w:val="none" w:sz="0" w:space="0" w:color="auto"/>
                <w:lang w:eastAsia="es-ES"/>
              </w:rPr>
            </w:pPr>
            <w:r w:rsidRPr="00FB2137">
              <w:rPr>
                <w:sz w:val="16"/>
                <w:szCs w:val="16"/>
              </w:rPr>
              <w:t xml:space="preserve"> -</w:t>
            </w:r>
          </w:p>
        </w:tc>
        <w:tc>
          <w:tcPr>
            <w:tcW w:w="712" w:type="pct"/>
            <w:tcBorders>
              <w:top w:val="nil"/>
              <w:left w:val="nil"/>
              <w:bottom w:val="single" w:sz="4" w:space="0" w:color="auto"/>
              <w:right w:val="nil"/>
            </w:tcBorders>
            <w:shd w:val="clear" w:color="auto" w:fill="auto"/>
            <w:noWrap/>
            <w:vAlign w:val="center"/>
          </w:tcPr>
          <w:p w14:paraId="009F94D5" w14:textId="01173B6C" w:rsidR="00680BE3" w:rsidRPr="00FB2137" w:rsidRDefault="00680BE3" w:rsidP="00680BE3">
            <w:pPr>
              <w:pBdr>
                <w:top w:val="none" w:sz="0" w:space="0" w:color="auto"/>
                <w:left w:val="none" w:sz="0" w:space="0" w:color="auto"/>
                <w:bottom w:val="none" w:sz="0" w:space="0" w:color="auto"/>
                <w:right w:val="none" w:sz="0" w:space="0" w:color="auto"/>
                <w:between w:val="none" w:sz="0" w:space="0" w:color="auto"/>
                <w:bar w:val="none" w:sz="0" w:color="auto"/>
              </w:pBdr>
              <w:jc w:val="right"/>
              <w:outlineLvl w:val="9"/>
              <w:rPr>
                <w:rFonts w:eastAsia="Times New Roman"/>
                <w:sz w:val="16"/>
                <w:szCs w:val="16"/>
                <w:bdr w:val="none" w:sz="0" w:space="0" w:color="auto"/>
                <w:lang w:eastAsia="es-ES"/>
              </w:rPr>
            </w:pPr>
            <w:r w:rsidRPr="00FB2137">
              <w:rPr>
                <w:sz w:val="16"/>
                <w:szCs w:val="16"/>
              </w:rPr>
              <w:t xml:space="preserve"> -</w:t>
            </w:r>
          </w:p>
        </w:tc>
      </w:tr>
      <w:tr w:rsidR="00680BE3" w:rsidRPr="00724D7B" w14:paraId="3B74CF9B" w14:textId="77777777" w:rsidTr="00220522">
        <w:trPr>
          <w:trHeight w:val="283"/>
        </w:trPr>
        <w:tc>
          <w:tcPr>
            <w:tcW w:w="1672" w:type="pct"/>
            <w:tcBorders>
              <w:top w:val="single" w:sz="4" w:space="0" w:color="auto"/>
              <w:left w:val="nil"/>
              <w:bottom w:val="single" w:sz="4" w:space="0" w:color="auto"/>
              <w:right w:val="nil"/>
            </w:tcBorders>
            <w:shd w:val="clear" w:color="auto" w:fill="F2F2F2" w:themeFill="background1" w:themeFillShade="F2"/>
            <w:noWrap/>
            <w:vAlign w:val="center"/>
            <w:hideMark/>
          </w:tcPr>
          <w:p w14:paraId="553DA805" w14:textId="5CA63325" w:rsidR="00680BE3" w:rsidRPr="00724D7B" w:rsidRDefault="00680BE3" w:rsidP="00680BE3">
            <w:pPr>
              <w:pBdr>
                <w:top w:val="none" w:sz="0" w:space="0" w:color="auto"/>
                <w:left w:val="none" w:sz="0" w:space="0" w:color="auto"/>
                <w:bottom w:val="none" w:sz="0" w:space="0" w:color="auto"/>
                <w:right w:val="none" w:sz="0" w:space="0" w:color="auto"/>
                <w:between w:val="none" w:sz="0" w:space="0" w:color="auto"/>
                <w:bar w:val="none" w:sz="0" w:color="auto"/>
              </w:pBdr>
              <w:outlineLvl w:val="9"/>
              <w:rPr>
                <w:rFonts w:eastAsia="Times New Roman"/>
                <w:b/>
                <w:bCs/>
                <w:sz w:val="16"/>
                <w:szCs w:val="16"/>
                <w:bdr w:val="none" w:sz="0" w:space="0" w:color="auto"/>
                <w:lang w:eastAsia="es-ES"/>
              </w:rPr>
            </w:pPr>
            <w:r w:rsidRPr="00724D7B">
              <w:rPr>
                <w:rFonts w:eastAsia="Times New Roman"/>
                <w:b/>
                <w:bCs/>
                <w:sz w:val="16"/>
                <w:szCs w:val="16"/>
                <w:bdr w:val="none" w:sz="0" w:space="0" w:color="auto"/>
                <w:lang w:eastAsia="es-ES"/>
              </w:rPr>
              <w:t>SALDO, FINAL 31.12.2</w:t>
            </w:r>
            <w:r>
              <w:rPr>
                <w:rFonts w:eastAsia="Times New Roman"/>
                <w:b/>
                <w:bCs/>
                <w:sz w:val="16"/>
                <w:szCs w:val="16"/>
                <w:bdr w:val="none" w:sz="0" w:space="0" w:color="auto"/>
                <w:lang w:eastAsia="es-ES"/>
              </w:rPr>
              <w:t>3</w:t>
            </w:r>
          </w:p>
        </w:tc>
        <w:tc>
          <w:tcPr>
            <w:tcW w:w="545" w:type="pct"/>
            <w:tcBorders>
              <w:top w:val="single" w:sz="4" w:space="0" w:color="auto"/>
              <w:left w:val="nil"/>
              <w:bottom w:val="single" w:sz="4" w:space="0" w:color="auto"/>
              <w:right w:val="nil"/>
            </w:tcBorders>
            <w:shd w:val="clear" w:color="auto" w:fill="F2F2F2" w:themeFill="background1" w:themeFillShade="F2"/>
            <w:noWrap/>
            <w:vAlign w:val="center"/>
            <w:hideMark/>
          </w:tcPr>
          <w:p w14:paraId="3963BB64" w14:textId="2D02DFA5" w:rsidR="00680BE3" w:rsidRPr="00724D7B" w:rsidRDefault="00680BE3" w:rsidP="00680BE3">
            <w:pPr>
              <w:pBdr>
                <w:top w:val="none" w:sz="0" w:space="0" w:color="auto"/>
                <w:left w:val="none" w:sz="0" w:space="0" w:color="auto"/>
                <w:bottom w:val="none" w:sz="0" w:space="0" w:color="auto"/>
                <w:right w:val="none" w:sz="0" w:space="0" w:color="auto"/>
                <w:between w:val="none" w:sz="0" w:space="0" w:color="auto"/>
                <w:bar w:val="none" w:sz="0" w:color="auto"/>
              </w:pBdr>
              <w:jc w:val="right"/>
              <w:outlineLvl w:val="9"/>
              <w:rPr>
                <w:rFonts w:eastAsia="Times New Roman"/>
                <w:b/>
                <w:bCs/>
                <w:sz w:val="16"/>
                <w:szCs w:val="16"/>
                <w:bdr w:val="none" w:sz="0" w:space="0" w:color="auto"/>
                <w:lang w:eastAsia="es-ES"/>
              </w:rPr>
            </w:pPr>
            <w:r w:rsidRPr="00724D7B">
              <w:rPr>
                <w:b/>
                <w:bCs/>
                <w:sz w:val="16"/>
                <w:szCs w:val="16"/>
              </w:rPr>
              <w:t>600.000,00</w:t>
            </w:r>
          </w:p>
        </w:tc>
        <w:tc>
          <w:tcPr>
            <w:tcW w:w="711" w:type="pct"/>
            <w:tcBorders>
              <w:top w:val="single" w:sz="4" w:space="0" w:color="auto"/>
              <w:left w:val="nil"/>
              <w:bottom w:val="single" w:sz="4" w:space="0" w:color="auto"/>
              <w:right w:val="nil"/>
            </w:tcBorders>
            <w:shd w:val="clear" w:color="auto" w:fill="F2F2F2" w:themeFill="background1" w:themeFillShade="F2"/>
            <w:noWrap/>
            <w:vAlign w:val="center"/>
          </w:tcPr>
          <w:p w14:paraId="48571690" w14:textId="61F78ECB" w:rsidR="00680BE3" w:rsidRPr="00FB2137" w:rsidRDefault="00680BE3" w:rsidP="00680BE3">
            <w:pPr>
              <w:pBdr>
                <w:top w:val="none" w:sz="0" w:space="0" w:color="auto"/>
                <w:left w:val="none" w:sz="0" w:space="0" w:color="auto"/>
                <w:bottom w:val="none" w:sz="0" w:space="0" w:color="auto"/>
                <w:right w:val="none" w:sz="0" w:space="0" w:color="auto"/>
                <w:between w:val="none" w:sz="0" w:space="0" w:color="auto"/>
                <w:bar w:val="none" w:sz="0" w:color="auto"/>
              </w:pBdr>
              <w:jc w:val="right"/>
              <w:outlineLvl w:val="9"/>
              <w:rPr>
                <w:rFonts w:eastAsia="Times New Roman"/>
                <w:b/>
                <w:bCs/>
                <w:sz w:val="16"/>
                <w:szCs w:val="16"/>
                <w:bdr w:val="none" w:sz="0" w:space="0" w:color="auto"/>
                <w:lang w:eastAsia="es-ES"/>
              </w:rPr>
            </w:pPr>
            <w:r w:rsidRPr="00D053B4">
              <w:rPr>
                <w:b/>
                <w:bCs/>
                <w:sz w:val="16"/>
                <w:szCs w:val="16"/>
              </w:rPr>
              <w:t>3.577.139,00</w:t>
            </w:r>
          </w:p>
        </w:tc>
        <w:tc>
          <w:tcPr>
            <w:tcW w:w="709" w:type="pct"/>
            <w:tcBorders>
              <w:top w:val="single" w:sz="4" w:space="0" w:color="auto"/>
              <w:left w:val="nil"/>
              <w:bottom w:val="single" w:sz="4" w:space="0" w:color="auto"/>
              <w:right w:val="nil"/>
            </w:tcBorders>
            <w:shd w:val="clear" w:color="auto" w:fill="F2F2F2" w:themeFill="background1" w:themeFillShade="F2"/>
            <w:noWrap/>
            <w:vAlign w:val="center"/>
          </w:tcPr>
          <w:p w14:paraId="50097D9C" w14:textId="095EC35F" w:rsidR="00680BE3" w:rsidRPr="00FB2137" w:rsidRDefault="00680BE3" w:rsidP="00680BE3">
            <w:pPr>
              <w:pBdr>
                <w:top w:val="none" w:sz="0" w:space="0" w:color="auto"/>
                <w:left w:val="none" w:sz="0" w:space="0" w:color="auto"/>
                <w:bottom w:val="none" w:sz="0" w:space="0" w:color="auto"/>
                <w:right w:val="none" w:sz="0" w:space="0" w:color="auto"/>
                <w:between w:val="none" w:sz="0" w:space="0" w:color="auto"/>
                <w:bar w:val="none" w:sz="0" w:color="auto"/>
              </w:pBdr>
              <w:jc w:val="right"/>
              <w:outlineLvl w:val="9"/>
              <w:rPr>
                <w:rFonts w:eastAsia="Times New Roman"/>
                <w:b/>
                <w:bCs/>
                <w:sz w:val="16"/>
                <w:szCs w:val="16"/>
                <w:bdr w:val="none" w:sz="0" w:space="0" w:color="auto"/>
                <w:lang w:eastAsia="es-ES"/>
              </w:rPr>
            </w:pPr>
            <w:r>
              <w:rPr>
                <w:b/>
                <w:bCs/>
                <w:sz w:val="16"/>
                <w:szCs w:val="16"/>
              </w:rPr>
              <w:t>(3.577.139,00)</w:t>
            </w:r>
          </w:p>
        </w:tc>
        <w:tc>
          <w:tcPr>
            <w:tcW w:w="651" w:type="pct"/>
            <w:tcBorders>
              <w:top w:val="single" w:sz="4" w:space="0" w:color="auto"/>
              <w:left w:val="nil"/>
              <w:bottom w:val="single" w:sz="4" w:space="0" w:color="auto"/>
              <w:right w:val="nil"/>
            </w:tcBorders>
            <w:shd w:val="clear" w:color="auto" w:fill="F2F2F2" w:themeFill="background1" w:themeFillShade="F2"/>
            <w:noWrap/>
            <w:vAlign w:val="center"/>
          </w:tcPr>
          <w:p w14:paraId="1724A7B6" w14:textId="43211A95" w:rsidR="00680BE3" w:rsidRPr="00FB2137" w:rsidRDefault="00680BE3" w:rsidP="00680BE3">
            <w:pPr>
              <w:pBdr>
                <w:top w:val="none" w:sz="0" w:space="0" w:color="auto"/>
                <w:left w:val="none" w:sz="0" w:space="0" w:color="auto"/>
                <w:bottom w:val="none" w:sz="0" w:space="0" w:color="auto"/>
                <w:right w:val="none" w:sz="0" w:space="0" w:color="auto"/>
                <w:between w:val="none" w:sz="0" w:space="0" w:color="auto"/>
                <w:bar w:val="none" w:sz="0" w:color="auto"/>
              </w:pBdr>
              <w:jc w:val="right"/>
              <w:outlineLvl w:val="9"/>
              <w:rPr>
                <w:rFonts w:eastAsia="Times New Roman"/>
                <w:b/>
                <w:bCs/>
                <w:sz w:val="16"/>
                <w:szCs w:val="16"/>
                <w:bdr w:val="none" w:sz="0" w:space="0" w:color="auto"/>
                <w:lang w:eastAsia="es-ES"/>
              </w:rPr>
            </w:pPr>
            <w:r>
              <w:rPr>
                <w:b/>
                <w:bCs/>
                <w:sz w:val="16"/>
                <w:szCs w:val="16"/>
              </w:rPr>
              <w:t>64.672,25</w:t>
            </w:r>
          </w:p>
        </w:tc>
        <w:tc>
          <w:tcPr>
            <w:tcW w:w="712" w:type="pct"/>
            <w:tcBorders>
              <w:top w:val="single" w:sz="4" w:space="0" w:color="auto"/>
              <w:left w:val="nil"/>
              <w:bottom w:val="single" w:sz="4" w:space="0" w:color="auto"/>
              <w:right w:val="nil"/>
            </w:tcBorders>
            <w:shd w:val="clear" w:color="auto" w:fill="F2F2F2" w:themeFill="background1" w:themeFillShade="F2"/>
            <w:noWrap/>
            <w:vAlign w:val="center"/>
          </w:tcPr>
          <w:p w14:paraId="7442A304" w14:textId="381F1E10" w:rsidR="00680BE3" w:rsidRPr="00FB2137" w:rsidRDefault="00680BE3" w:rsidP="00680BE3">
            <w:pPr>
              <w:pBdr>
                <w:top w:val="none" w:sz="0" w:space="0" w:color="auto"/>
                <w:left w:val="none" w:sz="0" w:space="0" w:color="auto"/>
                <w:bottom w:val="none" w:sz="0" w:space="0" w:color="auto"/>
                <w:right w:val="none" w:sz="0" w:space="0" w:color="auto"/>
                <w:between w:val="none" w:sz="0" w:space="0" w:color="auto"/>
                <w:bar w:val="none" w:sz="0" w:color="auto"/>
              </w:pBdr>
              <w:jc w:val="right"/>
              <w:outlineLvl w:val="9"/>
              <w:rPr>
                <w:rFonts w:eastAsia="Times New Roman"/>
                <w:b/>
                <w:bCs/>
                <w:sz w:val="16"/>
                <w:szCs w:val="16"/>
                <w:bdr w:val="none" w:sz="0" w:space="0" w:color="auto"/>
                <w:lang w:eastAsia="es-ES"/>
              </w:rPr>
            </w:pPr>
            <w:r>
              <w:rPr>
                <w:b/>
                <w:bCs/>
                <w:sz w:val="16"/>
                <w:szCs w:val="16"/>
              </w:rPr>
              <w:t>664.672,25</w:t>
            </w:r>
          </w:p>
        </w:tc>
      </w:tr>
      <w:tr w:rsidR="00BA5560" w:rsidRPr="00724D7B" w14:paraId="293943BA" w14:textId="77777777" w:rsidTr="00220522">
        <w:trPr>
          <w:trHeight w:val="283"/>
        </w:trPr>
        <w:tc>
          <w:tcPr>
            <w:tcW w:w="1672" w:type="pct"/>
            <w:tcBorders>
              <w:top w:val="single" w:sz="4" w:space="0" w:color="auto"/>
              <w:left w:val="nil"/>
              <w:bottom w:val="single" w:sz="4" w:space="0" w:color="auto"/>
              <w:right w:val="nil"/>
            </w:tcBorders>
            <w:shd w:val="clear" w:color="auto" w:fill="auto"/>
            <w:noWrap/>
            <w:vAlign w:val="center"/>
            <w:hideMark/>
          </w:tcPr>
          <w:p w14:paraId="0B4D5098" w14:textId="77777777" w:rsidR="00BA5560" w:rsidRPr="00724D7B" w:rsidRDefault="00BA5560" w:rsidP="00FB2137">
            <w:pPr>
              <w:pBdr>
                <w:top w:val="none" w:sz="0" w:space="0" w:color="auto"/>
                <w:left w:val="none" w:sz="0" w:space="0" w:color="auto"/>
                <w:bottom w:val="none" w:sz="0" w:space="0" w:color="auto"/>
                <w:right w:val="none" w:sz="0" w:space="0" w:color="auto"/>
                <w:between w:val="none" w:sz="0" w:space="0" w:color="auto"/>
                <w:bar w:val="none" w:sz="0" w:color="auto"/>
              </w:pBdr>
              <w:outlineLvl w:val="9"/>
              <w:rPr>
                <w:rFonts w:eastAsia="Times New Roman"/>
                <w:sz w:val="16"/>
                <w:szCs w:val="16"/>
                <w:bdr w:val="none" w:sz="0" w:space="0" w:color="auto"/>
                <w:lang w:eastAsia="es-ES"/>
              </w:rPr>
            </w:pPr>
            <w:r w:rsidRPr="00724D7B">
              <w:rPr>
                <w:rFonts w:eastAsia="Times New Roman"/>
                <w:sz w:val="16"/>
                <w:szCs w:val="16"/>
                <w:bdr w:val="none" w:sz="0" w:space="0" w:color="auto"/>
                <w:lang w:eastAsia="es-ES"/>
              </w:rPr>
              <w:t>Ajustes corrección de errores</w:t>
            </w:r>
          </w:p>
        </w:tc>
        <w:tc>
          <w:tcPr>
            <w:tcW w:w="545" w:type="pct"/>
            <w:tcBorders>
              <w:top w:val="single" w:sz="4" w:space="0" w:color="auto"/>
              <w:left w:val="nil"/>
              <w:bottom w:val="single" w:sz="4" w:space="0" w:color="auto"/>
              <w:right w:val="nil"/>
            </w:tcBorders>
            <w:shd w:val="clear" w:color="auto" w:fill="auto"/>
            <w:noWrap/>
            <w:vAlign w:val="center"/>
            <w:hideMark/>
          </w:tcPr>
          <w:p w14:paraId="30197E2F" w14:textId="77777777" w:rsidR="00BA5560" w:rsidRPr="00724D7B" w:rsidRDefault="00BA5560" w:rsidP="00FB2137">
            <w:pPr>
              <w:pBdr>
                <w:top w:val="none" w:sz="0" w:space="0" w:color="auto"/>
                <w:left w:val="none" w:sz="0" w:space="0" w:color="auto"/>
                <w:bottom w:val="none" w:sz="0" w:space="0" w:color="auto"/>
                <w:right w:val="none" w:sz="0" w:space="0" w:color="auto"/>
                <w:between w:val="none" w:sz="0" w:space="0" w:color="auto"/>
                <w:bar w:val="none" w:sz="0" w:color="auto"/>
              </w:pBdr>
              <w:jc w:val="right"/>
              <w:outlineLvl w:val="9"/>
              <w:rPr>
                <w:rFonts w:eastAsia="Times New Roman"/>
                <w:sz w:val="16"/>
                <w:szCs w:val="16"/>
                <w:bdr w:val="none" w:sz="0" w:space="0" w:color="auto"/>
                <w:lang w:eastAsia="es-ES"/>
              </w:rPr>
            </w:pPr>
            <w:r w:rsidRPr="00724D7B">
              <w:rPr>
                <w:rFonts w:eastAsia="Times New Roman"/>
                <w:sz w:val="16"/>
                <w:szCs w:val="16"/>
                <w:bdr w:val="none" w:sz="0" w:space="0" w:color="auto"/>
                <w:lang w:eastAsia="es-ES"/>
              </w:rPr>
              <w:t>-</w:t>
            </w:r>
          </w:p>
        </w:tc>
        <w:tc>
          <w:tcPr>
            <w:tcW w:w="711" w:type="pct"/>
            <w:tcBorders>
              <w:top w:val="single" w:sz="4" w:space="0" w:color="auto"/>
              <w:left w:val="nil"/>
              <w:bottom w:val="single" w:sz="4" w:space="0" w:color="auto"/>
              <w:right w:val="nil"/>
            </w:tcBorders>
            <w:shd w:val="clear" w:color="auto" w:fill="auto"/>
            <w:noWrap/>
            <w:vAlign w:val="center"/>
          </w:tcPr>
          <w:p w14:paraId="7A26C8E3" w14:textId="37F59E73" w:rsidR="00BA5560" w:rsidRPr="00FB2137" w:rsidRDefault="00BA5560" w:rsidP="00FB2137">
            <w:pPr>
              <w:pBdr>
                <w:top w:val="none" w:sz="0" w:space="0" w:color="auto"/>
                <w:left w:val="none" w:sz="0" w:space="0" w:color="auto"/>
                <w:bottom w:val="none" w:sz="0" w:space="0" w:color="auto"/>
                <w:right w:val="none" w:sz="0" w:space="0" w:color="auto"/>
                <w:between w:val="none" w:sz="0" w:space="0" w:color="auto"/>
                <w:bar w:val="none" w:sz="0" w:color="auto"/>
              </w:pBdr>
              <w:jc w:val="right"/>
              <w:outlineLvl w:val="9"/>
              <w:rPr>
                <w:rFonts w:eastAsia="Times New Roman"/>
                <w:color w:val="auto"/>
                <w:sz w:val="16"/>
                <w:szCs w:val="16"/>
                <w:bdr w:val="none" w:sz="0" w:space="0" w:color="auto"/>
                <w:lang w:eastAsia="es-ES"/>
              </w:rPr>
            </w:pPr>
            <w:r w:rsidRPr="00FB2137">
              <w:rPr>
                <w:b/>
                <w:bCs/>
                <w:sz w:val="16"/>
                <w:szCs w:val="16"/>
              </w:rPr>
              <w:t xml:space="preserve"> -</w:t>
            </w:r>
          </w:p>
        </w:tc>
        <w:tc>
          <w:tcPr>
            <w:tcW w:w="709" w:type="pct"/>
            <w:tcBorders>
              <w:top w:val="single" w:sz="4" w:space="0" w:color="auto"/>
              <w:left w:val="nil"/>
              <w:bottom w:val="single" w:sz="4" w:space="0" w:color="auto"/>
              <w:right w:val="nil"/>
            </w:tcBorders>
            <w:shd w:val="clear" w:color="auto" w:fill="auto"/>
            <w:noWrap/>
            <w:vAlign w:val="center"/>
          </w:tcPr>
          <w:p w14:paraId="3CF5AF37" w14:textId="64CC7DB6" w:rsidR="00BA5560" w:rsidRPr="00FB2137" w:rsidRDefault="00BA5560" w:rsidP="00FB2137">
            <w:pPr>
              <w:pBdr>
                <w:top w:val="none" w:sz="0" w:space="0" w:color="auto"/>
                <w:left w:val="none" w:sz="0" w:space="0" w:color="auto"/>
                <w:bottom w:val="none" w:sz="0" w:space="0" w:color="auto"/>
                <w:right w:val="none" w:sz="0" w:space="0" w:color="auto"/>
                <w:between w:val="none" w:sz="0" w:space="0" w:color="auto"/>
                <w:bar w:val="none" w:sz="0" w:color="auto"/>
              </w:pBdr>
              <w:jc w:val="right"/>
              <w:outlineLvl w:val="9"/>
              <w:rPr>
                <w:rFonts w:eastAsia="Times New Roman"/>
                <w:color w:val="auto"/>
                <w:sz w:val="16"/>
                <w:szCs w:val="16"/>
                <w:bdr w:val="none" w:sz="0" w:space="0" w:color="auto"/>
                <w:lang w:eastAsia="es-ES"/>
              </w:rPr>
            </w:pPr>
            <w:r w:rsidRPr="00FB2137">
              <w:rPr>
                <w:b/>
                <w:bCs/>
                <w:sz w:val="16"/>
                <w:szCs w:val="16"/>
              </w:rPr>
              <w:t xml:space="preserve"> -</w:t>
            </w:r>
          </w:p>
        </w:tc>
        <w:tc>
          <w:tcPr>
            <w:tcW w:w="651" w:type="pct"/>
            <w:tcBorders>
              <w:top w:val="single" w:sz="4" w:space="0" w:color="auto"/>
              <w:left w:val="nil"/>
              <w:bottom w:val="single" w:sz="4" w:space="0" w:color="auto"/>
              <w:right w:val="nil"/>
            </w:tcBorders>
            <w:shd w:val="clear" w:color="auto" w:fill="auto"/>
            <w:noWrap/>
            <w:vAlign w:val="center"/>
          </w:tcPr>
          <w:p w14:paraId="384FA979" w14:textId="13FFAA74" w:rsidR="00BA5560" w:rsidRPr="00FB2137" w:rsidRDefault="00BA5560" w:rsidP="00FB2137">
            <w:pPr>
              <w:pBdr>
                <w:top w:val="none" w:sz="0" w:space="0" w:color="auto"/>
                <w:left w:val="none" w:sz="0" w:space="0" w:color="auto"/>
                <w:bottom w:val="none" w:sz="0" w:space="0" w:color="auto"/>
                <w:right w:val="none" w:sz="0" w:space="0" w:color="auto"/>
                <w:between w:val="none" w:sz="0" w:space="0" w:color="auto"/>
                <w:bar w:val="none" w:sz="0" w:color="auto"/>
              </w:pBdr>
              <w:jc w:val="right"/>
              <w:outlineLvl w:val="9"/>
              <w:rPr>
                <w:rFonts w:eastAsia="Times New Roman"/>
                <w:color w:val="auto"/>
                <w:sz w:val="16"/>
                <w:szCs w:val="16"/>
                <w:bdr w:val="none" w:sz="0" w:space="0" w:color="auto"/>
                <w:lang w:eastAsia="es-ES"/>
              </w:rPr>
            </w:pPr>
            <w:r w:rsidRPr="00FB2137">
              <w:rPr>
                <w:b/>
                <w:bCs/>
                <w:sz w:val="16"/>
                <w:szCs w:val="16"/>
              </w:rPr>
              <w:t xml:space="preserve"> -</w:t>
            </w:r>
          </w:p>
        </w:tc>
        <w:tc>
          <w:tcPr>
            <w:tcW w:w="712" w:type="pct"/>
            <w:tcBorders>
              <w:top w:val="single" w:sz="4" w:space="0" w:color="auto"/>
              <w:left w:val="nil"/>
              <w:bottom w:val="single" w:sz="4" w:space="0" w:color="auto"/>
              <w:right w:val="nil"/>
            </w:tcBorders>
            <w:shd w:val="clear" w:color="auto" w:fill="auto"/>
            <w:noWrap/>
            <w:vAlign w:val="center"/>
          </w:tcPr>
          <w:p w14:paraId="63254E49" w14:textId="523AD6DE" w:rsidR="00BA5560" w:rsidRPr="00FB2137" w:rsidRDefault="00BA5560" w:rsidP="00FB2137">
            <w:pPr>
              <w:pBdr>
                <w:top w:val="none" w:sz="0" w:space="0" w:color="auto"/>
                <w:left w:val="none" w:sz="0" w:space="0" w:color="auto"/>
                <w:bottom w:val="none" w:sz="0" w:space="0" w:color="auto"/>
                <w:right w:val="none" w:sz="0" w:space="0" w:color="auto"/>
                <w:between w:val="none" w:sz="0" w:space="0" w:color="auto"/>
                <w:bar w:val="none" w:sz="0" w:color="auto"/>
              </w:pBdr>
              <w:jc w:val="right"/>
              <w:outlineLvl w:val="9"/>
              <w:rPr>
                <w:rFonts w:eastAsia="Times New Roman"/>
                <w:color w:val="auto"/>
                <w:sz w:val="16"/>
                <w:szCs w:val="16"/>
                <w:bdr w:val="none" w:sz="0" w:space="0" w:color="auto"/>
                <w:lang w:eastAsia="es-ES"/>
              </w:rPr>
            </w:pPr>
            <w:r w:rsidRPr="00FB2137">
              <w:rPr>
                <w:b/>
                <w:bCs/>
                <w:sz w:val="16"/>
                <w:szCs w:val="16"/>
              </w:rPr>
              <w:t xml:space="preserve"> -</w:t>
            </w:r>
          </w:p>
        </w:tc>
      </w:tr>
      <w:tr w:rsidR="00680BE3" w:rsidRPr="00724D7B" w14:paraId="5D896EDB" w14:textId="77777777" w:rsidTr="00220522">
        <w:trPr>
          <w:trHeight w:val="283"/>
        </w:trPr>
        <w:tc>
          <w:tcPr>
            <w:tcW w:w="1672" w:type="pct"/>
            <w:tcBorders>
              <w:top w:val="single" w:sz="4" w:space="0" w:color="auto"/>
              <w:left w:val="nil"/>
              <w:bottom w:val="single" w:sz="4" w:space="0" w:color="auto"/>
              <w:right w:val="nil"/>
            </w:tcBorders>
            <w:shd w:val="clear" w:color="auto" w:fill="F2F2F2" w:themeFill="background1" w:themeFillShade="F2"/>
            <w:noWrap/>
            <w:vAlign w:val="center"/>
            <w:hideMark/>
          </w:tcPr>
          <w:p w14:paraId="14E7FE0E" w14:textId="5DF25D5B" w:rsidR="00680BE3" w:rsidRPr="00724D7B" w:rsidRDefault="00680BE3" w:rsidP="00680BE3">
            <w:pPr>
              <w:pBdr>
                <w:top w:val="none" w:sz="0" w:space="0" w:color="auto"/>
                <w:left w:val="none" w:sz="0" w:space="0" w:color="auto"/>
                <w:bottom w:val="none" w:sz="0" w:space="0" w:color="auto"/>
                <w:right w:val="none" w:sz="0" w:space="0" w:color="auto"/>
                <w:between w:val="none" w:sz="0" w:space="0" w:color="auto"/>
                <w:bar w:val="none" w:sz="0" w:color="auto"/>
              </w:pBdr>
              <w:outlineLvl w:val="9"/>
              <w:rPr>
                <w:rFonts w:eastAsia="Times New Roman"/>
                <w:b/>
                <w:bCs/>
                <w:sz w:val="16"/>
                <w:szCs w:val="16"/>
                <w:bdr w:val="none" w:sz="0" w:space="0" w:color="auto"/>
                <w:lang w:eastAsia="es-ES"/>
              </w:rPr>
            </w:pPr>
            <w:r w:rsidRPr="00724D7B">
              <w:rPr>
                <w:rFonts w:eastAsia="Times New Roman"/>
                <w:b/>
                <w:bCs/>
                <w:sz w:val="16"/>
                <w:szCs w:val="16"/>
                <w:bdr w:val="none" w:sz="0" w:space="0" w:color="auto"/>
                <w:lang w:eastAsia="es-ES"/>
              </w:rPr>
              <w:t>SALDO AJUSTADO, 01.01.2</w:t>
            </w:r>
            <w:r>
              <w:rPr>
                <w:rFonts w:eastAsia="Times New Roman"/>
                <w:b/>
                <w:bCs/>
                <w:sz w:val="16"/>
                <w:szCs w:val="16"/>
                <w:bdr w:val="none" w:sz="0" w:space="0" w:color="auto"/>
                <w:lang w:eastAsia="es-ES"/>
              </w:rPr>
              <w:t>4</w:t>
            </w:r>
          </w:p>
        </w:tc>
        <w:tc>
          <w:tcPr>
            <w:tcW w:w="545" w:type="pct"/>
            <w:tcBorders>
              <w:top w:val="single" w:sz="4" w:space="0" w:color="auto"/>
              <w:left w:val="nil"/>
              <w:bottom w:val="single" w:sz="4" w:space="0" w:color="auto"/>
              <w:right w:val="nil"/>
            </w:tcBorders>
            <w:shd w:val="clear" w:color="auto" w:fill="F2F2F2" w:themeFill="background1" w:themeFillShade="F2"/>
            <w:noWrap/>
            <w:vAlign w:val="center"/>
          </w:tcPr>
          <w:p w14:paraId="230A1D81" w14:textId="5D06E522" w:rsidR="00680BE3" w:rsidRPr="00220522" w:rsidRDefault="00680BE3" w:rsidP="00680BE3">
            <w:pPr>
              <w:pBdr>
                <w:top w:val="none" w:sz="0" w:space="0" w:color="auto"/>
                <w:left w:val="none" w:sz="0" w:space="0" w:color="auto"/>
                <w:bottom w:val="none" w:sz="0" w:space="0" w:color="auto"/>
                <w:right w:val="none" w:sz="0" w:space="0" w:color="auto"/>
                <w:between w:val="none" w:sz="0" w:space="0" w:color="auto"/>
                <w:bar w:val="none" w:sz="0" w:color="auto"/>
              </w:pBdr>
              <w:jc w:val="right"/>
              <w:outlineLvl w:val="9"/>
              <w:rPr>
                <w:rFonts w:eastAsia="Times New Roman"/>
                <w:b/>
                <w:bCs/>
                <w:sz w:val="16"/>
                <w:szCs w:val="16"/>
                <w:bdr w:val="none" w:sz="0" w:space="0" w:color="auto"/>
                <w:lang w:eastAsia="es-ES"/>
              </w:rPr>
            </w:pPr>
            <w:r w:rsidRPr="00220522">
              <w:rPr>
                <w:b/>
                <w:bCs/>
                <w:sz w:val="16"/>
                <w:szCs w:val="16"/>
              </w:rPr>
              <w:t>600.000,00</w:t>
            </w:r>
          </w:p>
        </w:tc>
        <w:tc>
          <w:tcPr>
            <w:tcW w:w="711" w:type="pct"/>
            <w:tcBorders>
              <w:top w:val="single" w:sz="4" w:space="0" w:color="auto"/>
              <w:left w:val="nil"/>
              <w:bottom w:val="single" w:sz="4" w:space="0" w:color="auto"/>
              <w:right w:val="nil"/>
            </w:tcBorders>
            <w:shd w:val="clear" w:color="auto" w:fill="F2F2F2" w:themeFill="background1" w:themeFillShade="F2"/>
            <w:noWrap/>
            <w:vAlign w:val="center"/>
          </w:tcPr>
          <w:p w14:paraId="5609D3F9" w14:textId="1B698DA6" w:rsidR="00680BE3" w:rsidRPr="00220522" w:rsidRDefault="00680BE3" w:rsidP="00680BE3">
            <w:pPr>
              <w:pBdr>
                <w:top w:val="none" w:sz="0" w:space="0" w:color="auto"/>
                <w:left w:val="none" w:sz="0" w:space="0" w:color="auto"/>
                <w:bottom w:val="none" w:sz="0" w:space="0" w:color="auto"/>
                <w:right w:val="none" w:sz="0" w:space="0" w:color="auto"/>
                <w:between w:val="none" w:sz="0" w:space="0" w:color="auto"/>
                <w:bar w:val="none" w:sz="0" w:color="auto"/>
              </w:pBdr>
              <w:jc w:val="right"/>
              <w:outlineLvl w:val="9"/>
              <w:rPr>
                <w:rFonts w:eastAsia="Times New Roman"/>
                <w:b/>
                <w:bCs/>
                <w:sz w:val="16"/>
                <w:szCs w:val="16"/>
                <w:bdr w:val="none" w:sz="0" w:space="0" w:color="auto"/>
                <w:lang w:eastAsia="es-ES"/>
              </w:rPr>
            </w:pPr>
            <w:r w:rsidRPr="00220522">
              <w:rPr>
                <w:b/>
                <w:bCs/>
                <w:sz w:val="16"/>
                <w:szCs w:val="16"/>
              </w:rPr>
              <w:t>3.577.139,00</w:t>
            </w:r>
          </w:p>
        </w:tc>
        <w:tc>
          <w:tcPr>
            <w:tcW w:w="709" w:type="pct"/>
            <w:tcBorders>
              <w:top w:val="single" w:sz="4" w:space="0" w:color="auto"/>
              <w:left w:val="nil"/>
              <w:bottom w:val="single" w:sz="4" w:space="0" w:color="auto"/>
              <w:right w:val="nil"/>
            </w:tcBorders>
            <w:shd w:val="clear" w:color="auto" w:fill="F2F2F2" w:themeFill="background1" w:themeFillShade="F2"/>
            <w:noWrap/>
            <w:vAlign w:val="center"/>
          </w:tcPr>
          <w:p w14:paraId="5215D604" w14:textId="360E331E" w:rsidR="00680BE3" w:rsidRPr="00220522" w:rsidRDefault="00680BE3" w:rsidP="00680BE3">
            <w:pPr>
              <w:pBdr>
                <w:top w:val="none" w:sz="0" w:space="0" w:color="auto"/>
                <w:left w:val="none" w:sz="0" w:space="0" w:color="auto"/>
                <w:bottom w:val="none" w:sz="0" w:space="0" w:color="auto"/>
                <w:right w:val="none" w:sz="0" w:space="0" w:color="auto"/>
                <w:between w:val="none" w:sz="0" w:space="0" w:color="auto"/>
                <w:bar w:val="none" w:sz="0" w:color="auto"/>
              </w:pBdr>
              <w:jc w:val="right"/>
              <w:outlineLvl w:val="9"/>
              <w:rPr>
                <w:rFonts w:eastAsia="Times New Roman"/>
                <w:b/>
                <w:bCs/>
                <w:sz w:val="16"/>
                <w:szCs w:val="16"/>
                <w:bdr w:val="none" w:sz="0" w:space="0" w:color="auto"/>
                <w:lang w:eastAsia="es-ES"/>
              </w:rPr>
            </w:pPr>
            <w:r w:rsidRPr="00220522">
              <w:rPr>
                <w:b/>
                <w:bCs/>
                <w:sz w:val="16"/>
                <w:szCs w:val="16"/>
              </w:rPr>
              <w:t>(3.577.139,00)</w:t>
            </w:r>
          </w:p>
        </w:tc>
        <w:tc>
          <w:tcPr>
            <w:tcW w:w="651" w:type="pct"/>
            <w:tcBorders>
              <w:top w:val="single" w:sz="4" w:space="0" w:color="auto"/>
              <w:left w:val="nil"/>
              <w:bottom w:val="single" w:sz="4" w:space="0" w:color="auto"/>
              <w:right w:val="nil"/>
            </w:tcBorders>
            <w:shd w:val="clear" w:color="auto" w:fill="F2F2F2" w:themeFill="background1" w:themeFillShade="F2"/>
            <w:noWrap/>
            <w:vAlign w:val="center"/>
          </w:tcPr>
          <w:p w14:paraId="2AC03A23" w14:textId="7A288BCC" w:rsidR="00680BE3" w:rsidRPr="00220522" w:rsidRDefault="00680BE3" w:rsidP="00680BE3">
            <w:pPr>
              <w:pBdr>
                <w:top w:val="none" w:sz="0" w:space="0" w:color="auto"/>
                <w:left w:val="none" w:sz="0" w:space="0" w:color="auto"/>
                <w:bottom w:val="none" w:sz="0" w:space="0" w:color="auto"/>
                <w:right w:val="none" w:sz="0" w:space="0" w:color="auto"/>
                <w:between w:val="none" w:sz="0" w:space="0" w:color="auto"/>
                <w:bar w:val="none" w:sz="0" w:color="auto"/>
              </w:pBdr>
              <w:jc w:val="right"/>
              <w:outlineLvl w:val="9"/>
              <w:rPr>
                <w:rFonts w:eastAsia="Times New Roman"/>
                <w:b/>
                <w:bCs/>
                <w:sz w:val="16"/>
                <w:szCs w:val="16"/>
                <w:bdr w:val="none" w:sz="0" w:space="0" w:color="auto"/>
                <w:lang w:eastAsia="es-ES"/>
              </w:rPr>
            </w:pPr>
            <w:r w:rsidRPr="00220522">
              <w:rPr>
                <w:b/>
                <w:bCs/>
                <w:sz w:val="16"/>
                <w:szCs w:val="16"/>
              </w:rPr>
              <w:t>64.672,25</w:t>
            </w:r>
          </w:p>
        </w:tc>
        <w:tc>
          <w:tcPr>
            <w:tcW w:w="712" w:type="pct"/>
            <w:tcBorders>
              <w:top w:val="single" w:sz="4" w:space="0" w:color="auto"/>
              <w:left w:val="nil"/>
              <w:bottom w:val="single" w:sz="4" w:space="0" w:color="auto"/>
              <w:right w:val="nil"/>
            </w:tcBorders>
            <w:shd w:val="clear" w:color="auto" w:fill="F2F2F2" w:themeFill="background1" w:themeFillShade="F2"/>
            <w:noWrap/>
            <w:vAlign w:val="center"/>
          </w:tcPr>
          <w:p w14:paraId="2B830CA9" w14:textId="00AAE931" w:rsidR="00680BE3" w:rsidRPr="00220522" w:rsidRDefault="00680BE3" w:rsidP="00680BE3">
            <w:pPr>
              <w:pBdr>
                <w:top w:val="none" w:sz="0" w:space="0" w:color="auto"/>
                <w:left w:val="none" w:sz="0" w:space="0" w:color="auto"/>
                <w:bottom w:val="none" w:sz="0" w:space="0" w:color="auto"/>
                <w:right w:val="none" w:sz="0" w:space="0" w:color="auto"/>
                <w:between w:val="none" w:sz="0" w:space="0" w:color="auto"/>
                <w:bar w:val="none" w:sz="0" w:color="auto"/>
              </w:pBdr>
              <w:jc w:val="right"/>
              <w:outlineLvl w:val="9"/>
              <w:rPr>
                <w:rFonts w:eastAsia="Times New Roman"/>
                <w:b/>
                <w:bCs/>
                <w:sz w:val="16"/>
                <w:szCs w:val="16"/>
                <w:bdr w:val="none" w:sz="0" w:space="0" w:color="auto"/>
                <w:lang w:eastAsia="es-ES"/>
              </w:rPr>
            </w:pPr>
            <w:r w:rsidRPr="00220522">
              <w:rPr>
                <w:b/>
                <w:bCs/>
                <w:sz w:val="16"/>
                <w:szCs w:val="16"/>
              </w:rPr>
              <w:t>664.672,25</w:t>
            </w:r>
          </w:p>
        </w:tc>
      </w:tr>
      <w:tr w:rsidR="00220522" w:rsidRPr="00724D7B" w14:paraId="2F120B83" w14:textId="77777777" w:rsidTr="00220522">
        <w:trPr>
          <w:trHeight w:val="283"/>
        </w:trPr>
        <w:tc>
          <w:tcPr>
            <w:tcW w:w="1672" w:type="pct"/>
            <w:tcBorders>
              <w:top w:val="single" w:sz="4" w:space="0" w:color="auto"/>
              <w:left w:val="nil"/>
              <w:bottom w:val="nil"/>
              <w:right w:val="nil"/>
            </w:tcBorders>
            <w:shd w:val="clear" w:color="auto" w:fill="auto"/>
            <w:noWrap/>
            <w:vAlign w:val="center"/>
            <w:hideMark/>
          </w:tcPr>
          <w:p w14:paraId="7C6EC1FD" w14:textId="77777777" w:rsidR="00220522" w:rsidRPr="00724D7B" w:rsidRDefault="00220522" w:rsidP="00220522">
            <w:pPr>
              <w:pBdr>
                <w:top w:val="none" w:sz="0" w:space="0" w:color="auto"/>
                <w:left w:val="none" w:sz="0" w:space="0" w:color="auto"/>
                <w:bottom w:val="none" w:sz="0" w:space="0" w:color="auto"/>
                <w:right w:val="none" w:sz="0" w:space="0" w:color="auto"/>
                <w:between w:val="none" w:sz="0" w:space="0" w:color="auto"/>
                <w:bar w:val="none" w:sz="0" w:color="auto"/>
              </w:pBdr>
              <w:outlineLvl w:val="9"/>
              <w:rPr>
                <w:rFonts w:eastAsia="Times New Roman"/>
                <w:sz w:val="16"/>
                <w:szCs w:val="16"/>
                <w:bdr w:val="none" w:sz="0" w:space="0" w:color="auto"/>
                <w:lang w:eastAsia="es-ES"/>
              </w:rPr>
            </w:pPr>
            <w:r w:rsidRPr="00724D7B">
              <w:rPr>
                <w:rFonts w:eastAsia="Times New Roman"/>
                <w:sz w:val="16"/>
                <w:szCs w:val="16"/>
                <w:bdr w:val="none" w:sz="0" w:space="0" w:color="auto"/>
                <w:lang w:eastAsia="es-ES"/>
              </w:rPr>
              <w:t>Total ingresos y gastos reconocidos</w:t>
            </w:r>
          </w:p>
        </w:tc>
        <w:tc>
          <w:tcPr>
            <w:tcW w:w="545" w:type="pct"/>
            <w:tcBorders>
              <w:top w:val="single" w:sz="4" w:space="0" w:color="auto"/>
              <w:left w:val="nil"/>
              <w:bottom w:val="nil"/>
              <w:right w:val="nil"/>
            </w:tcBorders>
            <w:shd w:val="clear" w:color="auto" w:fill="auto"/>
            <w:noWrap/>
            <w:vAlign w:val="center"/>
          </w:tcPr>
          <w:p w14:paraId="4014FF78" w14:textId="7DD7A17D" w:rsidR="00220522" w:rsidRPr="00220522" w:rsidRDefault="00220522" w:rsidP="00220522">
            <w:pPr>
              <w:pBdr>
                <w:top w:val="none" w:sz="0" w:space="0" w:color="auto"/>
                <w:left w:val="none" w:sz="0" w:space="0" w:color="auto"/>
                <w:bottom w:val="none" w:sz="0" w:space="0" w:color="auto"/>
                <w:right w:val="none" w:sz="0" w:space="0" w:color="auto"/>
                <w:between w:val="none" w:sz="0" w:space="0" w:color="auto"/>
                <w:bar w:val="none" w:sz="0" w:color="auto"/>
              </w:pBdr>
              <w:jc w:val="right"/>
              <w:outlineLvl w:val="9"/>
              <w:rPr>
                <w:rFonts w:eastAsia="Times New Roman"/>
                <w:sz w:val="16"/>
                <w:szCs w:val="16"/>
                <w:bdr w:val="none" w:sz="0" w:space="0" w:color="auto"/>
                <w:lang w:eastAsia="es-ES"/>
              </w:rPr>
            </w:pPr>
            <w:r w:rsidRPr="00220522">
              <w:rPr>
                <w:b/>
                <w:bCs/>
                <w:sz w:val="16"/>
                <w:szCs w:val="16"/>
              </w:rPr>
              <w:t xml:space="preserve"> -</w:t>
            </w:r>
          </w:p>
        </w:tc>
        <w:tc>
          <w:tcPr>
            <w:tcW w:w="711" w:type="pct"/>
            <w:tcBorders>
              <w:top w:val="single" w:sz="4" w:space="0" w:color="auto"/>
              <w:left w:val="nil"/>
              <w:bottom w:val="nil"/>
              <w:right w:val="nil"/>
            </w:tcBorders>
            <w:shd w:val="clear" w:color="auto" w:fill="auto"/>
            <w:noWrap/>
            <w:vAlign w:val="center"/>
          </w:tcPr>
          <w:p w14:paraId="1C2F3AAB" w14:textId="5C91EEEF" w:rsidR="00220522" w:rsidRPr="00220522" w:rsidRDefault="00220522" w:rsidP="00220522">
            <w:pPr>
              <w:pBdr>
                <w:top w:val="none" w:sz="0" w:space="0" w:color="auto"/>
                <w:left w:val="none" w:sz="0" w:space="0" w:color="auto"/>
                <w:bottom w:val="none" w:sz="0" w:space="0" w:color="auto"/>
                <w:right w:val="none" w:sz="0" w:space="0" w:color="auto"/>
                <w:between w:val="none" w:sz="0" w:space="0" w:color="auto"/>
                <w:bar w:val="none" w:sz="0" w:color="auto"/>
              </w:pBdr>
              <w:jc w:val="right"/>
              <w:outlineLvl w:val="9"/>
              <w:rPr>
                <w:rFonts w:eastAsia="Times New Roman"/>
                <w:sz w:val="16"/>
                <w:szCs w:val="16"/>
                <w:bdr w:val="none" w:sz="0" w:space="0" w:color="auto"/>
                <w:lang w:eastAsia="es-ES"/>
              </w:rPr>
            </w:pPr>
            <w:r>
              <w:rPr>
                <w:sz w:val="16"/>
                <w:szCs w:val="16"/>
              </w:rPr>
              <w:t xml:space="preserve"> -</w:t>
            </w:r>
          </w:p>
        </w:tc>
        <w:tc>
          <w:tcPr>
            <w:tcW w:w="709" w:type="pct"/>
            <w:tcBorders>
              <w:top w:val="single" w:sz="4" w:space="0" w:color="auto"/>
              <w:left w:val="nil"/>
              <w:bottom w:val="nil"/>
              <w:right w:val="nil"/>
            </w:tcBorders>
            <w:shd w:val="clear" w:color="auto" w:fill="auto"/>
            <w:noWrap/>
            <w:vAlign w:val="center"/>
          </w:tcPr>
          <w:p w14:paraId="5AEA7C60" w14:textId="3456B48A" w:rsidR="00220522" w:rsidRPr="00220522" w:rsidRDefault="00220522" w:rsidP="00220522">
            <w:pPr>
              <w:pBdr>
                <w:top w:val="none" w:sz="0" w:space="0" w:color="auto"/>
                <w:left w:val="none" w:sz="0" w:space="0" w:color="auto"/>
                <w:bottom w:val="none" w:sz="0" w:space="0" w:color="auto"/>
                <w:right w:val="none" w:sz="0" w:space="0" w:color="auto"/>
                <w:between w:val="none" w:sz="0" w:space="0" w:color="auto"/>
                <w:bar w:val="none" w:sz="0" w:color="auto"/>
              </w:pBdr>
              <w:jc w:val="right"/>
              <w:outlineLvl w:val="9"/>
              <w:rPr>
                <w:rFonts w:eastAsia="Times New Roman"/>
                <w:sz w:val="16"/>
                <w:szCs w:val="16"/>
                <w:bdr w:val="none" w:sz="0" w:space="0" w:color="auto"/>
                <w:lang w:eastAsia="es-ES"/>
              </w:rPr>
            </w:pPr>
            <w:r>
              <w:rPr>
                <w:sz w:val="16"/>
                <w:szCs w:val="16"/>
              </w:rPr>
              <w:t>(3.590.000,00)</w:t>
            </w:r>
          </w:p>
        </w:tc>
        <w:tc>
          <w:tcPr>
            <w:tcW w:w="651" w:type="pct"/>
            <w:tcBorders>
              <w:top w:val="single" w:sz="4" w:space="0" w:color="auto"/>
              <w:left w:val="nil"/>
              <w:bottom w:val="nil"/>
              <w:right w:val="nil"/>
            </w:tcBorders>
            <w:shd w:val="clear" w:color="auto" w:fill="auto"/>
            <w:noWrap/>
            <w:vAlign w:val="center"/>
          </w:tcPr>
          <w:p w14:paraId="70B25470" w14:textId="573C22CF" w:rsidR="00220522" w:rsidRPr="00220522" w:rsidRDefault="00220522" w:rsidP="00220522">
            <w:pPr>
              <w:pBdr>
                <w:top w:val="none" w:sz="0" w:space="0" w:color="auto"/>
                <w:left w:val="none" w:sz="0" w:space="0" w:color="auto"/>
                <w:bottom w:val="none" w:sz="0" w:space="0" w:color="auto"/>
                <w:right w:val="none" w:sz="0" w:space="0" w:color="auto"/>
                <w:between w:val="none" w:sz="0" w:space="0" w:color="auto"/>
                <w:bar w:val="none" w:sz="0" w:color="auto"/>
              </w:pBdr>
              <w:jc w:val="right"/>
              <w:outlineLvl w:val="9"/>
              <w:rPr>
                <w:rFonts w:eastAsia="Times New Roman"/>
                <w:sz w:val="16"/>
                <w:szCs w:val="16"/>
                <w:bdr w:val="none" w:sz="0" w:space="0" w:color="auto"/>
                <w:lang w:eastAsia="es-ES"/>
              </w:rPr>
            </w:pPr>
            <w:r>
              <w:rPr>
                <w:sz w:val="16"/>
                <w:szCs w:val="16"/>
              </w:rPr>
              <w:t>(36.343,03)</w:t>
            </w:r>
          </w:p>
        </w:tc>
        <w:tc>
          <w:tcPr>
            <w:tcW w:w="712" w:type="pct"/>
            <w:tcBorders>
              <w:top w:val="single" w:sz="4" w:space="0" w:color="auto"/>
              <w:left w:val="nil"/>
              <w:bottom w:val="nil"/>
              <w:right w:val="nil"/>
            </w:tcBorders>
            <w:shd w:val="clear" w:color="auto" w:fill="auto"/>
            <w:noWrap/>
            <w:vAlign w:val="center"/>
          </w:tcPr>
          <w:p w14:paraId="045E41E1" w14:textId="40A22CB3" w:rsidR="00220522" w:rsidRPr="00220522" w:rsidRDefault="00220522" w:rsidP="00220522">
            <w:pPr>
              <w:pBdr>
                <w:top w:val="none" w:sz="0" w:space="0" w:color="auto"/>
                <w:left w:val="none" w:sz="0" w:space="0" w:color="auto"/>
                <w:bottom w:val="none" w:sz="0" w:space="0" w:color="auto"/>
                <w:right w:val="none" w:sz="0" w:space="0" w:color="auto"/>
                <w:between w:val="none" w:sz="0" w:space="0" w:color="auto"/>
                <w:bar w:val="none" w:sz="0" w:color="auto"/>
              </w:pBdr>
              <w:jc w:val="right"/>
              <w:outlineLvl w:val="9"/>
              <w:rPr>
                <w:rFonts w:eastAsia="Times New Roman"/>
                <w:sz w:val="16"/>
                <w:szCs w:val="16"/>
                <w:bdr w:val="none" w:sz="0" w:space="0" w:color="auto"/>
                <w:lang w:eastAsia="es-ES"/>
              </w:rPr>
            </w:pPr>
            <w:r>
              <w:rPr>
                <w:sz w:val="16"/>
                <w:szCs w:val="16"/>
              </w:rPr>
              <w:t>(3.626.343,03)</w:t>
            </w:r>
          </w:p>
        </w:tc>
      </w:tr>
      <w:tr w:rsidR="00220522" w:rsidRPr="00724D7B" w14:paraId="7366D61E" w14:textId="77777777" w:rsidTr="00220522">
        <w:trPr>
          <w:trHeight w:val="283"/>
        </w:trPr>
        <w:tc>
          <w:tcPr>
            <w:tcW w:w="1672" w:type="pct"/>
            <w:tcBorders>
              <w:top w:val="nil"/>
              <w:left w:val="nil"/>
              <w:bottom w:val="nil"/>
              <w:right w:val="nil"/>
            </w:tcBorders>
            <w:shd w:val="clear" w:color="auto" w:fill="auto"/>
            <w:noWrap/>
            <w:vAlign w:val="center"/>
            <w:hideMark/>
          </w:tcPr>
          <w:p w14:paraId="625071F6" w14:textId="77777777" w:rsidR="00220522" w:rsidRPr="00724D7B" w:rsidRDefault="00220522" w:rsidP="00220522">
            <w:pPr>
              <w:pBdr>
                <w:top w:val="none" w:sz="0" w:space="0" w:color="auto"/>
                <w:left w:val="none" w:sz="0" w:space="0" w:color="auto"/>
                <w:bottom w:val="none" w:sz="0" w:space="0" w:color="auto"/>
                <w:right w:val="none" w:sz="0" w:space="0" w:color="auto"/>
                <w:between w:val="none" w:sz="0" w:space="0" w:color="auto"/>
                <w:bar w:val="none" w:sz="0" w:color="auto"/>
              </w:pBdr>
              <w:outlineLvl w:val="9"/>
              <w:rPr>
                <w:rFonts w:eastAsia="Times New Roman"/>
                <w:sz w:val="16"/>
                <w:szCs w:val="16"/>
                <w:bdr w:val="none" w:sz="0" w:space="0" w:color="auto"/>
                <w:lang w:eastAsia="es-ES"/>
              </w:rPr>
            </w:pPr>
            <w:r w:rsidRPr="00724D7B">
              <w:rPr>
                <w:rFonts w:eastAsia="Times New Roman"/>
                <w:sz w:val="16"/>
                <w:szCs w:val="16"/>
                <w:bdr w:val="none" w:sz="0" w:space="0" w:color="auto"/>
                <w:lang w:eastAsia="es-ES"/>
              </w:rPr>
              <w:t>Operaciones con socios</w:t>
            </w:r>
          </w:p>
        </w:tc>
        <w:tc>
          <w:tcPr>
            <w:tcW w:w="545" w:type="pct"/>
            <w:tcBorders>
              <w:top w:val="nil"/>
              <w:left w:val="nil"/>
              <w:bottom w:val="nil"/>
              <w:right w:val="nil"/>
            </w:tcBorders>
            <w:shd w:val="clear" w:color="auto" w:fill="auto"/>
            <w:noWrap/>
            <w:vAlign w:val="center"/>
          </w:tcPr>
          <w:p w14:paraId="4330CE3F" w14:textId="45266A24" w:rsidR="00220522" w:rsidRPr="00220522" w:rsidRDefault="00220522" w:rsidP="00220522">
            <w:pPr>
              <w:pBdr>
                <w:top w:val="none" w:sz="0" w:space="0" w:color="auto"/>
                <w:left w:val="none" w:sz="0" w:space="0" w:color="auto"/>
                <w:bottom w:val="none" w:sz="0" w:space="0" w:color="auto"/>
                <w:right w:val="none" w:sz="0" w:space="0" w:color="auto"/>
                <w:between w:val="none" w:sz="0" w:space="0" w:color="auto"/>
                <w:bar w:val="none" w:sz="0" w:color="auto"/>
              </w:pBdr>
              <w:jc w:val="right"/>
              <w:outlineLvl w:val="9"/>
              <w:rPr>
                <w:rFonts w:eastAsia="Times New Roman"/>
                <w:sz w:val="16"/>
                <w:szCs w:val="16"/>
                <w:bdr w:val="none" w:sz="0" w:space="0" w:color="auto"/>
                <w:lang w:eastAsia="es-ES"/>
              </w:rPr>
            </w:pPr>
            <w:r w:rsidRPr="00220522">
              <w:rPr>
                <w:b/>
                <w:bCs/>
                <w:sz w:val="16"/>
                <w:szCs w:val="16"/>
              </w:rPr>
              <w:t xml:space="preserve"> -</w:t>
            </w:r>
          </w:p>
        </w:tc>
        <w:tc>
          <w:tcPr>
            <w:tcW w:w="711" w:type="pct"/>
            <w:tcBorders>
              <w:top w:val="nil"/>
              <w:left w:val="nil"/>
              <w:bottom w:val="nil"/>
              <w:right w:val="nil"/>
            </w:tcBorders>
            <w:shd w:val="clear" w:color="auto" w:fill="auto"/>
            <w:noWrap/>
            <w:vAlign w:val="center"/>
          </w:tcPr>
          <w:p w14:paraId="3D6028D6" w14:textId="285230F2" w:rsidR="00220522" w:rsidRPr="00220522" w:rsidRDefault="00220522" w:rsidP="00220522">
            <w:pPr>
              <w:pBdr>
                <w:top w:val="none" w:sz="0" w:space="0" w:color="auto"/>
                <w:left w:val="none" w:sz="0" w:space="0" w:color="auto"/>
                <w:bottom w:val="none" w:sz="0" w:space="0" w:color="auto"/>
                <w:right w:val="none" w:sz="0" w:space="0" w:color="auto"/>
                <w:between w:val="none" w:sz="0" w:space="0" w:color="auto"/>
                <w:bar w:val="none" w:sz="0" w:color="auto"/>
              </w:pBdr>
              <w:jc w:val="right"/>
              <w:outlineLvl w:val="9"/>
              <w:rPr>
                <w:rFonts w:eastAsia="Times New Roman"/>
                <w:color w:val="auto"/>
                <w:sz w:val="16"/>
                <w:szCs w:val="16"/>
                <w:bdr w:val="none" w:sz="0" w:space="0" w:color="auto"/>
                <w:lang w:eastAsia="es-ES"/>
              </w:rPr>
            </w:pPr>
            <w:r>
              <w:rPr>
                <w:sz w:val="16"/>
                <w:szCs w:val="16"/>
              </w:rPr>
              <w:t>3.590.000,00</w:t>
            </w:r>
          </w:p>
        </w:tc>
        <w:tc>
          <w:tcPr>
            <w:tcW w:w="709" w:type="pct"/>
            <w:tcBorders>
              <w:top w:val="nil"/>
              <w:left w:val="nil"/>
              <w:bottom w:val="nil"/>
              <w:right w:val="nil"/>
            </w:tcBorders>
            <w:shd w:val="clear" w:color="auto" w:fill="auto"/>
            <w:noWrap/>
            <w:vAlign w:val="center"/>
          </w:tcPr>
          <w:p w14:paraId="2D0B73CF" w14:textId="6927DABC" w:rsidR="00220522" w:rsidRPr="00220522" w:rsidRDefault="00220522" w:rsidP="00220522">
            <w:pPr>
              <w:pBdr>
                <w:top w:val="none" w:sz="0" w:space="0" w:color="auto"/>
                <w:left w:val="none" w:sz="0" w:space="0" w:color="auto"/>
                <w:bottom w:val="none" w:sz="0" w:space="0" w:color="auto"/>
                <w:right w:val="none" w:sz="0" w:space="0" w:color="auto"/>
                <w:between w:val="none" w:sz="0" w:space="0" w:color="auto"/>
                <w:bar w:val="none" w:sz="0" w:color="auto"/>
              </w:pBdr>
              <w:jc w:val="right"/>
              <w:outlineLvl w:val="9"/>
              <w:rPr>
                <w:rFonts w:eastAsia="Times New Roman"/>
                <w:sz w:val="16"/>
                <w:szCs w:val="16"/>
                <w:bdr w:val="none" w:sz="0" w:space="0" w:color="auto"/>
                <w:lang w:eastAsia="es-ES"/>
              </w:rPr>
            </w:pPr>
            <w:r>
              <w:rPr>
                <w:sz w:val="16"/>
                <w:szCs w:val="16"/>
              </w:rPr>
              <w:t xml:space="preserve"> -</w:t>
            </w:r>
          </w:p>
        </w:tc>
        <w:tc>
          <w:tcPr>
            <w:tcW w:w="651" w:type="pct"/>
            <w:tcBorders>
              <w:top w:val="nil"/>
              <w:left w:val="nil"/>
              <w:bottom w:val="nil"/>
              <w:right w:val="nil"/>
            </w:tcBorders>
            <w:shd w:val="clear" w:color="auto" w:fill="auto"/>
            <w:noWrap/>
            <w:vAlign w:val="center"/>
          </w:tcPr>
          <w:p w14:paraId="2B668C6A" w14:textId="36FEB000" w:rsidR="00220522" w:rsidRPr="00220522" w:rsidRDefault="00220522" w:rsidP="00220522">
            <w:pPr>
              <w:pBdr>
                <w:top w:val="none" w:sz="0" w:space="0" w:color="auto"/>
                <w:left w:val="none" w:sz="0" w:space="0" w:color="auto"/>
                <w:bottom w:val="none" w:sz="0" w:space="0" w:color="auto"/>
                <w:right w:val="none" w:sz="0" w:space="0" w:color="auto"/>
                <w:between w:val="none" w:sz="0" w:space="0" w:color="auto"/>
                <w:bar w:val="none" w:sz="0" w:color="auto"/>
              </w:pBdr>
              <w:jc w:val="right"/>
              <w:outlineLvl w:val="9"/>
              <w:rPr>
                <w:rFonts w:eastAsia="Times New Roman"/>
                <w:sz w:val="16"/>
                <w:szCs w:val="16"/>
                <w:bdr w:val="none" w:sz="0" w:space="0" w:color="auto"/>
                <w:lang w:eastAsia="es-ES"/>
              </w:rPr>
            </w:pPr>
            <w:r>
              <w:rPr>
                <w:sz w:val="16"/>
                <w:szCs w:val="16"/>
              </w:rPr>
              <w:t xml:space="preserve"> -</w:t>
            </w:r>
          </w:p>
        </w:tc>
        <w:tc>
          <w:tcPr>
            <w:tcW w:w="712" w:type="pct"/>
            <w:tcBorders>
              <w:top w:val="nil"/>
              <w:left w:val="nil"/>
              <w:bottom w:val="nil"/>
              <w:right w:val="nil"/>
            </w:tcBorders>
            <w:shd w:val="clear" w:color="auto" w:fill="auto"/>
            <w:noWrap/>
            <w:vAlign w:val="center"/>
          </w:tcPr>
          <w:p w14:paraId="18258B89" w14:textId="5DD644B0" w:rsidR="00220522" w:rsidRPr="00220522" w:rsidRDefault="00220522" w:rsidP="00220522">
            <w:pPr>
              <w:pBdr>
                <w:top w:val="none" w:sz="0" w:space="0" w:color="auto"/>
                <w:left w:val="none" w:sz="0" w:space="0" w:color="auto"/>
                <w:bottom w:val="none" w:sz="0" w:space="0" w:color="auto"/>
                <w:right w:val="none" w:sz="0" w:space="0" w:color="auto"/>
                <w:between w:val="none" w:sz="0" w:space="0" w:color="auto"/>
                <w:bar w:val="none" w:sz="0" w:color="auto"/>
              </w:pBdr>
              <w:jc w:val="right"/>
              <w:outlineLvl w:val="9"/>
              <w:rPr>
                <w:rFonts w:eastAsia="Times New Roman"/>
                <w:color w:val="auto"/>
                <w:sz w:val="16"/>
                <w:szCs w:val="16"/>
                <w:bdr w:val="none" w:sz="0" w:space="0" w:color="auto"/>
                <w:lang w:eastAsia="es-ES"/>
              </w:rPr>
            </w:pPr>
            <w:r>
              <w:rPr>
                <w:sz w:val="16"/>
                <w:szCs w:val="16"/>
              </w:rPr>
              <w:t>3.590.000,00</w:t>
            </w:r>
          </w:p>
        </w:tc>
      </w:tr>
      <w:tr w:rsidR="00220522" w:rsidRPr="00724D7B" w14:paraId="6CDC5B04" w14:textId="77777777" w:rsidTr="00220522">
        <w:trPr>
          <w:trHeight w:val="283"/>
        </w:trPr>
        <w:tc>
          <w:tcPr>
            <w:tcW w:w="1672" w:type="pct"/>
            <w:tcBorders>
              <w:top w:val="nil"/>
              <w:left w:val="nil"/>
              <w:right w:val="nil"/>
            </w:tcBorders>
            <w:shd w:val="clear" w:color="auto" w:fill="auto"/>
            <w:noWrap/>
            <w:vAlign w:val="center"/>
          </w:tcPr>
          <w:p w14:paraId="4B312473" w14:textId="001BBF95" w:rsidR="00220522" w:rsidRPr="00724D7B" w:rsidRDefault="00220522" w:rsidP="00220522">
            <w:pPr>
              <w:pBdr>
                <w:top w:val="none" w:sz="0" w:space="0" w:color="auto"/>
                <w:left w:val="none" w:sz="0" w:space="0" w:color="auto"/>
                <w:bottom w:val="none" w:sz="0" w:space="0" w:color="auto"/>
                <w:right w:val="none" w:sz="0" w:space="0" w:color="auto"/>
                <w:between w:val="none" w:sz="0" w:space="0" w:color="auto"/>
                <w:bar w:val="none" w:sz="0" w:color="auto"/>
              </w:pBdr>
              <w:outlineLvl w:val="9"/>
              <w:rPr>
                <w:rFonts w:eastAsia="Times New Roman"/>
                <w:sz w:val="16"/>
                <w:szCs w:val="16"/>
                <w:bdr w:val="none" w:sz="0" w:space="0" w:color="auto"/>
                <w:lang w:eastAsia="es-ES"/>
              </w:rPr>
            </w:pPr>
            <w:r w:rsidRPr="00724D7B">
              <w:rPr>
                <w:rFonts w:eastAsia="Times New Roman"/>
                <w:sz w:val="16"/>
                <w:szCs w:val="16"/>
                <w:bdr w:val="none" w:sz="0" w:space="0" w:color="auto"/>
                <w:lang w:eastAsia="es-ES"/>
              </w:rPr>
              <w:t xml:space="preserve">Distribución del </w:t>
            </w:r>
            <w:proofErr w:type="spellStart"/>
            <w:r w:rsidRPr="00724D7B">
              <w:rPr>
                <w:rFonts w:eastAsia="Times New Roman"/>
                <w:sz w:val="16"/>
                <w:szCs w:val="16"/>
                <w:bdr w:val="none" w:sz="0" w:space="0" w:color="auto"/>
                <w:lang w:eastAsia="es-ES"/>
              </w:rPr>
              <w:t>rtdo</w:t>
            </w:r>
            <w:proofErr w:type="spellEnd"/>
            <w:r w:rsidRPr="00724D7B">
              <w:rPr>
                <w:rFonts w:eastAsia="Times New Roman"/>
                <w:sz w:val="16"/>
                <w:szCs w:val="16"/>
                <w:bdr w:val="none" w:sz="0" w:space="0" w:color="auto"/>
                <w:lang w:eastAsia="es-ES"/>
              </w:rPr>
              <w:t xml:space="preserve"> del ejercicio anterior</w:t>
            </w:r>
          </w:p>
        </w:tc>
        <w:tc>
          <w:tcPr>
            <w:tcW w:w="545" w:type="pct"/>
            <w:tcBorders>
              <w:top w:val="nil"/>
              <w:left w:val="nil"/>
              <w:right w:val="nil"/>
            </w:tcBorders>
            <w:shd w:val="clear" w:color="auto" w:fill="auto"/>
            <w:noWrap/>
            <w:vAlign w:val="center"/>
          </w:tcPr>
          <w:p w14:paraId="37502AD1" w14:textId="17AA484E" w:rsidR="00220522" w:rsidRPr="00220522" w:rsidRDefault="00220522" w:rsidP="00220522">
            <w:pPr>
              <w:pBdr>
                <w:top w:val="none" w:sz="0" w:space="0" w:color="auto"/>
                <w:left w:val="none" w:sz="0" w:space="0" w:color="auto"/>
                <w:bottom w:val="none" w:sz="0" w:space="0" w:color="auto"/>
                <w:right w:val="none" w:sz="0" w:space="0" w:color="auto"/>
                <w:between w:val="none" w:sz="0" w:space="0" w:color="auto"/>
                <w:bar w:val="none" w:sz="0" w:color="auto"/>
              </w:pBdr>
              <w:jc w:val="right"/>
              <w:outlineLvl w:val="9"/>
              <w:rPr>
                <w:rFonts w:eastAsia="Times New Roman"/>
                <w:sz w:val="16"/>
                <w:szCs w:val="16"/>
                <w:bdr w:val="none" w:sz="0" w:space="0" w:color="auto"/>
                <w:lang w:eastAsia="es-ES"/>
              </w:rPr>
            </w:pPr>
            <w:r w:rsidRPr="00220522">
              <w:rPr>
                <w:b/>
                <w:bCs/>
                <w:sz w:val="16"/>
                <w:szCs w:val="16"/>
              </w:rPr>
              <w:t xml:space="preserve"> -</w:t>
            </w:r>
          </w:p>
        </w:tc>
        <w:tc>
          <w:tcPr>
            <w:tcW w:w="711" w:type="pct"/>
            <w:tcBorders>
              <w:top w:val="nil"/>
              <w:left w:val="nil"/>
              <w:right w:val="nil"/>
            </w:tcBorders>
            <w:shd w:val="clear" w:color="auto" w:fill="auto"/>
            <w:noWrap/>
            <w:vAlign w:val="center"/>
          </w:tcPr>
          <w:p w14:paraId="79C77E2D" w14:textId="67D0949D" w:rsidR="00220522" w:rsidRPr="00220522" w:rsidRDefault="00220522" w:rsidP="00220522">
            <w:pPr>
              <w:pBdr>
                <w:top w:val="none" w:sz="0" w:space="0" w:color="auto"/>
                <w:left w:val="none" w:sz="0" w:space="0" w:color="auto"/>
                <w:bottom w:val="none" w:sz="0" w:space="0" w:color="auto"/>
                <w:right w:val="none" w:sz="0" w:space="0" w:color="auto"/>
                <w:between w:val="none" w:sz="0" w:space="0" w:color="auto"/>
                <w:bar w:val="none" w:sz="0" w:color="auto"/>
              </w:pBdr>
              <w:jc w:val="right"/>
              <w:outlineLvl w:val="9"/>
              <w:rPr>
                <w:rFonts w:eastAsia="Times New Roman"/>
                <w:sz w:val="16"/>
                <w:szCs w:val="16"/>
                <w:bdr w:val="none" w:sz="0" w:space="0" w:color="auto"/>
                <w:lang w:eastAsia="es-ES"/>
              </w:rPr>
            </w:pPr>
            <w:r>
              <w:rPr>
                <w:sz w:val="16"/>
                <w:szCs w:val="16"/>
              </w:rPr>
              <w:t>(3.577.139,00)</w:t>
            </w:r>
          </w:p>
        </w:tc>
        <w:tc>
          <w:tcPr>
            <w:tcW w:w="709" w:type="pct"/>
            <w:tcBorders>
              <w:top w:val="nil"/>
              <w:left w:val="nil"/>
              <w:right w:val="nil"/>
            </w:tcBorders>
            <w:shd w:val="clear" w:color="auto" w:fill="auto"/>
            <w:noWrap/>
            <w:vAlign w:val="center"/>
          </w:tcPr>
          <w:p w14:paraId="75407EED" w14:textId="4C652563" w:rsidR="00220522" w:rsidRPr="00220522" w:rsidRDefault="00220522" w:rsidP="00220522">
            <w:pPr>
              <w:pBdr>
                <w:top w:val="none" w:sz="0" w:space="0" w:color="auto"/>
                <w:left w:val="none" w:sz="0" w:space="0" w:color="auto"/>
                <w:bottom w:val="none" w:sz="0" w:space="0" w:color="auto"/>
                <w:right w:val="none" w:sz="0" w:space="0" w:color="auto"/>
                <w:between w:val="none" w:sz="0" w:space="0" w:color="auto"/>
                <w:bar w:val="none" w:sz="0" w:color="auto"/>
              </w:pBdr>
              <w:jc w:val="right"/>
              <w:outlineLvl w:val="9"/>
              <w:rPr>
                <w:rFonts w:eastAsia="Times New Roman"/>
                <w:sz w:val="16"/>
                <w:szCs w:val="16"/>
                <w:bdr w:val="none" w:sz="0" w:space="0" w:color="auto"/>
                <w:lang w:eastAsia="es-ES"/>
              </w:rPr>
            </w:pPr>
            <w:r>
              <w:rPr>
                <w:sz w:val="16"/>
                <w:szCs w:val="16"/>
              </w:rPr>
              <w:t>3.577.139,00</w:t>
            </w:r>
          </w:p>
        </w:tc>
        <w:tc>
          <w:tcPr>
            <w:tcW w:w="651" w:type="pct"/>
            <w:tcBorders>
              <w:top w:val="nil"/>
              <w:left w:val="nil"/>
              <w:right w:val="nil"/>
            </w:tcBorders>
            <w:shd w:val="clear" w:color="auto" w:fill="auto"/>
            <w:noWrap/>
            <w:vAlign w:val="center"/>
          </w:tcPr>
          <w:p w14:paraId="46525098" w14:textId="533A0D25" w:rsidR="00220522" w:rsidRPr="00220522" w:rsidRDefault="00220522" w:rsidP="00220522">
            <w:pPr>
              <w:pBdr>
                <w:top w:val="none" w:sz="0" w:space="0" w:color="auto"/>
                <w:left w:val="none" w:sz="0" w:space="0" w:color="auto"/>
                <w:bottom w:val="none" w:sz="0" w:space="0" w:color="auto"/>
                <w:right w:val="none" w:sz="0" w:space="0" w:color="auto"/>
                <w:between w:val="none" w:sz="0" w:space="0" w:color="auto"/>
                <w:bar w:val="none" w:sz="0" w:color="auto"/>
              </w:pBdr>
              <w:jc w:val="right"/>
              <w:outlineLvl w:val="9"/>
              <w:rPr>
                <w:rFonts w:eastAsia="Times New Roman"/>
                <w:sz w:val="16"/>
                <w:szCs w:val="16"/>
                <w:bdr w:val="none" w:sz="0" w:space="0" w:color="auto"/>
                <w:lang w:eastAsia="es-ES"/>
              </w:rPr>
            </w:pPr>
            <w:r>
              <w:rPr>
                <w:sz w:val="16"/>
                <w:szCs w:val="16"/>
              </w:rPr>
              <w:t xml:space="preserve"> -</w:t>
            </w:r>
          </w:p>
        </w:tc>
        <w:tc>
          <w:tcPr>
            <w:tcW w:w="712" w:type="pct"/>
            <w:tcBorders>
              <w:top w:val="nil"/>
              <w:left w:val="nil"/>
              <w:right w:val="nil"/>
            </w:tcBorders>
            <w:shd w:val="clear" w:color="auto" w:fill="auto"/>
            <w:noWrap/>
            <w:vAlign w:val="center"/>
          </w:tcPr>
          <w:p w14:paraId="5EEAB2DB" w14:textId="1410F4E6" w:rsidR="00220522" w:rsidRPr="00220522" w:rsidRDefault="00220522" w:rsidP="00220522">
            <w:pPr>
              <w:pBdr>
                <w:top w:val="none" w:sz="0" w:space="0" w:color="auto"/>
                <w:left w:val="none" w:sz="0" w:space="0" w:color="auto"/>
                <w:bottom w:val="none" w:sz="0" w:space="0" w:color="auto"/>
                <w:right w:val="none" w:sz="0" w:space="0" w:color="auto"/>
                <w:between w:val="none" w:sz="0" w:space="0" w:color="auto"/>
                <w:bar w:val="none" w:sz="0" w:color="auto"/>
              </w:pBdr>
              <w:jc w:val="right"/>
              <w:outlineLvl w:val="9"/>
              <w:rPr>
                <w:rFonts w:eastAsia="Times New Roman"/>
                <w:sz w:val="16"/>
                <w:szCs w:val="16"/>
                <w:bdr w:val="none" w:sz="0" w:space="0" w:color="auto"/>
                <w:lang w:eastAsia="es-ES"/>
              </w:rPr>
            </w:pPr>
            <w:r>
              <w:rPr>
                <w:sz w:val="16"/>
                <w:szCs w:val="16"/>
              </w:rPr>
              <w:t xml:space="preserve"> -</w:t>
            </w:r>
          </w:p>
        </w:tc>
      </w:tr>
      <w:tr w:rsidR="00220522" w:rsidRPr="00724D7B" w14:paraId="51F97058" w14:textId="77777777" w:rsidTr="00220522">
        <w:trPr>
          <w:trHeight w:val="283"/>
        </w:trPr>
        <w:tc>
          <w:tcPr>
            <w:tcW w:w="1672" w:type="pct"/>
            <w:tcBorders>
              <w:top w:val="nil"/>
              <w:left w:val="nil"/>
              <w:bottom w:val="single" w:sz="4" w:space="0" w:color="auto"/>
              <w:right w:val="nil"/>
            </w:tcBorders>
            <w:shd w:val="clear" w:color="auto" w:fill="auto"/>
            <w:noWrap/>
            <w:vAlign w:val="center"/>
            <w:hideMark/>
          </w:tcPr>
          <w:p w14:paraId="5C9C9207" w14:textId="77777777" w:rsidR="00220522" w:rsidRPr="00724D7B" w:rsidRDefault="00220522" w:rsidP="00220522">
            <w:pPr>
              <w:pBdr>
                <w:top w:val="none" w:sz="0" w:space="0" w:color="auto"/>
                <w:left w:val="none" w:sz="0" w:space="0" w:color="auto"/>
                <w:bottom w:val="none" w:sz="0" w:space="0" w:color="auto"/>
                <w:right w:val="none" w:sz="0" w:space="0" w:color="auto"/>
                <w:between w:val="none" w:sz="0" w:space="0" w:color="auto"/>
                <w:bar w:val="none" w:sz="0" w:color="auto"/>
              </w:pBdr>
              <w:outlineLvl w:val="9"/>
              <w:rPr>
                <w:rFonts w:eastAsia="Times New Roman"/>
                <w:sz w:val="16"/>
                <w:szCs w:val="16"/>
                <w:bdr w:val="none" w:sz="0" w:space="0" w:color="auto"/>
                <w:lang w:eastAsia="es-ES"/>
              </w:rPr>
            </w:pPr>
            <w:r w:rsidRPr="00724D7B">
              <w:rPr>
                <w:rFonts w:eastAsia="Times New Roman"/>
                <w:sz w:val="16"/>
                <w:szCs w:val="16"/>
                <w:bdr w:val="none" w:sz="0" w:space="0" w:color="auto"/>
                <w:lang w:eastAsia="es-ES"/>
              </w:rPr>
              <w:t>Otras variaciones</w:t>
            </w:r>
          </w:p>
        </w:tc>
        <w:tc>
          <w:tcPr>
            <w:tcW w:w="545" w:type="pct"/>
            <w:tcBorders>
              <w:top w:val="nil"/>
              <w:left w:val="nil"/>
              <w:bottom w:val="single" w:sz="4" w:space="0" w:color="auto"/>
              <w:right w:val="nil"/>
            </w:tcBorders>
            <w:shd w:val="clear" w:color="auto" w:fill="auto"/>
            <w:noWrap/>
            <w:vAlign w:val="center"/>
          </w:tcPr>
          <w:p w14:paraId="7D9AEDD5" w14:textId="7D9AAE8B" w:rsidR="00220522" w:rsidRPr="00220522" w:rsidRDefault="00220522" w:rsidP="00220522">
            <w:pPr>
              <w:pBdr>
                <w:top w:val="none" w:sz="0" w:space="0" w:color="auto"/>
                <w:left w:val="none" w:sz="0" w:space="0" w:color="auto"/>
                <w:bottom w:val="none" w:sz="0" w:space="0" w:color="auto"/>
                <w:right w:val="none" w:sz="0" w:space="0" w:color="auto"/>
                <w:between w:val="none" w:sz="0" w:space="0" w:color="auto"/>
                <w:bar w:val="none" w:sz="0" w:color="auto"/>
              </w:pBdr>
              <w:jc w:val="right"/>
              <w:outlineLvl w:val="9"/>
              <w:rPr>
                <w:rFonts w:eastAsia="Times New Roman"/>
                <w:sz w:val="16"/>
                <w:szCs w:val="16"/>
                <w:bdr w:val="none" w:sz="0" w:space="0" w:color="auto"/>
                <w:lang w:eastAsia="es-ES"/>
              </w:rPr>
            </w:pPr>
            <w:r w:rsidRPr="00220522">
              <w:rPr>
                <w:b/>
                <w:bCs/>
                <w:sz w:val="16"/>
                <w:szCs w:val="16"/>
              </w:rPr>
              <w:t xml:space="preserve"> -</w:t>
            </w:r>
          </w:p>
        </w:tc>
        <w:tc>
          <w:tcPr>
            <w:tcW w:w="711" w:type="pct"/>
            <w:tcBorders>
              <w:top w:val="nil"/>
              <w:left w:val="nil"/>
              <w:bottom w:val="single" w:sz="4" w:space="0" w:color="auto"/>
              <w:right w:val="nil"/>
            </w:tcBorders>
            <w:shd w:val="clear" w:color="auto" w:fill="auto"/>
            <w:noWrap/>
            <w:vAlign w:val="center"/>
          </w:tcPr>
          <w:p w14:paraId="75B79389" w14:textId="4E762706" w:rsidR="00220522" w:rsidRPr="00220522" w:rsidRDefault="00220522" w:rsidP="00220522">
            <w:pPr>
              <w:pBdr>
                <w:top w:val="none" w:sz="0" w:space="0" w:color="auto"/>
                <w:left w:val="none" w:sz="0" w:space="0" w:color="auto"/>
                <w:bottom w:val="none" w:sz="0" w:space="0" w:color="auto"/>
                <w:right w:val="none" w:sz="0" w:space="0" w:color="auto"/>
                <w:between w:val="none" w:sz="0" w:space="0" w:color="auto"/>
                <w:bar w:val="none" w:sz="0" w:color="auto"/>
              </w:pBdr>
              <w:jc w:val="right"/>
              <w:outlineLvl w:val="9"/>
              <w:rPr>
                <w:rFonts w:eastAsia="Times New Roman"/>
                <w:sz w:val="16"/>
                <w:szCs w:val="16"/>
                <w:bdr w:val="none" w:sz="0" w:space="0" w:color="auto"/>
                <w:lang w:eastAsia="es-ES"/>
              </w:rPr>
            </w:pPr>
            <w:r>
              <w:rPr>
                <w:sz w:val="16"/>
                <w:szCs w:val="16"/>
              </w:rPr>
              <w:t xml:space="preserve"> -</w:t>
            </w:r>
          </w:p>
        </w:tc>
        <w:tc>
          <w:tcPr>
            <w:tcW w:w="709" w:type="pct"/>
            <w:tcBorders>
              <w:top w:val="nil"/>
              <w:left w:val="nil"/>
              <w:bottom w:val="single" w:sz="4" w:space="0" w:color="auto"/>
              <w:right w:val="nil"/>
            </w:tcBorders>
            <w:shd w:val="clear" w:color="auto" w:fill="auto"/>
            <w:noWrap/>
            <w:vAlign w:val="center"/>
          </w:tcPr>
          <w:p w14:paraId="1EA3D69F" w14:textId="697AA0B5" w:rsidR="00220522" w:rsidRPr="00220522" w:rsidRDefault="00220522" w:rsidP="00220522">
            <w:pPr>
              <w:pBdr>
                <w:top w:val="none" w:sz="0" w:space="0" w:color="auto"/>
                <w:left w:val="none" w:sz="0" w:space="0" w:color="auto"/>
                <w:bottom w:val="none" w:sz="0" w:space="0" w:color="auto"/>
                <w:right w:val="none" w:sz="0" w:space="0" w:color="auto"/>
                <w:between w:val="none" w:sz="0" w:space="0" w:color="auto"/>
                <w:bar w:val="none" w:sz="0" w:color="auto"/>
              </w:pBdr>
              <w:jc w:val="right"/>
              <w:outlineLvl w:val="9"/>
              <w:rPr>
                <w:rFonts w:eastAsia="Times New Roman"/>
                <w:sz w:val="16"/>
                <w:szCs w:val="16"/>
                <w:bdr w:val="none" w:sz="0" w:space="0" w:color="auto"/>
                <w:lang w:eastAsia="es-ES"/>
              </w:rPr>
            </w:pPr>
            <w:r>
              <w:rPr>
                <w:sz w:val="16"/>
                <w:szCs w:val="16"/>
              </w:rPr>
              <w:t xml:space="preserve"> -</w:t>
            </w:r>
          </w:p>
        </w:tc>
        <w:tc>
          <w:tcPr>
            <w:tcW w:w="651" w:type="pct"/>
            <w:tcBorders>
              <w:top w:val="nil"/>
              <w:left w:val="nil"/>
              <w:bottom w:val="single" w:sz="4" w:space="0" w:color="auto"/>
              <w:right w:val="nil"/>
            </w:tcBorders>
            <w:shd w:val="clear" w:color="auto" w:fill="auto"/>
            <w:noWrap/>
            <w:vAlign w:val="center"/>
          </w:tcPr>
          <w:p w14:paraId="0E6D6250" w14:textId="2619F370" w:rsidR="00220522" w:rsidRPr="00220522" w:rsidRDefault="00220522" w:rsidP="00220522">
            <w:pPr>
              <w:pBdr>
                <w:top w:val="none" w:sz="0" w:space="0" w:color="auto"/>
                <w:left w:val="none" w:sz="0" w:space="0" w:color="auto"/>
                <w:bottom w:val="none" w:sz="0" w:space="0" w:color="auto"/>
                <w:right w:val="none" w:sz="0" w:space="0" w:color="auto"/>
                <w:between w:val="none" w:sz="0" w:space="0" w:color="auto"/>
                <w:bar w:val="none" w:sz="0" w:color="auto"/>
              </w:pBdr>
              <w:jc w:val="right"/>
              <w:outlineLvl w:val="9"/>
              <w:rPr>
                <w:rFonts w:eastAsia="Times New Roman"/>
                <w:sz w:val="16"/>
                <w:szCs w:val="16"/>
                <w:bdr w:val="none" w:sz="0" w:space="0" w:color="auto"/>
                <w:lang w:eastAsia="es-ES"/>
              </w:rPr>
            </w:pPr>
            <w:r>
              <w:rPr>
                <w:sz w:val="16"/>
                <w:szCs w:val="16"/>
              </w:rPr>
              <w:t xml:space="preserve"> -</w:t>
            </w:r>
          </w:p>
        </w:tc>
        <w:tc>
          <w:tcPr>
            <w:tcW w:w="712" w:type="pct"/>
            <w:tcBorders>
              <w:top w:val="nil"/>
              <w:left w:val="nil"/>
              <w:bottom w:val="single" w:sz="4" w:space="0" w:color="auto"/>
              <w:right w:val="nil"/>
            </w:tcBorders>
            <w:shd w:val="clear" w:color="auto" w:fill="auto"/>
            <w:noWrap/>
            <w:vAlign w:val="center"/>
          </w:tcPr>
          <w:p w14:paraId="156154A8" w14:textId="37761738" w:rsidR="00220522" w:rsidRPr="00220522" w:rsidRDefault="00220522" w:rsidP="00220522">
            <w:pPr>
              <w:pBdr>
                <w:top w:val="none" w:sz="0" w:space="0" w:color="auto"/>
                <w:left w:val="none" w:sz="0" w:space="0" w:color="auto"/>
                <w:bottom w:val="none" w:sz="0" w:space="0" w:color="auto"/>
                <w:right w:val="none" w:sz="0" w:space="0" w:color="auto"/>
                <w:between w:val="none" w:sz="0" w:space="0" w:color="auto"/>
                <w:bar w:val="none" w:sz="0" w:color="auto"/>
              </w:pBdr>
              <w:jc w:val="right"/>
              <w:outlineLvl w:val="9"/>
              <w:rPr>
                <w:rFonts w:eastAsia="Times New Roman"/>
                <w:sz w:val="16"/>
                <w:szCs w:val="16"/>
                <w:bdr w:val="none" w:sz="0" w:space="0" w:color="auto"/>
                <w:lang w:eastAsia="es-ES"/>
              </w:rPr>
            </w:pPr>
            <w:r>
              <w:rPr>
                <w:sz w:val="16"/>
                <w:szCs w:val="16"/>
              </w:rPr>
              <w:t xml:space="preserve"> -</w:t>
            </w:r>
          </w:p>
        </w:tc>
      </w:tr>
      <w:tr w:rsidR="00220522" w:rsidRPr="00724D7B" w14:paraId="21387E3E" w14:textId="77777777" w:rsidTr="00220522">
        <w:trPr>
          <w:trHeight w:val="283"/>
        </w:trPr>
        <w:tc>
          <w:tcPr>
            <w:tcW w:w="1672" w:type="pct"/>
            <w:tcBorders>
              <w:top w:val="single" w:sz="4" w:space="0" w:color="auto"/>
              <w:left w:val="nil"/>
              <w:bottom w:val="single" w:sz="4" w:space="0" w:color="auto"/>
              <w:right w:val="nil"/>
            </w:tcBorders>
            <w:shd w:val="clear" w:color="auto" w:fill="F2F2F2" w:themeFill="background1" w:themeFillShade="F2"/>
            <w:noWrap/>
            <w:vAlign w:val="center"/>
            <w:hideMark/>
          </w:tcPr>
          <w:p w14:paraId="6957CC76" w14:textId="7BB965B8" w:rsidR="00220522" w:rsidRPr="00724D7B" w:rsidRDefault="00220522" w:rsidP="00220522">
            <w:pPr>
              <w:pBdr>
                <w:top w:val="none" w:sz="0" w:space="0" w:color="auto"/>
                <w:left w:val="none" w:sz="0" w:space="0" w:color="auto"/>
                <w:bottom w:val="none" w:sz="0" w:space="0" w:color="auto"/>
                <w:right w:val="none" w:sz="0" w:space="0" w:color="auto"/>
                <w:between w:val="none" w:sz="0" w:space="0" w:color="auto"/>
                <w:bar w:val="none" w:sz="0" w:color="auto"/>
              </w:pBdr>
              <w:outlineLvl w:val="9"/>
              <w:rPr>
                <w:rFonts w:eastAsia="Times New Roman"/>
                <w:b/>
                <w:bCs/>
                <w:sz w:val="16"/>
                <w:szCs w:val="16"/>
                <w:bdr w:val="none" w:sz="0" w:space="0" w:color="auto"/>
                <w:lang w:eastAsia="es-ES"/>
              </w:rPr>
            </w:pPr>
            <w:r w:rsidRPr="00724D7B">
              <w:rPr>
                <w:rFonts w:eastAsia="Times New Roman"/>
                <w:b/>
                <w:bCs/>
                <w:sz w:val="16"/>
                <w:szCs w:val="16"/>
                <w:bdr w:val="none" w:sz="0" w:space="0" w:color="auto"/>
                <w:lang w:eastAsia="es-ES"/>
              </w:rPr>
              <w:t>SALDO, FINAL 31.12.2</w:t>
            </w:r>
            <w:r>
              <w:rPr>
                <w:rFonts w:eastAsia="Times New Roman"/>
                <w:b/>
                <w:bCs/>
                <w:sz w:val="16"/>
                <w:szCs w:val="16"/>
                <w:bdr w:val="none" w:sz="0" w:space="0" w:color="auto"/>
                <w:lang w:eastAsia="es-ES"/>
              </w:rPr>
              <w:t>4</w:t>
            </w:r>
          </w:p>
        </w:tc>
        <w:tc>
          <w:tcPr>
            <w:tcW w:w="545" w:type="pct"/>
            <w:tcBorders>
              <w:top w:val="single" w:sz="4" w:space="0" w:color="auto"/>
              <w:left w:val="nil"/>
              <w:bottom w:val="single" w:sz="4" w:space="0" w:color="auto"/>
              <w:right w:val="nil"/>
            </w:tcBorders>
            <w:shd w:val="clear" w:color="auto" w:fill="F2F2F2" w:themeFill="background1" w:themeFillShade="F2"/>
            <w:noWrap/>
            <w:vAlign w:val="center"/>
          </w:tcPr>
          <w:p w14:paraId="684BCBAB" w14:textId="18059823" w:rsidR="00220522" w:rsidRPr="00220522" w:rsidRDefault="00220522" w:rsidP="00220522">
            <w:pPr>
              <w:pBdr>
                <w:top w:val="none" w:sz="0" w:space="0" w:color="auto"/>
                <w:left w:val="none" w:sz="0" w:space="0" w:color="auto"/>
                <w:bottom w:val="none" w:sz="0" w:space="0" w:color="auto"/>
                <w:right w:val="none" w:sz="0" w:space="0" w:color="auto"/>
                <w:between w:val="none" w:sz="0" w:space="0" w:color="auto"/>
                <w:bar w:val="none" w:sz="0" w:color="auto"/>
              </w:pBdr>
              <w:jc w:val="right"/>
              <w:outlineLvl w:val="9"/>
              <w:rPr>
                <w:rFonts w:eastAsia="Times New Roman"/>
                <w:b/>
                <w:bCs/>
                <w:sz w:val="16"/>
                <w:szCs w:val="16"/>
                <w:bdr w:val="none" w:sz="0" w:space="0" w:color="auto"/>
                <w:lang w:eastAsia="es-ES"/>
              </w:rPr>
            </w:pPr>
            <w:r w:rsidRPr="00220522">
              <w:rPr>
                <w:b/>
                <w:bCs/>
                <w:sz w:val="16"/>
                <w:szCs w:val="16"/>
              </w:rPr>
              <w:t>600.000,00</w:t>
            </w:r>
          </w:p>
        </w:tc>
        <w:tc>
          <w:tcPr>
            <w:tcW w:w="711" w:type="pct"/>
            <w:tcBorders>
              <w:top w:val="single" w:sz="4" w:space="0" w:color="auto"/>
              <w:left w:val="nil"/>
              <w:bottom w:val="single" w:sz="4" w:space="0" w:color="auto"/>
              <w:right w:val="nil"/>
            </w:tcBorders>
            <w:shd w:val="clear" w:color="auto" w:fill="F2F2F2" w:themeFill="background1" w:themeFillShade="F2"/>
            <w:noWrap/>
            <w:vAlign w:val="center"/>
          </w:tcPr>
          <w:p w14:paraId="7CE49721" w14:textId="7D81686E" w:rsidR="00220522" w:rsidRPr="00220522" w:rsidRDefault="00220522" w:rsidP="00220522">
            <w:pPr>
              <w:pBdr>
                <w:top w:val="none" w:sz="0" w:space="0" w:color="auto"/>
                <w:left w:val="none" w:sz="0" w:space="0" w:color="auto"/>
                <w:bottom w:val="none" w:sz="0" w:space="0" w:color="auto"/>
                <w:right w:val="none" w:sz="0" w:space="0" w:color="auto"/>
                <w:between w:val="none" w:sz="0" w:space="0" w:color="auto"/>
                <w:bar w:val="none" w:sz="0" w:color="auto"/>
              </w:pBdr>
              <w:jc w:val="right"/>
              <w:outlineLvl w:val="9"/>
              <w:rPr>
                <w:rFonts w:eastAsia="Times New Roman"/>
                <w:b/>
                <w:bCs/>
                <w:sz w:val="16"/>
                <w:szCs w:val="16"/>
                <w:bdr w:val="none" w:sz="0" w:space="0" w:color="auto"/>
                <w:lang w:eastAsia="es-ES"/>
              </w:rPr>
            </w:pPr>
            <w:r>
              <w:rPr>
                <w:b/>
                <w:bCs/>
                <w:sz w:val="16"/>
                <w:szCs w:val="16"/>
              </w:rPr>
              <w:t>3.590.000,00</w:t>
            </w:r>
          </w:p>
        </w:tc>
        <w:tc>
          <w:tcPr>
            <w:tcW w:w="709" w:type="pct"/>
            <w:tcBorders>
              <w:top w:val="single" w:sz="4" w:space="0" w:color="auto"/>
              <w:left w:val="nil"/>
              <w:bottom w:val="single" w:sz="4" w:space="0" w:color="auto"/>
              <w:right w:val="nil"/>
            </w:tcBorders>
            <w:shd w:val="clear" w:color="auto" w:fill="F2F2F2" w:themeFill="background1" w:themeFillShade="F2"/>
            <w:noWrap/>
            <w:vAlign w:val="center"/>
          </w:tcPr>
          <w:p w14:paraId="6886C492" w14:textId="03098032" w:rsidR="00220522" w:rsidRPr="00220522" w:rsidRDefault="00220522" w:rsidP="00220522">
            <w:pPr>
              <w:pBdr>
                <w:top w:val="none" w:sz="0" w:space="0" w:color="auto"/>
                <w:left w:val="none" w:sz="0" w:space="0" w:color="auto"/>
                <w:bottom w:val="none" w:sz="0" w:space="0" w:color="auto"/>
                <w:right w:val="none" w:sz="0" w:space="0" w:color="auto"/>
                <w:between w:val="none" w:sz="0" w:space="0" w:color="auto"/>
                <w:bar w:val="none" w:sz="0" w:color="auto"/>
              </w:pBdr>
              <w:jc w:val="right"/>
              <w:outlineLvl w:val="9"/>
              <w:rPr>
                <w:rFonts w:eastAsia="Times New Roman"/>
                <w:b/>
                <w:bCs/>
                <w:sz w:val="16"/>
                <w:szCs w:val="16"/>
                <w:bdr w:val="none" w:sz="0" w:space="0" w:color="auto"/>
                <w:lang w:eastAsia="es-ES"/>
              </w:rPr>
            </w:pPr>
            <w:r>
              <w:rPr>
                <w:b/>
                <w:bCs/>
                <w:sz w:val="16"/>
                <w:szCs w:val="16"/>
              </w:rPr>
              <w:t>(3.590.000,00)</w:t>
            </w:r>
          </w:p>
        </w:tc>
        <w:tc>
          <w:tcPr>
            <w:tcW w:w="651" w:type="pct"/>
            <w:tcBorders>
              <w:top w:val="single" w:sz="4" w:space="0" w:color="auto"/>
              <w:left w:val="nil"/>
              <w:bottom w:val="single" w:sz="4" w:space="0" w:color="auto"/>
              <w:right w:val="nil"/>
            </w:tcBorders>
            <w:shd w:val="clear" w:color="auto" w:fill="F2F2F2" w:themeFill="background1" w:themeFillShade="F2"/>
            <w:noWrap/>
            <w:vAlign w:val="center"/>
          </w:tcPr>
          <w:p w14:paraId="15301159" w14:textId="57E484AC" w:rsidR="00220522" w:rsidRPr="00220522" w:rsidRDefault="00220522" w:rsidP="00220522">
            <w:pPr>
              <w:pBdr>
                <w:top w:val="none" w:sz="0" w:space="0" w:color="auto"/>
                <w:left w:val="none" w:sz="0" w:space="0" w:color="auto"/>
                <w:bottom w:val="none" w:sz="0" w:space="0" w:color="auto"/>
                <w:right w:val="none" w:sz="0" w:space="0" w:color="auto"/>
                <w:between w:val="none" w:sz="0" w:space="0" w:color="auto"/>
                <w:bar w:val="none" w:sz="0" w:color="auto"/>
              </w:pBdr>
              <w:jc w:val="right"/>
              <w:outlineLvl w:val="9"/>
              <w:rPr>
                <w:rFonts w:eastAsia="Times New Roman"/>
                <w:b/>
                <w:bCs/>
                <w:sz w:val="16"/>
                <w:szCs w:val="16"/>
                <w:bdr w:val="none" w:sz="0" w:space="0" w:color="auto"/>
                <w:lang w:eastAsia="es-ES"/>
              </w:rPr>
            </w:pPr>
            <w:r>
              <w:rPr>
                <w:b/>
                <w:bCs/>
                <w:sz w:val="16"/>
                <w:szCs w:val="16"/>
              </w:rPr>
              <w:t>28.329,22</w:t>
            </w:r>
          </w:p>
        </w:tc>
        <w:tc>
          <w:tcPr>
            <w:tcW w:w="712" w:type="pct"/>
            <w:tcBorders>
              <w:top w:val="single" w:sz="4" w:space="0" w:color="auto"/>
              <w:left w:val="nil"/>
              <w:bottom w:val="single" w:sz="4" w:space="0" w:color="auto"/>
              <w:right w:val="nil"/>
            </w:tcBorders>
            <w:shd w:val="clear" w:color="auto" w:fill="F2F2F2" w:themeFill="background1" w:themeFillShade="F2"/>
            <w:noWrap/>
            <w:vAlign w:val="center"/>
          </w:tcPr>
          <w:p w14:paraId="701643EB" w14:textId="69873163" w:rsidR="00220522" w:rsidRPr="00220522" w:rsidRDefault="00220522" w:rsidP="00220522">
            <w:pPr>
              <w:pBdr>
                <w:top w:val="none" w:sz="0" w:space="0" w:color="auto"/>
                <w:left w:val="none" w:sz="0" w:space="0" w:color="auto"/>
                <w:bottom w:val="none" w:sz="0" w:space="0" w:color="auto"/>
                <w:right w:val="none" w:sz="0" w:space="0" w:color="auto"/>
                <w:between w:val="none" w:sz="0" w:space="0" w:color="auto"/>
                <w:bar w:val="none" w:sz="0" w:color="auto"/>
              </w:pBdr>
              <w:jc w:val="right"/>
              <w:outlineLvl w:val="9"/>
              <w:rPr>
                <w:rFonts w:eastAsia="Times New Roman"/>
                <w:b/>
                <w:bCs/>
                <w:sz w:val="16"/>
                <w:szCs w:val="16"/>
                <w:bdr w:val="none" w:sz="0" w:space="0" w:color="auto"/>
                <w:lang w:eastAsia="es-ES"/>
              </w:rPr>
            </w:pPr>
            <w:r>
              <w:rPr>
                <w:b/>
                <w:bCs/>
                <w:sz w:val="16"/>
                <w:szCs w:val="16"/>
              </w:rPr>
              <w:t>628.329,22</w:t>
            </w:r>
          </w:p>
        </w:tc>
      </w:tr>
    </w:tbl>
    <w:p w14:paraId="321DFA29" w14:textId="7B68286F" w:rsidR="003A4111" w:rsidRPr="00BA5560" w:rsidRDefault="006220A2" w:rsidP="00BA5560">
      <w:pPr>
        <w:widowControl w:val="0"/>
        <w:tabs>
          <w:tab w:val="left" w:pos="737"/>
          <w:tab w:val="left" w:pos="1474"/>
          <w:tab w:val="left" w:pos="2324"/>
          <w:tab w:val="left" w:pos="4320"/>
          <w:tab w:val="left" w:pos="5040"/>
          <w:tab w:val="left" w:pos="5760"/>
          <w:tab w:val="left" w:pos="6480"/>
          <w:tab w:val="decimal" w:pos="6520"/>
          <w:tab w:val="left" w:pos="7200"/>
          <w:tab w:val="left" w:pos="7920"/>
          <w:tab w:val="right" w:pos="8505"/>
          <w:tab w:val="left" w:pos="8640"/>
        </w:tabs>
        <w:spacing w:before="120"/>
        <w:jc w:val="center"/>
        <w:outlineLvl w:val="9"/>
        <w:rPr>
          <w:i/>
          <w:iCs/>
          <w:sz w:val="18"/>
          <w:szCs w:val="18"/>
        </w:rPr>
      </w:pPr>
      <w:r w:rsidRPr="00BA5560">
        <w:rPr>
          <w:i/>
          <w:iCs/>
          <w:sz w:val="18"/>
          <w:szCs w:val="18"/>
        </w:rPr>
        <w:t>Las Cuentas Anuales de la Sociedad, que forman una sola unidad, comprenden este Estado de Cambios en el Patrimonio Neto, el Balance, la Cuenta de Pérdidas y Ganancias, el Estado de Flujos de Efectivo adjuntos y la Memoria Anual adjunta q</w:t>
      </w:r>
      <w:r w:rsidR="00A721D1" w:rsidRPr="00BA5560">
        <w:rPr>
          <w:i/>
          <w:iCs/>
          <w:sz w:val="18"/>
          <w:szCs w:val="18"/>
        </w:rPr>
        <w:t>ue consta de 20</w:t>
      </w:r>
      <w:r w:rsidRPr="00BA5560">
        <w:rPr>
          <w:i/>
          <w:iCs/>
          <w:sz w:val="18"/>
          <w:szCs w:val="18"/>
        </w:rPr>
        <w:t xml:space="preserve"> Notas</w:t>
      </w:r>
      <w:r w:rsidRPr="00BA5560">
        <w:rPr>
          <w:i/>
          <w:iCs/>
          <w:sz w:val="18"/>
          <w:szCs w:val="18"/>
        </w:rPr>
        <w:br w:type="page"/>
      </w:r>
    </w:p>
    <w:p w14:paraId="41E1DBDD" w14:textId="77777777" w:rsidR="006220A2" w:rsidRPr="00C16D40" w:rsidRDefault="006220A2" w:rsidP="006220A2">
      <w:pPr>
        <w:widowControl w:val="0"/>
        <w:tabs>
          <w:tab w:val="left" w:pos="284"/>
          <w:tab w:val="left" w:pos="567"/>
          <w:tab w:val="left" w:pos="851"/>
        </w:tabs>
        <w:rPr>
          <w:b/>
          <w:snapToGrid w:val="0"/>
          <w:sz w:val="20"/>
        </w:rPr>
      </w:pPr>
      <w:r w:rsidRPr="00C16D40">
        <w:rPr>
          <w:b/>
          <w:snapToGrid w:val="0"/>
          <w:sz w:val="20"/>
        </w:rPr>
        <w:t>PROMOTUR TURISMO CANARIAS, S.A.</w:t>
      </w:r>
    </w:p>
    <w:p w14:paraId="2A3FB7D1" w14:textId="23D9F722" w:rsidR="006220A2" w:rsidRPr="00C16D40" w:rsidRDefault="006220A2" w:rsidP="002E3C11">
      <w:pPr>
        <w:widowControl w:val="0"/>
        <w:tabs>
          <w:tab w:val="left" w:pos="284"/>
          <w:tab w:val="left" w:pos="567"/>
          <w:tab w:val="left" w:pos="851"/>
        </w:tabs>
        <w:spacing w:after="120"/>
        <w:jc w:val="both"/>
        <w:rPr>
          <w:szCs w:val="18"/>
        </w:rPr>
      </w:pPr>
      <w:r w:rsidRPr="00C16D40">
        <w:rPr>
          <w:b/>
          <w:sz w:val="20"/>
        </w:rPr>
        <w:t>ESTADO DE FLUJOS DE EFECTIVO CORRESPONDIENTE AL EJERCICIO ANUAL TERM</w:t>
      </w:r>
      <w:r w:rsidR="00026BFA" w:rsidRPr="00C16D40">
        <w:rPr>
          <w:b/>
          <w:sz w:val="20"/>
        </w:rPr>
        <w:t>INADO EL 31 DE DICIEMBRE DE 20</w:t>
      </w:r>
      <w:r w:rsidR="00135E45" w:rsidRPr="00C16D40">
        <w:rPr>
          <w:b/>
          <w:sz w:val="20"/>
        </w:rPr>
        <w:t>2</w:t>
      </w:r>
      <w:r w:rsidR="00680BE3">
        <w:rPr>
          <w:b/>
          <w:sz w:val="20"/>
        </w:rPr>
        <w:t>4</w:t>
      </w:r>
      <w:r w:rsidRPr="00C16D40">
        <w:rPr>
          <w:b/>
          <w:sz w:val="20"/>
        </w:rPr>
        <w:t xml:space="preserve"> Y 20</w:t>
      </w:r>
      <w:r w:rsidR="00222A9D" w:rsidRPr="00C16D40">
        <w:rPr>
          <w:b/>
          <w:sz w:val="20"/>
        </w:rPr>
        <w:t>2</w:t>
      </w:r>
      <w:r w:rsidR="00680BE3">
        <w:rPr>
          <w:b/>
          <w:sz w:val="20"/>
        </w:rPr>
        <w:t>3</w:t>
      </w:r>
      <w:r w:rsidRPr="00C16D40">
        <w:rPr>
          <w:b/>
          <w:sz w:val="20"/>
        </w:rPr>
        <w:t xml:space="preserve"> </w:t>
      </w:r>
      <w:r w:rsidRPr="00C16D40">
        <w:rPr>
          <w:b/>
          <w:bCs/>
          <w:sz w:val="20"/>
        </w:rPr>
        <w:t>(Expresado en euros)</w:t>
      </w:r>
    </w:p>
    <w:tbl>
      <w:tblPr>
        <w:tblW w:w="5000" w:type="pct"/>
        <w:tblCellMar>
          <w:left w:w="70" w:type="dxa"/>
          <w:right w:w="70" w:type="dxa"/>
        </w:tblCellMar>
        <w:tblLook w:val="04A0" w:firstRow="1" w:lastRow="0" w:firstColumn="1" w:lastColumn="0" w:noHBand="0" w:noVBand="1"/>
      </w:tblPr>
      <w:tblGrid>
        <w:gridCol w:w="5448"/>
        <w:gridCol w:w="865"/>
        <w:gridCol w:w="1331"/>
        <w:gridCol w:w="1421"/>
      </w:tblGrid>
      <w:tr w:rsidR="00BA5560" w:rsidRPr="00C16D40" w14:paraId="25025DE5" w14:textId="77777777" w:rsidTr="00BA5560">
        <w:trPr>
          <w:trHeight w:val="283"/>
        </w:trPr>
        <w:tc>
          <w:tcPr>
            <w:tcW w:w="3005" w:type="pct"/>
            <w:tcBorders>
              <w:top w:val="single" w:sz="4" w:space="0" w:color="auto"/>
              <w:left w:val="nil"/>
              <w:bottom w:val="single" w:sz="4" w:space="0" w:color="auto"/>
              <w:right w:val="nil"/>
            </w:tcBorders>
            <w:shd w:val="clear" w:color="auto" w:fill="D9D9D9" w:themeFill="background1" w:themeFillShade="D9"/>
            <w:vAlign w:val="bottom"/>
            <w:hideMark/>
          </w:tcPr>
          <w:p w14:paraId="67C6D3FF" w14:textId="1D9A7E77" w:rsidR="00BA5560" w:rsidRPr="00C16D40" w:rsidRDefault="00BA5560" w:rsidP="002E3C11">
            <w:pPr>
              <w:pBdr>
                <w:top w:val="none" w:sz="0" w:space="0" w:color="auto"/>
                <w:left w:val="none" w:sz="0" w:space="0" w:color="auto"/>
                <w:bottom w:val="none" w:sz="0" w:space="0" w:color="auto"/>
                <w:right w:val="none" w:sz="0" w:space="0" w:color="auto"/>
                <w:between w:val="none" w:sz="0" w:space="0" w:color="auto"/>
                <w:bar w:val="none" w:sz="0" w:color="auto"/>
              </w:pBdr>
              <w:jc w:val="center"/>
              <w:outlineLvl w:val="9"/>
              <w:rPr>
                <w:rFonts w:eastAsia="Times New Roman"/>
                <w:color w:val="auto"/>
                <w:sz w:val="16"/>
                <w:szCs w:val="16"/>
                <w:bdr w:val="none" w:sz="0" w:space="0" w:color="auto"/>
                <w:lang w:eastAsia="es-ES"/>
              </w:rPr>
            </w:pPr>
          </w:p>
        </w:tc>
        <w:tc>
          <w:tcPr>
            <w:tcW w:w="477" w:type="pct"/>
            <w:tcBorders>
              <w:top w:val="single" w:sz="4" w:space="0" w:color="auto"/>
              <w:left w:val="nil"/>
              <w:bottom w:val="single" w:sz="4" w:space="0" w:color="auto"/>
              <w:right w:val="nil"/>
            </w:tcBorders>
            <w:shd w:val="clear" w:color="auto" w:fill="D9D9D9" w:themeFill="background1" w:themeFillShade="D9"/>
            <w:vAlign w:val="bottom"/>
            <w:hideMark/>
          </w:tcPr>
          <w:p w14:paraId="72D492C4" w14:textId="77777777" w:rsidR="00BA5560" w:rsidRPr="00C16D40" w:rsidRDefault="00BA5560" w:rsidP="002E3C11">
            <w:pPr>
              <w:pBdr>
                <w:top w:val="none" w:sz="0" w:space="0" w:color="auto"/>
                <w:left w:val="none" w:sz="0" w:space="0" w:color="auto"/>
                <w:bottom w:val="none" w:sz="0" w:space="0" w:color="auto"/>
                <w:right w:val="none" w:sz="0" w:space="0" w:color="auto"/>
                <w:between w:val="none" w:sz="0" w:space="0" w:color="auto"/>
                <w:bar w:val="none" w:sz="0" w:color="auto"/>
              </w:pBdr>
              <w:jc w:val="center"/>
              <w:outlineLvl w:val="9"/>
              <w:rPr>
                <w:rFonts w:eastAsia="Times New Roman"/>
                <w:b/>
                <w:bCs/>
                <w:color w:val="auto"/>
                <w:sz w:val="16"/>
                <w:szCs w:val="16"/>
                <w:bdr w:val="none" w:sz="0" w:space="0" w:color="auto"/>
                <w:lang w:eastAsia="es-ES"/>
              </w:rPr>
            </w:pPr>
            <w:r w:rsidRPr="00C16D40">
              <w:rPr>
                <w:rFonts w:eastAsia="Times New Roman"/>
                <w:b/>
                <w:bCs/>
                <w:color w:val="auto"/>
                <w:sz w:val="16"/>
                <w:szCs w:val="16"/>
                <w:bdr w:val="none" w:sz="0" w:space="0" w:color="auto"/>
                <w:lang w:eastAsia="es-ES"/>
              </w:rPr>
              <w:t>Notas</w:t>
            </w:r>
          </w:p>
          <w:p w14:paraId="51BFDBBE" w14:textId="462D882F" w:rsidR="00BA5560" w:rsidRPr="00C16D40" w:rsidRDefault="00BA5560" w:rsidP="002E3C11">
            <w:pPr>
              <w:pBdr>
                <w:top w:val="none" w:sz="0" w:space="0" w:color="auto"/>
                <w:left w:val="none" w:sz="0" w:space="0" w:color="auto"/>
                <w:bottom w:val="none" w:sz="0" w:space="0" w:color="auto"/>
                <w:right w:val="none" w:sz="0" w:space="0" w:color="auto"/>
                <w:between w:val="none" w:sz="0" w:space="0" w:color="auto"/>
                <w:bar w:val="none" w:sz="0" w:color="auto"/>
              </w:pBdr>
              <w:jc w:val="center"/>
              <w:outlineLvl w:val="9"/>
              <w:rPr>
                <w:rFonts w:eastAsia="Times New Roman"/>
                <w:b/>
                <w:bCs/>
                <w:color w:val="auto"/>
                <w:sz w:val="16"/>
                <w:szCs w:val="16"/>
                <w:bdr w:val="none" w:sz="0" w:space="0" w:color="auto"/>
                <w:lang w:eastAsia="es-ES"/>
              </w:rPr>
            </w:pPr>
            <w:r w:rsidRPr="00C16D40">
              <w:rPr>
                <w:rFonts w:eastAsia="Times New Roman"/>
                <w:b/>
                <w:bCs/>
                <w:color w:val="auto"/>
                <w:sz w:val="16"/>
                <w:szCs w:val="16"/>
                <w:bdr w:val="none" w:sz="0" w:space="0" w:color="auto"/>
                <w:lang w:eastAsia="es-ES"/>
              </w:rPr>
              <w:t>Memoria</w:t>
            </w:r>
          </w:p>
        </w:tc>
        <w:tc>
          <w:tcPr>
            <w:tcW w:w="734" w:type="pct"/>
            <w:tcBorders>
              <w:top w:val="single" w:sz="4" w:space="0" w:color="auto"/>
              <w:left w:val="nil"/>
              <w:bottom w:val="single" w:sz="4" w:space="0" w:color="auto"/>
              <w:right w:val="nil"/>
            </w:tcBorders>
            <w:shd w:val="clear" w:color="auto" w:fill="D9D9D9" w:themeFill="background1" w:themeFillShade="D9"/>
            <w:vAlign w:val="bottom"/>
            <w:hideMark/>
          </w:tcPr>
          <w:p w14:paraId="52F6E0BE" w14:textId="7003DC05" w:rsidR="00BA5560" w:rsidRPr="001F0A62" w:rsidRDefault="00BA5560" w:rsidP="002E3C11">
            <w:pPr>
              <w:pBdr>
                <w:top w:val="none" w:sz="0" w:space="0" w:color="auto"/>
                <w:left w:val="none" w:sz="0" w:space="0" w:color="auto"/>
                <w:bottom w:val="none" w:sz="0" w:space="0" w:color="auto"/>
                <w:right w:val="none" w:sz="0" w:space="0" w:color="auto"/>
                <w:between w:val="none" w:sz="0" w:space="0" w:color="auto"/>
                <w:bar w:val="none" w:sz="0" w:color="auto"/>
              </w:pBdr>
              <w:jc w:val="center"/>
              <w:outlineLvl w:val="9"/>
              <w:rPr>
                <w:rFonts w:eastAsia="Times New Roman"/>
                <w:b/>
                <w:bCs/>
                <w:color w:val="auto"/>
                <w:sz w:val="16"/>
                <w:szCs w:val="16"/>
                <w:bdr w:val="none" w:sz="0" w:space="0" w:color="auto"/>
                <w:lang w:eastAsia="es-ES"/>
              </w:rPr>
            </w:pPr>
            <w:r w:rsidRPr="001F0A62">
              <w:rPr>
                <w:rFonts w:eastAsia="Times New Roman"/>
                <w:b/>
                <w:bCs/>
                <w:color w:val="auto"/>
                <w:sz w:val="16"/>
                <w:szCs w:val="16"/>
                <w:bdr w:val="none" w:sz="0" w:space="0" w:color="auto"/>
                <w:lang w:eastAsia="es-ES"/>
              </w:rPr>
              <w:t>202</w:t>
            </w:r>
            <w:r w:rsidR="00680BE3" w:rsidRPr="001F0A62">
              <w:rPr>
                <w:rFonts w:eastAsia="Times New Roman"/>
                <w:b/>
                <w:bCs/>
                <w:color w:val="auto"/>
                <w:sz w:val="16"/>
                <w:szCs w:val="16"/>
                <w:bdr w:val="none" w:sz="0" w:space="0" w:color="auto"/>
                <w:lang w:eastAsia="es-ES"/>
              </w:rPr>
              <w:t>4</w:t>
            </w:r>
          </w:p>
        </w:tc>
        <w:tc>
          <w:tcPr>
            <w:tcW w:w="784" w:type="pct"/>
            <w:tcBorders>
              <w:top w:val="single" w:sz="4" w:space="0" w:color="auto"/>
              <w:left w:val="nil"/>
              <w:bottom w:val="single" w:sz="4" w:space="0" w:color="auto"/>
              <w:right w:val="nil"/>
            </w:tcBorders>
            <w:shd w:val="clear" w:color="auto" w:fill="D9D9D9" w:themeFill="background1" w:themeFillShade="D9"/>
            <w:vAlign w:val="bottom"/>
            <w:hideMark/>
          </w:tcPr>
          <w:p w14:paraId="6418C31F" w14:textId="68CF5B45" w:rsidR="00EC270D" w:rsidRPr="00C16D40" w:rsidRDefault="00BA5560" w:rsidP="00EC270D">
            <w:pPr>
              <w:pBdr>
                <w:top w:val="none" w:sz="0" w:space="0" w:color="auto"/>
                <w:left w:val="none" w:sz="0" w:space="0" w:color="auto"/>
                <w:bottom w:val="none" w:sz="0" w:space="0" w:color="auto"/>
                <w:right w:val="none" w:sz="0" w:space="0" w:color="auto"/>
                <w:between w:val="none" w:sz="0" w:space="0" w:color="auto"/>
                <w:bar w:val="none" w:sz="0" w:color="auto"/>
              </w:pBdr>
              <w:jc w:val="center"/>
              <w:outlineLvl w:val="9"/>
              <w:rPr>
                <w:rFonts w:eastAsia="Times New Roman"/>
                <w:b/>
                <w:bCs/>
                <w:color w:val="auto"/>
                <w:sz w:val="16"/>
                <w:szCs w:val="16"/>
                <w:bdr w:val="none" w:sz="0" w:space="0" w:color="auto"/>
                <w:lang w:eastAsia="es-ES"/>
              </w:rPr>
            </w:pPr>
            <w:r w:rsidRPr="00C16D40">
              <w:rPr>
                <w:rFonts w:eastAsia="Times New Roman"/>
                <w:b/>
                <w:bCs/>
                <w:color w:val="auto"/>
                <w:sz w:val="16"/>
                <w:szCs w:val="16"/>
                <w:bdr w:val="none" w:sz="0" w:space="0" w:color="auto"/>
                <w:lang w:eastAsia="es-ES"/>
              </w:rPr>
              <w:t>202</w:t>
            </w:r>
            <w:r w:rsidR="00680BE3">
              <w:rPr>
                <w:rFonts w:eastAsia="Times New Roman"/>
                <w:b/>
                <w:bCs/>
                <w:color w:val="auto"/>
                <w:sz w:val="16"/>
                <w:szCs w:val="16"/>
                <w:bdr w:val="none" w:sz="0" w:space="0" w:color="auto"/>
                <w:lang w:eastAsia="es-ES"/>
              </w:rPr>
              <w:t>3</w:t>
            </w:r>
          </w:p>
        </w:tc>
      </w:tr>
      <w:tr w:rsidR="00680BE3" w:rsidRPr="00C16D40" w14:paraId="22F2A0DA" w14:textId="77777777" w:rsidTr="00BA5560">
        <w:trPr>
          <w:trHeight w:val="326"/>
        </w:trPr>
        <w:tc>
          <w:tcPr>
            <w:tcW w:w="3005" w:type="pct"/>
            <w:tcBorders>
              <w:top w:val="nil"/>
              <w:left w:val="nil"/>
              <w:bottom w:val="single" w:sz="4" w:space="0" w:color="auto"/>
              <w:right w:val="nil"/>
            </w:tcBorders>
            <w:shd w:val="clear" w:color="000000" w:fill="F2F2F2"/>
            <w:vAlign w:val="center"/>
            <w:hideMark/>
          </w:tcPr>
          <w:p w14:paraId="6056E9FB" w14:textId="77777777" w:rsidR="00680BE3" w:rsidRPr="00C16D40" w:rsidRDefault="00680BE3" w:rsidP="00680BE3">
            <w:pPr>
              <w:pBdr>
                <w:top w:val="none" w:sz="0" w:space="0" w:color="auto"/>
                <w:left w:val="none" w:sz="0" w:space="0" w:color="auto"/>
                <w:bottom w:val="none" w:sz="0" w:space="0" w:color="auto"/>
                <w:right w:val="none" w:sz="0" w:space="0" w:color="auto"/>
                <w:between w:val="none" w:sz="0" w:space="0" w:color="auto"/>
                <w:bar w:val="none" w:sz="0" w:color="auto"/>
              </w:pBdr>
              <w:outlineLvl w:val="9"/>
              <w:rPr>
                <w:rFonts w:eastAsia="Times New Roman"/>
                <w:b/>
                <w:bCs/>
                <w:color w:val="auto"/>
                <w:sz w:val="16"/>
                <w:szCs w:val="16"/>
                <w:bdr w:val="none" w:sz="0" w:space="0" w:color="auto"/>
                <w:lang w:eastAsia="es-ES"/>
              </w:rPr>
            </w:pPr>
            <w:r w:rsidRPr="00C16D40">
              <w:rPr>
                <w:rFonts w:eastAsia="Times New Roman"/>
                <w:b/>
                <w:bCs/>
                <w:color w:val="auto"/>
                <w:sz w:val="16"/>
                <w:szCs w:val="16"/>
                <w:bdr w:val="none" w:sz="0" w:space="0" w:color="auto"/>
                <w:lang w:eastAsia="es-ES"/>
              </w:rPr>
              <w:t xml:space="preserve">A) FLUJOS DE EFECTIVO DE LAS ACTIVIDADES </w:t>
            </w:r>
          </w:p>
          <w:p w14:paraId="66D8E7AA" w14:textId="157C65B7" w:rsidR="00680BE3" w:rsidRPr="00C16D40" w:rsidRDefault="00680BE3" w:rsidP="00680BE3">
            <w:pPr>
              <w:pBdr>
                <w:top w:val="none" w:sz="0" w:space="0" w:color="auto"/>
                <w:left w:val="none" w:sz="0" w:space="0" w:color="auto"/>
                <w:bottom w:val="none" w:sz="0" w:space="0" w:color="auto"/>
                <w:right w:val="none" w:sz="0" w:space="0" w:color="auto"/>
                <w:between w:val="none" w:sz="0" w:space="0" w:color="auto"/>
                <w:bar w:val="none" w:sz="0" w:color="auto"/>
              </w:pBdr>
              <w:outlineLvl w:val="9"/>
              <w:rPr>
                <w:rFonts w:eastAsia="Times New Roman"/>
                <w:b/>
                <w:bCs/>
                <w:color w:val="auto"/>
                <w:sz w:val="16"/>
                <w:szCs w:val="16"/>
                <w:bdr w:val="none" w:sz="0" w:space="0" w:color="auto"/>
                <w:lang w:eastAsia="es-ES"/>
              </w:rPr>
            </w:pPr>
            <w:r w:rsidRPr="00C16D40">
              <w:rPr>
                <w:rFonts w:eastAsia="Times New Roman"/>
                <w:b/>
                <w:bCs/>
                <w:color w:val="auto"/>
                <w:sz w:val="16"/>
                <w:szCs w:val="16"/>
                <w:bdr w:val="none" w:sz="0" w:space="0" w:color="auto"/>
                <w:lang w:eastAsia="es-ES"/>
              </w:rPr>
              <w:t>DE EXPLOTACIÓN</w:t>
            </w:r>
          </w:p>
        </w:tc>
        <w:tc>
          <w:tcPr>
            <w:tcW w:w="477" w:type="pct"/>
            <w:tcBorders>
              <w:top w:val="nil"/>
              <w:left w:val="nil"/>
              <w:bottom w:val="single" w:sz="4" w:space="0" w:color="auto"/>
              <w:right w:val="nil"/>
            </w:tcBorders>
            <w:shd w:val="clear" w:color="000000" w:fill="F2F2F2"/>
            <w:vAlign w:val="center"/>
            <w:hideMark/>
          </w:tcPr>
          <w:p w14:paraId="2A3C5DEB" w14:textId="0895C965" w:rsidR="00680BE3" w:rsidRPr="00C16D40" w:rsidRDefault="00680BE3" w:rsidP="00680BE3">
            <w:pPr>
              <w:pBdr>
                <w:top w:val="none" w:sz="0" w:space="0" w:color="auto"/>
                <w:left w:val="none" w:sz="0" w:space="0" w:color="auto"/>
                <w:bottom w:val="none" w:sz="0" w:space="0" w:color="auto"/>
                <w:right w:val="none" w:sz="0" w:space="0" w:color="auto"/>
                <w:between w:val="none" w:sz="0" w:space="0" w:color="auto"/>
                <w:bar w:val="none" w:sz="0" w:color="auto"/>
              </w:pBdr>
              <w:jc w:val="center"/>
              <w:outlineLvl w:val="9"/>
              <w:rPr>
                <w:rFonts w:eastAsia="Times New Roman"/>
                <w:b/>
                <w:bCs/>
                <w:color w:val="auto"/>
                <w:sz w:val="16"/>
                <w:szCs w:val="16"/>
                <w:bdr w:val="none" w:sz="0" w:space="0" w:color="auto"/>
                <w:lang w:eastAsia="es-ES"/>
              </w:rPr>
            </w:pPr>
          </w:p>
        </w:tc>
        <w:tc>
          <w:tcPr>
            <w:tcW w:w="734" w:type="pct"/>
            <w:tcBorders>
              <w:top w:val="nil"/>
              <w:left w:val="nil"/>
              <w:bottom w:val="single" w:sz="4" w:space="0" w:color="auto"/>
              <w:right w:val="nil"/>
            </w:tcBorders>
            <w:shd w:val="clear" w:color="000000" w:fill="F2F2F2"/>
            <w:vAlign w:val="center"/>
          </w:tcPr>
          <w:p w14:paraId="39788E4D" w14:textId="14D186C3" w:rsidR="00680BE3" w:rsidRPr="001F0A62" w:rsidRDefault="00536E0F" w:rsidP="00536E0F">
            <w:pPr>
              <w:pBdr>
                <w:top w:val="none" w:sz="0" w:space="0" w:color="auto"/>
                <w:left w:val="none" w:sz="0" w:space="0" w:color="auto"/>
                <w:bottom w:val="none" w:sz="0" w:space="0" w:color="auto"/>
                <w:right w:val="none" w:sz="0" w:space="0" w:color="auto"/>
                <w:between w:val="none" w:sz="0" w:space="0" w:color="auto"/>
                <w:bar w:val="none" w:sz="0" w:color="auto"/>
              </w:pBdr>
              <w:jc w:val="right"/>
              <w:outlineLvl w:val="9"/>
              <w:rPr>
                <w:rFonts w:eastAsia="Times New Roman"/>
                <w:b/>
                <w:bCs/>
                <w:color w:val="auto"/>
                <w:sz w:val="16"/>
                <w:szCs w:val="16"/>
                <w:bdr w:val="none" w:sz="0" w:space="0" w:color="auto"/>
                <w:lang w:eastAsia="es-ES"/>
              </w:rPr>
            </w:pPr>
            <w:r w:rsidRPr="001F0A62">
              <w:rPr>
                <w:b/>
                <w:bCs/>
                <w:sz w:val="16"/>
                <w:szCs w:val="16"/>
              </w:rPr>
              <w:t>(5.143.524,11)</w:t>
            </w:r>
          </w:p>
        </w:tc>
        <w:tc>
          <w:tcPr>
            <w:tcW w:w="784" w:type="pct"/>
            <w:tcBorders>
              <w:top w:val="nil"/>
              <w:left w:val="nil"/>
              <w:bottom w:val="single" w:sz="4" w:space="0" w:color="auto"/>
              <w:right w:val="nil"/>
            </w:tcBorders>
            <w:shd w:val="clear" w:color="000000" w:fill="F2F2F2"/>
            <w:vAlign w:val="center"/>
            <w:hideMark/>
          </w:tcPr>
          <w:p w14:paraId="60F7F158" w14:textId="7A8274ED" w:rsidR="00680BE3" w:rsidRPr="00C16D40" w:rsidRDefault="00680BE3" w:rsidP="00680BE3">
            <w:pPr>
              <w:pBdr>
                <w:top w:val="none" w:sz="0" w:space="0" w:color="auto"/>
                <w:left w:val="none" w:sz="0" w:space="0" w:color="auto"/>
                <w:bottom w:val="none" w:sz="0" w:space="0" w:color="auto"/>
                <w:right w:val="none" w:sz="0" w:space="0" w:color="auto"/>
                <w:between w:val="none" w:sz="0" w:space="0" w:color="auto"/>
                <w:bar w:val="none" w:sz="0" w:color="auto"/>
              </w:pBdr>
              <w:jc w:val="right"/>
              <w:outlineLvl w:val="9"/>
              <w:rPr>
                <w:rFonts w:eastAsia="Times New Roman"/>
                <w:b/>
                <w:bCs/>
                <w:color w:val="auto"/>
                <w:sz w:val="16"/>
                <w:szCs w:val="16"/>
                <w:bdr w:val="none" w:sz="0" w:space="0" w:color="auto"/>
                <w:lang w:eastAsia="es-ES"/>
              </w:rPr>
            </w:pPr>
            <w:r>
              <w:rPr>
                <w:b/>
                <w:bCs/>
                <w:sz w:val="16"/>
                <w:szCs w:val="16"/>
              </w:rPr>
              <w:t>(9.221.528,67)</w:t>
            </w:r>
          </w:p>
        </w:tc>
      </w:tr>
      <w:tr w:rsidR="00680BE3" w:rsidRPr="00C16D40" w14:paraId="6A738728" w14:textId="77777777" w:rsidTr="00BA5560">
        <w:trPr>
          <w:trHeight w:val="76"/>
        </w:trPr>
        <w:tc>
          <w:tcPr>
            <w:tcW w:w="3005" w:type="pct"/>
            <w:tcBorders>
              <w:top w:val="nil"/>
              <w:left w:val="nil"/>
              <w:bottom w:val="nil"/>
              <w:right w:val="nil"/>
            </w:tcBorders>
            <w:shd w:val="clear" w:color="auto" w:fill="auto"/>
            <w:vAlign w:val="center"/>
            <w:hideMark/>
          </w:tcPr>
          <w:p w14:paraId="5111838A" w14:textId="77777777" w:rsidR="00680BE3" w:rsidRPr="00C16D40" w:rsidRDefault="00680BE3" w:rsidP="00680BE3">
            <w:pPr>
              <w:pBdr>
                <w:top w:val="none" w:sz="0" w:space="0" w:color="auto"/>
                <w:left w:val="none" w:sz="0" w:space="0" w:color="auto"/>
                <w:bottom w:val="none" w:sz="0" w:space="0" w:color="auto"/>
                <w:right w:val="none" w:sz="0" w:space="0" w:color="auto"/>
                <w:between w:val="none" w:sz="0" w:space="0" w:color="auto"/>
                <w:bar w:val="none" w:sz="0" w:color="auto"/>
              </w:pBdr>
              <w:jc w:val="right"/>
              <w:outlineLvl w:val="9"/>
              <w:rPr>
                <w:rFonts w:eastAsia="Times New Roman"/>
                <w:b/>
                <w:bCs/>
                <w:color w:val="auto"/>
                <w:sz w:val="16"/>
                <w:szCs w:val="16"/>
                <w:bdr w:val="none" w:sz="0" w:space="0" w:color="auto"/>
                <w:lang w:eastAsia="es-ES"/>
              </w:rPr>
            </w:pPr>
          </w:p>
        </w:tc>
        <w:tc>
          <w:tcPr>
            <w:tcW w:w="477" w:type="pct"/>
            <w:tcBorders>
              <w:top w:val="nil"/>
              <w:left w:val="nil"/>
              <w:bottom w:val="nil"/>
              <w:right w:val="nil"/>
            </w:tcBorders>
            <w:shd w:val="clear" w:color="auto" w:fill="auto"/>
            <w:vAlign w:val="center"/>
            <w:hideMark/>
          </w:tcPr>
          <w:p w14:paraId="27F035C0" w14:textId="77777777" w:rsidR="00680BE3" w:rsidRPr="00C16D40" w:rsidRDefault="00680BE3" w:rsidP="00680BE3">
            <w:pPr>
              <w:pBdr>
                <w:top w:val="none" w:sz="0" w:space="0" w:color="auto"/>
                <w:left w:val="none" w:sz="0" w:space="0" w:color="auto"/>
                <w:bottom w:val="none" w:sz="0" w:space="0" w:color="auto"/>
                <w:right w:val="none" w:sz="0" w:space="0" w:color="auto"/>
                <w:between w:val="none" w:sz="0" w:space="0" w:color="auto"/>
                <w:bar w:val="none" w:sz="0" w:color="auto"/>
              </w:pBdr>
              <w:jc w:val="center"/>
              <w:outlineLvl w:val="9"/>
              <w:rPr>
                <w:rFonts w:eastAsia="Times New Roman"/>
                <w:color w:val="auto"/>
                <w:sz w:val="16"/>
                <w:szCs w:val="16"/>
                <w:bdr w:val="none" w:sz="0" w:space="0" w:color="auto"/>
                <w:lang w:eastAsia="es-ES"/>
              </w:rPr>
            </w:pPr>
          </w:p>
        </w:tc>
        <w:tc>
          <w:tcPr>
            <w:tcW w:w="734" w:type="pct"/>
            <w:tcBorders>
              <w:top w:val="nil"/>
              <w:left w:val="nil"/>
              <w:bottom w:val="nil"/>
              <w:right w:val="nil"/>
            </w:tcBorders>
            <w:shd w:val="clear" w:color="auto" w:fill="auto"/>
            <w:vAlign w:val="center"/>
          </w:tcPr>
          <w:p w14:paraId="649F7223" w14:textId="77777777" w:rsidR="00680BE3" w:rsidRPr="00C16D40" w:rsidRDefault="00680BE3" w:rsidP="00680BE3">
            <w:pPr>
              <w:pBdr>
                <w:top w:val="none" w:sz="0" w:space="0" w:color="auto"/>
                <w:left w:val="none" w:sz="0" w:space="0" w:color="auto"/>
                <w:bottom w:val="none" w:sz="0" w:space="0" w:color="auto"/>
                <w:right w:val="none" w:sz="0" w:space="0" w:color="auto"/>
                <w:between w:val="none" w:sz="0" w:space="0" w:color="auto"/>
                <w:bar w:val="none" w:sz="0" w:color="auto"/>
              </w:pBdr>
              <w:jc w:val="right"/>
              <w:outlineLvl w:val="9"/>
              <w:rPr>
                <w:rFonts w:eastAsia="Times New Roman"/>
                <w:color w:val="auto"/>
                <w:sz w:val="16"/>
                <w:szCs w:val="16"/>
                <w:bdr w:val="none" w:sz="0" w:space="0" w:color="auto"/>
                <w:lang w:eastAsia="es-ES"/>
              </w:rPr>
            </w:pPr>
          </w:p>
        </w:tc>
        <w:tc>
          <w:tcPr>
            <w:tcW w:w="784" w:type="pct"/>
            <w:tcBorders>
              <w:top w:val="nil"/>
              <w:left w:val="nil"/>
              <w:bottom w:val="nil"/>
              <w:right w:val="nil"/>
            </w:tcBorders>
            <w:shd w:val="clear" w:color="auto" w:fill="auto"/>
            <w:vAlign w:val="center"/>
            <w:hideMark/>
          </w:tcPr>
          <w:p w14:paraId="53EA9C1B" w14:textId="77777777" w:rsidR="00680BE3" w:rsidRPr="00C16D40" w:rsidRDefault="00680BE3" w:rsidP="00680BE3">
            <w:pPr>
              <w:pBdr>
                <w:top w:val="none" w:sz="0" w:space="0" w:color="auto"/>
                <w:left w:val="none" w:sz="0" w:space="0" w:color="auto"/>
                <w:bottom w:val="none" w:sz="0" w:space="0" w:color="auto"/>
                <w:right w:val="none" w:sz="0" w:space="0" w:color="auto"/>
                <w:between w:val="none" w:sz="0" w:space="0" w:color="auto"/>
                <w:bar w:val="none" w:sz="0" w:color="auto"/>
              </w:pBdr>
              <w:jc w:val="right"/>
              <w:outlineLvl w:val="9"/>
              <w:rPr>
                <w:rFonts w:eastAsia="Times New Roman"/>
                <w:color w:val="auto"/>
                <w:sz w:val="16"/>
                <w:szCs w:val="16"/>
                <w:bdr w:val="none" w:sz="0" w:space="0" w:color="auto"/>
                <w:lang w:eastAsia="es-ES"/>
              </w:rPr>
            </w:pPr>
          </w:p>
        </w:tc>
      </w:tr>
      <w:tr w:rsidR="00536E0F" w:rsidRPr="00C16D40" w14:paraId="1EA45C0A" w14:textId="77777777" w:rsidTr="00BA5560">
        <w:trPr>
          <w:trHeight w:val="227"/>
        </w:trPr>
        <w:tc>
          <w:tcPr>
            <w:tcW w:w="3005" w:type="pct"/>
            <w:tcBorders>
              <w:top w:val="nil"/>
              <w:left w:val="nil"/>
              <w:bottom w:val="nil"/>
              <w:right w:val="nil"/>
            </w:tcBorders>
            <w:shd w:val="clear" w:color="auto" w:fill="auto"/>
            <w:vAlign w:val="center"/>
            <w:hideMark/>
          </w:tcPr>
          <w:p w14:paraId="6D14F114" w14:textId="77777777" w:rsidR="00536E0F" w:rsidRPr="00C16D40" w:rsidRDefault="00536E0F" w:rsidP="00536E0F">
            <w:pPr>
              <w:pBdr>
                <w:top w:val="none" w:sz="0" w:space="0" w:color="auto"/>
                <w:left w:val="none" w:sz="0" w:space="0" w:color="auto"/>
                <w:bottom w:val="none" w:sz="0" w:space="0" w:color="auto"/>
                <w:right w:val="none" w:sz="0" w:space="0" w:color="auto"/>
                <w:between w:val="none" w:sz="0" w:space="0" w:color="auto"/>
                <w:bar w:val="none" w:sz="0" w:color="auto"/>
              </w:pBdr>
              <w:outlineLvl w:val="9"/>
              <w:rPr>
                <w:rFonts w:eastAsia="Times New Roman"/>
                <w:b/>
                <w:bCs/>
                <w:color w:val="auto"/>
                <w:sz w:val="16"/>
                <w:szCs w:val="16"/>
                <w:bdr w:val="none" w:sz="0" w:space="0" w:color="auto"/>
                <w:lang w:eastAsia="es-ES"/>
              </w:rPr>
            </w:pPr>
            <w:r w:rsidRPr="00C16D40">
              <w:rPr>
                <w:rFonts w:eastAsia="Times New Roman"/>
                <w:b/>
                <w:bCs/>
                <w:color w:val="auto"/>
                <w:sz w:val="16"/>
                <w:szCs w:val="16"/>
                <w:bdr w:val="none" w:sz="0" w:space="0" w:color="auto"/>
                <w:lang w:eastAsia="es-ES"/>
              </w:rPr>
              <w:t>Resultado del ejercicio antes de impuestos</w:t>
            </w:r>
          </w:p>
        </w:tc>
        <w:tc>
          <w:tcPr>
            <w:tcW w:w="477" w:type="pct"/>
            <w:tcBorders>
              <w:top w:val="nil"/>
              <w:left w:val="nil"/>
              <w:bottom w:val="nil"/>
              <w:right w:val="nil"/>
            </w:tcBorders>
            <w:shd w:val="clear" w:color="auto" w:fill="auto"/>
            <w:noWrap/>
            <w:vAlign w:val="center"/>
            <w:hideMark/>
          </w:tcPr>
          <w:p w14:paraId="57718D84" w14:textId="77777777" w:rsidR="00536E0F" w:rsidRPr="00C16D40" w:rsidRDefault="00536E0F" w:rsidP="00536E0F">
            <w:pPr>
              <w:pBdr>
                <w:top w:val="none" w:sz="0" w:space="0" w:color="auto"/>
                <w:left w:val="none" w:sz="0" w:space="0" w:color="auto"/>
                <w:bottom w:val="none" w:sz="0" w:space="0" w:color="auto"/>
                <w:right w:val="none" w:sz="0" w:space="0" w:color="auto"/>
                <w:between w:val="none" w:sz="0" w:space="0" w:color="auto"/>
                <w:bar w:val="none" w:sz="0" w:color="auto"/>
              </w:pBdr>
              <w:jc w:val="center"/>
              <w:outlineLvl w:val="9"/>
              <w:rPr>
                <w:rFonts w:eastAsia="Times New Roman"/>
                <w:b/>
                <w:bCs/>
                <w:color w:val="auto"/>
                <w:sz w:val="16"/>
                <w:szCs w:val="16"/>
                <w:bdr w:val="none" w:sz="0" w:space="0" w:color="auto"/>
                <w:lang w:eastAsia="es-ES"/>
              </w:rPr>
            </w:pPr>
          </w:p>
        </w:tc>
        <w:tc>
          <w:tcPr>
            <w:tcW w:w="734" w:type="pct"/>
            <w:tcBorders>
              <w:top w:val="single" w:sz="4" w:space="0" w:color="auto"/>
              <w:left w:val="nil"/>
              <w:bottom w:val="single" w:sz="4" w:space="0" w:color="auto"/>
              <w:right w:val="nil"/>
            </w:tcBorders>
            <w:shd w:val="clear" w:color="auto" w:fill="auto"/>
            <w:vAlign w:val="center"/>
          </w:tcPr>
          <w:p w14:paraId="00151970" w14:textId="0BDBEFB6" w:rsidR="00536E0F" w:rsidRPr="00C16D40" w:rsidRDefault="00536E0F" w:rsidP="00536E0F">
            <w:pPr>
              <w:pBdr>
                <w:top w:val="none" w:sz="0" w:space="0" w:color="auto"/>
                <w:left w:val="none" w:sz="0" w:space="0" w:color="auto"/>
                <w:bottom w:val="none" w:sz="0" w:space="0" w:color="auto"/>
                <w:right w:val="none" w:sz="0" w:space="0" w:color="auto"/>
                <w:between w:val="none" w:sz="0" w:space="0" w:color="auto"/>
                <w:bar w:val="none" w:sz="0" w:color="auto"/>
              </w:pBdr>
              <w:jc w:val="right"/>
              <w:outlineLvl w:val="9"/>
              <w:rPr>
                <w:rFonts w:eastAsia="Times New Roman"/>
                <w:b/>
                <w:bCs/>
                <w:color w:val="auto"/>
                <w:sz w:val="16"/>
                <w:szCs w:val="16"/>
                <w:bdr w:val="none" w:sz="0" w:space="0" w:color="auto"/>
                <w:lang w:eastAsia="es-ES"/>
              </w:rPr>
            </w:pPr>
            <w:r>
              <w:rPr>
                <w:b/>
                <w:bCs/>
                <w:sz w:val="16"/>
                <w:szCs w:val="16"/>
              </w:rPr>
              <w:t>(3.590.000,00)</w:t>
            </w:r>
          </w:p>
        </w:tc>
        <w:tc>
          <w:tcPr>
            <w:tcW w:w="784" w:type="pct"/>
            <w:tcBorders>
              <w:top w:val="single" w:sz="4" w:space="0" w:color="auto"/>
              <w:left w:val="nil"/>
              <w:bottom w:val="single" w:sz="4" w:space="0" w:color="auto"/>
              <w:right w:val="nil"/>
            </w:tcBorders>
            <w:shd w:val="clear" w:color="auto" w:fill="auto"/>
            <w:vAlign w:val="center"/>
            <w:hideMark/>
          </w:tcPr>
          <w:p w14:paraId="447D86AC" w14:textId="3BDA1E4A" w:rsidR="00536E0F" w:rsidRPr="00C16D40" w:rsidRDefault="00536E0F" w:rsidP="00536E0F">
            <w:pPr>
              <w:pBdr>
                <w:top w:val="none" w:sz="0" w:space="0" w:color="auto"/>
                <w:left w:val="none" w:sz="0" w:space="0" w:color="auto"/>
                <w:bottom w:val="none" w:sz="0" w:space="0" w:color="auto"/>
                <w:right w:val="none" w:sz="0" w:space="0" w:color="auto"/>
                <w:between w:val="none" w:sz="0" w:space="0" w:color="auto"/>
                <w:bar w:val="none" w:sz="0" w:color="auto"/>
              </w:pBdr>
              <w:jc w:val="right"/>
              <w:outlineLvl w:val="9"/>
              <w:rPr>
                <w:rFonts w:eastAsia="Times New Roman"/>
                <w:b/>
                <w:bCs/>
                <w:color w:val="auto"/>
                <w:sz w:val="16"/>
                <w:szCs w:val="16"/>
                <w:bdr w:val="none" w:sz="0" w:space="0" w:color="auto"/>
                <w:lang w:eastAsia="es-ES"/>
              </w:rPr>
            </w:pPr>
            <w:r>
              <w:rPr>
                <w:b/>
                <w:bCs/>
                <w:sz w:val="16"/>
                <w:szCs w:val="16"/>
              </w:rPr>
              <w:t>(3.577.139,00)</w:t>
            </w:r>
          </w:p>
        </w:tc>
      </w:tr>
      <w:tr w:rsidR="00536E0F" w:rsidRPr="00C16D40" w14:paraId="732A1716" w14:textId="77777777" w:rsidTr="00BA5560">
        <w:trPr>
          <w:trHeight w:val="227"/>
        </w:trPr>
        <w:tc>
          <w:tcPr>
            <w:tcW w:w="3005" w:type="pct"/>
            <w:tcBorders>
              <w:top w:val="nil"/>
              <w:left w:val="nil"/>
              <w:bottom w:val="nil"/>
              <w:right w:val="nil"/>
            </w:tcBorders>
            <w:shd w:val="clear" w:color="auto" w:fill="auto"/>
            <w:vAlign w:val="center"/>
            <w:hideMark/>
          </w:tcPr>
          <w:p w14:paraId="226BADCC" w14:textId="77777777" w:rsidR="00536E0F" w:rsidRPr="00C16D40" w:rsidRDefault="00536E0F" w:rsidP="00536E0F">
            <w:pPr>
              <w:pBdr>
                <w:top w:val="none" w:sz="0" w:space="0" w:color="auto"/>
                <w:left w:val="none" w:sz="0" w:space="0" w:color="auto"/>
                <w:bottom w:val="none" w:sz="0" w:space="0" w:color="auto"/>
                <w:right w:val="none" w:sz="0" w:space="0" w:color="auto"/>
                <w:between w:val="none" w:sz="0" w:space="0" w:color="auto"/>
                <w:bar w:val="none" w:sz="0" w:color="auto"/>
              </w:pBdr>
              <w:outlineLvl w:val="9"/>
              <w:rPr>
                <w:rFonts w:eastAsia="Times New Roman"/>
                <w:b/>
                <w:bCs/>
                <w:color w:val="auto"/>
                <w:sz w:val="16"/>
                <w:szCs w:val="16"/>
                <w:bdr w:val="none" w:sz="0" w:space="0" w:color="auto"/>
                <w:lang w:eastAsia="es-ES"/>
              </w:rPr>
            </w:pPr>
            <w:r w:rsidRPr="00C16D40">
              <w:rPr>
                <w:rFonts w:eastAsia="Times New Roman"/>
                <w:b/>
                <w:bCs/>
                <w:color w:val="auto"/>
                <w:sz w:val="16"/>
                <w:szCs w:val="16"/>
                <w:bdr w:val="none" w:sz="0" w:space="0" w:color="auto"/>
                <w:lang w:eastAsia="es-ES"/>
              </w:rPr>
              <w:t>Ajustes al resultado</w:t>
            </w:r>
          </w:p>
        </w:tc>
        <w:tc>
          <w:tcPr>
            <w:tcW w:w="477" w:type="pct"/>
            <w:tcBorders>
              <w:top w:val="nil"/>
              <w:left w:val="nil"/>
              <w:bottom w:val="nil"/>
              <w:right w:val="nil"/>
            </w:tcBorders>
            <w:shd w:val="clear" w:color="auto" w:fill="auto"/>
            <w:noWrap/>
            <w:vAlign w:val="center"/>
            <w:hideMark/>
          </w:tcPr>
          <w:p w14:paraId="17F72D80" w14:textId="77777777" w:rsidR="00536E0F" w:rsidRPr="00C16D40" w:rsidRDefault="00536E0F" w:rsidP="00536E0F">
            <w:pPr>
              <w:pBdr>
                <w:top w:val="none" w:sz="0" w:space="0" w:color="auto"/>
                <w:left w:val="none" w:sz="0" w:space="0" w:color="auto"/>
                <w:bottom w:val="none" w:sz="0" w:space="0" w:color="auto"/>
                <w:right w:val="none" w:sz="0" w:space="0" w:color="auto"/>
                <w:between w:val="none" w:sz="0" w:space="0" w:color="auto"/>
                <w:bar w:val="none" w:sz="0" w:color="auto"/>
              </w:pBdr>
              <w:jc w:val="center"/>
              <w:outlineLvl w:val="9"/>
              <w:rPr>
                <w:rFonts w:eastAsia="Times New Roman"/>
                <w:b/>
                <w:bCs/>
                <w:color w:val="auto"/>
                <w:sz w:val="16"/>
                <w:szCs w:val="16"/>
                <w:bdr w:val="none" w:sz="0" w:space="0" w:color="auto"/>
                <w:lang w:eastAsia="es-ES"/>
              </w:rPr>
            </w:pPr>
          </w:p>
        </w:tc>
        <w:tc>
          <w:tcPr>
            <w:tcW w:w="734" w:type="pct"/>
            <w:tcBorders>
              <w:top w:val="nil"/>
              <w:left w:val="nil"/>
              <w:bottom w:val="single" w:sz="4" w:space="0" w:color="auto"/>
              <w:right w:val="nil"/>
            </w:tcBorders>
            <w:shd w:val="clear" w:color="auto" w:fill="auto"/>
            <w:vAlign w:val="center"/>
          </w:tcPr>
          <w:p w14:paraId="11169EE4" w14:textId="0F87C481" w:rsidR="00536E0F" w:rsidRPr="00C16D40" w:rsidRDefault="00536E0F" w:rsidP="00536E0F">
            <w:pPr>
              <w:pBdr>
                <w:top w:val="none" w:sz="0" w:space="0" w:color="auto"/>
                <w:left w:val="none" w:sz="0" w:space="0" w:color="auto"/>
                <w:bottom w:val="none" w:sz="0" w:space="0" w:color="auto"/>
                <w:right w:val="none" w:sz="0" w:space="0" w:color="auto"/>
                <w:between w:val="none" w:sz="0" w:space="0" w:color="auto"/>
                <w:bar w:val="none" w:sz="0" w:color="auto"/>
              </w:pBdr>
              <w:jc w:val="right"/>
              <w:outlineLvl w:val="9"/>
              <w:rPr>
                <w:rFonts w:eastAsia="Times New Roman"/>
                <w:b/>
                <w:bCs/>
                <w:color w:val="auto"/>
                <w:sz w:val="16"/>
                <w:szCs w:val="16"/>
                <w:bdr w:val="none" w:sz="0" w:space="0" w:color="auto"/>
                <w:lang w:eastAsia="es-ES"/>
              </w:rPr>
            </w:pPr>
            <w:r>
              <w:rPr>
                <w:b/>
                <w:bCs/>
                <w:sz w:val="16"/>
                <w:szCs w:val="16"/>
              </w:rPr>
              <w:t>(129.787,83)</w:t>
            </w:r>
          </w:p>
        </w:tc>
        <w:tc>
          <w:tcPr>
            <w:tcW w:w="784" w:type="pct"/>
            <w:tcBorders>
              <w:top w:val="nil"/>
              <w:left w:val="nil"/>
              <w:bottom w:val="single" w:sz="4" w:space="0" w:color="auto"/>
              <w:right w:val="nil"/>
            </w:tcBorders>
            <w:shd w:val="clear" w:color="auto" w:fill="auto"/>
            <w:vAlign w:val="center"/>
            <w:hideMark/>
          </w:tcPr>
          <w:p w14:paraId="2BDA5CE2" w14:textId="66EE1F61" w:rsidR="00536E0F" w:rsidRPr="00C16D40" w:rsidRDefault="00536E0F" w:rsidP="00536E0F">
            <w:pPr>
              <w:pBdr>
                <w:top w:val="none" w:sz="0" w:space="0" w:color="auto"/>
                <w:left w:val="none" w:sz="0" w:space="0" w:color="auto"/>
                <w:bottom w:val="none" w:sz="0" w:space="0" w:color="auto"/>
                <w:right w:val="none" w:sz="0" w:space="0" w:color="auto"/>
                <w:between w:val="none" w:sz="0" w:space="0" w:color="auto"/>
                <w:bar w:val="none" w:sz="0" w:color="auto"/>
              </w:pBdr>
              <w:jc w:val="right"/>
              <w:outlineLvl w:val="9"/>
              <w:rPr>
                <w:rFonts w:eastAsia="Times New Roman"/>
                <w:b/>
                <w:bCs/>
                <w:color w:val="auto"/>
                <w:sz w:val="16"/>
                <w:szCs w:val="16"/>
                <w:bdr w:val="none" w:sz="0" w:space="0" w:color="auto"/>
                <w:lang w:eastAsia="es-ES"/>
              </w:rPr>
            </w:pPr>
            <w:r>
              <w:rPr>
                <w:b/>
                <w:bCs/>
                <w:sz w:val="16"/>
                <w:szCs w:val="16"/>
              </w:rPr>
              <w:t>28.598,03</w:t>
            </w:r>
          </w:p>
        </w:tc>
      </w:tr>
      <w:tr w:rsidR="00536E0F" w:rsidRPr="00C16D40" w14:paraId="75E6C336" w14:textId="77777777" w:rsidTr="00BA5560">
        <w:trPr>
          <w:trHeight w:val="227"/>
        </w:trPr>
        <w:tc>
          <w:tcPr>
            <w:tcW w:w="3005" w:type="pct"/>
            <w:tcBorders>
              <w:top w:val="nil"/>
              <w:left w:val="nil"/>
              <w:bottom w:val="nil"/>
              <w:right w:val="nil"/>
            </w:tcBorders>
            <w:shd w:val="clear" w:color="auto" w:fill="auto"/>
            <w:vAlign w:val="center"/>
            <w:hideMark/>
          </w:tcPr>
          <w:p w14:paraId="30C4AC67" w14:textId="77777777" w:rsidR="00536E0F" w:rsidRPr="00C16D40" w:rsidRDefault="00536E0F" w:rsidP="00536E0F">
            <w:pPr>
              <w:pBdr>
                <w:top w:val="none" w:sz="0" w:space="0" w:color="auto"/>
                <w:left w:val="none" w:sz="0" w:space="0" w:color="auto"/>
                <w:bottom w:val="none" w:sz="0" w:space="0" w:color="auto"/>
                <w:right w:val="none" w:sz="0" w:space="0" w:color="auto"/>
                <w:between w:val="none" w:sz="0" w:space="0" w:color="auto"/>
                <w:bar w:val="none" w:sz="0" w:color="auto"/>
              </w:pBdr>
              <w:outlineLvl w:val="9"/>
              <w:rPr>
                <w:rFonts w:eastAsia="Times New Roman"/>
                <w:color w:val="auto"/>
                <w:sz w:val="16"/>
                <w:szCs w:val="16"/>
                <w:bdr w:val="none" w:sz="0" w:space="0" w:color="auto"/>
                <w:lang w:eastAsia="es-ES"/>
              </w:rPr>
            </w:pPr>
            <w:r w:rsidRPr="00C16D40">
              <w:rPr>
                <w:rFonts w:eastAsia="Times New Roman"/>
                <w:color w:val="auto"/>
                <w:sz w:val="16"/>
                <w:szCs w:val="16"/>
                <w:bdr w:val="none" w:sz="0" w:space="0" w:color="auto"/>
                <w:lang w:eastAsia="es-ES"/>
              </w:rPr>
              <w:t>- Amortización del inmovilizado</w:t>
            </w:r>
          </w:p>
        </w:tc>
        <w:tc>
          <w:tcPr>
            <w:tcW w:w="477" w:type="pct"/>
            <w:tcBorders>
              <w:top w:val="nil"/>
              <w:left w:val="nil"/>
              <w:bottom w:val="nil"/>
              <w:right w:val="nil"/>
            </w:tcBorders>
            <w:shd w:val="clear" w:color="auto" w:fill="auto"/>
            <w:noWrap/>
            <w:vAlign w:val="center"/>
            <w:hideMark/>
          </w:tcPr>
          <w:p w14:paraId="0416C1F7" w14:textId="77777777" w:rsidR="00536E0F" w:rsidRPr="00C16D40" w:rsidRDefault="00536E0F" w:rsidP="00536E0F">
            <w:pPr>
              <w:pBdr>
                <w:top w:val="none" w:sz="0" w:space="0" w:color="auto"/>
                <w:left w:val="none" w:sz="0" w:space="0" w:color="auto"/>
                <w:bottom w:val="none" w:sz="0" w:space="0" w:color="auto"/>
                <w:right w:val="none" w:sz="0" w:space="0" w:color="auto"/>
                <w:between w:val="none" w:sz="0" w:space="0" w:color="auto"/>
                <w:bar w:val="none" w:sz="0" w:color="auto"/>
              </w:pBdr>
              <w:jc w:val="center"/>
              <w:outlineLvl w:val="9"/>
              <w:rPr>
                <w:rFonts w:eastAsia="Times New Roman"/>
                <w:color w:val="auto"/>
                <w:sz w:val="16"/>
                <w:szCs w:val="16"/>
                <w:bdr w:val="none" w:sz="0" w:space="0" w:color="auto"/>
                <w:lang w:eastAsia="es-ES"/>
              </w:rPr>
            </w:pPr>
            <w:r w:rsidRPr="00C16D40">
              <w:rPr>
                <w:rFonts w:eastAsia="Times New Roman"/>
                <w:color w:val="auto"/>
                <w:sz w:val="16"/>
                <w:szCs w:val="16"/>
                <w:bdr w:val="none" w:sz="0" w:space="0" w:color="auto"/>
                <w:lang w:eastAsia="es-ES"/>
              </w:rPr>
              <w:t>5 y 6</w:t>
            </w:r>
          </w:p>
        </w:tc>
        <w:tc>
          <w:tcPr>
            <w:tcW w:w="734" w:type="pct"/>
            <w:tcBorders>
              <w:top w:val="nil"/>
              <w:left w:val="nil"/>
              <w:bottom w:val="nil"/>
              <w:right w:val="nil"/>
            </w:tcBorders>
            <w:shd w:val="clear" w:color="auto" w:fill="auto"/>
            <w:vAlign w:val="center"/>
          </w:tcPr>
          <w:p w14:paraId="5D7AF481" w14:textId="668A42DB" w:rsidR="00536E0F" w:rsidRPr="00C16D40" w:rsidRDefault="00536E0F" w:rsidP="00536E0F">
            <w:pPr>
              <w:pBdr>
                <w:top w:val="none" w:sz="0" w:space="0" w:color="auto"/>
                <w:left w:val="none" w:sz="0" w:space="0" w:color="auto"/>
                <w:bottom w:val="none" w:sz="0" w:space="0" w:color="auto"/>
                <w:right w:val="none" w:sz="0" w:space="0" w:color="auto"/>
                <w:between w:val="none" w:sz="0" w:space="0" w:color="auto"/>
                <w:bar w:val="none" w:sz="0" w:color="auto"/>
              </w:pBdr>
              <w:jc w:val="right"/>
              <w:outlineLvl w:val="9"/>
              <w:rPr>
                <w:rFonts w:eastAsia="Times New Roman"/>
                <w:color w:val="auto"/>
                <w:sz w:val="16"/>
                <w:szCs w:val="16"/>
                <w:bdr w:val="none" w:sz="0" w:space="0" w:color="auto"/>
                <w:lang w:eastAsia="es-ES"/>
              </w:rPr>
            </w:pPr>
            <w:r>
              <w:rPr>
                <w:sz w:val="16"/>
                <w:szCs w:val="16"/>
              </w:rPr>
              <w:t>99.740,87</w:t>
            </w:r>
          </w:p>
        </w:tc>
        <w:tc>
          <w:tcPr>
            <w:tcW w:w="784" w:type="pct"/>
            <w:tcBorders>
              <w:top w:val="nil"/>
              <w:left w:val="nil"/>
              <w:bottom w:val="nil"/>
              <w:right w:val="nil"/>
            </w:tcBorders>
            <w:shd w:val="clear" w:color="auto" w:fill="auto"/>
            <w:vAlign w:val="center"/>
            <w:hideMark/>
          </w:tcPr>
          <w:p w14:paraId="5102DD0B" w14:textId="477671EF" w:rsidR="00536E0F" w:rsidRPr="00C16D40" w:rsidRDefault="00536E0F" w:rsidP="00536E0F">
            <w:pPr>
              <w:pBdr>
                <w:top w:val="none" w:sz="0" w:space="0" w:color="auto"/>
                <w:left w:val="none" w:sz="0" w:space="0" w:color="auto"/>
                <w:bottom w:val="none" w:sz="0" w:space="0" w:color="auto"/>
                <w:right w:val="none" w:sz="0" w:space="0" w:color="auto"/>
                <w:between w:val="none" w:sz="0" w:space="0" w:color="auto"/>
                <w:bar w:val="none" w:sz="0" w:color="auto"/>
              </w:pBdr>
              <w:jc w:val="right"/>
              <w:outlineLvl w:val="9"/>
              <w:rPr>
                <w:rFonts w:eastAsia="Times New Roman"/>
                <w:color w:val="auto"/>
                <w:sz w:val="16"/>
                <w:szCs w:val="16"/>
                <w:bdr w:val="none" w:sz="0" w:space="0" w:color="auto"/>
                <w:lang w:eastAsia="es-ES"/>
              </w:rPr>
            </w:pPr>
            <w:r>
              <w:rPr>
                <w:sz w:val="16"/>
                <w:szCs w:val="16"/>
              </w:rPr>
              <w:t>127.094,75</w:t>
            </w:r>
          </w:p>
        </w:tc>
      </w:tr>
      <w:tr w:rsidR="00536E0F" w:rsidRPr="00C16D40" w14:paraId="0157A4FB" w14:textId="77777777" w:rsidTr="00BA5560">
        <w:trPr>
          <w:trHeight w:val="227"/>
        </w:trPr>
        <w:tc>
          <w:tcPr>
            <w:tcW w:w="3005" w:type="pct"/>
            <w:tcBorders>
              <w:top w:val="nil"/>
              <w:left w:val="nil"/>
              <w:bottom w:val="nil"/>
              <w:right w:val="nil"/>
            </w:tcBorders>
            <w:shd w:val="clear" w:color="auto" w:fill="auto"/>
            <w:vAlign w:val="center"/>
            <w:hideMark/>
          </w:tcPr>
          <w:p w14:paraId="58DE58EA" w14:textId="77777777" w:rsidR="00536E0F" w:rsidRPr="00C16D40" w:rsidRDefault="00536E0F" w:rsidP="00536E0F">
            <w:pPr>
              <w:pBdr>
                <w:top w:val="none" w:sz="0" w:space="0" w:color="auto"/>
                <w:left w:val="none" w:sz="0" w:space="0" w:color="auto"/>
                <w:bottom w:val="none" w:sz="0" w:space="0" w:color="auto"/>
                <w:right w:val="none" w:sz="0" w:space="0" w:color="auto"/>
                <w:between w:val="none" w:sz="0" w:space="0" w:color="auto"/>
                <w:bar w:val="none" w:sz="0" w:color="auto"/>
              </w:pBdr>
              <w:outlineLvl w:val="9"/>
              <w:rPr>
                <w:rFonts w:eastAsia="Times New Roman"/>
                <w:color w:val="auto"/>
                <w:sz w:val="16"/>
                <w:szCs w:val="16"/>
                <w:bdr w:val="none" w:sz="0" w:space="0" w:color="auto"/>
                <w:lang w:eastAsia="es-ES"/>
              </w:rPr>
            </w:pPr>
            <w:r w:rsidRPr="00C16D40">
              <w:rPr>
                <w:rFonts w:eastAsia="Times New Roman"/>
                <w:color w:val="auto"/>
                <w:sz w:val="16"/>
                <w:szCs w:val="16"/>
                <w:bdr w:val="none" w:sz="0" w:space="0" w:color="auto"/>
                <w:lang w:eastAsia="es-ES"/>
              </w:rPr>
              <w:t>- Imputación de subvenciones</w:t>
            </w:r>
          </w:p>
        </w:tc>
        <w:tc>
          <w:tcPr>
            <w:tcW w:w="477" w:type="pct"/>
            <w:tcBorders>
              <w:top w:val="nil"/>
              <w:left w:val="nil"/>
              <w:bottom w:val="nil"/>
              <w:right w:val="nil"/>
            </w:tcBorders>
            <w:shd w:val="clear" w:color="auto" w:fill="auto"/>
            <w:noWrap/>
            <w:vAlign w:val="center"/>
            <w:hideMark/>
          </w:tcPr>
          <w:p w14:paraId="6505F281" w14:textId="77777777" w:rsidR="00536E0F" w:rsidRPr="00C16D40" w:rsidRDefault="00536E0F" w:rsidP="00536E0F">
            <w:pPr>
              <w:pBdr>
                <w:top w:val="none" w:sz="0" w:space="0" w:color="auto"/>
                <w:left w:val="none" w:sz="0" w:space="0" w:color="auto"/>
                <w:bottom w:val="none" w:sz="0" w:space="0" w:color="auto"/>
                <w:right w:val="none" w:sz="0" w:space="0" w:color="auto"/>
                <w:between w:val="none" w:sz="0" w:space="0" w:color="auto"/>
                <w:bar w:val="none" w:sz="0" w:color="auto"/>
              </w:pBdr>
              <w:jc w:val="center"/>
              <w:outlineLvl w:val="9"/>
              <w:rPr>
                <w:rFonts w:eastAsia="Times New Roman"/>
                <w:color w:val="auto"/>
                <w:sz w:val="16"/>
                <w:szCs w:val="16"/>
                <w:bdr w:val="none" w:sz="0" w:space="0" w:color="auto"/>
                <w:lang w:eastAsia="es-ES"/>
              </w:rPr>
            </w:pPr>
            <w:r w:rsidRPr="00C16D40">
              <w:rPr>
                <w:rFonts w:eastAsia="Times New Roman"/>
                <w:color w:val="auto"/>
                <w:sz w:val="16"/>
                <w:szCs w:val="16"/>
                <w:bdr w:val="none" w:sz="0" w:space="0" w:color="auto"/>
                <w:lang w:eastAsia="es-ES"/>
              </w:rPr>
              <w:t>15.1</w:t>
            </w:r>
          </w:p>
        </w:tc>
        <w:tc>
          <w:tcPr>
            <w:tcW w:w="734" w:type="pct"/>
            <w:tcBorders>
              <w:top w:val="nil"/>
              <w:left w:val="nil"/>
              <w:bottom w:val="nil"/>
              <w:right w:val="nil"/>
            </w:tcBorders>
            <w:shd w:val="clear" w:color="auto" w:fill="auto"/>
            <w:vAlign w:val="center"/>
          </w:tcPr>
          <w:p w14:paraId="04515168" w14:textId="3A124E03" w:rsidR="00536E0F" w:rsidRPr="00C16D40" w:rsidRDefault="00536E0F" w:rsidP="00536E0F">
            <w:pPr>
              <w:pBdr>
                <w:top w:val="none" w:sz="0" w:space="0" w:color="auto"/>
                <w:left w:val="none" w:sz="0" w:space="0" w:color="auto"/>
                <w:bottom w:val="none" w:sz="0" w:space="0" w:color="auto"/>
                <w:right w:val="none" w:sz="0" w:space="0" w:color="auto"/>
                <w:between w:val="none" w:sz="0" w:space="0" w:color="auto"/>
                <w:bar w:val="none" w:sz="0" w:color="auto"/>
              </w:pBdr>
              <w:jc w:val="right"/>
              <w:outlineLvl w:val="9"/>
              <w:rPr>
                <w:rFonts w:eastAsia="Times New Roman"/>
                <w:color w:val="auto"/>
                <w:sz w:val="16"/>
                <w:szCs w:val="16"/>
                <w:bdr w:val="none" w:sz="0" w:space="0" w:color="auto"/>
                <w:lang w:eastAsia="es-ES"/>
              </w:rPr>
            </w:pPr>
            <w:r>
              <w:rPr>
                <w:sz w:val="16"/>
                <w:szCs w:val="16"/>
              </w:rPr>
              <w:t>(48.649,38)</w:t>
            </w:r>
          </w:p>
        </w:tc>
        <w:tc>
          <w:tcPr>
            <w:tcW w:w="784" w:type="pct"/>
            <w:tcBorders>
              <w:top w:val="nil"/>
              <w:left w:val="nil"/>
              <w:bottom w:val="nil"/>
              <w:right w:val="nil"/>
            </w:tcBorders>
            <w:shd w:val="clear" w:color="auto" w:fill="auto"/>
            <w:vAlign w:val="center"/>
            <w:hideMark/>
          </w:tcPr>
          <w:p w14:paraId="3EACAC38" w14:textId="0F37208F" w:rsidR="00536E0F" w:rsidRPr="00C16D40" w:rsidRDefault="00536E0F" w:rsidP="00536E0F">
            <w:pPr>
              <w:pBdr>
                <w:top w:val="none" w:sz="0" w:space="0" w:color="auto"/>
                <w:left w:val="none" w:sz="0" w:space="0" w:color="auto"/>
                <w:bottom w:val="none" w:sz="0" w:space="0" w:color="auto"/>
                <w:right w:val="none" w:sz="0" w:space="0" w:color="auto"/>
                <w:between w:val="none" w:sz="0" w:space="0" w:color="auto"/>
                <w:bar w:val="none" w:sz="0" w:color="auto"/>
              </w:pBdr>
              <w:jc w:val="right"/>
              <w:outlineLvl w:val="9"/>
              <w:rPr>
                <w:rFonts w:eastAsia="Times New Roman"/>
                <w:color w:val="auto"/>
                <w:sz w:val="16"/>
                <w:szCs w:val="16"/>
                <w:bdr w:val="none" w:sz="0" w:space="0" w:color="auto"/>
                <w:lang w:eastAsia="es-ES"/>
              </w:rPr>
            </w:pPr>
            <w:r>
              <w:rPr>
                <w:sz w:val="16"/>
                <w:szCs w:val="16"/>
              </w:rPr>
              <w:t>(71.771,25)</w:t>
            </w:r>
          </w:p>
        </w:tc>
      </w:tr>
      <w:tr w:rsidR="00536E0F" w:rsidRPr="00C16D40" w14:paraId="6D65A250" w14:textId="77777777" w:rsidTr="00BA5560">
        <w:trPr>
          <w:trHeight w:val="227"/>
        </w:trPr>
        <w:tc>
          <w:tcPr>
            <w:tcW w:w="3005" w:type="pct"/>
            <w:tcBorders>
              <w:top w:val="nil"/>
              <w:left w:val="nil"/>
              <w:bottom w:val="nil"/>
              <w:right w:val="nil"/>
            </w:tcBorders>
            <w:shd w:val="clear" w:color="auto" w:fill="auto"/>
            <w:vAlign w:val="center"/>
            <w:hideMark/>
          </w:tcPr>
          <w:p w14:paraId="1A60F359" w14:textId="77777777" w:rsidR="00536E0F" w:rsidRPr="00C16D40" w:rsidRDefault="00536E0F" w:rsidP="00536E0F">
            <w:pPr>
              <w:pBdr>
                <w:top w:val="none" w:sz="0" w:space="0" w:color="auto"/>
                <w:left w:val="none" w:sz="0" w:space="0" w:color="auto"/>
                <w:bottom w:val="none" w:sz="0" w:space="0" w:color="auto"/>
                <w:right w:val="none" w:sz="0" w:space="0" w:color="auto"/>
                <w:between w:val="none" w:sz="0" w:space="0" w:color="auto"/>
                <w:bar w:val="none" w:sz="0" w:color="auto"/>
              </w:pBdr>
              <w:outlineLvl w:val="9"/>
              <w:rPr>
                <w:rFonts w:eastAsia="Times New Roman"/>
                <w:color w:val="auto"/>
                <w:sz w:val="16"/>
                <w:szCs w:val="16"/>
                <w:bdr w:val="none" w:sz="0" w:space="0" w:color="auto"/>
                <w:lang w:eastAsia="es-ES"/>
              </w:rPr>
            </w:pPr>
            <w:r w:rsidRPr="00C16D40">
              <w:rPr>
                <w:rFonts w:eastAsia="Times New Roman"/>
                <w:color w:val="auto"/>
                <w:sz w:val="16"/>
                <w:szCs w:val="16"/>
                <w:bdr w:val="none" w:sz="0" w:space="0" w:color="auto"/>
                <w:lang w:eastAsia="es-ES"/>
              </w:rPr>
              <w:t>- Ingresos financieros</w:t>
            </w:r>
          </w:p>
        </w:tc>
        <w:tc>
          <w:tcPr>
            <w:tcW w:w="477" w:type="pct"/>
            <w:tcBorders>
              <w:top w:val="nil"/>
              <w:left w:val="nil"/>
              <w:bottom w:val="nil"/>
              <w:right w:val="nil"/>
            </w:tcBorders>
            <w:shd w:val="clear" w:color="auto" w:fill="auto"/>
            <w:noWrap/>
            <w:vAlign w:val="center"/>
            <w:hideMark/>
          </w:tcPr>
          <w:p w14:paraId="14645FB9" w14:textId="77777777" w:rsidR="00536E0F" w:rsidRPr="00C16D40" w:rsidRDefault="00536E0F" w:rsidP="00536E0F">
            <w:pPr>
              <w:pBdr>
                <w:top w:val="none" w:sz="0" w:space="0" w:color="auto"/>
                <w:left w:val="none" w:sz="0" w:space="0" w:color="auto"/>
                <w:bottom w:val="none" w:sz="0" w:space="0" w:color="auto"/>
                <w:right w:val="none" w:sz="0" w:space="0" w:color="auto"/>
                <w:between w:val="none" w:sz="0" w:space="0" w:color="auto"/>
                <w:bar w:val="none" w:sz="0" w:color="auto"/>
              </w:pBdr>
              <w:jc w:val="center"/>
              <w:outlineLvl w:val="9"/>
              <w:rPr>
                <w:rFonts w:eastAsia="Times New Roman"/>
                <w:color w:val="auto"/>
                <w:sz w:val="16"/>
                <w:szCs w:val="16"/>
                <w:bdr w:val="none" w:sz="0" w:space="0" w:color="auto"/>
                <w:lang w:eastAsia="es-ES"/>
              </w:rPr>
            </w:pPr>
            <w:r w:rsidRPr="00C16D40">
              <w:rPr>
                <w:rFonts w:eastAsia="Times New Roman"/>
                <w:color w:val="auto"/>
                <w:sz w:val="16"/>
                <w:szCs w:val="16"/>
                <w:bdr w:val="none" w:sz="0" w:space="0" w:color="auto"/>
                <w:lang w:eastAsia="es-ES"/>
              </w:rPr>
              <w:t>12.e</w:t>
            </w:r>
          </w:p>
        </w:tc>
        <w:tc>
          <w:tcPr>
            <w:tcW w:w="734" w:type="pct"/>
            <w:tcBorders>
              <w:top w:val="nil"/>
              <w:left w:val="nil"/>
              <w:bottom w:val="nil"/>
              <w:right w:val="nil"/>
            </w:tcBorders>
            <w:shd w:val="clear" w:color="auto" w:fill="auto"/>
            <w:vAlign w:val="center"/>
          </w:tcPr>
          <w:p w14:paraId="78275ECA" w14:textId="6B479A76" w:rsidR="00536E0F" w:rsidRPr="00C16D40" w:rsidRDefault="00536E0F" w:rsidP="00536E0F">
            <w:pPr>
              <w:pBdr>
                <w:top w:val="none" w:sz="0" w:space="0" w:color="auto"/>
                <w:left w:val="none" w:sz="0" w:space="0" w:color="auto"/>
                <w:bottom w:val="none" w:sz="0" w:space="0" w:color="auto"/>
                <w:right w:val="none" w:sz="0" w:space="0" w:color="auto"/>
                <w:between w:val="none" w:sz="0" w:space="0" w:color="auto"/>
                <w:bar w:val="none" w:sz="0" w:color="auto"/>
              </w:pBdr>
              <w:jc w:val="right"/>
              <w:outlineLvl w:val="9"/>
              <w:rPr>
                <w:rFonts w:eastAsia="Times New Roman"/>
                <w:color w:val="auto"/>
                <w:sz w:val="16"/>
                <w:szCs w:val="16"/>
                <w:bdr w:val="none" w:sz="0" w:space="0" w:color="auto"/>
                <w:lang w:eastAsia="es-ES"/>
              </w:rPr>
            </w:pPr>
            <w:r>
              <w:rPr>
                <w:sz w:val="16"/>
                <w:szCs w:val="16"/>
              </w:rPr>
              <w:t>(180.879,32)</w:t>
            </w:r>
          </w:p>
        </w:tc>
        <w:tc>
          <w:tcPr>
            <w:tcW w:w="784" w:type="pct"/>
            <w:tcBorders>
              <w:top w:val="nil"/>
              <w:left w:val="nil"/>
              <w:bottom w:val="nil"/>
              <w:right w:val="nil"/>
            </w:tcBorders>
            <w:shd w:val="clear" w:color="auto" w:fill="auto"/>
            <w:vAlign w:val="center"/>
            <w:hideMark/>
          </w:tcPr>
          <w:p w14:paraId="196C5E2D" w14:textId="0A8558F7" w:rsidR="00536E0F" w:rsidRPr="00C16D40" w:rsidRDefault="00536E0F" w:rsidP="00536E0F">
            <w:pPr>
              <w:pBdr>
                <w:top w:val="none" w:sz="0" w:space="0" w:color="auto"/>
                <w:left w:val="none" w:sz="0" w:space="0" w:color="auto"/>
                <w:bottom w:val="none" w:sz="0" w:space="0" w:color="auto"/>
                <w:right w:val="none" w:sz="0" w:space="0" w:color="auto"/>
                <w:between w:val="none" w:sz="0" w:space="0" w:color="auto"/>
                <w:bar w:val="none" w:sz="0" w:color="auto"/>
              </w:pBdr>
              <w:jc w:val="right"/>
              <w:outlineLvl w:val="9"/>
              <w:rPr>
                <w:rFonts w:eastAsia="Times New Roman"/>
                <w:color w:val="auto"/>
                <w:sz w:val="16"/>
                <w:szCs w:val="16"/>
                <w:bdr w:val="none" w:sz="0" w:space="0" w:color="auto"/>
                <w:lang w:eastAsia="es-ES"/>
              </w:rPr>
            </w:pPr>
            <w:r>
              <w:rPr>
                <w:sz w:val="16"/>
                <w:szCs w:val="16"/>
              </w:rPr>
              <w:t>(26.725,47)</w:t>
            </w:r>
          </w:p>
        </w:tc>
      </w:tr>
      <w:tr w:rsidR="00680BE3" w:rsidRPr="00C16D40" w14:paraId="7CD17459" w14:textId="77777777" w:rsidTr="00BA5560">
        <w:trPr>
          <w:trHeight w:val="113"/>
        </w:trPr>
        <w:tc>
          <w:tcPr>
            <w:tcW w:w="3005" w:type="pct"/>
            <w:tcBorders>
              <w:top w:val="nil"/>
              <w:left w:val="nil"/>
              <w:bottom w:val="nil"/>
              <w:right w:val="nil"/>
            </w:tcBorders>
            <w:shd w:val="clear" w:color="auto" w:fill="auto"/>
            <w:vAlign w:val="center"/>
            <w:hideMark/>
          </w:tcPr>
          <w:p w14:paraId="5351F877" w14:textId="77777777" w:rsidR="00680BE3" w:rsidRPr="00C16D40" w:rsidRDefault="00680BE3" w:rsidP="00680BE3">
            <w:pPr>
              <w:pBdr>
                <w:top w:val="none" w:sz="0" w:space="0" w:color="auto"/>
                <w:left w:val="none" w:sz="0" w:space="0" w:color="auto"/>
                <w:bottom w:val="none" w:sz="0" w:space="0" w:color="auto"/>
                <w:right w:val="none" w:sz="0" w:space="0" w:color="auto"/>
                <w:between w:val="none" w:sz="0" w:space="0" w:color="auto"/>
                <w:bar w:val="none" w:sz="0" w:color="auto"/>
              </w:pBdr>
              <w:jc w:val="right"/>
              <w:outlineLvl w:val="9"/>
              <w:rPr>
                <w:rFonts w:eastAsia="Times New Roman"/>
                <w:color w:val="auto"/>
                <w:sz w:val="16"/>
                <w:szCs w:val="16"/>
                <w:bdr w:val="none" w:sz="0" w:space="0" w:color="auto"/>
                <w:lang w:eastAsia="es-ES"/>
              </w:rPr>
            </w:pPr>
          </w:p>
        </w:tc>
        <w:tc>
          <w:tcPr>
            <w:tcW w:w="477" w:type="pct"/>
            <w:tcBorders>
              <w:top w:val="nil"/>
              <w:left w:val="nil"/>
              <w:bottom w:val="nil"/>
              <w:right w:val="nil"/>
            </w:tcBorders>
            <w:shd w:val="clear" w:color="auto" w:fill="auto"/>
            <w:noWrap/>
            <w:vAlign w:val="center"/>
            <w:hideMark/>
          </w:tcPr>
          <w:p w14:paraId="0AB5CF64" w14:textId="77777777" w:rsidR="00680BE3" w:rsidRPr="00C16D40" w:rsidRDefault="00680BE3" w:rsidP="00680BE3">
            <w:pPr>
              <w:pBdr>
                <w:top w:val="none" w:sz="0" w:space="0" w:color="auto"/>
                <w:left w:val="none" w:sz="0" w:space="0" w:color="auto"/>
                <w:bottom w:val="none" w:sz="0" w:space="0" w:color="auto"/>
                <w:right w:val="none" w:sz="0" w:space="0" w:color="auto"/>
                <w:between w:val="none" w:sz="0" w:space="0" w:color="auto"/>
                <w:bar w:val="none" w:sz="0" w:color="auto"/>
              </w:pBdr>
              <w:jc w:val="center"/>
              <w:outlineLvl w:val="9"/>
              <w:rPr>
                <w:rFonts w:eastAsia="Times New Roman"/>
                <w:color w:val="auto"/>
                <w:sz w:val="16"/>
                <w:szCs w:val="16"/>
                <w:bdr w:val="none" w:sz="0" w:space="0" w:color="auto"/>
                <w:lang w:eastAsia="es-ES"/>
              </w:rPr>
            </w:pPr>
          </w:p>
        </w:tc>
        <w:tc>
          <w:tcPr>
            <w:tcW w:w="734" w:type="pct"/>
            <w:tcBorders>
              <w:top w:val="nil"/>
              <w:left w:val="nil"/>
              <w:bottom w:val="nil"/>
              <w:right w:val="nil"/>
            </w:tcBorders>
            <w:shd w:val="clear" w:color="auto" w:fill="auto"/>
            <w:noWrap/>
            <w:vAlign w:val="center"/>
          </w:tcPr>
          <w:p w14:paraId="237C0DDF" w14:textId="77777777" w:rsidR="00680BE3" w:rsidRPr="00C16D40" w:rsidRDefault="00680BE3" w:rsidP="00680BE3">
            <w:pPr>
              <w:pBdr>
                <w:top w:val="none" w:sz="0" w:space="0" w:color="auto"/>
                <w:left w:val="none" w:sz="0" w:space="0" w:color="auto"/>
                <w:bottom w:val="none" w:sz="0" w:space="0" w:color="auto"/>
                <w:right w:val="none" w:sz="0" w:space="0" w:color="auto"/>
                <w:between w:val="none" w:sz="0" w:space="0" w:color="auto"/>
                <w:bar w:val="none" w:sz="0" w:color="auto"/>
              </w:pBdr>
              <w:jc w:val="right"/>
              <w:outlineLvl w:val="9"/>
              <w:rPr>
                <w:rFonts w:eastAsia="Times New Roman"/>
                <w:color w:val="auto"/>
                <w:sz w:val="16"/>
                <w:szCs w:val="16"/>
                <w:bdr w:val="none" w:sz="0" w:space="0" w:color="auto"/>
                <w:lang w:eastAsia="es-ES"/>
              </w:rPr>
            </w:pPr>
          </w:p>
        </w:tc>
        <w:tc>
          <w:tcPr>
            <w:tcW w:w="784" w:type="pct"/>
            <w:tcBorders>
              <w:top w:val="nil"/>
              <w:left w:val="nil"/>
              <w:bottom w:val="nil"/>
              <w:right w:val="nil"/>
            </w:tcBorders>
            <w:shd w:val="clear" w:color="auto" w:fill="auto"/>
            <w:noWrap/>
            <w:vAlign w:val="center"/>
            <w:hideMark/>
          </w:tcPr>
          <w:p w14:paraId="692CF575" w14:textId="77777777" w:rsidR="00680BE3" w:rsidRPr="00C16D40" w:rsidRDefault="00680BE3" w:rsidP="00680BE3">
            <w:pPr>
              <w:pBdr>
                <w:top w:val="none" w:sz="0" w:space="0" w:color="auto"/>
                <w:left w:val="none" w:sz="0" w:space="0" w:color="auto"/>
                <w:bottom w:val="none" w:sz="0" w:space="0" w:color="auto"/>
                <w:right w:val="none" w:sz="0" w:space="0" w:color="auto"/>
                <w:between w:val="none" w:sz="0" w:space="0" w:color="auto"/>
                <w:bar w:val="none" w:sz="0" w:color="auto"/>
              </w:pBdr>
              <w:jc w:val="right"/>
              <w:outlineLvl w:val="9"/>
              <w:rPr>
                <w:rFonts w:eastAsia="Times New Roman"/>
                <w:color w:val="auto"/>
                <w:sz w:val="16"/>
                <w:szCs w:val="16"/>
                <w:bdr w:val="none" w:sz="0" w:space="0" w:color="auto"/>
                <w:lang w:eastAsia="es-ES"/>
              </w:rPr>
            </w:pPr>
          </w:p>
        </w:tc>
      </w:tr>
      <w:tr w:rsidR="00536E0F" w:rsidRPr="00C16D40" w14:paraId="63BC766B" w14:textId="77777777" w:rsidTr="00BA5560">
        <w:trPr>
          <w:trHeight w:val="227"/>
        </w:trPr>
        <w:tc>
          <w:tcPr>
            <w:tcW w:w="3005" w:type="pct"/>
            <w:tcBorders>
              <w:top w:val="nil"/>
              <w:left w:val="nil"/>
              <w:bottom w:val="nil"/>
              <w:right w:val="nil"/>
            </w:tcBorders>
            <w:shd w:val="clear" w:color="auto" w:fill="auto"/>
            <w:vAlign w:val="center"/>
            <w:hideMark/>
          </w:tcPr>
          <w:p w14:paraId="0A697B4A" w14:textId="77777777" w:rsidR="00536E0F" w:rsidRPr="00C16D40" w:rsidRDefault="00536E0F" w:rsidP="00536E0F">
            <w:pPr>
              <w:pBdr>
                <w:top w:val="none" w:sz="0" w:space="0" w:color="auto"/>
                <w:left w:val="none" w:sz="0" w:space="0" w:color="auto"/>
                <w:bottom w:val="none" w:sz="0" w:space="0" w:color="auto"/>
                <w:right w:val="none" w:sz="0" w:space="0" w:color="auto"/>
                <w:between w:val="none" w:sz="0" w:space="0" w:color="auto"/>
                <w:bar w:val="none" w:sz="0" w:color="auto"/>
              </w:pBdr>
              <w:outlineLvl w:val="9"/>
              <w:rPr>
                <w:rFonts w:eastAsia="Times New Roman"/>
                <w:b/>
                <w:bCs/>
                <w:color w:val="auto"/>
                <w:sz w:val="16"/>
                <w:szCs w:val="16"/>
                <w:bdr w:val="none" w:sz="0" w:space="0" w:color="auto"/>
                <w:lang w:eastAsia="es-ES"/>
              </w:rPr>
            </w:pPr>
            <w:r w:rsidRPr="00C16D40">
              <w:rPr>
                <w:rFonts w:eastAsia="Times New Roman"/>
                <w:b/>
                <w:bCs/>
                <w:color w:val="auto"/>
                <w:sz w:val="16"/>
                <w:szCs w:val="16"/>
                <w:bdr w:val="none" w:sz="0" w:space="0" w:color="auto"/>
                <w:lang w:eastAsia="es-ES"/>
              </w:rPr>
              <w:t>Cambios en el capital corriente</w:t>
            </w:r>
          </w:p>
        </w:tc>
        <w:tc>
          <w:tcPr>
            <w:tcW w:w="477" w:type="pct"/>
            <w:tcBorders>
              <w:top w:val="nil"/>
              <w:left w:val="nil"/>
              <w:bottom w:val="nil"/>
              <w:right w:val="nil"/>
            </w:tcBorders>
            <w:shd w:val="clear" w:color="auto" w:fill="auto"/>
            <w:noWrap/>
            <w:vAlign w:val="center"/>
            <w:hideMark/>
          </w:tcPr>
          <w:p w14:paraId="0BAB6A3A" w14:textId="77777777" w:rsidR="00536E0F" w:rsidRPr="00C16D40" w:rsidRDefault="00536E0F" w:rsidP="00536E0F">
            <w:pPr>
              <w:pBdr>
                <w:top w:val="none" w:sz="0" w:space="0" w:color="auto"/>
                <w:left w:val="none" w:sz="0" w:space="0" w:color="auto"/>
                <w:bottom w:val="none" w:sz="0" w:space="0" w:color="auto"/>
                <w:right w:val="none" w:sz="0" w:space="0" w:color="auto"/>
                <w:between w:val="none" w:sz="0" w:space="0" w:color="auto"/>
                <w:bar w:val="none" w:sz="0" w:color="auto"/>
              </w:pBdr>
              <w:jc w:val="center"/>
              <w:outlineLvl w:val="9"/>
              <w:rPr>
                <w:rFonts w:eastAsia="Times New Roman"/>
                <w:b/>
                <w:bCs/>
                <w:color w:val="auto"/>
                <w:sz w:val="16"/>
                <w:szCs w:val="16"/>
                <w:bdr w:val="none" w:sz="0" w:space="0" w:color="auto"/>
                <w:lang w:eastAsia="es-ES"/>
              </w:rPr>
            </w:pPr>
          </w:p>
        </w:tc>
        <w:tc>
          <w:tcPr>
            <w:tcW w:w="734" w:type="pct"/>
            <w:tcBorders>
              <w:top w:val="single" w:sz="4" w:space="0" w:color="auto"/>
              <w:left w:val="nil"/>
              <w:bottom w:val="single" w:sz="4" w:space="0" w:color="auto"/>
              <w:right w:val="nil"/>
            </w:tcBorders>
            <w:shd w:val="clear" w:color="auto" w:fill="auto"/>
            <w:vAlign w:val="center"/>
          </w:tcPr>
          <w:p w14:paraId="6C243431" w14:textId="6C1101C9" w:rsidR="00536E0F" w:rsidRPr="00C16D40" w:rsidRDefault="00536E0F" w:rsidP="00536E0F">
            <w:pPr>
              <w:pBdr>
                <w:top w:val="none" w:sz="0" w:space="0" w:color="auto"/>
                <w:left w:val="none" w:sz="0" w:space="0" w:color="auto"/>
                <w:bottom w:val="none" w:sz="0" w:space="0" w:color="auto"/>
                <w:right w:val="none" w:sz="0" w:space="0" w:color="auto"/>
                <w:between w:val="none" w:sz="0" w:space="0" w:color="auto"/>
                <w:bar w:val="none" w:sz="0" w:color="auto"/>
              </w:pBdr>
              <w:jc w:val="right"/>
              <w:outlineLvl w:val="9"/>
              <w:rPr>
                <w:rFonts w:eastAsia="Times New Roman"/>
                <w:b/>
                <w:bCs/>
                <w:color w:val="auto"/>
                <w:sz w:val="16"/>
                <w:szCs w:val="16"/>
                <w:bdr w:val="none" w:sz="0" w:space="0" w:color="auto"/>
                <w:lang w:eastAsia="es-ES"/>
              </w:rPr>
            </w:pPr>
            <w:r>
              <w:rPr>
                <w:b/>
                <w:bCs/>
                <w:sz w:val="16"/>
                <w:szCs w:val="16"/>
              </w:rPr>
              <w:t>(1.611.804,53)</w:t>
            </w:r>
          </w:p>
        </w:tc>
        <w:tc>
          <w:tcPr>
            <w:tcW w:w="784" w:type="pct"/>
            <w:tcBorders>
              <w:top w:val="single" w:sz="4" w:space="0" w:color="auto"/>
              <w:left w:val="nil"/>
              <w:bottom w:val="single" w:sz="4" w:space="0" w:color="auto"/>
              <w:right w:val="nil"/>
            </w:tcBorders>
            <w:shd w:val="clear" w:color="auto" w:fill="auto"/>
            <w:vAlign w:val="center"/>
            <w:hideMark/>
          </w:tcPr>
          <w:p w14:paraId="43F33170" w14:textId="126C9AA7" w:rsidR="00536E0F" w:rsidRPr="00C16D40" w:rsidRDefault="00536E0F" w:rsidP="00536E0F">
            <w:pPr>
              <w:pBdr>
                <w:top w:val="none" w:sz="0" w:space="0" w:color="auto"/>
                <w:left w:val="none" w:sz="0" w:space="0" w:color="auto"/>
                <w:bottom w:val="none" w:sz="0" w:space="0" w:color="auto"/>
                <w:right w:val="none" w:sz="0" w:space="0" w:color="auto"/>
                <w:between w:val="none" w:sz="0" w:space="0" w:color="auto"/>
                <w:bar w:val="none" w:sz="0" w:color="auto"/>
              </w:pBdr>
              <w:jc w:val="right"/>
              <w:outlineLvl w:val="9"/>
              <w:rPr>
                <w:rFonts w:eastAsia="Times New Roman"/>
                <w:b/>
                <w:bCs/>
                <w:color w:val="auto"/>
                <w:sz w:val="16"/>
                <w:szCs w:val="16"/>
                <w:bdr w:val="none" w:sz="0" w:space="0" w:color="auto"/>
                <w:lang w:eastAsia="es-ES"/>
              </w:rPr>
            </w:pPr>
            <w:r>
              <w:rPr>
                <w:b/>
                <w:bCs/>
                <w:sz w:val="16"/>
                <w:szCs w:val="16"/>
              </w:rPr>
              <w:t>(5.692.088,96)</w:t>
            </w:r>
          </w:p>
        </w:tc>
      </w:tr>
      <w:tr w:rsidR="00536E0F" w:rsidRPr="00C16D40" w14:paraId="44728A83" w14:textId="77777777" w:rsidTr="00BA5560">
        <w:trPr>
          <w:trHeight w:val="227"/>
        </w:trPr>
        <w:tc>
          <w:tcPr>
            <w:tcW w:w="3005" w:type="pct"/>
            <w:tcBorders>
              <w:top w:val="nil"/>
              <w:left w:val="nil"/>
              <w:bottom w:val="nil"/>
              <w:right w:val="nil"/>
            </w:tcBorders>
            <w:shd w:val="clear" w:color="auto" w:fill="auto"/>
            <w:vAlign w:val="center"/>
            <w:hideMark/>
          </w:tcPr>
          <w:p w14:paraId="5017D3D1" w14:textId="77777777" w:rsidR="00536E0F" w:rsidRPr="00C16D40" w:rsidRDefault="00536E0F" w:rsidP="00536E0F">
            <w:pPr>
              <w:pBdr>
                <w:top w:val="none" w:sz="0" w:space="0" w:color="auto"/>
                <w:left w:val="none" w:sz="0" w:space="0" w:color="auto"/>
                <w:bottom w:val="none" w:sz="0" w:space="0" w:color="auto"/>
                <w:right w:val="none" w:sz="0" w:space="0" w:color="auto"/>
                <w:between w:val="none" w:sz="0" w:space="0" w:color="auto"/>
                <w:bar w:val="none" w:sz="0" w:color="auto"/>
              </w:pBdr>
              <w:outlineLvl w:val="9"/>
              <w:rPr>
                <w:rFonts w:eastAsia="Times New Roman"/>
                <w:color w:val="auto"/>
                <w:sz w:val="16"/>
                <w:szCs w:val="16"/>
                <w:bdr w:val="none" w:sz="0" w:space="0" w:color="auto"/>
                <w:lang w:eastAsia="es-ES"/>
              </w:rPr>
            </w:pPr>
            <w:r w:rsidRPr="00C16D40">
              <w:rPr>
                <w:rFonts w:eastAsia="Times New Roman"/>
                <w:color w:val="auto"/>
                <w:sz w:val="16"/>
                <w:szCs w:val="16"/>
                <w:bdr w:val="none" w:sz="0" w:space="0" w:color="auto"/>
                <w:lang w:eastAsia="es-ES"/>
              </w:rPr>
              <w:t>- Deudores y otras cuentas a cobrar</w:t>
            </w:r>
          </w:p>
        </w:tc>
        <w:tc>
          <w:tcPr>
            <w:tcW w:w="477" w:type="pct"/>
            <w:tcBorders>
              <w:top w:val="nil"/>
              <w:left w:val="nil"/>
              <w:bottom w:val="nil"/>
              <w:right w:val="nil"/>
            </w:tcBorders>
            <w:shd w:val="clear" w:color="auto" w:fill="auto"/>
            <w:noWrap/>
            <w:vAlign w:val="center"/>
            <w:hideMark/>
          </w:tcPr>
          <w:p w14:paraId="3D25D6D0" w14:textId="77777777" w:rsidR="00536E0F" w:rsidRPr="00C16D40" w:rsidRDefault="00536E0F" w:rsidP="00536E0F">
            <w:pPr>
              <w:pBdr>
                <w:top w:val="none" w:sz="0" w:space="0" w:color="auto"/>
                <w:left w:val="none" w:sz="0" w:space="0" w:color="auto"/>
                <w:bottom w:val="none" w:sz="0" w:space="0" w:color="auto"/>
                <w:right w:val="none" w:sz="0" w:space="0" w:color="auto"/>
                <w:between w:val="none" w:sz="0" w:space="0" w:color="auto"/>
                <w:bar w:val="none" w:sz="0" w:color="auto"/>
              </w:pBdr>
              <w:jc w:val="center"/>
              <w:outlineLvl w:val="9"/>
              <w:rPr>
                <w:rFonts w:eastAsia="Times New Roman"/>
                <w:color w:val="auto"/>
                <w:sz w:val="16"/>
                <w:szCs w:val="16"/>
                <w:bdr w:val="none" w:sz="0" w:space="0" w:color="auto"/>
                <w:lang w:eastAsia="es-ES"/>
              </w:rPr>
            </w:pPr>
          </w:p>
        </w:tc>
        <w:tc>
          <w:tcPr>
            <w:tcW w:w="734" w:type="pct"/>
            <w:tcBorders>
              <w:top w:val="nil"/>
              <w:left w:val="nil"/>
              <w:bottom w:val="nil"/>
              <w:right w:val="nil"/>
            </w:tcBorders>
            <w:shd w:val="clear" w:color="auto" w:fill="auto"/>
            <w:vAlign w:val="center"/>
          </w:tcPr>
          <w:p w14:paraId="1C3812DD" w14:textId="637E7540" w:rsidR="00536E0F" w:rsidRPr="00C16D40" w:rsidRDefault="00536E0F" w:rsidP="00536E0F">
            <w:pPr>
              <w:pBdr>
                <w:top w:val="none" w:sz="0" w:space="0" w:color="auto"/>
                <w:left w:val="none" w:sz="0" w:space="0" w:color="auto"/>
                <w:bottom w:val="none" w:sz="0" w:space="0" w:color="auto"/>
                <w:right w:val="none" w:sz="0" w:space="0" w:color="auto"/>
                <w:between w:val="none" w:sz="0" w:space="0" w:color="auto"/>
                <w:bar w:val="none" w:sz="0" w:color="auto"/>
              </w:pBdr>
              <w:jc w:val="right"/>
              <w:outlineLvl w:val="9"/>
              <w:rPr>
                <w:rFonts w:eastAsia="Times New Roman"/>
                <w:color w:val="auto"/>
                <w:sz w:val="16"/>
                <w:szCs w:val="16"/>
                <w:bdr w:val="none" w:sz="0" w:space="0" w:color="auto"/>
                <w:lang w:eastAsia="es-ES"/>
              </w:rPr>
            </w:pPr>
            <w:r>
              <w:rPr>
                <w:sz w:val="16"/>
                <w:szCs w:val="16"/>
              </w:rPr>
              <w:t>(276.067,73)</w:t>
            </w:r>
          </w:p>
        </w:tc>
        <w:tc>
          <w:tcPr>
            <w:tcW w:w="784" w:type="pct"/>
            <w:tcBorders>
              <w:top w:val="nil"/>
              <w:left w:val="nil"/>
              <w:bottom w:val="nil"/>
              <w:right w:val="nil"/>
            </w:tcBorders>
            <w:shd w:val="clear" w:color="auto" w:fill="auto"/>
            <w:vAlign w:val="center"/>
            <w:hideMark/>
          </w:tcPr>
          <w:p w14:paraId="2E386474" w14:textId="1FACB2D6" w:rsidR="00536E0F" w:rsidRPr="00C16D40" w:rsidRDefault="00536E0F" w:rsidP="00536E0F">
            <w:pPr>
              <w:pBdr>
                <w:top w:val="none" w:sz="0" w:space="0" w:color="auto"/>
                <w:left w:val="none" w:sz="0" w:space="0" w:color="auto"/>
                <w:bottom w:val="none" w:sz="0" w:space="0" w:color="auto"/>
                <w:right w:val="none" w:sz="0" w:space="0" w:color="auto"/>
                <w:between w:val="none" w:sz="0" w:space="0" w:color="auto"/>
                <w:bar w:val="none" w:sz="0" w:color="auto"/>
              </w:pBdr>
              <w:jc w:val="right"/>
              <w:outlineLvl w:val="9"/>
              <w:rPr>
                <w:rFonts w:eastAsia="Times New Roman"/>
                <w:color w:val="auto"/>
                <w:sz w:val="16"/>
                <w:szCs w:val="16"/>
                <w:bdr w:val="none" w:sz="0" w:space="0" w:color="auto"/>
                <w:lang w:eastAsia="es-ES"/>
              </w:rPr>
            </w:pPr>
            <w:r>
              <w:rPr>
                <w:sz w:val="16"/>
                <w:szCs w:val="16"/>
              </w:rPr>
              <w:t>72.458,27</w:t>
            </w:r>
          </w:p>
        </w:tc>
      </w:tr>
      <w:tr w:rsidR="00536E0F" w:rsidRPr="00C16D40" w14:paraId="287B3C7C" w14:textId="77777777" w:rsidTr="00BA5560">
        <w:trPr>
          <w:trHeight w:val="227"/>
        </w:trPr>
        <w:tc>
          <w:tcPr>
            <w:tcW w:w="3005" w:type="pct"/>
            <w:tcBorders>
              <w:top w:val="nil"/>
              <w:left w:val="nil"/>
              <w:bottom w:val="nil"/>
              <w:right w:val="nil"/>
            </w:tcBorders>
            <w:shd w:val="clear" w:color="auto" w:fill="auto"/>
            <w:vAlign w:val="center"/>
            <w:hideMark/>
          </w:tcPr>
          <w:p w14:paraId="79388B4B" w14:textId="77777777" w:rsidR="00536E0F" w:rsidRPr="00C16D40" w:rsidRDefault="00536E0F" w:rsidP="00536E0F">
            <w:pPr>
              <w:pBdr>
                <w:top w:val="none" w:sz="0" w:space="0" w:color="auto"/>
                <w:left w:val="none" w:sz="0" w:space="0" w:color="auto"/>
                <w:bottom w:val="none" w:sz="0" w:space="0" w:color="auto"/>
                <w:right w:val="none" w:sz="0" w:space="0" w:color="auto"/>
                <w:between w:val="none" w:sz="0" w:space="0" w:color="auto"/>
                <w:bar w:val="none" w:sz="0" w:color="auto"/>
              </w:pBdr>
              <w:outlineLvl w:val="9"/>
              <w:rPr>
                <w:rFonts w:eastAsia="Times New Roman"/>
                <w:color w:val="auto"/>
                <w:sz w:val="16"/>
                <w:szCs w:val="16"/>
                <w:bdr w:val="none" w:sz="0" w:space="0" w:color="auto"/>
                <w:lang w:eastAsia="es-ES"/>
              </w:rPr>
            </w:pPr>
            <w:r w:rsidRPr="00C16D40">
              <w:rPr>
                <w:rFonts w:eastAsia="Times New Roman"/>
                <w:color w:val="auto"/>
                <w:sz w:val="16"/>
                <w:szCs w:val="16"/>
                <w:bdr w:val="none" w:sz="0" w:space="0" w:color="auto"/>
                <w:lang w:eastAsia="es-ES"/>
              </w:rPr>
              <w:t>- Otros activos corrientes</w:t>
            </w:r>
          </w:p>
        </w:tc>
        <w:tc>
          <w:tcPr>
            <w:tcW w:w="477" w:type="pct"/>
            <w:tcBorders>
              <w:top w:val="nil"/>
              <w:left w:val="nil"/>
              <w:bottom w:val="nil"/>
              <w:right w:val="nil"/>
            </w:tcBorders>
            <w:shd w:val="clear" w:color="auto" w:fill="auto"/>
            <w:noWrap/>
            <w:vAlign w:val="center"/>
            <w:hideMark/>
          </w:tcPr>
          <w:p w14:paraId="0944B5EF" w14:textId="77777777" w:rsidR="00536E0F" w:rsidRPr="00C16D40" w:rsidRDefault="00536E0F" w:rsidP="00536E0F">
            <w:pPr>
              <w:pBdr>
                <w:top w:val="none" w:sz="0" w:space="0" w:color="auto"/>
                <w:left w:val="none" w:sz="0" w:space="0" w:color="auto"/>
                <w:bottom w:val="none" w:sz="0" w:space="0" w:color="auto"/>
                <w:right w:val="none" w:sz="0" w:space="0" w:color="auto"/>
                <w:between w:val="none" w:sz="0" w:space="0" w:color="auto"/>
                <w:bar w:val="none" w:sz="0" w:color="auto"/>
              </w:pBdr>
              <w:jc w:val="center"/>
              <w:outlineLvl w:val="9"/>
              <w:rPr>
                <w:rFonts w:eastAsia="Times New Roman"/>
                <w:color w:val="auto"/>
                <w:sz w:val="16"/>
                <w:szCs w:val="16"/>
                <w:bdr w:val="none" w:sz="0" w:space="0" w:color="auto"/>
                <w:lang w:eastAsia="es-ES"/>
              </w:rPr>
            </w:pPr>
          </w:p>
        </w:tc>
        <w:tc>
          <w:tcPr>
            <w:tcW w:w="734" w:type="pct"/>
            <w:tcBorders>
              <w:top w:val="nil"/>
              <w:left w:val="nil"/>
              <w:bottom w:val="nil"/>
              <w:right w:val="nil"/>
            </w:tcBorders>
            <w:shd w:val="clear" w:color="auto" w:fill="auto"/>
            <w:vAlign w:val="center"/>
          </w:tcPr>
          <w:p w14:paraId="3ACC6DAE" w14:textId="0565148F" w:rsidR="00536E0F" w:rsidRPr="00C16D40" w:rsidRDefault="00536E0F" w:rsidP="00536E0F">
            <w:pPr>
              <w:pBdr>
                <w:top w:val="none" w:sz="0" w:space="0" w:color="auto"/>
                <w:left w:val="none" w:sz="0" w:space="0" w:color="auto"/>
                <w:bottom w:val="none" w:sz="0" w:space="0" w:color="auto"/>
                <w:right w:val="none" w:sz="0" w:space="0" w:color="auto"/>
                <w:between w:val="none" w:sz="0" w:space="0" w:color="auto"/>
                <w:bar w:val="none" w:sz="0" w:color="auto"/>
              </w:pBdr>
              <w:jc w:val="right"/>
              <w:outlineLvl w:val="9"/>
              <w:rPr>
                <w:rFonts w:eastAsia="Times New Roman"/>
                <w:color w:val="auto"/>
                <w:sz w:val="16"/>
                <w:szCs w:val="16"/>
                <w:bdr w:val="none" w:sz="0" w:space="0" w:color="auto"/>
                <w:lang w:eastAsia="es-ES"/>
              </w:rPr>
            </w:pPr>
            <w:r>
              <w:rPr>
                <w:sz w:val="16"/>
                <w:szCs w:val="16"/>
              </w:rPr>
              <w:t>19.270.750,45</w:t>
            </w:r>
          </w:p>
        </w:tc>
        <w:tc>
          <w:tcPr>
            <w:tcW w:w="784" w:type="pct"/>
            <w:tcBorders>
              <w:top w:val="nil"/>
              <w:left w:val="nil"/>
              <w:bottom w:val="nil"/>
              <w:right w:val="nil"/>
            </w:tcBorders>
            <w:shd w:val="clear" w:color="auto" w:fill="auto"/>
            <w:vAlign w:val="center"/>
            <w:hideMark/>
          </w:tcPr>
          <w:p w14:paraId="4F988034" w14:textId="4CB7FC15" w:rsidR="00536E0F" w:rsidRPr="00C16D40" w:rsidRDefault="00536E0F" w:rsidP="00536E0F">
            <w:pPr>
              <w:pBdr>
                <w:top w:val="none" w:sz="0" w:space="0" w:color="auto"/>
                <w:left w:val="none" w:sz="0" w:space="0" w:color="auto"/>
                <w:bottom w:val="none" w:sz="0" w:space="0" w:color="auto"/>
                <w:right w:val="none" w:sz="0" w:space="0" w:color="auto"/>
                <w:between w:val="none" w:sz="0" w:space="0" w:color="auto"/>
                <w:bar w:val="none" w:sz="0" w:color="auto"/>
              </w:pBdr>
              <w:jc w:val="right"/>
              <w:outlineLvl w:val="9"/>
              <w:rPr>
                <w:rFonts w:eastAsia="Times New Roman"/>
                <w:color w:val="auto"/>
                <w:sz w:val="16"/>
                <w:szCs w:val="16"/>
                <w:bdr w:val="none" w:sz="0" w:space="0" w:color="auto"/>
                <w:lang w:eastAsia="es-ES"/>
              </w:rPr>
            </w:pPr>
            <w:r>
              <w:rPr>
                <w:sz w:val="16"/>
                <w:szCs w:val="16"/>
              </w:rPr>
              <w:t>(23.318.313,03)</w:t>
            </w:r>
          </w:p>
        </w:tc>
      </w:tr>
      <w:tr w:rsidR="00536E0F" w:rsidRPr="00C16D40" w14:paraId="2F8A7F79" w14:textId="77777777" w:rsidTr="00BA5560">
        <w:trPr>
          <w:trHeight w:val="227"/>
        </w:trPr>
        <w:tc>
          <w:tcPr>
            <w:tcW w:w="3005" w:type="pct"/>
            <w:tcBorders>
              <w:top w:val="nil"/>
              <w:left w:val="nil"/>
              <w:bottom w:val="nil"/>
              <w:right w:val="nil"/>
            </w:tcBorders>
            <w:shd w:val="clear" w:color="auto" w:fill="auto"/>
            <w:vAlign w:val="center"/>
            <w:hideMark/>
          </w:tcPr>
          <w:p w14:paraId="1ACC229D" w14:textId="77777777" w:rsidR="00536E0F" w:rsidRPr="00C16D40" w:rsidRDefault="00536E0F" w:rsidP="00536E0F">
            <w:pPr>
              <w:pBdr>
                <w:top w:val="none" w:sz="0" w:space="0" w:color="auto"/>
                <w:left w:val="none" w:sz="0" w:space="0" w:color="auto"/>
                <w:bottom w:val="none" w:sz="0" w:space="0" w:color="auto"/>
                <w:right w:val="none" w:sz="0" w:space="0" w:color="auto"/>
                <w:between w:val="none" w:sz="0" w:space="0" w:color="auto"/>
                <w:bar w:val="none" w:sz="0" w:color="auto"/>
              </w:pBdr>
              <w:outlineLvl w:val="9"/>
              <w:rPr>
                <w:rFonts w:eastAsia="Times New Roman"/>
                <w:color w:val="auto"/>
                <w:sz w:val="16"/>
                <w:szCs w:val="16"/>
                <w:bdr w:val="none" w:sz="0" w:space="0" w:color="auto"/>
                <w:lang w:eastAsia="es-ES"/>
              </w:rPr>
            </w:pPr>
            <w:r w:rsidRPr="00C16D40">
              <w:rPr>
                <w:rFonts w:eastAsia="Times New Roman"/>
                <w:color w:val="auto"/>
                <w:sz w:val="16"/>
                <w:szCs w:val="16"/>
                <w:bdr w:val="none" w:sz="0" w:space="0" w:color="auto"/>
                <w:lang w:eastAsia="es-ES"/>
              </w:rPr>
              <w:t>- Acreedores y otras cuentas a pagar</w:t>
            </w:r>
          </w:p>
        </w:tc>
        <w:tc>
          <w:tcPr>
            <w:tcW w:w="477" w:type="pct"/>
            <w:tcBorders>
              <w:top w:val="nil"/>
              <w:left w:val="nil"/>
              <w:bottom w:val="nil"/>
              <w:right w:val="nil"/>
            </w:tcBorders>
            <w:shd w:val="clear" w:color="auto" w:fill="auto"/>
            <w:noWrap/>
            <w:vAlign w:val="center"/>
            <w:hideMark/>
          </w:tcPr>
          <w:p w14:paraId="2458920A" w14:textId="77777777" w:rsidR="00536E0F" w:rsidRPr="00C16D40" w:rsidRDefault="00536E0F" w:rsidP="00536E0F">
            <w:pPr>
              <w:pBdr>
                <w:top w:val="none" w:sz="0" w:space="0" w:color="auto"/>
                <w:left w:val="none" w:sz="0" w:space="0" w:color="auto"/>
                <w:bottom w:val="none" w:sz="0" w:space="0" w:color="auto"/>
                <w:right w:val="none" w:sz="0" w:space="0" w:color="auto"/>
                <w:between w:val="none" w:sz="0" w:space="0" w:color="auto"/>
                <w:bar w:val="none" w:sz="0" w:color="auto"/>
              </w:pBdr>
              <w:jc w:val="center"/>
              <w:outlineLvl w:val="9"/>
              <w:rPr>
                <w:rFonts w:eastAsia="Times New Roman"/>
                <w:color w:val="auto"/>
                <w:sz w:val="16"/>
                <w:szCs w:val="16"/>
                <w:bdr w:val="none" w:sz="0" w:space="0" w:color="auto"/>
                <w:lang w:eastAsia="es-ES"/>
              </w:rPr>
            </w:pPr>
          </w:p>
        </w:tc>
        <w:tc>
          <w:tcPr>
            <w:tcW w:w="734" w:type="pct"/>
            <w:tcBorders>
              <w:top w:val="nil"/>
              <w:left w:val="nil"/>
              <w:bottom w:val="nil"/>
              <w:right w:val="nil"/>
            </w:tcBorders>
            <w:shd w:val="clear" w:color="auto" w:fill="auto"/>
            <w:vAlign w:val="center"/>
          </w:tcPr>
          <w:p w14:paraId="6AAF3856" w14:textId="11D2728A" w:rsidR="00536E0F" w:rsidRPr="00C16D40" w:rsidRDefault="00536E0F" w:rsidP="00536E0F">
            <w:pPr>
              <w:pBdr>
                <w:top w:val="none" w:sz="0" w:space="0" w:color="auto"/>
                <w:left w:val="none" w:sz="0" w:space="0" w:color="auto"/>
                <w:bottom w:val="none" w:sz="0" w:space="0" w:color="auto"/>
                <w:right w:val="none" w:sz="0" w:space="0" w:color="auto"/>
                <w:between w:val="none" w:sz="0" w:space="0" w:color="auto"/>
                <w:bar w:val="none" w:sz="0" w:color="auto"/>
              </w:pBdr>
              <w:jc w:val="right"/>
              <w:outlineLvl w:val="9"/>
              <w:rPr>
                <w:rFonts w:eastAsia="Times New Roman"/>
                <w:color w:val="auto"/>
                <w:sz w:val="16"/>
                <w:szCs w:val="16"/>
                <w:bdr w:val="none" w:sz="0" w:space="0" w:color="auto"/>
                <w:lang w:eastAsia="es-ES"/>
              </w:rPr>
            </w:pPr>
            <w:r>
              <w:rPr>
                <w:sz w:val="16"/>
                <w:szCs w:val="16"/>
              </w:rPr>
              <w:t>6.390.730,46</w:t>
            </w:r>
          </w:p>
        </w:tc>
        <w:tc>
          <w:tcPr>
            <w:tcW w:w="784" w:type="pct"/>
            <w:tcBorders>
              <w:top w:val="nil"/>
              <w:left w:val="nil"/>
              <w:bottom w:val="nil"/>
              <w:right w:val="nil"/>
            </w:tcBorders>
            <w:shd w:val="clear" w:color="auto" w:fill="auto"/>
            <w:vAlign w:val="center"/>
            <w:hideMark/>
          </w:tcPr>
          <w:p w14:paraId="5F112377" w14:textId="66B37BF8" w:rsidR="00536E0F" w:rsidRPr="00C16D40" w:rsidRDefault="00536E0F" w:rsidP="00536E0F">
            <w:pPr>
              <w:pBdr>
                <w:top w:val="none" w:sz="0" w:space="0" w:color="auto"/>
                <w:left w:val="none" w:sz="0" w:space="0" w:color="auto"/>
                <w:bottom w:val="none" w:sz="0" w:space="0" w:color="auto"/>
                <w:right w:val="none" w:sz="0" w:space="0" w:color="auto"/>
                <w:between w:val="none" w:sz="0" w:space="0" w:color="auto"/>
                <w:bar w:val="none" w:sz="0" w:color="auto"/>
              </w:pBdr>
              <w:jc w:val="right"/>
              <w:outlineLvl w:val="9"/>
              <w:rPr>
                <w:rFonts w:eastAsia="Times New Roman"/>
                <w:color w:val="auto"/>
                <w:sz w:val="16"/>
                <w:szCs w:val="16"/>
                <w:bdr w:val="none" w:sz="0" w:space="0" w:color="auto"/>
                <w:lang w:eastAsia="es-ES"/>
              </w:rPr>
            </w:pPr>
            <w:r>
              <w:rPr>
                <w:sz w:val="16"/>
                <w:szCs w:val="16"/>
              </w:rPr>
              <w:t>(4.905.763,09)</w:t>
            </w:r>
          </w:p>
        </w:tc>
      </w:tr>
      <w:tr w:rsidR="00536E0F" w:rsidRPr="00C16D40" w14:paraId="1F1A145E" w14:textId="77777777" w:rsidTr="00BA5560">
        <w:trPr>
          <w:trHeight w:val="227"/>
        </w:trPr>
        <w:tc>
          <w:tcPr>
            <w:tcW w:w="3005" w:type="pct"/>
            <w:tcBorders>
              <w:top w:val="nil"/>
              <w:left w:val="nil"/>
              <w:bottom w:val="nil"/>
              <w:right w:val="nil"/>
            </w:tcBorders>
            <w:shd w:val="clear" w:color="auto" w:fill="auto"/>
            <w:vAlign w:val="center"/>
            <w:hideMark/>
          </w:tcPr>
          <w:p w14:paraId="6F49065E" w14:textId="77777777" w:rsidR="00536E0F" w:rsidRPr="00C16D40" w:rsidRDefault="00536E0F" w:rsidP="00536E0F">
            <w:pPr>
              <w:pBdr>
                <w:top w:val="none" w:sz="0" w:space="0" w:color="auto"/>
                <w:left w:val="none" w:sz="0" w:space="0" w:color="auto"/>
                <w:bottom w:val="none" w:sz="0" w:space="0" w:color="auto"/>
                <w:right w:val="none" w:sz="0" w:space="0" w:color="auto"/>
                <w:between w:val="none" w:sz="0" w:space="0" w:color="auto"/>
                <w:bar w:val="none" w:sz="0" w:color="auto"/>
              </w:pBdr>
              <w:outlineLvl w:val="9"/>
              <w:rPr>
                <w:rFonts w:eastAsia="Times New Roman"/>
                <w:color w:val="auto"/>
                <w:sz w:val="16"/>
                <w:szCs w:val="16"/>
                <w:bdr w:val="none" w:sz="0" w:space="0" w:color="auto"/>
                <w:lang w:eastAsia="es-ES"/>
              </w:rPr>
            </w:pPr>
            <w:r w:rsidRPr="00C16D40">
              <w:rPr>
                <w:rFonts w:eastAsia="Times New Roman"/>
                <w:color w:val="auto"/>
                <w:sz w:val="16"/>
                <w:szCs w:val="16"/>
                <w:bdr w:val="none" w:sz="0" w:space="0" w:color="auto"/>
                <w:lang w:eastAsia="es-ES"/>
              </w:rPr>
              <w:t>- Otros pasivos corrientes</w:t>
            </w:r>
          </w:p>
        </w:tc>
        <w:tc>
          <w:tcPr>
            <w:tcW w:w="477" w:type="pct"/>
            <w:tcBorders>
              <w:top w:val="nil"/>
              <w:left w:val="nil"/>
              <w:bottom w:val="nil"/>
              <w:right w:val="nil"/>
            </w:tcBorders>
            <w:shd w:val="clear" w:color="auto" w:fill="auto"/>
            <w:noWrap/>
            <w:vAlign w:val="center"/>
            <w:hideMark/>
          </w:tcPr>
          <w:p w14:paraId="5F8633F1" w14:textId="77777777" w:rsidR="00536E0F" w:rsidRPr="00C16D40" w:rsidRDefault="00536E0F" w:rsidP="00536E0F">
            <w:pPr>
              <w:pBdr>
                <w:top w:val="none" w:sz="0" w:space="0" w:color="auto"/>
                <w:left w:val="none" w:sz="0" w:space="0" w:color="auto"/>
                <w:bottom w:val="none" w:sz="0" w:space="0" w:color="auto"/>
                <w:right w:val="none" w:sz="0" w:space="0" w:color="auto"/>
                <w:between w:val="none" w:sz="0" w:space="0" w:color="auto"/>
                <w:bar w:val="none" w:sz="0" w:color="auto"/>
              </w:pBdr>
              <w:jc w:val="center"/>
              <w:outlineLvl w:val="9"/>
              <w:rPr>
                <w:rFonts w:eastAsia="Times New Roman"/>
                <w:color w:val="auto"/>
                <w:sz w:val="16"/>
                <w:szCs w:val="16"/>
                <w:bdr w:val="none" w:sz="0" w:space="0" w:color="auto"/>
                <w:lang w:eastAsia="es-ES"/>
              </w:rPr>
            </w:pPr>
          </w:p>
        </w:tc>
        <w:tc>
          <w:tcPr>
            <w:tcW w:w="734" w:type="pct"/>
            <w:tcBorders>
              <w:top w:val="nil"/>
              <w:left w:val="nil"/>
              <w:bottom w:val="nil"/>
              <w:right w:val="nil"/>
            </w:tcBorders>
            <w:shd w:val="clear" w:color="auto" w:fill="auto"/>
            <w:vAlign w:val="center"/>
          </w:tcPr>
          <w:p w14:paraId="61A0137B" w14:textId="5180E1A3" w:rsidR="00536E0F" w:rsidRPr="00C16D40" w:rsidRDefault="00536E0F" w:rsidP="00536E0F">
            <w:pPr>
              <w:pBdr>
                <w:top w:val="none" w:sz="0" w:space="0" w:color="auto"/>
                <w:left w:val="none" w:sz="0" w:space="0" w:color="auto"/>
                <w:bottom w:val="none" w:sz="0" w:space="0" w:color="auto"/>
                <w:right w:val="none" w:sz="0" w:space="0" w:color="auto"/>
                <w:between w:val="none" w:sz="0" w:space="0" w:color="auto"/>
                <w:bar w:val="none" w:sz="0" w:color="auto"/>
              </w:pBdr>
              <w:jc w:val="right"/>
              <w:outlineLvl w:val="9"/>
              <w:rPr>
                <w:rFonts w:eastAsia="Times New Roman"/>
                <w:color w:val="auto"/>
                <w:sz w:val="16"/>
                <w:szCs w:val="16"/>
                <w:bdr w:val="none" w:sz="0" w:space="0" w:color="auto"/>
                <w:lang w:eastAsia="es-ES"/>
              </w:rPr>
            </w:pPr>
            <w:r>
              <w:rPr>
                <w:sz w:val="16"/>
                <w:szCs w:val="16"/>
              </w:rPr>
              <w:t>(1.489.566,66)</w:t>
            </w:r>
          </w:p>
        </w:tc>
        <w:tc>
          <w:tcPr>
            <w:tcW w:w="784" w:type="pct"/>
            <w:tcBorders>
              <w:top w:val="nil"/>
              <w:left w:val="nil"/>
              <w:bottom w:val="nil"/>
              <w:right w:val="nil"/>
            </w:tcBorders>
            <w:shd w:val="clear" w:color="auto" w:fill="auto"/>
            <w:vAlign w:val="center"/>
            <w:hideMark/>
          </w:tcPr>
          <w:p w14:paraId="551844F3" w14:textId="55232E7E" w:rsidR="00536E0F" w:rsidRPr="00C16D40" w:rsidRDefault="00536E0F" w:rsidP="00536E0F">
            <w:pPr>
              <w:pBdr>
                <w:top w:val="none" w:sz="0" w:space="0" w:color="auto"/>
                <w:left w:val="none" w:sz="0" w:space="0" w:color="auto"/>
                <w:bottom w:val="none" w:sz="0" w:space="0" w:color="auto"/>
                <w:right w:val="none" w:sz="0" w:space="0" w:color="auto"/>
                <w:between w:val="none" w:sz="0" w:space="0" w:color="auto"/>
                <w:bar w:val="none" w:sz="0" w:color="auto"/>
              </w:pBdr>
              <w:jc w:val="right"/>
              <w:outlineLvl w:val="9"/>
              <w:rPr>
                <w:rFonts w:eastAsia="Times New Roman"/>
                <w:color w:val="auto"/>
                <w:sz w:val="16"/>
                <w:szCs w:val="16"/>
                <w:bdr w:val="none" w:sz="0" w:space="0" w:color="auto"/>
                <w:lang w:eastAsia="es-ES"/>
              </w:rPr>
            </w:pPr>
            <w:r>
              <w:rPr>
                <w:sz w:val="16"/>
                <w:szCs w:val="16"/>
              </w:rPr>
              <w:t>921.023,24</w:t>
            </w:r>
          </w:p>
        </w:tc>
      </w:tr>
      <w:tr w:rsidR="00536E0F" w:rsidRPr="00C16D40" w14:paraId="60199D67" w14:textId="77777777" w:rsidTr="00BA5560">
        <w:trPr>
          <w:trHeight w:val="227"/>
        </w:trPr>
        <w:tc>
          <w:tcPr>
            <w:tcW w:w="3005" w:type="pct"/>
            <w:tcBorders>
              <w:top w:val="nil"/>
              <w:left w:val="nil"/>
              <w:bottom w:val="nil"/>
              <w:right w:val="nil"/>
            </w:tcBorders>
            <w:shd w:val="clear" w:color="auto" w:fill="auto"/>
            <w:vAlign w:val="center"/>
            <w:hideMark/>
          </w:tcPr>
          <w:p w14:paraId="468C17D0" w14:textId="77777777" w:rsidR="00536E0F" w:rsidRPr="00C16D40" w:rsidRDefault="00536E0F" w:rsidP="00536E0F">
            <w:pPr>
              <w:pBdr>
                <w:top w:val="none" w:sz="0" w:space="0" w:color="auto"/>
                <w:left w:val="none" w:sz="0" w:space="0" w:color="auto"/>
                <w:bottom w:val="none" w:sz="0" w:space="0" w:color="auto"/>
                <w:right w:val="none" w:sz="0" w:space="0" w:color="auto"/>
                <w:between w:val="none" w:sz="0" w:space="0" w:color="auto"/>
                <w:bar w:val="none" w:sz="0" w:color="auto"/>
              </w:pBdr>
              <w:outlineLvl w:val="9"/>
              <w:rPr>
                <w:rFonts w:eastAsia="Times New Roman"/>
                <w:color w:val="auto"/>
                <w:sz w:val="16"/>
                <w:szCs w:val="16"/>
                <w:bdr w:val="none" w:sz="0" w:space="0" w:color="auto"/>
                <w:lang w:eastAsia="es-ES"/>
              </w:rPr>
            </w:pPr>
            <w:r w:rsidRPr="00C16D40">
              <w:rPr>
                <w:rFonts w:eastAsia="Times New Roman"/>
                <w:color w:val="auto"/>
                <w:sz w:val="16"/>
                <w:szCs w:val="16"/>
                <w:bdr w:val="none" w:sz="0" w:space="0" w:color="auto"/>
                <w:lang w:eastAsia="es-ES"/>
              </w:rPr>
              <w:t>- Otros activos y pasivos no corrientes</w:t>
            </w:r>
          </w:p>
        </w:tc>
        <w:tc>
          <w:tcPr>
            <w:tcW w:w="477" w:type="pct"/>
            <w:tcBorders>
              <w:top w:val="nil"/>
              <w:left w:val="nil"/>
              <w:bottom w:val="nil"/>
              <w:right w:val="nil"/>
            </w:tcBorders>
            <w:shd w:val="clear" w:color="auto" w:fill="auto"/>
            <w:noWrap/>
            <w:vAlign w:val="center"/>
            <w:hideMark/>
          </w:tcPr>
          <w:p w14:paraId="077A7336" w14:textId="77777777" w:rsidR="00536E0F" w:rsidRPr="00C16D40" w:rsidRDefault="00536E0F" w:rsidP="00536E0F">
            <w:pPr>
              <w:pBdr>
                <w:top w:val="none" w:sz="0" w:space="0" w:color="auto"/>
                <w:left w:val="none" w:sz="0" w:space="0" w:color="auto"/>
                <w:bottom w:val="none" w:sz="0" w:space="0" w:color="auto"/>
                <w:right w:val="none" w:sz="0" w:space="0" w:color="auto"/>
                <w:between w:val="none" w:sz="0" w:space="0" w:color="auto"/>
                <w:bar w:val="none" w:sz="0" w:color="auto"/>
              </w:pBdr>
              <w:jc w:val="center"/>
              <w:outlineLvl w:val="9"/>
              <w:rPr>
                <w:rFonts w:eastAsia="Times New Roman"/>
                <w:color w:val="auto"/>
                <w:sz w:val="16"/>
                <w:szCs w:val="16"/>
                <w:bdr w:val="none" w:sz="0" w:space="0" w:color="auto"/>
                <w:lang w:eastAsia="es-ES"/>
              </w:rPr>
            </w:pPr>
          </w:p>
        </w:tc>
        <w:tc>
          <w:tcPr>
            <w:tcW w:w="734" w:type="pct"/>
            <w:tcBorders>
              <w:top w:val="nil"/>
              <w:left w:val="nil"/>
              <w:bottom w:val="nil"/>
              <w:right w:val="nil"/>
            </w:tcBorders>
            <w:shd w:val="clear" w:color="auto" w:fill="auto"/>
            <w:vAlign w:val="center"/>
          </w:tcPr>
          <w:p w14:paraId="1CF91B4E" w14:textId="585D0B52" w:rsidR="00536E0F" w:rsidRPr="00C16D40" w:rsidRDefault="00536E0F" w:rsidP="00536E0F">
            <w:pPr>
              <w:pBdr>
                <w:top w:val="none" w:sz="0" w:space="0" w:color="auto"/>
                <w:left w:val="none" w:sz="0" w:space="0" w:color="auto"/>
                <w:bottom w:val="none" w:sz="0" w:space="0" w:color="auto"/>
                <w:right w:val="none" w:sz="0" w:space="0" w:color="auto"/>
                <w:between w:val="none" w:sz="0" w:space="0" w:color="auto"/>
                <w:bar w:val="none" w:sz="0" w:color="auto"/>
              </w:pBdr>
              <w:jc w:val="right"/>
              <w:outlineLvl w:val="9"/>
              <w:rPr>
                <w:rFonts w:eastAsia="Times New Roman"/>
                <w:color w:val="auto"/>
                <w:sz w:val="16"/>
                <w:szCs w:val="16"/>
                <w:bdr w:val="none" w:sz="0" w:space="0" w:color="auto"/>
                <w:lang w:eastAsia="es-ES"/>
              </w:rPr>
            </w:pPr>
            <w:r>
              <w:rPr>
                <w:sz w:val="16"/>
                <w:szCs w:val="16"/>
              </w:rPr>
              <w:t>(25.507.651,05)</w:t>
            </w:r>
          </w:p>
        </w:tc>
        <w:tc>
          <w:tcPr>
            <w:tcW w:w="784" w:type="pct"/>
            <w:tcBorders>
              <w:top w:val="nil"/>
              <w:left w:val="nil"/>
              <w:bottom w:val="nil"/>
              <w:right w:val="nil"/>
            </w:tcBorders>
            <w:shd w:val="clear" w:color="auto" w:fill="auto"/>
            <w:vAlign w:val="center"/>
            <w:hideMark/>
          </w:tcPr>
          <w:p w14:paraId="1B993882" w14:textId="4F64214F" w:rsidR="00536E0F" w:rsidRPr="00C16D40" w:rsidRDefault="00536E0F" w:rsidP="00536E0F">
            <w:pPr>
              <w:pBdr>
                <w:top w:val="none" w:sz="0" w:space="0" w:color="auto"/>
                <w:left w:val="none" w:sz="0" w:space="0" w:color="auto"/>
                <w:bottom w:val="none" w:sz="0" w:space="0" w:color="auto"/>
                <w:right w:val="none" w:sz="0" w:space="0" w:color="auto"/>
                <w:between w:val="none" w:sz="0" w:space="0" w:color="auto"/>
                <w:bar w:val="none" w:sz="0" w:color="auto"/>
              </w:pBdr>
              <w:jc w:val="right"/>
              <w:outlineLvl w:val="9"/>
              <w:rPr>
                <w:rFonts w:eastAsia="Times New Roman"/>
                <w:color w:val="auto"/>
                <w:sz w:val="16"/>
                <w:szCs w:val="16"/>
                <w:bdr w:val="none" w:sz="0" w:space="0" w:color="auto"/>
                <w:lang w:eastAsia="es-ES"/>
              </w:rPr>
            </w:pPr>
            <w:r>
              <w:rPr>
                <w:sz w:val="16"/>
                <w:szCs w:val="16"/>
              </w:rPr>
              <w:t>21.538.505,65</w:t>
            </w:r>
          </w:p>
        </w:tc>
      </w:tr>
      <w:tr w:rsidR="00680BE3" w:rsidRPr="00C16D40" w14:paraId="64D6DE9F" w14:textId="77777777" w:rsidTr="00BA5560">
        <w:trPr>
          <w:trHeight w:val="170"/>
        </w:trPr>
        <w:tc>
          <w:tcPr>
            <w:tcW w:w="3005" w:type="pct"/>
            <w:tcBorders>
              <w:top w:val="nil"/>
              <w:left w:val="nil"/>
              <w:bottom w:val="nil"/>
              <w:right w:val="nil"/>
            </w:tcBorders>
            <w:shd w:val="clear" w:color="auto" w:fill="auto"/>
            <w:noWrap/>
            <w:vAlign w:val="bottom"/>
            <w:hideMark/>
          </w:tcPr>
          <w:p w14:paraId="51B871E0" w14:textId="77777777" w:rsidR="00680BE3" w:rsidRPr="00C16D40" w:rsidRDefault="00680BE3" w:rsidP="00680BE3">
            <w:pPr>
              <w:pBdr>
                <w:top w:val="none" w:sz="0" w:space="0" w:color="auto"/>
                <w:left w:val="none" w:sz="0" w:space="0" w:color="auto"/>
                <w:bottom w:val="none" w:sz="0" w:space="0" w:color="auto"/>
                <w:right w:val="none" w:sz="0" w:space="0" w:color="auto"/>
                <w:between w:val="none" w:sz="0" w:space="0" w:color="auto"/>
                <w:bar w:val="none" w:sz="0" w:color="auto"/>
              </w:pBdr>
              <w:jc w:val="right"/>
              <w:outlineLvl w:val="9"/>
              <w:rPr>
                <w:rFonts w:eastAsia="Times New Roman"/>
                <w:b/>
                <w:bCs/>
                <w:color w:val="auto"/>
                <w:sz w:val="16"/>
                <w:szCs w:val="16"/>
                <w:bdr w:val="none" w:sz="0" w:space="0" w:color="auto"/>
                <w:lang w:eastAsia="es-ES"/>
              </w:rPr>
            </w:pPr>
          </w:p>
        </w:tc>
        <w:tc>
          <w:tcPr>
            <w:tcW w:w="477" w:type="pct"/>
            <w:tcBorders>
              <w:top w:val="nil"/>
              <w:left w:val="nil"/>
              <w:bottom w:val="nil"/>
              <w:right w:val="nil"/>
            </w:tcBorders>
            <w:shd w:val="clear" w:color="auto" w:fill="auto"/>
            <w:noWrap/>
            <w:vAlign w:val="bottom"/>
            <w:hideMark/>
          </w:tcPr>
          <w:p w14:paraId="2BF58913" w14:textId="77777777" w:rsidR="00680BE3" w:rsidRPr="00C16D40" w:rsidRDefault="00680BE3" w:rsidP="00680BE3">
            <w:pPr>
              <w:pBdr>
                <w:top w:val="none" w:sz="0" w:space="0" w:color="auto"/>
                <w:left w:val="none" w:sz="0" w:space="0" w:color="auto"/>
                <w:bottom w:val="none" w:sz="0" w:space="0" w:color="auto"/>
                <w:right w:val="none" w:sz="0" w:space="0" w:color="auto"/>
                <w:between w:val="none" w:sz="0" w:space="0" w:color="auto"/>
                <w:bar w:val="none" w:sz="0" w:color="auto"/>
              </w:pBdr>
              <w:jc w:val="center"/>
              <w:outlineLvl w:val="9"/>
              <w:rPr>
                <w:rFonts w:eastAsia="Times New Roman"/>
                <w:color w:val="auto"/>
                <w:sz w:val="16"/>
                <w:szCs w:val="16"/>
                <w:bdr w:val="none" w:sz="0" w:space="0" w:color="auto"/>
                <w:lang w:eastAsia="es-ES"/>
              </w:rPr>
            </w:pPr>
          </w:p>
        </w:tc>
        <w:tc>
          <w:tcPr>
            <w:tcW w:w="734" w:type="pct"/>
            <w:tcBorders>
              <w:top w:val="nil"/>
              <w:left w:val="nil"/>
              <w:bottom w:val="nil"/>
              <w:right w:val="nil"/>
            </w:tcBorders>
            <w:shd w:val="clear" w:color="auto" w:fill="auto"/>
            <w:noWrap/>
            <w:vAlign w:val="center"/>
          </w:tcPr>
          <w:p w14:paraId="433C9C75" w14:textId="77777777" w:rsidR="00680BE3" w:rsidRPr="00C16D40" w:rsidRDefault="00680BE3" w:rsidP="00680BE3">
            <w:pPr>
              <w:pBdr>
                <w:top w:val="none" w:sz="0" w:space="0" w:color="auto"/>
                <w:left w:val="none" w:sz="0" w:space="0" w:color="auto"/>
                <w:bottom w:val="none" w:sz="0" w:space="0" w:color="auto"/>
                <w:right w:val="none" w:sz="0" w:space="0" w:color="auto"/>
                <w:between w:val="none" w:sz="0" w:space="0" w:color="auto"/>
                <w:bar w:val="none" w:sz="0" w:color="auto"/>
              </w:pBdr>
              <w:jc w:val="right"/>
              <w:outlineLvl w:val="9"/>
              <w:rPr>
                <w:rFonts w:eastAsia="Times New Roman"/>
                <w:color w:val="auto"/>
                <w:sz w:val="16"/>
                <w:szCs w:val="16"/>
                <w:bdr w:val="none" w:sz="0" w:space="0" w:color="auto"/>
                <w:lang w:eastAsia="es-ES"/>
              </w:rPr>
            </w:pPr>
          </w:p>
        </w:tc>
        <w:tc>
          <w:tcPr>
            <w:tcW w:w="784" w:type="pct"/>
            <w:tcBorders>
              <w:top w:val="nil"/>
              <w:left w:val="nil"/>
              <w:bottom w:val="nil"/>
              <w:right w:val="nil"/>
            </w:tcBorders>
            <w:shd w:val="clear" w:color="auto" w:fill="auto"/>
            <w:noWrap/>
            <w:vAlign w:val="center"/>
            <w:hideMark/>
          </w:tcPr>
          <w:p w14:paraId="074B0A4D" w14:textId="77777777" w:rsidR="00680BE3" w:rsidRPr="00C16D40" w:rsidRDefault="00680BE3" w:rsidP="00680BE3">
            <w:pPr>
              <w:pBdr>
                <w:top w:val="none" w:sz="0" w:space="0" w:color="auto"/>
                <w:left w:val="none" w:sz="0" w:space="0" w:color="auto"/>
                <w:bottom w:val="none" w:sz="0" w:space="0" w:color="auto"/>
                <w:right w:val="none" w:sz="0" w:space="0" w:color="auto"/>
                <w:between w:val="none" w:sz="0" w:space="0" w:color="auto"/>
                <w:bar w:val="none" w:sz="0" w:color="auto"/>
              </w:pBdr>
              <w:outlineLvl w:val="9"/>
              <w:rPr>
                <w:rFonts w:eastAsia="Times New Roman"/>
                <w:color w:val="auto"/>
                <w:sz w:val="16"/>
                <w:szCs w:val="16"/>
                <w:bdr w:val="none" w:sz="0" w:space="0" w:color="auto"/>
                <w:lang w:eastAsia="es-ES"/>
              </w:rPr>
            </w:pPr>
          </w:p>
        </w:tc>
      </w:tr>
      <w:tr w:rsidR="00536E0F" w:rsidRPr="00C16D40" w14:paraId="0B3708C8" w14:textId="77777777" w:rsidTr="00BA5560">
        <w:trPr>
          <w:trHeight w:val="227"/>
        </w:trPr>
        <w:tc>
          <w:tcPr>
            <w:tcW w:w="3005" w:type="pct"/>
            <w:tcBorders>
              <w:top w:val="nil"/>
              <w:left w:val="nil"/>
              <w:bottom w:val="nil"/>
              <w:right w:val="nil"/>
            </w:tcBorders>
            <w:shd w:val="clear" w:color="auto" w:fill="auto"/>
            <w:vAlign w:val="center"/>
            <w:hideMark/>
          </w:tcPr>
          <w:p w14:paraId="222771E0" w14:textId="77777777" w:rsidR="00536E0F" w:rsidRPr="00C16D40" w:rsidRDefault="00536E0F" w:rsidP="00536E0F">
            <w:pPr>
              <w:pBdr>
                <w:top w:val="none" w:sz="0" w:space="0" w:color="auto"/>
                <w:left w:val="none" w:sz="0" w:space="0" w:color="auto"/>
                <w:bottom w:val="none" w:sz="0" w:space="0" w:color="auto"/>
                <w:right w:val="none" w:sz="0" w:space="0" w:color="auto"/>
                <w:between w:val="none" w:sz="0" w:space="0" w:color="auto"/>
                <w:bar w:val="none" w:sz="0" w:color="auto"/>
              </w:pBdr>
              <w:outlineLvl w:val="9"/>
              <w:rPr>
                <w:rFonts w:eastAsia="Times New Roman"/>
                <w:b/>
                <w:bCs/>
                <w:color w:val="auto"/>
                <w:sz w:val="16"/>
                <w:szCs w:val="16"/>
                <w:bdr w:val="none" w:sz="0" w:space="0" w:color="auto"/>
                <w:lang w:eastAsia="es-ES"/>
              </w:rPr>
            </w:pPr>
            <w:r w:rsidRPr="00C16D40">
              <w:rPr>
                <w:rFonts w:eastAsia="Times New Roman"/>
                <w:b/>
                <w:bCs/>
                <w:color w:val="auto"/>
                <w:sz w:val="16"/>
                <w:szCs w:val="16"/>
                <w:bdr w:val="none" w:sz="0" w:space="0" w:color="auto"/>
                <w:lang w:eastAsia="es-ES"/>
              </w:rPr>
              <w:t>Otros flujos de efectivo de las actividades de explotación</w:t>
            </w:r>
          </w:p>
        </w:tc>
        <w:tc>
          <w:tcPr>
            <w:tcW w:w="477" w:type="pct"/>
            <w:tcBorders>
              <w:top w:val="nil"/>
              <w:left w:val="nil"/>
              <w:bottom w:val="nil"/>
              <w:right w:val="nil"/>
            </w:tcBorders>
            <w:shd w:val="clear" w:color="auto" w:fill="auto"/>
            <w:noWrap/>
            <w:vAlign w:val="center"/>
            <w:hideMark/>
          </w:tcPr>
          <w:p w14:paraId="5E48585E" w14:textId="77777777" w:rsidR="00536E0F" w:rsidRPr="00C16D40" w:rsidRDefault="00536E0F" w:rsidP="00536E0F">
            <w:pPr>
              <w:pBdr>
                <w:top w:val="none" w:sz="0" w:space="0" w:color="auto"/>
                <w:left w:val="none" w:sz="0" w:space="0" w:color="auto"/>
                <w:bottom w:val="none" w:sz="0" w:space="0" w:color="auto"/>
                <w:right w:val="none" w:sz="0" w:space="0" w:color="auto"/>
                <w:between w:val="none" w:sz="0" w:space="0" w:color="auto"/>
                <w:bar w:val="none" w:sz="0" w:color="auto"/>
              </w:pBdr>
              <w:jc w:val="center"/>
              <w:outlineLvl w:val="9"/>
              <w:rPr>
                <w:rFonts w:eastAsia="Times New Roman"/>
                <w:b/>
                <w:bCs/>
                <w:color w:val="auto"/>
                <w:sz w:val="16"/>
                <w:szCs w:val="16"/>
                <w:bdr w:val="none" w:sz="0" w:space="0" w:color="auto"/>
                <w:lang w:eastAsia="es-ES"/>
              </w:rPr>
            </w:pPr>
          </w:p>
        </w:tc>
        <w:tc>
          <w:tcPr>
            <w:tcW w:w="734" w:type="pct"/>
            <w:tcBorders>
              <w:top w:val="single" w:sz="4" w:space="0" w:color="auto"/>
              <w:left w:val="nil"/>
              <w:bottom w:val="single" w:sz="4" w:space="0" w:color="auto"/>
              <w:right w:val="nil"/>
            </w:tcBorders>
            <w:shd w:val="clear" w:color="auto" w:fill="auto"/>
            <w:vAlign w:val="center"/>
          </w:tcPr>
          <w:p w14:paraId="0E9EBF87" w14:textId="5729BDFE" w:rsidR="00536E0F" w:rsidRPr="00C16D40" w:rsidRDefault="00536E0F" w:rsidP="00536E0F">
            <w:pPr>
              <w:pBdr>
                <w:top w:val="none" w:sz="0" w:space="0" w:color="auto"/>
                <w:left w:val="none" w:sz="0" w:space="0" w:color="auto"/>
                <w:bottom w:val="none" w:sz="0" w:space="0" w:color="auto"/>
                <w:right w:val="none" w:sz="0" w:space="0" w:color="auto"/>
                <w:between w:val="none" w:sz="0" w:space="0" w:color="auto"/>
                <w:bar w:val="none" w:sz="0" w:color="auto"/>
              </w:pBdr>
              <w:jc w:val="right"/>
              <w:outlineLvl w:val="9"/>
              <w:rPr>
                <w:rFonts w:eastAsia="Times New Roman"/>
                <w:b/>
                <w:bCs/>
                <w:color w:val="auto"/>
                <w:sz w:val="16"/>
                <w:szCs w:val="16"/>
                <w:bdr w:val="none" w:sz="0" w:space="0" w:color="auto"/>
                <w:lang w:eastAsia="es-ES"/>
              </w:rPr>
            </w:pPr>
            <w:r>
              <w:rPr>
                <w:b/>
                <w:bCs/>
                <w:sz w:val="16"/>
                <w:szCs w:val="16"/>
              </w:rPr>
              <w:t>188.068,25</w:t>
            </w:r>
          </w:p>
        </w:tc>
        <w:tc>
          <w:tcPr>
            <w:tcW w:w="784" w:type="pct"/>
            <w:tcBorders>
              <w:top w:val="single" w:sz="4" w:space="0" w:color="auto"/>
              <w:left w:val="nil"/>
              <w:bottom w:val="single" w:sz="4" w:space="0" w:color="auto"/>
              <w:right w:val="nil"/>
            </w:tcBorders>
            <w:shd w:val="clear" w:color="auto" w:fill="auto"/>
            <w:vAlign w:val="center"/>
            <w:hideMark/>
          </w:tcPr>
          <w:p w14:paraId="7B26667F" w14:textId="0022C291" w:rsidR="00536E0F" w:rsidRPr="00C16D40" w:rsidRDefault="00536E0F" w:rsidP="00536E0F">
            <w:pPr>
              <w:pBdr>
                <w:top w:val="none" w:sz="0" w:space="0" w:color="auto"/>
                <w:left w:val="none" w:sz="0" w:space="0" w:color="auto"/>
                <w:bottom w:val="none" w:sz="0" w:space="0" w:color="auto"/>
                <w:right w:val="none" w:sz="0" w:space="0" w:color="auto"/>
                <w:between w:val="none" w:sz="0" w:space="0" w:color="auto"/>
                <w:bar w:val="none" w:sz="0" w:color="auto"/>
              </w:pBdr>
              <w:jc w:val="right"/>
              <w:outlineLvl w:val="9"/>
              <w:rPr>
                <w:rFonts w:eastAsia="Times New Roman"/>
                <w:b/>
                <w:bCs/>
                <w:color w:val="auto"/>
                <w:sz w:val="16"/>
                <w:szCs w:val="16"/>
                <w:bdr w:val="none" w:sz="0" w:space="0" w:color="auto"/>
                <w:lang w:eastAsia="es-ES"/>
              </w:rPr>
            </w:pPr>
            <w:r>
              <w:rPr>
                <w:b/>
                <w:bCs/>
                <w:sz w:val="16"/>
                <w:szCs w:val="16"/>
              </w:rPr>
              <w:t>19.101,26</w:t>
            </w:r>
          </w:p>
        </w:tc>
      </w:tr>
      <w:tr w:rsidR="00536E0F" w:rsidRPr="00C16D40" w14:paraId="00AE909A" w14:textId="77777777" w:rsidTr="00BA5560">
        <w:trPr>
          <w:trHeight w:val="227"/>
        </w:trPr>
        <w:tc>
          <w:tcPr>
            <w:tcW w:w="3005" w:type="pct"/>
            <w:tcBorders>
              <w:top w:val="nil"/>
              <w:left w:val="nil"/>
              <w:bottom w:val="nil"/>
              <w:right w:val="nil"/>
            </w:tcBorders>
            <w:shd w:val="clear" w:color="auto" w:fill="auto"/>
            <w:vAlign w:val="center"/>
            <w:hideMark/>
          </w:tcPr>
          <w:p w14:paraId="595890D5" w14:textId="77777777" w:rsidR="00536E0F" w:rsidRPr="00C16D40" w:rsidRDefault="00536E0F" w:rsidP="00536E0F">
            <w:pPr>
              <w:pBdr>
                <w:top w:val="none" w:sz="0" w:space="0" w:color="auto"/>
                <w:left w:val="none" w:sz="0" w:space="0" w:color="auto"/>
                <w:bottom w:val="none" w:sz="0" w:space="0" w:color="auto"/>
                <w:right w:val="none" w:sz="0" w:space="0" w:color="auto"/>
                <w:between w:val="none" w:sz="0" w:space="0" w:color="auto"/>
                <w:bar w:val="none" w:sz="0" w:color="auto"/>
              </w:pBdr>
              <w:outlineLvl w:val="9"/>
              <w:rPr>
                <w:rFonts w:eastAsia="Times New Roman"/>
                <w:color w:val="auto"/>
                <w:sz w:val="16"/>
                <w:szCs w:val="16"/>
                <w:bdr w:val="none" w:sz="0" w:space="0" w:color="auto"/>
                <w:lang w:eastAsia="es-ES"/>
              </w:rPr>
            </w:pPr>
            <w:r w:rsidRPr="00C16D40">
              <w:rPr>
                <w:rFonts w:eastAsia="Times New Roman"/>
                <w:color w:val="auto"/>
                <w:sz w:val="16"/>
                <w:szCs w:val="16"/>
                <w:bdr w:val="none" w:sz="0" w:space="0" w:color="auto"/>
                <w:lang w:eastAsia="es-ES"/>
              </w:rPr>
              <w:t>- Cobros de intereses</w:t>
            </w:r>
          </w:p>
        </w:tc>
        <w:tc>
          <w:tcPr>
            <w:tcW w:w="477" w:type="pct"/>
            <w:tcBorders>
              <w:top w:val="nil"/>
              <w:left w:val="nil"/>
              <w:bottom w:val="nil"/>
              <w:right w:val="nil"/>
            </w:tcBorders>
            <w:shd w:val="clear" w:color="auto" w:fill="auto"/>
            <w:noWrap/>
            <w:vAlign w:val="center"/>
            <w:hideMark/>
          </w:tcPr>
          <w:p w14:paraId="35B933B7" w14:textId="77777777" w:rsidR="00536E0F" w:rsidRPr="00C16D40" w:rsidRDefault="00536E0F" w:rsidP="00536E0F">
            <w:pPr>
              <w:pBdr>
                <w:top w:val="none" w:sz="0" w:space="0" w:color="auto"/>
                <w:left w:val="none" w:sz="0" w:space="0" w:color="auto"/>
                <w:bottom w:val="none" w:sz="0" w:space="0" w:color="auto"/>
                <w:right w:val="none" w:sz="0" w:space="0" w:color="auto"/>
                <w:between w:val="none" w:sz="0" w:space="0" w:color="auto"/>
                <w:bar w:val="none" w:sz="0" w:color="auto"/>
              </w:pBdr>
              <w:jc w:val="center"/>
              <w:outlineLvl w:val="9"/>
              <w:rPr>
                <w:rFonts w:eastAsia="Times New Roman"/>
                <w:color w:val="auto"/>
                <w:sz w:val="16"/>
                <w:szCs w:val="16"/>
                <w:bdr w:val="none" w:sz="0" w:space="0" w:color="auto"/>
                <w:lang w:eastAsia="es-ES"/>
              </w:rPr>
            </w:pPr>
          </w:p>
        </w:tc>
        <w:tc>
          <w:tcPr>
            <w:tcW w:w="734" w:type="pct"/>
            <w:tcBorders>
              <w:top w:val="nil"/>
              <w:left w:val="nil"/>
              <w:bottom w:val="nil"/>
              <w:right w:val="nil"/>
            </w:tcBorders>
            <w:shd w:val="clear" w:color="auto" w:fill="auto"/>
            <w:vAlign w:val="center"/>
          </w:tcPr>
          <w:p w14:paraId="678AE757" w14:textId="776A9F8C" w:rsidR="00536E0F" w:rsidRPr="00C16D40" w:rsidRDefault="00536E0F" w:rsidP="00536E0F">
            <w:pPr>
              <w:pBdr>
                <w:top w:val="none" w:sz="0" w:space="0" w:color="auto"/>
                <w:left w:val="none" w:sz="0" w:space="0" w:color="auto"/>
                <w:bottom w:val="none" w:sz="0" w:space="0" w:color="auto"/>
                <w:right w:val="none" w:sz="0" w:space="0" w:color="auto"/>
                <w:between w:val="none" w:sz="0" w:space="0" w:color="auto"/>
                <w:bar w:val="none" w:sz="0" w:color="auto"/>
              </w:pBdr>
              <w:jc w:val="right"/>
              <w:outlineLvl w:val="9"/>
              <w:rPr>
                <w:rFonts w:eastAsia="Times New Roman"/>
                <w:color w:val="auto"/>
                <w:sz w:val="16"/>
                <w:szCs w:val="16"/>
                <w:bdr w:val="none" w:sz="0" w:space="0" w:color="auto"/>
                <w:lang w:eastAsia="es-ES"/>
              </w:rPr>
            </w:pPr>
            <w:r>
              <w:rPr>
                <w:sz w:val="16"/>
                <w:szCs w:val="16"/>
              </w:rPr>
              <w:t>188.068,25</w:t>
            </w:r>
          </w:p>
        </w:tc>
        <w:tc>
          <w:tcPr>
            <w:tcW w:w="784" w:type="pct"/>
            <w:tcBorders>
              <w:top w:val="nil"/>
              <w:left w:val="nil"/>
              <w:bottom w:val="nil"/>
              <w:right w:val="nil"/>
            </w:tcBorders>
            <w:shd w:val="clear" w:color="auto" w:fill="auto"/>
            <w:vAlign w:val="center"/>
            <w:hideMark/>
          </w:tcPr>
          <w:p w14:paraId="56D9E838" w14:textId="129E522D" w:rsidR="00536E0F" w:rsidRPr="00C16D40" w:rsidRDefault="00536E0F" w:rsidP="00536E0F">
            <w:pPr>
              <w:pBdr>
                <w:top w:val="none" w:sz="0" w:space="0" w:color="auto"/>
                <w:left w:val="none" w:sz="0" w:space="0" w:color="auto"/>
                <w:bottom w:val="none" w:sz="0" w:space="0" w:color="auto"/>
                <w:right w:val="none" w:sz="0" w:space="0" w:color="auto"/>
                <w:between w:val="none" w:sz="0" w:space="0" w:color="auto"/>
                <w:bar w:val="none" w:sz="0" w:color="auto"/>
              </w:pBdr>
              <w:jc w:val="right"/>
              <w:outlineLvl w:val="9"/>
              <w:rPr>
                <w:rFonts w:eastAsia="Times New Roman"/>
                <w:color w:val="auto"/>
                <w:sz w:val="16"/>
                <w:szCs w:val="16"/>
                <w:bdr w:val="none" w:sz="0" w:space="0" w:color="auto"/>
                <w:lang w:eastAsia="es-ES"/>
              </w:rPr>
            </w:pPr>
            <w:r>
              <w:rPr>
                <w:sz w:val="16"/>
                <w:szCs w:val="16"/>
              </w:rPr>
              <w:t>19.101,26</w:t>
            </w:r>
          </w:p>
        </w:tc>
      </w:tr>
      <w:tr w:rsidR="00536E0F" w:rsidRPr="00C16D40" w14:paraId="012F9755" w14:textId="77777777" w:rsidTr="00BA5560">
        <w:trPr>
          <w:trHeight w:val="227"/>
        </w:trPr>
        <w:tc>
          <w:tcPr>
            <w:tcW w:w="3005" w:type="pct"/>
            <w:tcBorders>
              <w:top w:val="nil"/>
              <w:left w:val="nil"/>
              <w:bottom w:val="nil"/>
              <w:right w:val="nil"/>
            </w:tcBorders>
            <w:shd w:val="clear" w:color="auto" w:fill="auto"/>
            <w:vAlign w:val="center"/>
            <w:hideMark/>
          </w:tcPr>
          <w:p w14:paraId="43EE18C5" w14:textId="77777777" w:rsidR="00536E0F" w:rsidRPr="00C16D40" w:rsidRDefault="00536E0F" w:rsidP="00536E0F">
            <w:pPr>
              <w:pBdr>
                <w:top w:val="none" w:sz="0" w:space="0" w:color="auto"/>
                <w:left w:val="none" w:sz="0" w:space="0" w:color="auto"/>
                <w:bottom w:val="none" w:sz="0" w:space="0" w:color="auto"/>
                <w:right w:val="none" w:sz="0" w:space="0" w:color="auto"/>
                <w:between w:val="none" w:sz="0" w:space="0" w:color="auto"/>
                <w:bar w:val="none" w:sz="0" w:color="auto"/>
              </w:pBdr>
              <w:outlineLvl w:val="9"/>
              <w:rPr>
                <w:rFonts w:eastAsia="Times New Roman"/>
                <w:color w:val="auto"/>
                <w:sz w:val="16"/>
                <w:szCs w:val="16"/>
                <w:bdr w:val="none" w:sz="0" w:space="0" w:color="auto"/>
                <w:lang w:eastAsia="es-ES"/>
              </w:rPr>
            </w:pPr>
            <w:r w:rsidRPr="00C16D40">
              <w:rPr>
                <w:rFonts w:eastAsia="Times New Roman"/>
                <w:color w:val="auto"/>
                <w:sz w:val="16"/>
                <w:szCs w:val="16"/>
                <w:bdr w:val="none" w:sz="0" w:space="0" w:color="auto"/>
                <w:lang w:eastAsia="es-ES"/>
              </w:rPr>
              <w:t>- Pagos de intereses</w:t>
            </w:r>
          </w:p>
        </w:tc>
        <w:tc>
          <w:tcPr>
            <w:tcW w:w="477" w:type="pct"/>
            <w:tcBorders>
              <w:top w:val="nil"/>
              <w:left w:val="nil"/>
              <w:bottom w:val="nil"/>
              <w:right w:val="nil"/>
            </w:tcBorders>
            <w:shd w:val="clear" w:color="auto" w:fill="auto"/>
            <w:noWrap/>
            <w:vAlign w:val="bottom"/>
            <w:hideMark/>
          </w:tcPr>
          <w:p w14:paraId="20391995" w14:textId="77777777" w:rsidR="00536E0F" w:rsidRPr="00C16D40" w:rsidRDefault="00536E0F" w:rsidP="00536E0F">
            <w:pPr>
              <w:pBdr>
                <w:top w:val="none" w:sz="0" w:space="0" w:color="auto"/>
                <w:left w:val="none" w:sz="0" w:space="0" w:color="auto"/>
                <w:bottom w:val="none" w:sz="0" w:space="0" w:color="auto"/>
                <w:right w:val="none" w:sz="0" w:space="0" w:color="auto"/>
                <w:between w:val="none" w:sz="0" w:space="0" w:color="auto"/>
                <w:bar w:val="none" w:sz="0" w:color="auto"/>
              </w:pBdr>
              <w:jc w:val="center"/>
              <w:outlineLvl w:val="9"/>
              <w:rPr>
                <w:rFonts w:eastAsia="Times New Roman"/>
                <w:color w:val="auto"/>
                <w:sz w:val="16"/>
                <w:szCs w:val="16"/>
                <w:bdr w:val="none" w:sz="0" w:space="0" w:color="auto"/>
                <w:lang w:eastAsia="es-ES"/>
              </w:rPr>
            </w:pPr>
          </w:p>
        </w:tc>
        <w:tc>
          <w:tcPr>
            <w:tcW w:w="734" w:type="pct"/>
            <w:tcBorders>
              <w:top w:val="nil"/>
              <w:left w:val="nil"/>
              <w:bottom w:val="nil"/>
              <w:right w:val="nil"/>
            </w:tcBorders>
            <w:shd w:val="clear" w:color="auto" w:fill="auto"/>
            <w:vAlign w:val="center"/>
          </w:tcPr>
          <w:p w14:paraId="47398093" w14:textId="5077BBBD" w:rsidR="00536E0F" w:rsidRPr="00C16D40" w:rsidRDefault="00536E0F" w:rsidP="00536E0F">
            <w:pPr>
              <w:pBdr>
                <w:top w:val="none" w:sz="0" w:space="0" w:color="auto"/>
                <w:left w:val="none" w:sz="0" w:space="0" w:color="auto"/>
                <w:bottom w:val="none" w:sz="0" w:space="0" w:color="auto"/>
                <w:right w:val="none" w:sz="0" w:space="0" w:color="auto"/>
                <w:between w:val="none" w:sz="0" w:space="0" w:color="auto"/>
                <w:bar w:val="none" w:sz="0" w:color="auto"/>
              </w:pBdr>
              <w:jc w:val="right"/>
              <w:outlineLvl w:val="9"/>
              <w:rPr>
                <w:rFonts w:eastAsia="Times New Roman"/>
                <w:color w:val="auto"/>
                <w:sz w:val="16"/>
                <w:szCs w:val="16"/>
                <w:bdr w:val="none" w:sz="0" w:space="0" w:color="auto"/>
                <w:lang w:eastAsia="es-ES"/>
              </w:rPr>
            </w:pPr>
            <w:r>
              <w:rPr>
                <w:sz w:val="16"/>
                <w:szCs w:val="16"/>
              </w:rPr>
              <w:t xml:space="preserve"> -</w:t>
            </w:r>
          </w:p>
        </w:tc>
        <w:tc>
          <w:tcPr>
            <w:tcW w:w="784" w:type="pct"/>
            <w:tcBorders>
              <w:top w:val="nil"/>
              <w:left w:val="nil"/>
              <w:bottom w:val="nil"/>
              <w:right w:val="nil"/>
            </w:tcBorders>
            <w:shd w:val="clear" w:color="auto" w:fill="auto"/>
            <w:vAlign w:val="center"/>
            <w:hideMark/>
          </w:tcPr>
          <w:p w14:paraId="04064FC9" w14:textId="041CD0D8" w:rsidR="00536E0F" w:rsidRPr="00C16D40" w:rsidRDefault="00536E0F" w:rsidP="00536E0F">
            <w:pPr>
              <w:pBdr>
                <w:top w:val="none" w:sz="0" w:space="0" w:color="auto"/>
                <w:left w:val="none" w:sz="0" w:space="0" w:color="auto"/>
                <w:bottom w:val="none" w:sz="0" w:space="0" w:color="auto"/>
                <w:right w:val="none" w:sz="0" w:space="0" w:color="auto"/>
                <w:between w:val="none" w:sz="0" w:space="0" w:color="auto"/>
                <w:bar w:val="none" w:sz="0" w:color="auto"/>
              </w:pBdr>
              <w:jc w:val="right"/>
              <w:outlineLvl w:val="9"/>
              <w:rPr>
                <w:rFonts w:eastAsia="Times New Roman"/>
                <w:color w:val="auto"/>
                <w:sz w:val="16"/>
                <w:szCs w:val="16"/>
                <w:bdr w:val="none" w:sz="0" w:space="0" w:color="auto"/>
                <w:lang w:eastAsia="es-ES"/>
              </w:rPr>
            </w:pPr>
            <w:r>
              <w:rPr>
                <w:sz w:val="16"/>
                <w:szCs w:val="16"/>
              </w:rPr>
              <w:t xml:space="preserve"> -</w:t>
            </w:r>
          </w:p>
        </w:tc>
      </w:tr>
      <w:tr w:rsidR="00EC270D" w:rsidRPr="00C16D40" w14:paraId="5399327A" w14:textId="77777777" w:rsidTr="00BA5560">
        <w:trPr>
          <w:trHeight w:val="113"/>
        </w:trPr>
        <w:tc>
          <w:tcPr>
            <w:tcW w:w="3005" w:type="pct"/>
            <w:tcBorders>
              <w:top w:val="nil"/>
              <w:left w:val="nil"/>
              <w:bottom w:val="nil"/>
              <w:right w:val="nil"/>
            </w:tcBorders>
            <w:shd w:val="clear" w:color="auto" w:fill="auto"/>
            <w:vAlign w:val="center"/>
            <w:hideMark/>
          </w:tcPr>
          <w:p w14:paraId="19CD4C08" w14:textId="77777777" w:rsidR="00EC270D" w:rsidRPr="00C16D40" w:rsidRDefault="00EC270D" w:rsidP="00EC270D">
            <w:pPr>
              <w:pBdr>
                <w:top w:val="none" w:sz="0" w:space="0" w:color="auto"/>
                <w:left w:val="none" w:sz="0" w:space="0" w:color="auto"/>
                <w:bottom w:val="none" w:sz="0" w:space="0" w:color="auto"/>
                <w:right w:val="none" w:sz="0" w:space="0" w:color="auto"/>
                <w:between w:val="none" w:sz="0" w:space="0" w:color="auto"/>
                <w:bar w:val="none" w:sz="0" w:color="auto"/>
              </w:pBdr>
              <w:jc w:val="right"/>
              <w:outlineLvl w:val="9"/>
              <w:rPr>
                <w:rFonts w:eastAsia="Times New Roman"/>
                <w:color w:val="auto"/>
                <w:sz w:val="16"/>
                <w:szCs w:val="16"/>
                <w:bdr w:val="none" w:sz="0" w:space="0" w:color="auto"/>
                <w:lang w:eastAsia="es-ES"/>
              </w:rPr>
            </w:pPr>
          </w:p>
        </w:tc>
        <w:tc>
          <w:tcPr>
            <w:tcW w:w="477" w:type="pct"/>
            <w:tcBorders>
              <w:top w:val="nil"/>
              <w:left w:val="nil"/>
              <w:bottom w:val="nil"/>
              <w:right w:val="nil"/>
            </w:tcBorders>
            <w:shd w:val="clear" w:color="auto" w:fill="auto"/>
            <w:vAlign w:val="center"/>
            <w:hideMark/>
          </w:tcPr>
          <w:p w14:paraId="73EA9291" w14:textId="77777777" w:rsidR="00EC270D" w:rsidRPr="00C16D40" w:rsidRDefault="00EC270D" w:rsidP="00EC270D">
            <w:pPr>
              <w:pBdr>
                <w:top w:val="none" w:sz="0" w:space="0" w:color="auto"/>
                <w:left w:val="none" w:sz="0" w:space="0" w:color="auto"/>
                <w:bottom w:val="none" w:sz="0" w:space="0" w:color="auto"/>
                <w:right w:val="none" w:sz="0" w:space="0" w:color="auto"/>
                <w:between w:val="none" w:sz="0" w:space="0" w:color="auto"/>
                <w:bar w:val="none" w:sz="0" w:color="auto"/>
              </w:pBdr>
              <w:jc w:val="center"/>
              <w:outlineLvl w:val="9"/>
              <w:rPr>
                <w:rFonts w:eastAsia="Times New Roman"/>
                <w:color w:val="auto"/>
                <w:sz w:val="16"/>
                <w:szCs w:val="16"/>
                <w:bdr w:val="none" w:sz="0" w:space="0" w:color="auto"/>
                <w:lang w:eastAsia="es-ES"/>
              </w:rPr>
            </w:pPr>
          </w:p>
        </w:tc>
        <w:tc>
          <w:tcPr>
            <w:tcW w:w="734" w:type="pct"/>
            <w:tcBorders>
              <w:top w:val="nil"/>
              <w:left w:val="nil"/>
              <w:bottom w:val="nil"/>
              <w:right w:val="nil"/>
            </w:tcBorders>
            <w:shd w:val="clear" w:color="auto" w:fill="auto"/>
            <w:noWrap/>
            <w:vAlign w:val="center"/>
          </w:tcPr>
          <w:p w14:paraId="3977DA64" w14:textId="77777777" w:rsidR="00EC270D" w:rsidRPr="00C16D40" w:rsidRDefault="00EC270D" w:rsidP="00EC270D">
            <w:pPr>
              <w:pBdr>
                <w:top w:val="none" w:sz="0" w:space="0" w:color="auto"/>
                <w:left w:val="none" w:sz="0" w:space="0" w:color="auto"/>
                <w:bottom w:val="none" w:sz="0" w:space="0" w:color="auto"/>
                <w:right w:val="none" w:sz="0" w:space="0" w:color="auto"/>
                <w:between w:val="none" w:sz="0" w:space="0" w:color="auto"/>
                <w:bar w:val="none" w:sz="0" w:color="auto"/>
              </w:pBdr>
              <w:jc w:val="right"/>
              <w:outlineLvl w:val="9"/>
              <w:rPr>
                <w:rFonts w:eastAsia="Times New Roman"/>
                <w:color w:val="auto"/>
                <w:sz w:val="16"/>
                <w:szCs w:val="16"/>
                <w:bdr w:val="none" w:sz="0" w:space="0" w:color="auto"/>
                <w:lang w:eastAsia="es-ES"/>
              </w:rPr>
            </w:pPr>
          </w:p>
        </w:tc>
        <w:tc>
          <w:tcPr>
            <w:tcW w:w="784" w:type="pct"/>
            <w:tcBorders>
              <w:top w:val="nil"/>
              <w:left w:val="nil"/>
              <w:bottom w:val="nil"/>
              <w:right w:val="nil"/>
            </w:tcBorders>
            <w:shd w:val="clear" w:color="auto" w:fill="auto"/>
            <w:noWrap/>
            <w:vAlign w:val="center"/>
            <w:hideMark/>
          </w:tcPr>
          <w:p w14:paraId="4601F177" w14:textId="77777777" w:rsidR="00EC270D" w:rsidRPr="00C16D40" w:rsidRDefault="00EC270D" w:rsidP="00EC270D">
            <w:pPr>
              <w:pBdr>
                <w:top w:val="none" w:sz="0" w:space="0" w:color="auto"/>
                <w:left w:val="none" w:sz="0" w:space="0" w:color="auto"/>
                <w:bottom w:val="none" w:sz="0" w:space="0" w:color="auto"/>
                <w:right w:val="none" w:sz="0" w:space="0" w:color="auto"/>
                <w:between w:val="none" w:sz="0" w:space="0" w:color="auto"/>
                <w:bar w:val="none" w:sz="0" w:color="auto"/>
              </w:pBdr>
              <w:jc w:val="right"/>
              <w:outlineLvl w:val="9"/>
              <w:rPr>
                <w:rFonts w:eastAsia="Times New Roman"/>
                <w:color w:val="auto"/>
                <w:sz w:val="16"/>
                <w:szCs w:val="16"/>
                <w:bdr w:val="none" w:sz="0" w:space="0" w:color="auto"/>
                <w:lang w:eastAsia="es-ES"/>
              </w:rPr>
            </w:pPr>
          </w:p>
        </w:tc>
      </w:tr>
      <w:tr w:rsidR="00536E0F" w:rsidRPr="00C16D40" w14:paraId="59927262" w14:textId="77777777" w:rsidTr="00BA5560">
        <w:trPr>
          <w:trHeight w:val="283"/>
        </w:trPr>
        <w:tc>
          <w:tcPr>
            <w:tcW w:w="3005" w:type="pct"/>
            <w:tcBorders>
              <w:top w:val="single" w:sz="4" w:space="0" w:color="auto"/>
              <w:left w:val="nil"/>
              <w:bottom w:val="single" w:sz="4" w:space="0" w:color="auto"/>
              <w:right w:val="nil"/>
            </w:tcBorders>
            <w:shd w:val="clear" w:color="000000" w:fill="F2F2F2"/>
            <w:vAlign w:val="center"/>
            <w:hideMark/>
          </w:tcPr>
          <w:p w14:paraId="373260C4" w14:textId="77777777" w:rsidR="00536E0F" w:rsidRPr="00C16D40" w:rsidRDefault="00536E0F" w:rsidP="00536E0F">
            <w:pPr>
              <w:pBdr>
                <w:top w:val="none" w:sz="0" w:space="0" w:color="auto"/>
                <w:left w:val="none" w:sz="0" w:space="0" w:color="auto"/>
                <w:bottom w:val="none" w:sz="0" w:space="0" w:color="auto"/>
                <w:right w:val="none" w:sz="0" w:space="0" w:color="auto"/>
                <w:between w:val="none" w:sz="0" w:space="0" w:color="auto"/>
                <w:bar w:val="none" w:sz="0" w:color="auto"/>
              </w:pBdr>
              <w:outlineLvl w:val="9"/>
              <w:rPr>
                <w:rFonts w:eastAsia="Times New Roman"/>
                <w:b/>
                <w:bCs/>
                <w:color w:val="auto"/>
                <w:sz w:val="16"/>
                <w:szCs w:val="16"/>
                <w:bdr w:val="none" w:sz="0" w:space="0" w:color="auto"/>
                <w:lang w:eastAsia="es-ES"/>
              </w:rPr>
            </w:pPr>
            <w:r w:rsidRPr="00C16D40">
              <w:rPr>
                <w:rFonts w:eastAsia="Times New Roman"/>
                <w:b/>
                <w:bCs/>
                <w:color w:val="auto"/>
                <w:sz w:val="16"/>
                <w:szCs w:val="16"/>
                <w:bdr w:val="none" w:sz="0" w:space="0" w:color="auto"/>
                <w:lang w:eastAsia="es-ES"/>
              </w:rPr>
              <w:t>B) FLUJOS DE EFECTIVO DE LAS ACTIVIDADES DE INVERSIÓN</w:t>
            </w:r>
          </w:p>
        </w:tc>
        <w:tc>
          <w:tcPr>
            <w:tcW w:w="477" w:type="pct"/>
            <w:tcBorders>
              <w:top w:val="single" w:sz="4" w:space="0" w:color="auto"/>
              <w:left w:val="nil"/>
              <w:bottom w:val="single" w:sz="4" w:space="0" w:color="auto"/>
              <w:right w:val="nil"/>
            </w:tcBorders>
            <w:shd w:val="clear" w:color="000000" w:fill="F2F2F2"/>
            <w:vAlign w:val="center"/>
            <w:hideMark/>
          </w:tcPr>
          <w:p w14:paraId="22B70F01" w14:textId="755BEB33" w:rsidR="00536E0F" w:rsidRPr="00C16D40" w:rsidRDefault="00536E0F" w:rsidP="00536E0F">
            <w:pPr>
              <w:pBdr>
                <w:top w:val="none" w:sz="0" w:space="0" w:color="auto"/>
                <w:left w:val="none" w:sz="0" w:space="0" w:color="auto"/>
                <w:bottom w:val="none" w:sz="0" w:space="0" w:color="auto"/>
                <w:right w:val="none" w:sz="0" w:space="0" w:color="auto"/>
                <w:between w:val="none" w:sz="0" w:space="0" w:color="auto"/>
                <w:bar w:val="none" w:sz="0" w:color="auto"/>
              </w:pBdr>
              <w:jc w:val="center"/>
              <w:outlineLvl w:val="9"/>
              <w:rPr>
                <w:rFonts w:eastAsia="Times New Roman"/>
                <w:b/>
                <w:bCs/>
                <w:color w:val="auto"/>
                <w:sz w:val="16"/>
                <w:szCs w:val="16"/>
                <w:bdr w:val="none" w:sz="0" w:space="0" w:color="auto"/>
                <w:lang w:eastAsia="es-ES"/>
              </w:rPr>
            </w:pPr>
          </w:p>
        </w:tc>
        <w:tc>
          <w:tcPr>
            <w:tcW w:w="734" w:type="pct"/>
            <w:tcBorders>
              <w:top w:val="single" w:sz="4" w:space="0" w:color="auto"/>
              <w:left w:val="nil"/>
              <w:bottom w:val="single" w:sz="4" w:space="0" w:color="auto"/>
              <w:right w:val="nil"/>
            </w:tcBorders>
            <w:shd w:val="clear" w:color="000000" w:fill="F2F2F2"/>
            <w:vAlign w:val="center"/>
          </w:tcPr>
          <w:p w14:paraId="726DE829" w14:textId="14766643" w:rsidR="00536E0F" w:rsidRPr="00C16D40" w:rsidRDefault="00536E0F" w:rsidP="00536E0F">
            <w:pPr>
              <w:pBdr>
                <w:top w:val="none" w:sz="0" w:space="0" w:color="auto"/>
                <w:left w:val="none" w:sz="0" w:space="0" w:color="auto"/>
                <w:bottom w:val="none" w:sz="0" w:space="0" w:color="auto"/>
                <w:right w:val="none" w:sz="0" w:space="0" w:color="auto"/>
                <w:between w:val="none" w:sz="0" w:space="0" w:color="auto"/>
                <w:bar w:val="none" w:sz="0" w:color="auto"/>
              </w:pBdr>
              <w:jc w:val="right"/>
              <w:outlineLvl w:val="9"/>
              <w:rPr>
                <w:rFonts w:eastAsia="Times New Roman"/>
                <w:b/>
                <w:bCs/>
                <w:sz w:val="16"/>
                <w:szCs w:val="16"/>
                <w:bdr w:val="none" w:sz="0" w:space="0" w:color="auto"/>
                <w:lang w:eastAsia="es-ES"/>
              </w:rPr>
            </w:pPr>
            <w:r>
              <w:rPr>
                <w:b/>
                <w:bCs/>
                <w:sz w:val="16"/>
                <w:szCs w:val="16"/>
              </w:rPr>
              <w:t>(238.559,04)</w:t>
            </w:r>
          </w:p>
        </w:tc>
        <w:tc>
          <w:tcPr>
            <w:tcW w:w="784" w:type="pct"/>
            <w:tcBorders>
              <w:top w:val="single" w:sz="4" w:space="0" w:color="auto"/>
              <w:left w:val="nil"/>
              <w:bottom w:val="single" w:sz="4" w:space="0" w:color="auto"/>
              <w:right w:val="nil"/>
            </w:tcBorders>
            <w:shd w:val="clear" w:color="000000" w:fill="F2F2F2"/>
            <w:vAlign w:val="center"/>
            <w:hideMark/>
          </w:tcPr>
          <w:p w14:paraId="7D7055A4" w14:textId="1FDEA398" w:rsidR="00536E0F" w:rsidRPr="00C16D40" w:rsidRDefault="00536E0F" w:rsidP="00536E0F">
            <w:pPr>
              <w:pBdr>
                <w:top w:val="none" w:sz="0" w:space="0" w:color="auto"/>
                <w:left w:val="none" w:sz="0" w:space="0" w:color="auto"/>
                <w:bottom w:val="none" w:sz="0" w:space="0" w:color="auto"/>
                <w:right w:val="none" w:sz="0" w:space="0" w:color="auto"/>
                <w:between w:val="none" w:sz="0" w:space="0" w:color="auto"/>
                <w:bar w:val="none" w:sz="0" w:color="auto"/>
              </w:pBdr>
              <w:jc w:val="right"/>
              <w:outlineLvl w:val="9"/>
              <w:rPr>
                <w:rFonts w:eastAsia="Times New Roman"/>
                <w:b/>
                <w:bCs/>
                <w:sz w:val="16"/>
                <w:szCs w:val="16"/>
                <w:bdr w:val="none" w:sz="0" w:space="0" w:color="auto"/>
                <w:lang w:eastAsia="es-ES"/>
              </w:rPr>
            </w:pPr>
            <w:r>
              <w:rPr>
                <w:b/>
                <w:bCs/>
                <w:sz w:val="16"/>
                <w:szCs w:val="16"/>
              </w:rPr>
              <w:t>(8.965,60)</w:t>
            </w:r>
          </w:p>
        </w:tc>
      </w:tr>
      <w:tr w:rsidR="00536E0F" w:rsidRPr="00C16D40" w14:paraId="5BB92DBD" w14:textId="77777777" w:rsidTr="00BA5560">
        <w:trPr>
          <w:trHeight w:val="170"/>
        </w:trPr>
        <w:tc>
          <w:tcPr>
            <w:tcW w:w="3005" w:type="pct"/>
            <w:tcBorders>
              <w:top w:val="nil"/>
              <w:left w:val="nil"/>
              <w:bottom w:val="nil"/>
              <w:right w:val="nil"/>
            </w:tcBorders>
            <w:shd w:val="clear" w:color="auto" w:fill="auto"/>
            <w:noWrap/>
            <w:vAlign w:val="center"/>
            <w:hideMark/>
          </w:tcPr>
          <w:p w14:paraId="623AF28A" w14:textId="77777777" w:rsidR="00536E0F" w:rsidRPr="00C16D40" w:rsidRDefault="00536E0F" w:rsidP="00536E0F">
            <w:pPr>
              <w:pBdr>
                <w:top w:val="none" w:sz="0" w:space="0" w:color="auto"/>
                <w:left w:val="none" w:sz="0" w:space="0" w:color="auto"/>
                <w:bottom w:val="none" w:sz="0" w:space="0" w:color="auto"/>
                <w:right w:val="none" w:sz="0" w:space="0" w:color="auto"/>
                <w:between w:val="none" w:sz="0" w:space="0" w:color="auto"/>
                <w:bar w:val="none" w:sz="0" w:color="auto"/>
              </w:pBdr>
              <w:jc w:val="right"/>
              <w:outlineLvl w:val="9"/>
              <w:rPr>
                <w:rFonts w:eastAsia="Times New Roman"/>
                <w:b/>
                <w:bCs/>
                <w:color w:val="auto"/>
                <w:sz w:val="16"/>
                <w:szCs w:val="16"/>
                <w:bdr w:val="none" w:sz="0" w:space="0" w:color="auto"/>
                <w:lang w:eastAsia="es-ES"/>
              </w:rPr>
            </w:pPr>
          </w:p>
        </w:tc>
        <w:tc>
          <w:tcPr>
            <w:tcW w:w="477" w:type="pct"/>
            <w:tcBorders>
              <w:top w:val="nil"/>
              <w:left w:val="nil"/>
              <w:bottom w:val="nil"/>
              <w:right w:val="nil"/>
            </w:tcBorders>
            <w:shd w:val="clear" w:color="auto" w:fill="auto"/>
            <w:noWrap/>
            <w:vAlign w:val="center"/>
            <w:hideMark/>
          </w:tcPr>
          <w:p w14:paraId="0A778947" w14:textId="77777777" w:rsidR="00536E0F" w:rsidRPr="00C16D40" w:rsidRDefault="00536E0F" w:rsidP="00536E0F">
            <w:pPr>
              <w:pBdr>
                <w:top w:val="none" w:sz="0" w:space="0" w:color="auto"/>
                <w:left w:val="none" w:sz="0" w:space="0" w:color="auto"/>
                <w:bottom w:val="none" w:sz="0" w:space="0" w:color="auto"/>
                <w:right w:val="none" w:sz="0" w:space="0" w:color="auto"/>
                <w:between w:val="none" w:sz="0" w:space="0" w:color="auto"/>
                <w:bar w:val="none" w:sz="0" w:color="auto"/>
              </w:pBdr>
              <w:jc w:val="center"/>
              <w:outlineLvl w:val="9"/>
              <w:rPr>
                <w:rFonts w:eastAsia="Times New Roman"/>
                <w:color w:val="auto"/>
                <w:sz w:val="16"/>
                <w:szCs w:val="16"/>
                <w:bdr w:val="none" w:sz="0" w:space="0" w:color="auto"/>
                <w:lang w:eastAsia="es-ES"/>
              </w:rPr>
            </w:pPr>
          </w:p>
        </w:tc>
        <w:tc>
          <w:tcPr>
            <w:tcW w:w="734" w:type="pct"/>
            <w:tcBorders>
              <w:top w:val="nil"/>
              <w:left w:val="nil"/>
              <w:bottom w:val="nil"/>
              <w:right w:val="nil"/>
            </w:tcBorders>
            <w:shd w:val="clear" w:color="auto" w:fill="auto"/>
            <w:noWrap/>
            <w:vAlign w:val="center"/>
          </w:tcPr>
          <w:p w14:paraId="1A138260" w14:textId="77777777" w:rsidR="00536E0F" w:rsidRPr="00C16D40" w:rsidRDefault="00536E0F" w:rsidP="00536E0F">
            <w:pPr>
              <w:pBdr>
                <w:top w:val="none" w:sz="0" w:space="0" w:color="auto"/>
                <w:left w:val="none" w:sz="0" w:space="0" w:color="auto"/>
                <w:bottom w:val="none" w:sz="0" w:space="0" w:color="auto"/>
                <w:right w:val="none" w:sz="0" w:space="0" w:color="auto"/>
                <w:between w:val="none" w:sz="0" w:space="0" w:color="auto"/>
                <w:bar w:val="none" w:sz="0" w:color="auto"/>
              </w:pBdr>
              <w:jc w:val="right"/>
              <w:outlineLvl w:val="9"/>
              <w:rPr>
                <w:rFonts w:eastAsia="Times New Roman"/>
                <w:color w:val="auto"/>
                <w:sz w:val="16"/>
                <w:szCs w:val="16"/>
                <w:bdr w:val="none" w:sz="0" w:space="0" w:color="auto"/>
                <w:lang w:eastAsia="es-ES"/>
              </w:rPr>
            </w:pPr>
          </w:p>
        </w:tc>
        <w:tc>
          <w:tcPr>
            <w:tcW w:w="784" w:type="pct"/>
            <w:tcBorders>
              <w:top w:val="nil"/>
              <w:left w:val="nil"/>
              <w:bottom w:val="nil"/>
              <w:right w:val="nil"/>
            </w:tcBorders>
            <w:shd w:val="clear" w:color="auto" w:fill="auto"/>
            <w:noWrap/>
            <w:vAlign w:val="center"/>
            <w:hideMark/>
          </w:tcPr>
          <w:p w14:paraId="797D6C85" w14:textId="77777777" w:rsidR="00536E0F" w:rsidRPr="00C16D40" w:rsidRDefault="00536E0F" w:rsidP="00536E0F">
            <w:pPr>
              <w:pBdr>
                <w:top w:val="none" w:sz="0" w:space="0" w:color="auto"/>
                <w:left w:val="none" w:sz="0" w:space="0" w:color="auto"/>
                <w:bottom w:val="none" w:sz="0" w:space="0" w:color="auto"/>
                <w:right w:val="none" w:sz="0" w:space="0" w:color="auto"/>
                <w:between w:val="none" w:sz="0" w:space="0" w:color="auto"/>
                <w:bar w:val="none" w:sz="0" w:color="auto"/>
              </w:pBdr>
              <w:jc w:val="right"/>
              <w:outlineLvl w:val="9"/>
              <w:rPr>
                <w:rFonts w:eastAsia="Times New Roman"/>
                <w:color w:val="auto"/>
                <w:sz w:val="16"/>
                <w:szCs w:val="16"/>
                <w:bdr w:val="none" w:sz="0" w:space="0" w:color="auto"/>
                <w:lang w:eastAsia="es-ES"/>
              </w:rPr>
            </w:pPr>
          </w:p>
        </w:tc>
      </w:tr>
      <w:tr w:rsidR="00536E0F" w:rsidRPr="00C16D40" w14:paraId="63D60BB0" w14:textId="77777777" w:rsidTr="00BA5560">
        <w:trPr>
          <w:trHeight w:val="227"/>
        </w:trPr>
        <w:tc>
          <w:tcPr>
            <w:tcW w:w="3005" w:type="pct"/>
            <w:tcBorders>
              <w:top w:val="nil"/>
              <w:left w:val="nil"/>
              <w:bottom w:val="nil"/>
              <w:right w:val="nil"/>
            </w:tcBorders>
            <w:shd w:val="clear" w:color="auto" w:fill="auto"/>
            <w:vAlign w:val="center"/>
            <w:hideMark/>
          </w:tcPr>
          <w:p w14:paraId="6A1C9C93" w14:textId="77777777" w:rsidR="00536E0F" w:rsidRPr="00C16D40" w:rsidRDefault="00536E0F" w:rsidP="00536E0F">
            <w:pPr>
              <w:pBdr>
                <w:top w:val="none" w:sz="0" w:space="0" w:color="auto"/>
                <w:left w:val="none" w:sz="0" w:space="0" w:color="auto"/>
                <w:bottom w:val="none" w:sz="0" w:space="0" w:color="auto"/>
                <w:right w:val="none" w:sz="0" w:space="0" w:color="auto"/>
                <w:between w:val="none" w:sz="0" w:space="0" w:color="auto"/>
                <w:bar w:val="none" w:sz="0" w:color="auto"/>
              </w:pBdr>
              <w:outlineLvl w:val="9"/>
              <w:rPr>
                <w:rFonts w:eastAsia="Times New Roman"/>
                <w:b/>
                <w:bCs/>
                <w:color w:val="auto"/>
                <w:sz w:val="16"/>
                <w:szCs w:val="16"/>
                <w:bdr w:val="none" w:sz="0" w:space="0" w:color="auto"/>
                <w:lang w:eastAsia="es-ES"/>
              </w:rPr>
            </w:pPr>
            <w:r w:rsidRPr="00C16D40">
              <w:rPr>
                <w:rFonts w:eastAsia="Times New Roman"/>
                <w:b/>
                <w:bCs/>
                <w:color w:val="auto"/>
                <w:sz w:val="16"/>
                <w:szCs w:val="16"/>
                <w:bdr w:val="none" w:sz="0" w:space="0" w:color="auto"/>
                <w:lang w:eastAsia="es-ES"/>
              </w:rPr>
              <w:t>Pagos por inversiones:</w:t>
            </w:r>
          </w:p>
        </w:tc>
        <w:tc>
          <w:tcPr>
            <w:tcW w:w="477" w:type="pct"/>
            <w:tcBorders>
              <w:top w:val="nil"/>
              <w:left w:val="nil"/>
              <w:bottom w:val="nil"/>
              <w:right w:val="nil"/>
            </w:tcBorders>
            <w:shd w:val="clear" w:color="auto" w:fill="auto"/>
            <w:noWrap/>
            <w:vAlign w:val="center"/>
            <w:hideMark/>
          </w:tcPr>
          <w:p w14:paraId="66AFA956" w14:textId="77777777" w:rsidR="00536E0F" w:rsidRPr="00C16D40" w:rsidRDefault="00536E0F" w:rsidP="00536E0F">
            <w:pPr>
              <w:pBdr>
                <w:top w:val="none" w:sz="0" w:space="0" w:color="auto"/>
                <w:left w:val="none" w:sz="0" w:space="0" w:color="auto"/>
                <w:bottom w:val="none" w:sz="0" w:space="0" w:color="auto"/>
                <w:right w:val="none" w:sz="0" w:space="0" w:color="auto"/>
                <w:between w:val="none" w:sz="0" w:space="0" w:color="auto"/>
                <w:bar w:val="none" w:sz="0" w:color="auto"/>
              </w:pBdr>
              <w:jc w:val="center"/>
              <w:outlineLvl w:val="9"/>
              <w:rPr>
                <w:rFonts w:eastAsia="Times New Roman"/>
                <w:b/>
                <w:bCs/>
                <w:color w:val="auto"/>
                <w:sz w:val="16"/>
                <w:szCs w:val="16"/>
                <w:bdr w:val="none" w:sz="0" w:space="0" w:color="auto"/>
                <w:lang w:eastAsia="es-ES"/>
              </w:rPr>
            </w:pPr>
          </w:p>
        </w:tc>
        <w:tc>
          <w:tcPr>
            <w:tcW w:w="734" w:type="pct"/>
            <w:tcBorders>
              <w:top w:val="single" w:sz="4" w:space="0" w:color="auto"/>
              <w:left w:val="nil"/>
              <w:bottom w:val="single" w:sz="4" w:space="0" w:color="auto"/>
              <w:right w:val="nil"/>
            </w:tcBorders>
            <w:shd w:val="clear" w:color="auto" w:fill="auto"/>
            <w:vAlign w:val="center"/>
          </w:tcPr>
          <w:p w14:paraId="3158558E" w14:textId="1D3DD1AA" w:rsidR="00536E0F" w:rsidRPr="00C16D40" w:rsidRDefault="00536E0F" w:rsidP="00536E0F">
            <w:pPr>
              <w:pBdr>
                <w:top w:val="none" w:sz="0" w:space="0" w:color="auto"/>
                <w:left w:val="none" w:sz="0" w:space="0" w:color="auto"/>
                <w:bottom w:val="none" w:sz="0" w:space="0" w:color="auto"/>
                <w:right w:val="none" w:sz="0" w:space="0" w:color="auto"/>
                <w:between w:val="none" w:sz="0" w:space="0" w:color="auto"/>
                <w:bar w:val="none" w:sz="0" w:color="auto"/>
              </w:pBdr>
              <w:jc w:val="right"/>
              <w:outlineLvl w:val="9"/>
              <w:rPr>
                <w:rFonts w:eastAsia="Times New Roman"/>
                <w:b/>
                <w:bCs/>
                <w:color w:val="auto"/>
                <w:sz w:val="16"/>
                <w:szCs w:val="16"/>
                <w:bdr w:val="none" w:sz="0" w:space="0" w:color="auto"/>
                <w:lang w:eastAsia="es-ES"/>
              </w:rPr>
            </w:pPr>
            <w:r>
              <w:rPr>
                <w:b/>
                <w:bCs/>
                <w:sz w:val="16"/>
                <w:szCs w:val="16"/>
              </w:rPr>
              <w:t>(238.559,04)</w:t>
            </w:r>
          </w:p>
        </w:tc>
        <w:tc>
          <w:tcPr>
            <w:tcW w:w="784" w:type="pct"/>
            <w:tcBorders>
              <w:top w:val="single" w:sz="4" w:space="0" w:color="auto"/>
              <w:left w:val="nil"/>
              <w:bottom w:val="single" w:sz="4" w:space="0" w:color="auto"/>
              <w:right w:val="nil"/>
            </w:tcBorders>
            <w:shd w:val="clear" w:color="auto" w:fill="auto"/>
            <w:vAlign w:val="center"/>
            <w:hideMark/>
          </w:tcPr>
          <w:p w14:paraId="24D6E9DA" w14:textId="40DAD6D4" w:rsidR="00536E0F" w:rsidRPr="00C16D40" w:rsidRDefault="00536E0F" w:rsidP="00536E0F">
            <w:pPr>
              <w:pBdr>
                <w:top w:val="none" w:sz="0" w:space="0" w:color="auto"/>
                <w:left w:val="none" w:sz="0" w:space="0" w:color="auto"/>
                <w:bottom w:val="none" w:sz="0" w:space="0" w:color="auto"/>
                <w:right w:val="none" w:sz="0" w:space="0" w:color="auto"/>
                <w:between w:val="none" w:sz="0" w:space="0" w:color="auto"/>
                <w:bar w:val="none" w:sz="0" w:color="auto"/>
              </w:pBdr>
              <w:jc w:val="right"/>
              <w:outlineLvl w:val="9"/>
              <w:rPr>
                <w:rFonts w:eastAsia="Times New Roman"/>
                <w:b/>
                <w:bCs/>
                <w:color w:val="auto"/>
                <w:sz w:val="16"/>
                <w:szCs w:val="16"/>
                <w:bdr w:val="none" w:sz="0" w:space="0" w:color="auto"/>
                <w:lang w:eastAsia="es-ES"/>
              </w:rPr>
            </w:pPr>
            <w:r>
              <w:rPr>
                <w:b/>
                <w:bCs/>
                <w:sz w:val="16"/>
                <w:szCs w:val="16"/>
              </w:rPr>
              <w:t>(9.646,28)</w:t>
            </w:r>
          </w:p>
        </w:tc>
      </w:tr>
      <w:tr w:rsidR="00536E0F" w:rsidRPr="00C16D40" w14:paraId="0E1CE4E7" w14:textId="77777777" w:rsidTr="00BA5560">
        <w:trPr>
          <w:trHeight w:val="227"/>
        </w:trPr>
        <w:tc>
          <w:tcPr>
            <w:tcW w:w="3005" w:type="pct"/>
            <w:tcBorders>
              <w:top w:val="nil"/>
              <w:left w:val="nil"/>
              <w:bottom w:val="nil"/>
              <w:right w:val="nil"/>
            </w:tcBorders>
            <w:shd w:val="clear" w:color="auto" w:fill="auto"/>
            <w:vAlign w:val="center"/>
          </w:tcPr>
          <w:p w14:paraId="2F74F83F" w14:textId="716E00F8" w:rsidR="00536E0F" w:rsidRPr="00C16D40" w:rsidRDefault="00536E0F" w:rsidP="00536E0F">
            <w:pPr>
              <w:pBdr>
                <w:top w:val="none" w:sz="0" w:space="0" w:color="auto"/>
                <w:left w:val="none" w:sz="0" w:space="0" w:color="auto"/>
                <w:bottom w:val="none" w:sz="0" w:space="0" w:color="auto"/>
                <w:right w:val="none" w:sz="0" w:space="0" w:color="auto"/>
                <w:between w:val="none" w:sz="0" w:space="0" w:color="auto"/>
                <w:bar w:val="none" w:sz="0" w:color="auto"/>
              </w:pBdr>
              <w:outlineLvl w:val="9"/>
              <w:rPr>
                <w:rFonts w:eastAsia="Times New Roman"/>
                <w:color w:val="auto"/>
                <w:sz w:val="16"/>
                <w:szCs w:val="16"/>
                <w:bdr w:val="none" w:sz="0" w:space="0" w:color="auto"/>
                <w:lang w:eastAsia="es-ES"/>
              </w:rPr>
            </w:pPr>
            <w:r w:rsidRPr="00C16D40">
              <w:rPr>
                <w:rFonts w:eastAsia="Times New Roman"/>
                <w:color w:val="auto"/>
                <w:sz w:val="16"/>
                <w:szCs w:val="16"/>
                <w:bdr w:val="none" w:sz="0" w:space="0" w:color="auto"/>
                <w:lang w:eastAsia="es-ES"/>
              </w:rPr>
              <w:t xml:space="preserve">- Inmovilizado </w:t>
            </w:r>
            <w:r>
              <w:rPr>
                <w:rFonts w:eastAsia="Times New Roman"/>
                <w:color w:val="auto"/>
                <w:sz w:val="16"/>
                <w:szCs w:val="16"/>
                <w:bdr w:val="none" w:sz="0" w:space="0" w:color="auto"/>
                <w:lang w:eastAsia="es-ES"/>
              </w:rPr>
              <w:t>intangible</w:t>
            </w:r>
          </w:p>
        </w:tc>
        <w:tc>
          <w:tcPr>
            <w:tcW w:w="477" w:type="pct"/>
            <w:tcBorders>
              <w:top w:val="nil"/>
              <w:left w:val="nil"/>
              <w:bottom w:val="nil"/>
              <w:right w:val="nil"/>
            </w:tcBorders>
            <w:shd w:val="clear" w:color="auto" w:fill="auto"/>
            <w:noWrap/>
            <w:vAlign w:val="center"/>
          </w:tcPr>
          <w:p w14:paraId="3564497A" w14:textId="6EC571BE" w:rsidR="00536E0F" w:rsidRPr="00C16D40" w:rsidRDefault="00536E0F" w:rsidP="00536E0F">
            <w:pPr>
              <w:pBdr>
                <w:top w:val="none" w:sz="0" w:space="0" w:color="auto"/>
                <w:left w:val="none" w:sz="0" w:space="0" w:color="auto"/>
                <w:bottom w:val="none" w:sz="0" w:space="0" w:color="auto"/>
                <w:right w:val="none" w:sz="0" w:space="0" w:color="auto"/>
                <w:between w:val="none" w:sz="0" w:space="0" w:color="auto"/>
                <w:bar w:val="none" w:sz="0" w:color="auto"/>
              </w:pBdr>
              <w:jc w:val="center"/>
              <w:outlineLvl w:val="9"/>
              <w:rPr>
                <w:rFonts w:eastAsia="Times New Roman"/>
                <w:color w:val="auto"/>
                <w:sz w:val="16"/>
                <w:szCs w:val="16"/>
                <w:bdr w:val="none" w:sz="0" w:space="0" w:color="auto"/>
                <w:lang w:eastAsia="es-ES"/>
              </w:rPr>
            </w:pPr>
            <w:r>
              <w:rPr>
                <w:rFonts w:eastAsia="Times New Roman"/>
                <w:color w:val="auto"/>
                <w:sz w:val="16"/>
                <w:szCs w:val="16"/>
                <w:bdr w:val="none" w:sz="0" w:space="0" w:color="auto"/>
                <w:lang w:eastAsia="es-ES"/>
              </w:rPr>
              <w:t>5</w:t>
            </w:r>
          </w:p>
        </w:tc>
        <w:tc>
          <w:tcPr>
            <w:tcW w:w="734" w:type="pct"/>
            <w:tcBorders>
              <w:top w:val="nil"/>
              <w:left w:val="nil"/>
              <w:bottom w:val="nil"/>
              <w:right w:val="nil"/>
            </w:tcBorders>
            <w:shd w:val="clear" w:color="auto" w:fill="auto"/>
            <w:vAlign w:val="center"/>
          </w:tcPr>
          <w:p w14:paraId="636396D3" w14:textId="67A11882" w:rsidR="00536E0F" w:rsidRPr="00C16D40" w:rsidRDefault="00536E0F" w:rsidP="00536E0F">
            <w:pPr>
              <w:pBdr>
                <w:top w:val="none" w:sz="0" w:space="0" w:color="auto"/>
                <w:left w:val="none" w:sz="0" w:space="0" w:color="auto"/>
                <w:bottom w:val="none" w:sz="0" w:space="0" w:color="auto"/>
                <w:right w:val="none" w:sz="0" w:space="0" w:color="auto"/>
                <w:between w:val="none" w:sz="0" w:space="0" w:color="auto"/>
                <w:bar w:val="none" w:sz="0" w:color="auto"/>
              </w:pBdr>
              <w:jc w:val="right"/>
              <w:outlineLvl w:val="9"/>
              <w:rPr>
                <w:rFonts w:eastAsia="Times New Roman"/>
                <w:color w:val="auto"/>
                <w:sz w:val="16"/>
                <w:szCs w:val="16"/>
                <w:bdr w:val="none" w:sz="0" w:space="0" w:color="auto"/>
                <w:lang w:eastAsia="es-ES"/>
              </w:rPr>
            </w:pPr>
            <w:r>
              <w:rPr>
                <w:sz w:val="16"/>
                <w:szCs w:val="16"/>
              </w:rPr>
              <w:t>(208.282,65)</w:t>
            </w:r>
          </w:p>
        </w:tc>
        <w:tc>
          <w:tcPr>
            <w:tcW w:w="784" w:type="pct"/>
            <w:tcBorders>
              <w:top w:val="nil"/>
              <w:left w:val="nil"/>
              <w:bottom w:val="nil"/>
              <w:right w:val="nil"/>
            </w:tcBorders>
            <w:shd w:val="clear" w:color="auto" w:fill="auto"/>
            <w:vAlign w:val="center"/>
          </w:tcPr>
          <w:p w14:paraId="7E9DFDC2" w14:textId="60C8CCC5" w:rsidR="00536E0F" w:rsidRDefault="00536E0F" w:rsidP="00536E0F">
            <w:pPr>
              <w:pBdr>
                <w:top w:val="none" w:sz="0" w:space="0" w:color="auto"/>
                <w:left w:val="none" w:sz="0" w:space="0" w:color="auto"/>
                <w:bottom w:val="none" w:sz="0" w:space="0" w:color="auto"/>
                <w:right w:val="none" w:sz="0" w:space="0" w:color="auto"/>
                <w:between w:val="none" w:sz="0" w:space="0" w:color="auto"/>
                <w:bar w:val="none" w:sz="0" w:color="auto"/>
              </w:pBdr>
              <w:jc w:val="right"/>
              <w:outlineLvl w:val="9"/>
              <w:rPr>
                <w:sz w:val="16"/>
                <w:szCs w:val="16"/>
              </w:rPr>
            </w:pPr>
            <w:r>
              <w:rPr>
                <w:sz w:val="16"/>
                <w:szCs w:val="16"/>
              </w:rPr>
              <w:t>-</w:t>
            </w:r>
          </w:p>
        </w:tc>
      </w:tr>
      <w:tr w:rsidR="00536E0F" w:rsidRPr="00C16D40" w14:paraId="3E812D48" w14:textId="77777777" w:rsidTr="00BA5560">
        <w:trPr>
          <w:trHeight w:val="227"/>
        </w:trPr>
        <w:tc>
          <w:tcPr>
            <w:tcW w:w="3005" w:type="pct"/>
            <w:tcBorders>
              <w:top w:val="nil"/>
              <w:left w:val="nil"/>
              <w:bottom w:val="nil"/>
              <w:right w:val="nil"/>
            </w:tcBorders>
            <w:shd w:val="clear" w:color="auto" w:fill="auto"/>
            <w:vAlign w:val="center"/>
            <w:hideMark/>
          </w:tcPr>
          <w:p w14:paraId="33BD88F1" w14:textId="77777777" w:rsidR="00536E0F" w:rsidRPr="00C16D40" w:rsidRDefault="00536E0F" w:rsidP="00536E0F">
            <w:pPr>
              <w:pBdr>
                <w:top w:val="none" w:sz="0" w:space="0" w:color="auto"/>
                <w:left w:val="none" w:sz="0" w:space="0" w:color="auto"/>
                <w:bottom w:val="none" w:sz="0" w:space="0" w:color="auto"/>
                <w:right w:val="none" w:sz="0" w:space="0" w:color="auto"/>
                <w:between w:val="none" w:sz="0" w:space="0" w:color="auto"/>
                <w:bar w:val="none" w:sz="0" w:color="auto"/>
              </w:pBdr>
              <w:outlineLvl w:val="9"/>
              <w:rPr>
                <w:rFonts w:eastAsia="Times New Roman"/>
                <w:color w:val="auto"/>
                <w:sz w:val="16"/>
                <w:szCs w:val="16"/>
                <w:bdr w:val="none" w:sz="0" w:space="0" w:color="auto"/>
                <w:lang w:eastAsia="es-ES"/>
              </w:rPr>
            </w:pPr>
            <w:r w:rsidRPr="00C16D40">
              <w:rPr>
                <w:rFonts w:eastAsia="Times New Roman"/>
                <w:color w:val="auto"/>
                <w:sz w:val="16"/>
                <w:szCs w:val="16"/>
                <w:bdr w:val="none" w:sz="0" w:space="0" w:color="auto"/>
                <w:lang w:eastAsia="es-ES"/>
              </w:rPr>
              <w:t>- Inmovilizado material</w:t>
            </w:r>
          </w:p>
        </w:tc>
        <w:tc>
          <w:tcPr>
            <w:tcW w:w="477" w:type="pct"/>
            <w:tcBorders>
              <w:top w:val="nil"/>
              <w:left w:val="nil"/>
              <w:bottom w:val="nil"/>
              <w:right w:val="nil"/>
            </w:tcBorders>
            <w:shd w:val="clear" w:color="auto" w:fill="auto"/>
            <w:noWrap/>
            <w:vAlign w:val="center"/>
            <w:hideMark/>
          </w:tcPr>
          <w:p w14:paraId="093B4A44" w14:textId="77777777" w:rsidR="00536E0F" w:rsidRPr="00C16D40" w:rsidRDefault="00536E0F" w:rsidP="00536E0F">
            <w:pPr>
              <w:pBdr>
                <w:top w:val="none" w:sz="0" w:space="0" w:color="auto"/>
                <w:left w:val="none" w:sz="0" w:space="0" w:color="auto"/>
                <w:bottom w:val="none" w:sz="0" w:space="0" w:color="auto"/>
                <w:right w:val="none" w:sz="0" w:space="0" w:color="auto"/>
                <w:between w:val="none" w:sz="0" w:space="0" w:color="auto"/>
                <w:bar w:val="none" w:sz="0" w:color="auto"/>
              </w:pBdr>
              <w:jc w:val="center"/>
              <w:outlineLvl w:val="9"/>
              <w:rPr>
                <w:rFonts w:eastAsia="Times New Roman"/>
                <w:color w:val="auto"/>
                <w:sz w:val="16"/>
                <w:szCs w:val="16"/>
                <w:bdr w:val="none" w:sz="0" w:space="0" w:color="auto"/>
                <w:lang w:eastAsia="es-ES"/>
              </w:rPr>
            </w:pPr>
            <w:r w:rsidRPr="00C16D40">
              <w:rPr>
                <w:rFonts w:eastAsia="Times New Roman"/>
                <w:color w:val="auto"/>
                <w:sz w:val="16"/>
                <w:szCs w:val="16"/>
                <w:bdr w:val="none" w:sz="0" w:space="0" w:color="auto"/>
                <w:lang w:eastAsia="es-ES"/>
              </w:rPr>
              <w:t>6</w:t>
            </w:r>
          </w:p>
        </w:tc>
        <w:tc>
          <w:tcPr>
            <w:tcW w:w="734" w:type="pct"/>
            <w:tcBorders>
              <w:top w:val="nil"/>
              <w:left w:val="nil"/>
              <w:bottom w:val="nil"/>
              <w:right w:val="nil"/>
            </w:tcBorders>
            <w:shd w:val="clear" w:color="auto" w:fill="auto"/>
            <w:vAlign w:val="center"/>
          </w:tcPr>
          <w:p w14:paraId="10EAA13A" w14:textId="2A362472" w:rsidR="00536E0F" w:rsidRPr="00C16D40" w:rsidRDefault="00536E0F" w:rsidP="00536E0F">
            <w:pPr>
              <w:pBdr>
                <w:top w:val="none" w:sz="0" w:space="0" w:color="auto"/>
                <w:left w:val="none" w:sz="0" w:space="0" w:color="auto"/>
                <w:bottom w:val="none" w:sz="0" w:space="0" w:color="auto"/>
                <w:right w:val="none" w:sz="0" w:space="0" w:color="auto"/>
                <w:between w:val="none" w:sz="0" w:space="0" w:color="auto"/>
                <w:bar w:val="none" w:sz="0" w:color="auto"/>
              </w:pBdr>
              <w:jc w:val="right"/>
              <w:outlineLvl w:val="9"/>
              <w:rPr>
                <w:rFonts w:eastAsia="Times New Roman"/>
                <w:color w:val="auto"/>
                <w:sz w:val="16"/>
                <w:szCs w:val="16"/>
                <w:bdr w:val="none" w:sz="0" w:space="0" w:color="auto"/>
                <w:lang w:eastAsia="es-ES"/>
              </w:rPr>
            </w:pPr>
            <w:r>
              <w:rPr>
                <w:sz w:val="16"/>
                <w:szCs w:val="16"/>
              </w:rPr>
              <w:t>(30.276,39)</w:t>
            </w:r>
          </w:p>
        </w:tc>
        <w:tc>
          <w:tcPr>
            <w:tcW w:w="784" w:type="pct"/>
            <w:tcBorders>
              <w:top w:val="nil"/>
              <w:left w:val="nil"/>
              <w:bottom w:val="nil"/>
              <w:right w:val="nil"/>
            </w:tcBorders>
            <w:shd w:val="clear" w:color="auto" w:fill="auto"/>
            <w:vAlign w:val="center"/>
            <w:hideMark/>
          </w:tcPr>
          <w:p w14:paraId="1437DF60" w14:textId="41CEF666" w:rsidR="00536E0F" w:rsidRPr="00C16D40" w:rsidRDefault="00536E0F" w:rsidP="00536E0F">
            <w:pPr>
              <w:pBdr>
                <w:top w:val="none" w:sz="0" w:space="0" w:color="auto"/>
                <w:left w:val="none" w:sz="0" w:space="0" w:color="auto"/>
                <w:bottom w:val="none" w:sz="0" w:space="0" w:color="auto"/>
                <w:right w:val="none" w:sz="0" w:space="0" w:color="auto"/>
                <w:between w:val="none" w:sz="0" w:space="0" w:color="auto"/>
                <w:bar w:val="none" w:sz="0" w:color="auto"/>
              </w:pBdr>
              <w:jc w:val="right"/>
              <w:outlineLvl w:val="9"/>
              <w:rPr>
                <w:rFonts w:eastAsia="Times New Roman"/>
                <w:color w:val="auto"/>
                <w:sz w:val="16"/>
                <w:szCs w:val="16"/>
                <w:bdr w:val="none" w:sz="0" w:space="0" w:color="auto"/>
                <w:lang w:eastAsia="es-ES"/>
              </w:rPr>
            </w:pPr>
            <w:r>
              <w:rPr>
                <w:sz w:val="16"/>
                <w:szCs w:val="16"/>
              </w:rPr>
              <w:t>(9.646,28)</w:t>
            </w:r>
          </w:p>
        </w:tc>
      </w:tr>
      <w:tr w:rsidR="00680BE3" w:rsidRPr="00C16D40" w14:paraId="62C5D637" w14:textId="77777777" w:rsidTr="00BA5560">
        <w:trPr>
          <w:trHeight w:val="113"/>
        </w:trPr>
        <w:tc>
          <w:tcPr>
            <w:tcW w:w="3005" w:type="pct"/>
            <w:tcBorders>
              <w:top w:val="nil"/>
              <w:left w:val="nil"/>
              <w:bottom w:val="nil"/>
              <w:right w:val="nil"/>
            </w:tcBorders>
            <w:shd w:val="clear" w:color="auto" w:fill="auto"/>
            <w:vAlign w:val="center"/>
            <w:hideMark/>
          </w:tcPr>
          <w:p w14:paraId="5ED746CC" w14:textId="77777777" w:rsidR="00680BE3" w:rsidRPr="00C16D40" w:rsidRDefault="00680BE3" w:rsidP="00680BE3">
            <w:pPr>
              <w:pBdr>
                <w:top w:val="none" w:sz="0" w:space="0" w:color="auto"/>
                <w:left w:val="none" w:sz="0" w:space="0" w:color="auto"/>
                <w:bottom w:val="none" w:sz="0" w:space="0" w:color="auto"/>
                <w:right w:val="none" w:sz="0" w:space="0" w:color="auto"/>
                <w:between w:val="none" w:sz="0" w:space="0" w:color="auto"/>
                <w:bar w:val="none" w:sz="0" w:color="auto"/>
              </w:pBdr>
              <w:jc w:val="right"/>
              <w:outlineLvl w:val="9"/>
              <w:rPr>
                <w:rFonts w:eastAsia="Times New Roman"/>
                <w:color w:val="auto"/>
                <w:sz w:val="16"/>
                <w:szCs w:val="16"/>
                <w:bdr w:val="none" w:sz="0" w:space="0" w:color="auto"/>
                <w:lang w:eastAsia="es-ES"/>
              </w:rPr>
            </w:pPr>
          </w:p>
        </w:tc>
        <w:tc>
          <w:tcPr>
            <w:tcW w:w="477" w:type="pct"/>
            <w:tcBorders>
              <w:top w:val="nil"/>
              <w:left w:val="nil"/>
              <w:bottom w:val="nil"/>
              <w:right w:val="nil"/>
            </w:tcBorders>
            <w:shd w:val="clear" w:color="auto" w:fill="auto"/>
            <w:noWrap/>
            <w:vAlign w:val="center"/>
            <w:hideMark/>
          </w:tcPr>
          <w:p w14:paraId="03C3D6BB" w14:textId="77777777" w:rsidR="00680BE3" w:rsidRPr="00C16D40" w:rsidRDefault="00680BE3" w:rsidP="00680BE3">
            <w:pPr>
              <w:pBdr>
                <w:top w:val="none" w:sz="0" w:space="0" w:color="auto"/>
                <w:left w:val="none" w:sz="0" w:space="0" w:color="auto"/>
                <w:bottom w:val="none" w:sz="0" w:space="0" w:color="auto"/>
                <w:right w:val="none" w:sz="0" w:space="0" w:color="auto"/>
                <w:between w:val="none" w:sz="0" w:space="0" w:color="auto"/>
                <w:bar w:val="none" w:sz="0" w:color="auto"/>
              </w:pBdr>
              <w:jc w:val="center"/>
              <w:outlineLvl w:val="9"/>
              <w:rPr>
                <w:rFonts w:eastAsia="Times New Roman"/>
                <w:color w:val="auto"/>
                <w:sz w:val="16"/>
                <w:szCs w:val="16"/>
                <w:bdr w:val="none" w:sz="0" w:space="0" w:color="auto"/>
                <w:lang w:eastAsia="es-ES"/>
              </w:rPr>
            </w:pPr>
          </w:p>
        </w:tc>
        <w:tc>
          <w:tcPr>
            <w:tcW w:w="734" w:type="pct"/>
            <w:tcBorders>
              <w:top w:val="nil"/>
              <w:left w:val="nil"/>
              <w:bottom w:val="nil"/>
              <w:right w:val="nil"/>
            </w:tcBorders>
            <w:shd w:val="clear" w:color="auto" w:fill="auto"/>
            <w:vAlign w:val="center"/>
          </w:tcPr>
          <w:p w14:paraId="37FC4A5E" w14:textId="1D8C9C8E" w:rsidR="00680BE3" w:rsidRPr="00C16D40" w:rsidRDefault="00680BE3" w:rsidP="00680BE3">
            <w:pPr>
              <w:pBdr>
                <w:top w:val="none" w:sz="0" w:space="0" w:color="auto"/>
                <w:left w:val="none" w:sz="0" w:space="0" w:color="auto"/>
                <w:bottom w:val="none" w:sz="0" w:space="0" w:color="auto"/>
                <w:right w:val="none" w:sz="0" w:space="0" w:color="auto"/>
                <w:between w:val="none" w:sz="0" w:space="0" w:color="auto"/>
                <w:bar w:val="none" w:sz="0" w:color="auto"/>
              </w:pBdr>
              <w:jc w:val="right"/>
              <w:outlineLvl w:val="9"/>
              <w:rPr>
                <w:rFonts w:eastAsia="Times New Roman"/>
                <w:color w:val="auto"/>
                <w:sz w:val="16"/>
                <w:szCs w:val="16"/>
                <w:bdr w:val="none" w:sz="0" w:space="0" w:color="auto"/>
                <w:lang w:eastAsia="es-ES"/>
              </w:rPr>
            </w:pPr>
          </w:p>
        </w:tc>
        <w:tc>
          <w:tcPr>
            <w:tcW w:w="784" w:type="pct"/>
            <w:tcBorders>
              <w:top w:val="nil"/>
              <w:left w:val="nil"/>
              <w:bottom w:val="nil"/>
              <w:right w:val="nil"/>
            </w:tcBorders>
            <w:shd w:val="clear" w:color="auto" w:fill="auto"/>
            <w:vAlign w:val="center"/>
          </w:tcPr>
          <w:p w14:paraId="64BDDCA0" w14:textId="58A71990" w:rsidR="00680BE3" w:rsidRPr="00C16D40" w:rsidRDefault="00680BE3" w:rsidP="00680BE3">
            <w:pPr>
              <w:pBdr>
                <w:top w:val="none" w:sz="0" w:space="0" w:color="auto"/>
                <w:left w:val="none" w:sz="0" w:space="0" w:color="auto"/>
                <w:bottom w:val="none" w:sz="0" w:space="0" w:color="auto"/>
                <w:right w:val="none" w:sz="0" w:space="0" w:color="auto"/>
                <w:between w:val="none" w:sz="0" w:space="0" w:color="auto"/>
                <w:bar w:val="none" w:sz="0" w:color="auto"/>
              </w:pBdr>
              <w:jc w:val="right"/>
              <w:outlineLvl w:val="9"/>
              <w:rPr>
                <w:rFonts w:eastAsia="Times New Roman"/>
                <w:color w:val="auto"/>
                <w:sz w:val="16"/>
                <w:szCs w:val="16"/>
                <w:bdr w:val="none" w:sz="0" w:space="0" w:color="auto"/>
                <w:lang w:eastAsia="es-ES"/>
              </w:rPr>
            </w:pPr>
          </w:p>
        </w:tc>
      </w:tr>
      <w:tr w:rsidR="00536E0F" w:rsidRPr="00C16D40" w14:paraId="5781653D" w14:textId="77777777" w:rsidTr="00BA5560">
        <w:trPr>
          <w:trHeight w:val="227"/>
        </w:trPr>
        <w:tc>
          <w:tcPr>
            <w:tcW w:w="3005" w:type="pct"/>
            <w:tcBorders>
              <w:top w:val="nil"/>
              <w:left w:val="nil"/>
              <w:bottom w:val="nil"/>
              <w:right w:val="nil"/>
            </w:tcBorders>
            <w:shd w:val="clear" w:color="auto" w:fill="auto"/>
            <w:vAlign w:val="center"/>
            <w:hideMark/>
          </w:tcPr>
          <w:p w14:paraId="5AB7F1FE" w14:textId="77777777" w:rsidR="00536E0F" w:rsidRPr="00C16D40" w:rsidRDefault="00536E0F" w:rsidP="00536E0F">
            <w:pPr>
              <w:pBdr>
                <w:top w:val="none" w:sz="0" w:space="0" w:color="auto"/>
                <w:left w:val="none" w:sz="0" w:space="0" w:color="auto"/>
                <w:bottom w:val="none" w:sz="0" w:space="0" w:color="auto"/>
                <w:right w:val="none" w:sz="0" w:space="0" w:color="auto"/>
                <w:between w:val="none" w:sz="0" w:space="0" w:color="auto"/>
                <w:bar w:val="none" w:sz="0" w:color="auto"/>
              </w:pBdr>
              <w:outlineLvl w:val="9"/>
              <w:rPr>
                <w:rFonts w:eastAsia="Times New Roman"/>
                <w:b/>
                <w:bCs/>
                <w:color w:val="auto"/>
                <w:sz w:val="16"/>
                <w:szCs w:val="16"/>
                <w:bdr w:val="none" w:sz="0" w:space="0" w:color="auto"/>
                <w:lang w:eastAsia="es-ES"/>
              </w:rPr>
            </w:pPr>
            <w:r w:rsidRPr="00C16D40">
              <w:rPr>
                <w:rFonts w:eastAsia="Times New Roman"/>
                <w:b/>
                <w:bCs/>
                <w:color w:val="auto"/>
                <w:sz w:val="16"/>
                <w:szCs w:val="16"/>
                <w:bdr w:val="none" w:sz="0" w:space="0" w:color="auto"/>
                <w:lang w:eastAsia="es-ES"/>
              </w:rPr>
              <w:t>Cobros por desinversiones:</w:t>
            </w:r>
          </w:p>
        </w:tc>
        <w:tc>
          <w:tcPr>
            <w:tcW w:w="477" w:type="pct"/>
            <w:tcBorders>
              <w:top w:val="nil"/>
              <w:left w:val="nil"/>
              <w:bottom w:val="nil"/>
              <w:right w:val="nil"/>
            </w:tcBorders>
            <w:shd w:val="clear" w:color="auto" w:fill="auto"/>
            <w:noWrap/>
            <w:vAlign w:val="center"/>
            <w:hideMark/>
          </w:tcPr>
          <w:p w14:paraId="5DCB7A55" w14:textId="77777777" w:rsidR="00536E0F" w:rsidRPr="00C16D40" w:rsidRDefault="00536E0F" w:rsidP="00536E0F">
            <w:pPr>
              <w:pBdr>
                <w:top w:val="none" w:sz="0" w:space="0" w:color="auto"/>
                <w:left w:val="none" w:sz="0" w:space="0" w:color="auto"/>
                <w:bottom w:val="none" w:sz="0" w:space="0" w:color="auto"/>
                <w:right w:val="none" w:sz="0" w:space="0" w:color="auto"/>
                <w:between w:val="none" w:sz="0" w:space="0" w:color="auto"/>
                <w:bar w:val="none" w:sz="0" w:color="auto"/>
              </w:pBdr>
              <w:jc w:val="center"/>
              <w:outlineLvl w:val="9"/>
              <w:rPr>
                <w:rFonts w:eastAsia="Times New Roman"/>
                <w:b/>
                <w:bCs/>
                <w:color w:val="auto"/>
                <w:sz w:val="16"/>
                <w:szCs w:val="16"/>
                <w:bdr w:val="none" w:sz="0" w:space="0" w:color="auto"/>
                <w:lang w:eastAsia="es-ES"/>
              </w:rPr>
            </w:pPr>
          </w:p>
        </w:tc>
        <w:tc>
          <w:tcPr>
            <w:tcW w:w="734" w:type="pct"/>
            <w:tcBorders>
              <w:top w:val="single" w:sz="4" w:space="0" w:color="auto"/>
              <w:left w:val="nil"/>
              <w:bottom w:val="single" w:sz="4" w:space="0" w:color="auto"/>
              <w:right w:val="nil"/>
            </w:tcBorders>
            <w:shd w:val="clear" w:color="auto" w:fill="auto"/>
            <w:vAlign w:val="center"/>
          </w:tcPr>
          <w:p w14:paraId="26FC44F2" w14:textId="2661D61A" w:rsidR="00536E0F" w:rsidRPr="00C16D40" w:rsidRDefault="00536E0F" w:rsidP="00536E0F">
            <w:pPr>
              <w:pBdr>
                <w:top w:val="none" w:sz="0" w:space="0" w:color="auto"/>
                <w:left w:val="none" w:sz="0" w:space="0" w:color="auto"/>
                <w:bottom w:val="none" w:sz="0" w:space="0" w:color="auto"/>
                <w:right w:val="none" w:sz="0" w:space="0" w:color="auto"/>
                <w:between w:val="none" w:sz="0" w:space="0" w:color="auto"/>
                <w:bar w:val="none" w:sz="0" w:color="auto"/>
              </w:pBdr>
              <w:jc w:val="right"/>
              <w:outlineLvl w:val="9"/>
              <w:rPr>
                <w:rFonts w:eastAsia="Times New Roman"/>
                <w:b/>
                <w:bCs/>
                <w:color w:val="auto"/>
                <w:sz w:val="16"/>
                <w:szCs w:val="16"/>
                <w:bdr w:val="none" w:sz="0" w:space="0" w:color="auto"/>
                <w:lang w:eastAsia="es-ES"/>
              </w:rPr>
            </w:pPr>
            <w:r>
              <w:rPr>
                <w:b/>
                <w:bCs/>
                <w:sz w:val="16"/>
                <w:szCs w:val="16"/>
              </w:rPr>
              <w:t xml:space="preserve"> -</w:t>
            </w:r>
          </w:p>
        </w:tc>
        <w:tc>
          <w:tcPr>
            <w:tcW w:w="784" w:type="pct"/>
            <w:tcBorders>
              <w:top w:val="single" w:sz="4" w:space="0" w:color="auto"/>
              <w:left w:val="nil"/>
              <w:bottom w:val="single" w:sz="4" w:space="0" w:color="auto"/>
              <w:right w:val="nil"/>
            </w:tcBorders>
            <w:shd w:val="clear" w:color="auto" w:fill="auto"/>
            <w:vAlign w:val="center"/>
            <w:hideMark/>
          </w:tcPr>
          <w:p w14:paraId="36EDAFE3" w14:textId="24A74AD0" w:rsidR="00536E0F" w:rsidRPr="00C16D40" w:rsidRDefault="00536E0F" w:rsidP="00536E0F">
            <w:pPr>
              <w:pBdr>
                <w:top w:val="none" w:sz="0" w:space="0" w:color="auto"/>
                <w:left w:val="none" w:sz="0" w:space="0" w:color="auto"/>
                <w:bottom w:val="none" w:sz="0" w:space="0" w:color="auto"/>
                <w:right w:val="none" w:sz="0" w:space="0" w:color="auto"/>
                <w:between w:val="none" w:sz="0" w:space="0" w:color="auto"/>
                <w:bar w:val="none" w:sz="0" w:color="auto"/>
              </w:pBdr>
              <w:jc w:val="right"/>
              <w:outlineLvl w:val="9"/>
              <w:rPr>
                <w:rFonts w:eastAsia="Times New Roman"/>
                <w:b/>
                <w:bCs/>
                <w:color w:val="auto"/>
                <w:sz w:val="16"/>
                <w:szCs w:val="16"/>
                <w:bdr w:val="none" w:sz="0" w:space="0" w:color="auto"/>
                <w:lang w:eastAsia="es-ES"/>
              </w:rPr>
            </w:pPr>
            <w:r>
              <w:rPr>
                <w:b/>
                <w:bCs/>
                <w:sz w:val="16"/>
                <w:szCs w:val="16"/>
              </w:rPr>
              <w:t>680,68</w:t>
            </w:r>
          </w:p>
        </w:tc>
      </w:tr>
      <w:tr w:rsidR="00536E0F" w:rsidRPr="00C16D40" w14:paraId="00FFA000" w14:textId="77777777" w:rsidTr="00BA5560">
        <w:trPr>
          <w:trHeight w:val="227"/>
        </w:trPr>
        <w:tc>
          <w:tcPr>
            <w:tcW w:w="3005" w:type="pct"/>
            <w:tcBorders>
              <w:top w:val="nil"/>
              <w:left w:val="nil"/>
              <w:bottom w:val="nil"/>
              <w:right w:val="nil"/>
            </w:tcBorders>
            <w:shd w:val="clear" w:color="auto" w:fill="auto"/>
            <w:vAlign w:val="center"/>
            <w:hideMark/>
          </w:tcPr>
          <w:p w14:paraId="1A15C3D5" w14:textId="77777777" w:rsidR="00536E0F" w:rsidRPr="00C16D40" w:rsidRDefault="00536E0F" w:rsidP="00536E0F">
            <w:pPr>
              <w:pBdr>
                <w:top w:val="none" w:sz="0" w:space="0" w:color="auto"/>
                <w:left w:val="none" w:sz="0" w:space="0" w:color="auto"/>
                <w:bottom w:val="none" w:sz="0" w:space="0" w:color="auto"/>
                <w:right w:val="none" w:sz="0" w:space="0" w:color="auto"/>
                <w:between w:val="none" w:sz="0" w:space="0" w:color="auto"/>
                <w:bar w:val="none" w:sz="0" w:color="auto"/>
              </w:pBdr>
              <w:outlineLvl w:val="9"/>
              <w:rPr>
                <w:rFonts w:eastAsia="Times New Roman"/>
                <w:color w:val="auto"/>
                <w:sz w:val="16"/>
                <w:szCs w:val="16"/>
                <w:bdr w:val="none" w:sz="0" w:space="0" w:color="auto"/>
                <w:lang w:eastAsia="es-ES"/>
              </w:rPr>
            </w:pPr>
            <w:r w:rsidRPr="00C16D40">
              <w:rPr>
                <w:rFonts w:eastAsia="Times New Roman"/>
                <w:color w:val="auto"/>
                <w:sz w:val="16"/>
                <w:szCs w:val="16"/>
                <w:bdr w:val="none" w:sz="0" w:space="0" w:color="auto"/>
                <w:lang w:eastAsia="es-ES"/>
              </w:rPr>
              <w:t>- Otros activos financieros</w:t>
            </w:r>
          </w:p>
        </w:tc>
        <w:tc>
          <w:tcPr>
            <w:tcW w:w="477" w:type="pct"/>
            <w:tcBorders>
              <w:top w:val="nil"/>
              <w:left w:val="nil"/>
              <w:bottom w:val="nil"/>
              <w:right w:val="nil"/>
            </w:tcBorders>
            <w:shd w:val="clear" w:color="auto" w:fill="auto"/>
            <w:noWrap/>
            <w:vAlign w:val="center"/>
            <w:hideMark/>
          </w:tcPr>
          <w:p w14:paraId="500680B8" w14:textId="77777777" w:rsidR="00536E0F" w:rsidRPr="00C16D40" w:rsidRDefault="00536E0F" w:rsidP="00536E0F">
            <w:pPr>
              <w:pBdr>
                <w:top w:val="none" w:sz="0" w:space="0" w:color="auto"/>
                <w:left w:val="none" w:sz="0" w:space="0" w:color="auto"/>
                <w:bottom w:val="none" w:sz="0" w:space="0" w:color="auto"/>
                <w:right w:val="none" w:sz="0" w:space="0" w:color="auto"/>
                <w:between w:val="none" w:sz="0" w:space="0" w:color="auto"/>
                <w:bar w:val="none" w:sz="0" w:color="auto"/>
              </w:pBdr>
              <w:jc w:val="center"/>
              <w:outlineLvl w:val="9"/>
              <w:rPr>
                <w:rFonts w:eastAsia="Times New Roman"/>
                <w:color w:val="auto"/>
                <w:sz w:val="16"/>
                <w:szCs w:val="16"/>
                <w:bdr w:val="none" w:sz="0" w:space="0" w:color="auto"/>
                <w:lang w:eastAsia="es-ES"/>
              </w:rPr>
            </w:pPr>
          </w:p>
        </w:tc>
        <w:tc>
          <w:tcPr>
            <w:tcW w:w="734" w:type="pct"/>
            <w:tcBorders>
              <w:top w:val="nil"/>
              <w:left w:val="nil"/>
              <w:bottom w:val="nil"/>
              <w:right w:val="nil"/>
            </w:tcBorders>
            <w:shd w:val="clear" w:color="auto" w:fill="auto"/>
            <w:vAlign w:val="center"/>
          </w:tcPr>
          <w:p w14:paraId="1B30BEF9" w14:textId="125F6BE7" w:rsidR="00536E0F" w:rsidRPr="00C16D40" w:rsidRDefault="00536E0F" w:rsidP="00536E0F">
            <w:pPr>
              <w:pBdr>
                <w:top w:val="none" w:sz="0" w:space="0" w:color="auto"/>
                <w:left w:val="none" w:sz="0" w:space="0" w:color="auto"/>
                <w:bottom w:val="none" w:sz="0" w:space="0" w:color="auto"/>
                <w:right w:val="none" w:sz="0" w:space="0" w:color="auto"/>
                <w:between w:val="none" w:sz="0" w:space="0" w:color="auto"/>
                <w:bar w:val="none" w:sz="0" w:color="auto"/>
              </w:pBdr>
              <w:jc w:val="right"/>
              <w:outlineLvl w:val="9"/>
              <w:rPr>
                <w:rFonts w:eastAsia="Times New Roman"/>
                <w:color w:val="auto"/>
                <w:sz w:val="16"/>
                <w:szCs w:val="16"/>
                <w:bdr w:val="none" w:sz="0" w:space="0" w:color="auto"/>
                <w:lang w:eastAsia="es-ES"/>
              </w:rPr>
            </w:pPr>
            <w:r>
              <w:rPr>
                <w:sz w:val="16"/>
                <w:szCs w:val="16"/>
              </w:rPr>
              <w:t xml:space="preserve"> -</w:t>
            </w:r>
          </w:p>
        </w:tc>
        <w:tc>
          <w:tcPr>
            <w:tcW w:w="784" w:type="pct"/>
            <w:tcBorders>
              <w:top w:val="nil"/>
              <w:left w:val="nil"/>
              <w:bottom w:val="nil"/>
              <w:right w:val="nil"/>
            </w:tcBorders>
            <w:shd w:val="clear" w:color="auto" w:fill="auto"/>
            <w:vAlign w:val="center"/>
            <w:hideMark/>
          </w:tcPr>
          <w:p w14:paraId="381B0E48" w14:textId="7C1EEDC9" w:rsidR="00536E0F" w:rsidRPr="00C16D40" w:rsidRDefault="00536E0F" w:rsidP="00536E0F">
            <w:pPr>
              <w:pBdr>
                <w:top w:val="none" w:sz="0" w:space="0" w:color="auto"/>
                <w:left w:val="none" w:sz="0" w:space="0" w:color="auto"/>
                <w:bottom w:val="none" w:sz="0" w:space="0" w:color="auto"/>
                <w:right w:val="none" w:sz="0" w:space="0" w:color="auto"/>
                <w:between w:val="none" w:sz="0" w:space="0" w:color="auto"/>
                <w:bar w:val="none" w:sz="0" w:color="auto"/>
              </w:pBdr>
              <w:jc w:val="right"/>
              <w:outlineLvl w:val="9"/>
              <w:rPr>
                <w:rFonts w:eastAsia="Times New Roman"/>
                <w:color w:val="auto"/>
                <w:sz w:val="16"/>
                <w:szCs w:val="16"/>
                <w:bdr w:val="none" w:sz="0" w:space="0" w:color="auto"/>
                <w:lang w:eastAsia="es-ES"/>
              </w:rPr>
            </w:pPr>
            <w:r>
              <w:rPr>
                <w:sz w:val="16"/>
                <w:szCs w:val="16"/>
              </w:rPr>
              <w:t>680,68</w:t>
            </w:r>
          </w:p>
        </w:tc>
      </w:tr>
      <w:tr w:rsidR="00680BE3" w:rsidRPr="00C16D40" w14:paraId="04E4BB74" w14:textId="77777777" w:rsidTr="00BA5560">
        <w:trPr>
          <w:trHeight w:val="113"/>
        </w:trPr>
        <w:tc>
          <w:tcPr>
            <w:tcW w:w="3005" w:type="pct"/>
            <w:tcBorders>
              <w:top w:val="nil"/>
              <w:left w:val="nil"/>
              <w:bottom w:val="nil"/>
              <w:right w:val="nil"/>
            </w:tcBorders>
            <w:shd w:val="clear" w:color="auto" w:fill="auto"/>
            <w:noWrap/>
            <w:vAlign w:val="center"/>
            <w:hideMark/>
          </w:tcPr>
          <w:p w14:paraId="69A9CA2F" w14:textId="77777777" w:rsidR="00680BE3" w:rsidRPr="00C16D40" w:rsidRDefault="00680BE3" w:rsidP="00680BE3">
            <w:pPr>
              <w:pBdr>
                <w:top w:val="none" w:sz="0" w:space="0" w:color="auto"/>
                <w:left w:val="none" w:sz="0" w:space="0" w:color="auto"/>
                <w:bottom w:val="none" w:sz="0" w:space="0" w:color="auto"/>
                <w:right w:val="none" w:sz="0" w:space="0" w:color="auto"/>
                <w:between w:val="none" w:sz="0" w:space="0" w:color="auto"/>
                <w:bar w:val="none" w:sz="0" w:color="auto"/>
              </w:pBdr>
              <w:jc w:val="right"/>
              <w:outlineLvl w:val="9"/>
              <w:rPr>
                <w:rFonts w:eastAsia="Times New Roman"/>
                <w:color w:val="auto"/>
                <w:sz w:val="16"/>
                <w:szCs w:val="16"/>
                <w:bdr w:val="none" w:sz="0" w:space="0" w:color="auto"/>
                <w:lang w:eastAsia="es-ES"/>
              </w:rPr>
            </w:pPr>
          </w:p>
        </w:tc>
        <w:tc>
          <w:tcPr>
            <w:tcW w:w="477" w:type="pct"/>
            <w:tcBorders>
              <w:top w:val="nil"/>
              <w:left w:val="nil"/>
              <w:bottom w:val="nil"/>
              <w:right w:val="nil"/>
            </w:tcBorders>
            <w:shd w:val="clear" w:color="auto" w:fill="auto"/>
            <w:noWrap/>
            <w:vAlign w:val="center"/>
            <w:hideMark/>
          </w:tcPr>
          <w:p w14:paraId="31BE5108" w14:textId="77777777" w:rsidR="00680BE3" w:rsidRPr="00C16D40" w:rsidRDefault="00680BE3" w:rsidP="00680BE3">
            <w:pPr>
              <w:pBdr>
                <w:top w:val="none" w:sz="0" w:space="0" w:color="auto"/>
                <w:left w:val="none" w:sz="0" w:space="0" w:color="auto"/>
                <w:bottom w:val="none" w:sz="0" w:space="0" w:color="auto"/>
                <w:right w:val="none" w:sz="0" w:space="0" w:color="auto"/>
                <w:between w:val="none" w:sz="0" w:space="0" w:color="auto"/>
                <w:bar w:val="none" w:sz="0" w:color="auto"/>
              </w:pBdr>
              <w:jc w:val="center"/>
              <w:outlineLvl w:val="9"/>
              <w:rPr>
                <w:rFonts w:eastAsia="Times New Roman"/>
                <w:color w:val="auto"/>
                <w:sz w:val="16"/>
                <w:szCs w:val="16"/>
                <w:bdr w:val="none" w:sz="0" w:space="0" w:color="auto"/>
                <w:lang w:eastAsia="es-ES"/>
              </w:rPr>
            </w:pPr>
          </w:p>
        </w:tc>
        <w:tc>
          <w:tcPr>
            <w:tcW w:w="734" w:type="pct"/>
            <w:tcBorders>
              <w:top w:val="nil"/>
              <w:left w:val="nil"/>
              <w:bottom w:val="nil"/>
              <w:right w:val="nil"/>
            </w:tcBorders>
            <w:shd w:val="clear" w:color="auto" w:fill="auto"/>
            <w:noWrap/>
            <w:vAlign w:val="center"/>
          </w:tcPr>
          <w:p w14:paraId="0204A00F" w14:textId="77777777" w:rsidR="00680BE3" w:rsidRPr="00C16D40" w:rsidRDefault="00680BE3" w:rsidP="00680BE3">
            <w:pPr>
              <w:pBdr>
                <w:top w:val="none" w:sz="0" w:space="0" w:color="auto"/>
                <w:left w:val="none" w:sz="0" w:space="0" w:color="auto"/>
                <w:bottom w:val="none" w:sz="0" w:space="0" w:color="auto"/>
                <w:right w:val="none" w:sz="0" w:space="0" w:color="auto"/>
                <w:between w:val="none" w:sz="0" w:space="0" w:color="auto"/>
                <w:bar w:val="none" w:sz="0" w:color="auto"/>
              </w:pBdr>
              <w:jc w:val="right"/>
              <w:outlineLvl w:val="9"/>
              <w:rPr>
                <w:rFonts w:eastAsia="Times New Roman"/>
                <w:color w:val="auto"/>
                <w:sz w:val="16"/>
                <w:szCs w:val="16"/>
                <w:bdr w:val="none" w:sz="0" w:space="0" w:color="auto"/>
                <w:lang w:eastAsia="es-ES"/>
              </w:rPr>
            </w:pPr>
          </w:p>
        </w:tc>
        <w:tc>
          <w:tcPr>
            <w:tcW w:w="784" w:type="pct"/>
            <w:tcBorders>
              <w:top w:val="nil"/>
              <w:left w:val="nil"/>
              <w:bottom w:val="nil"/>
              <w:right w:val="nil"/>
            </w:tcBorders>
            <w:shd w:val="clear" w:color="auto" w:fill="auto"/>
            <w:noWrap/>
            <w:vAlign w:val="center"/>
            <w:hideMark/>
          </w:tcPr>
          <w:p w14:paraId="067D02E5" w14:textId="77777777" w:rsidR="00680BE3" w:rsidRPr="00C16D40" w:rsidRDefault="00680BE3" w:rsidP="00680BE3">
            <w:pPr>
              <w:pBdr>
                <w:top w:val="none" w:sz="0" w:space="0" w:color="auto"/>
                <w:left w:val="none" w:sz="0" w:space="0" w:color="auto"/>
                <w:bottom w:val="none" w:sz="0" w:space="0" w:color="auto"/>
                <w:right w:val="none" w:sz="0" w:space="0" w:color="auto"/>
                <w:between w:val="none" w:sz="0" w:space="0" w:color="auto"/>
                <w:bar w:val="none" w:sz="0" w:color="auto"/>
              </w:pBdr>
              <w:jc w:val="right"/>
              <w:outlineLvl w:val="9"/>
              <w:rPr>
                <w:rFonts w:eastAsia="Times New Roman"/>
                <w:color w:val="auto"/>
                <w:sz w:val="16"/>
                <w:szCs w:val="16"/>
                <w:bdr w:val="none" w:sz="0" w:space="0" w:color="auto"/>
                <w:lang w:eastAsia="es-ES"/>
              </w:rPr>
            </w:pPr>
          </w:p>
        </w:tc>
      </w:tr>
      <w:tr w:rsidR="000D73AE" w:rsidRPr="00C16D40" w14:paraId="21740DFC" w14:textId="77777777" w:rsidTr="00BA5560">
        <w:trPr>
          <w:trHeight w:val="170"/>
        </w:trPr>
        <w:tc>
          <w:tcPr>
            <w:tcW w:w="3005" w:type="pct"/>
            <w:tcBorders>
              <w:top w:val="single" w:sz="4" w:space="0" w:color="auto"/>
              <w:left w:val="nil"/>
              <w:bottom w:val="single" w:sz="4" w:space="0" w:color="auto"/>
              <w:right w:val="nil"/>
            </w:tcBorders>
            <w:shd w:val="clear" w:color="auto" w:fill="F2F2F2" w:themeFill="background1" w:themeFillShade="F2"/>
            <w:vAlign w:val="center"/>
            <w:hideMark/>
          </w:tcPr>
          <w:p w14:paraId="55F7F459" w14:textId="77777777" w:rsidR="000D73AE" w:rsidRPr="00C16D40" w:rsidRDefault="000D73AE" w:rsidP="000D73AE">
            <w:pPr>
              <w:pBdr>
                <w:top w:val="none" w:sz="0" w:space="0" w:color="auto"/>
                <w:left w:val="none" w:sz="0" w:space="0" w:color="auto"/>
                <w:bottom w:val="none" w:sz="0" w:space="0" w:color="auto"/>
                <w:right w:val="none" w:sz="0" w:space="0" w:color="auto"/>
                <w:between w:val="none" w:sz="0" w:space="0" w:color="auto"/>
                <w:bar w:val="none" w:sz="0" w:color="auto"/>
              </w:pBdr>
              <w:outlineLvl w:val="9"/>
              <w:rPr>
                <w:rFonts w:eastAsia="Times New Roman"/>
                <w:b/>
                <w:bCs/>
                <w:color w:val="auto"/>
                <w:sz w:val="16"/>
                <w:szCs w:val="16"/>
                <w:bdr w:val="none" w:sz="0" w:space="0" w:color="auto"/>
                <w:lang w:eastAsia="es-ES"/>
              </w:rPr>
            </w:pPr>
            <w:r w:rsidRPr="00C16D40">
              <w:rPr>
                <w:rFonts w:eastAsia="Times New Roman"/>
                <w:b/>
                <w:bCs/>
                <w:color w:val="auto"/>
                <w:sz w:val="16"/>
                <w:szCs w:val="16"/>
                <w:bdr w:val="none" w:sz="0" w:space="0" w:color="auto"/>
                <w:lang w:eastAsia="es-ES"/>
              </w:rPr>
              <w:t>C) FLUJOS DE EFECTIVO DE LAS ACTIVIDADES DE FINANCIACIÓN</w:t>
            </w:r>
          </w:p>
        </w:tc>
        <w:tc>
          <w:tcPr>
            <w:tcW w:w="477" w:type="pct"/>
            <w:tcBorders>
              <w:top w:val="single" w:sz="4" w:space="0" w:color="auto"/>
              <w:left w:val="nil"/>
              <w:bottom w:val="single" w:sz="4" w:space="0" w:color="auto"/>
              <w:right w:val="nil"/>
            </w:tcBorders>
            <w:shd w:val="clear" w:color="auto" w:fill="F2F2F2" w:themeFill="background1" w:themeFillShade="F2"/>
            <w:vAlign w:val="center"/>
            <w:hideMark/>
          </w:tcPr>
          <w:p w14:paraId="2465D327" w14:textId="625AF69E" w:rsidR="000D73AE" w:rsidRPr="00C16D40" w:rsidRDefault="000D73AE" w:rsidP="000D73AE">
            <w:pPr>
              <w:pBdr>
                <w:top w:val="none" w:sz="0" w:space="0" w:color="auto"/>
                <w:left w:val="none" w:sz="0" w:space="0" w:color="auto"/>
                <w:bottom w:val="none" w:sz="0" w:space="0" w:color="auto"/>
                <w:right w:val="none" w:sz="0" w:space="0" w:color="auto"/>
                <w:between w:val="none" w:sz="0" w:space="0" w:color="auto"/>
                <w:bar w:val="none" w:sz="0" w:color="auto"/>
              </w:pBdr>
              <w:jc w:val="center"/>
              <w:outlineLvl w:val="9"/>
              <w:rPr>
                <w:rFonts w:eastAsia="Times New Roman"/>
                <w:b/>
                <w:bCs/>
                <w:color w:val="auto"/>
                <w:sz w:val="16"/>
                <w:szCs w:val="16"/>
                <w:bdr w:val="none" w:sz="0" w:space="0" w:color="auto"/>
                <w:lang w:eastAsia="es-ES"/>
              </w:rPr>
            </w:pPr>
          </w:p>
        </w:tc>
        <w:tc>
          <w:tcPr>
            <w:tcW w:w="734" w:type="pct"/>
            <w:tcBorders>
              <w:top w:val="single" w:sz="4" w:space="0" w:color="auto"/>
              <w:left w:val="nil"/>
              <w:bottom w:val="single" w:sz="4" w:space="0" w:color="auto"/>
              <w:right w:val="nil"/>
            </w:tcBorders>
            <w:shd w:val="clear" w:color="auto" w:fill="F2F2F2" w:themeFill="background1" w:themeFillShade="F2"/>
            <w:vAlign w:val="center"/>
          </w:tcPr>
          <w:p w14:paraId="61C198A4" w14:textId="1ED40646" w:rsidR="000D73AE" w:rsidRPr="00C16D40" w:rsidRDefault="000D73AE" w:rsidP="000D73AE">
            <w:pPr>
              <w:pBdr>
                <w:top w:val="none" w:sz="0" w:space="0" w:color="auto"/>
                <w:left w:val="none" w:sz="0" w:space="0" w:color="auto"/>
                <w:bottom w:val="none" w:sz="0" w:space="0" w:color="auto"/>
                <w:right w:val="none" w:sz="0" w:space="0" w:color="auto"/>
                <w:between w:val="none" w:sz="0" w:space="0" w:color="auto"/>
                <w:bar w:val="none" w:sz="0" w:color="auto"/>
              </w:pBdr>
              <w:jc w:val="right"/>
              <w:outlineLvl w:val="9"/>
              <w:rPr>
                <w:rFonts w:eastAsia="Times New Roman"/>
                <w:b/>
                <w:bCs/>
                <w:color w:val="auto"/>
                <w:sz w:val="16"/>
                <w:szCs w:val="16"/>
                <w:bdr w:val="none" w:sz="0" w:space="0" w:color="auto"/>
                <w:lang w:eastAsia="es-ES"/>
              </w:rPr>
            </w:pPr>
            <w:r>
              <w:rPr>
                <w:b/>
                <w:bCs/>
                <w:sz w:val="16"/>
                <w:szCs w:val="16"/>
              </w:rPr>
              <w:t>3.646.701,75</w:t>
            </w:r>
          </w:p>
        </w:tc>
        <w:tc>
          <w:tcPr>
            <w:tcW w:w="784" w:type="pct"/>
            <w:tcBorders>
              <w:top w:val="single" w:sz="4" w:space="0" w:color="auto"/>
              <w:left w:val="nil"/>
              <w:bottom w:val="single" w:sz="4" w:space="0" w:color="auto"/>
              <w:right w:val="nil"/>
            </w:tcBorders>
            <w:shd w:val="clear" w:color="auto" w:fill="F2F2F2" w:themeFill="background1" w:themeFillShade="F2"/>
            <w:vAlign w:val="center"/>
            <w:hideMark/>
          </w:tcPr>
          <w:p w14:paraId="5B09C915" w14:textId="7A1111AE" w:rsidR="000D73AE" w:rsidRPr="00C16D40" w:rsidRDefault="000D73AE" w:rsidP="000D73AE">
            <w:pPr>
              <w:pBdr>
                <w:top w:val="none" w:sz="0" w:space="0" w:color="auto"/>
                <w:left w:val="none" w:sz="0" w:space="0" w:color="auto"/>
                <w:bottom w:val="none" w:sz="0" w:space="0" w:color="auto"/>
                <w:right w:val="none" w:sz="0" w:space="0" w:color="auto"/>
                <w:between w:val="none" w:sz="0" w:space="0" w:color="auto"/>
                <w:bar w:val="none" w:sz="0" w:color="auto"/>
              </w:pBdr>
              <w:jc w:val="right"/>
              <w:outlineLvl w:val="9"/>
              <w:rPr>
                <w:rFonts w:eastAsia="Times New Roman"/>
                <w:b/>
                <w:bCs/>
                <w:color w:val="auto"/>
                <w:sz w:val="16"/>
                <w:szCs w:val="16"/>
                <w:bdr w:val="none" w:sz="0" w:space="0" w:color="auto"/>
                <w:lang w:eastAsia="es-ES"/>
              </w:rPr>
            </w:pPr>
            <w:r>
              <w:rPr>
                <w:b/>
                <w:bCs/>
                <w:sz w:val="16"/>
                <w:szCs w:val="16"/>
              </w:rPr>
              <w:t>3.581.585,60</w:t>
            </w:r>
          </w:p>
        </w:tc>
      </w:tr>
      <w:tr w:rsidR="000D73AE" w:rsidRPr="00C16D40" w14:paraId="356C4BA8" w14:textId="77777777" w:rsidTr="00BA5560">
        <w:trPr>
          <w:trHeight w:val="227"/>
        </w:trPr>
        <w:tc>
          <w:tcPr>
            <w:tcW w:w="3005" w:type="pct"/>
            <w:tcBorders>
              <w:top w:val="nil"/>
              <w:left w:val="nil"/>
              <w:bottom w:val="nil"/>
              <w:right w:val="nil"/>
            </w:tcBorders>
            <w:shd w:val="clear" w:color="auto" w:fill="auto"/>
            <w:vAlign w:val="center"/>
            <w:hideMark/>
          </w:tcPr>
          <w:p w14:paraId="7C4950D6" w14:textId="77777777" w:rsidR="000D73AE" w:rsidRPr="00C16D40" w:rsidRDefault="000D73AE" w:rsidP="000D73AE">
            <w:pPr>
              <w:pBdr>
                <w:top w:val="none" w:sz="0" w:space="0" w:color="auto"/>
                <w:left w:val="none" w:sz="0" w:space="0" w:color="auto"/>
                <w:bottom w:val="none" w:sz="0" w:space="0" w:color="auto"/>
                <w:right w:val="none" w:sz="0" w:space="0" w:color="auto"/>
                <w:between w:val="none" w:sz="0" w:space="0" w:color="auto"/>
                <w:bar w:val="none" w:sz="0" w:color="auto"/>
              </w:pBdr>
              <w:outlineLvl w:val="9"/>
              <w:rPr>
                <w:rFonts w:eastAsia="Times New Roman"/>
                <w:b/>
                <w:bCs/>
                <w:color w:val="auto"/>
                <w:sz w:val="16"/>
                <w:szCs w:val="16"/>
                <w:bdr w:val="none" w:sz="0" w:space="0" w:color="auto"/>
                <w:lang w:eastAsia="es-ES"/>
              </w:rPr>
            </w:pPr>
            <w:r w:rsidRPr="00C16D40">
              <w:rPr>
                <w:rFonts w:eastAsia="Times New Roman"/>
                <w:b/>
                <w:bCs/>
                <w:color w:val="auto"/>
                <w:sz w:val="16"/>
                <w:szCs w:val="16"/>
                <w:bdr w:val="none" w:sz="0" w:space="0" w:color="auto"/>
                <w:lang w:eastAsia="es-ES"/>
              </w:rPr>
              <w:t>Cobros y pagos por instrumentos de patrimonio:</w:t>
            </w:r>
          </w:p>
        </w:tc>
        <w:tc>
          <w:tcPr>
            <w:tcW w:w="477" w:type="pct"/>
            <w:tcBorders>
              <w:top w:val="nil"/>
              <w:left w:val="nil"/>
              <w:bottom w:val="nil"/>
              <w:right w:val="nil"/>
            </w:tcBorders>
            <w:shd w:val="clear" w:color="auto" w:fill="auto"/>
            <w:noWrap/>
            <w:vAlign w:val="center"/>
            <w:hideMark/>
          </w:tcPr>
          <w:p w14:paraId="23AF2F35" w14:textId="77777777" w:rsidR="000D73AE" w:rsidRPr="00C16D40" w:rsidRDefault="000D73AE" w:rsidP="000D73AE">
            <w:pPr>
              <w:pBdr>
                <w:top w:val="none" w:sz="0" w:space="0" w:color="auto"/>
                <w:left w:val="none" w:sz="0" w:space="0" w:color="auto"/>
                <w:bottom w:val="none" w:sz="0" w:space="0" w:color="auto"/>
                <w:right w:val="none" w:sz="0" w:space="0" w:color="auto"/>
                <w:between w:val="none" w:sz="0" w:space="0" w:color="auto"/>
                <w:bar w:val="none" w:sz="0" w:color="auto"/>
              </w:pBdr>
              <w:jc w:val="center"/>
              <w:outlineLvl w:val="9"/>
              <w:rPr>
                <w:rFonts w:eastAsia="Times New Roman"/>
                <w:b/>
                <w:bCs/>
                <w:color w:val="auto"/>
                <w:sz w:val="16"/>
                <w:szCs w:val="16"/>
                <w:bdr w:val="none" w:sz="0" w:space="0" w:color="auto"/>
                <w:lang w:eastAsia="es-ES"/>
              </w:rPr>
            </w:pPr>
          </w:p>
        </w:tc>
        <w:tc>
          <w:tcPr>
            <w:tcW w:w="734" w:type="pct"/>
            <w:tcBorders>
              <w:top w:val="nil"/>
              <w:left w:val="nil"/>
              <w:bottom w:val="single" w:sz="4" w:space="0" w:color="auto"/>
              <w:right w:val="nil"/>
            </w:tcBorders>
            <w:shd w:val="clear" w:color="auto" w:fill="auto"/>
            <w:vAlign w:val="center"/>
          </w:tcPr>
          <w:p w14:paraId="72A31487" w14:textId="470167E6" w:rsidR="000D73AE" w:rsidRPr="00C16D40" w:rsidRDefault="000D73AE" w:rsidP="000D73AE">
            <w:pPr>
              <w:pBdr>
                <w:top w:val="none" w:sz="0" w:space="0" w:color="auto"/>
                <w:left w:val="none" w:sz="0" w:space="0" w:color="auto"/>
                <w:bottom w:val="none" w:sz="0" w:space="0" w:color="auto"/>
                <w:right w:val="none" w:sz="0" w:space="0" w:color="auto"/>
                <w:between w:val="none" w:sz="0" w:space="0" w:color="auto"/>
                <w:bar w:val="none" w:sz="0" w:color="auto"/>
              </w:pBdr>
              <w:jc w:val="right"/>
              <w:outlineLvl w:val="9"/>
              <w:rPr>
                <w:rFonts w:eastAsia="Times New Roman"/>
                <w:b/>
                <w:bCs/>
                <w:color w:val="auto"/>
                <w:sz w:val="16"/>
                <w:szCs w:val="16"/>
                <w:bdr w:val="none" w:sz="0" w:space="0" w:color="auto"/>
                <w:lang w:eastAsia="es-ES"/>
              </w:rPr>
            </w:pPr>
            <w:r>
              <w:rPr>
                <w:b/>
                <w:bCs/>
                <w:sz w:val="16"/>
                <w:szCs w:val="16"/>
              </w:rPr>
              <w:t>3.590.000,00</w:t>
            </w:r>
          </w:p>
        </w:tc>
        <w:tc>
          <w:tcPr>
            <w:tcW w:w="784" w:type="pct"/>
            <w:tcBorders>
              <w:top w:val="nil"/>
              <w:left w:val="nil"/>
              <w:bottom w:val="single" w:sz="4" w:space="0" w:color="auto"/>
              <w:right w:val="nil"/>
            </w:tcBorders>
            <w:shd w:val="clear" w:color="auto" w:fill="auto"/>
            <w:vAlign w:val="center"/>
            <w:hideMark/>
          </w:tcPr>
          <w:p w14:paraId="75576937" w14:textId="61E678C7" w:rsidR="000D73AE" w:rsidRPr="00C16D40" w:rsidRDefault="000D73AE" w:rsidP="000D73AE">
            <w:pPr>
              <w:pBdr>
                <w:top w:val="none" w:sz="0" w:space="0" w:color="auto"/>
                <w:left w:val="none" w:sz="0" w:space="0" w:color="auto"/>
                <w:bottom w:val="none" w:sz="0" w:space="0" w:color="auto"/>
                <w:right w:val="none" w:sz="0" w:space="0" w:color="auto"/>
                <w:between w:val="none" w:sz="0" w:space="0" w:color="auto"/>
                <w:bar w:val="none" w:sz="0" w:color="auto"/>
              </w:pBdr>
              <w:jc w:val="right"/>
              <w:outlineLvl w:val="9"/>
              <w:rPr>
                <w:rFonts w:eastAsia="Times New Roman"/>
                <w:b/>
                <w:bCs/>
                <w:color w:val="auto"/>
                <w:sz w:val="16"/>
                <w:szCs w:val="16"/>
                <w:bdr w:val="none" w:sz="0" w:space="0" w:color="auto"/>
                <w:lang w:eastAsia="es-ES"/>
              </w:rPr>
            </w:pPr>
            <w:r>
              <w:rPr>
                <w:b/>
                <w:bCs/>
                <w:sz w:val="16"/>
                <w:szCs w:val="16"/>
              </w:rPr>
              <w:t>3.577.139,00</w:t>
            </w:r>
          </w:p>
        </w:tc>
      </w:tr>
      <w:tr w:rsidR="000D73AE" w:rsidRPr="00C16D40" w14:paraId="2EA2E422" w14:textId="77777777" w:rsidTr="00BA5560">
        <w:trPr>
          <w:trHeight w:val="227"/>
        </w:trPr>
        <w:tc>
          <w:tcPr>
            <w:tcW w:w="3005" w:type="pct"/>
            <w:tcBorders>
              <w:top w:val="nil"/>
              <w:left w:val="nil"/>
              <w:bottom w:val="nil"/>
              <w:right w:val="nil"/>
            </w:tcBorders>
            <w:shd w:val="clear" w:color="auto" w:fill="auto"/>
            <w:vAlign w:val="center"/>
            <w:hideMark/>
          </w:tcPr>
          <w:p w14:paraId="169F3C6F" w14:textId="77777777" w:rsidR="000D73AE" w:rsidRPr="00C16D40" w:rsidRDefault="000D73AE" w:rsidP="000D73AE">
            <w:pPr>
              <w:pBdr>
                <w:top w:val="none" w:sz="0" w:space="0" w:color="auto"/>
                <w:left w:val="none" w:sz="0" w:space="0" w:color="auto"/>
                <w:bottom w:val="none" w:sz="0" w:space="0" w:color="auto"/>
                <w:right w:val="none" w:sz="0" w:space="0" w:color="auto"/>
                <w:between w:val="none" w:sz="0" w:space="0" w:color="auto"/>
                <w:bar w:val="none" w:sz="0" w:color="auto"/>
              </w:pBdr>
              <w:outlineLvl w:val="9"/>
              <w:rPr>
                <w:rFonts w:eastAsia="Times New Roman"/>
                <w:color w:val="auto"/>
                <w:sz w:val="16"/>
                <w:szCs w:val="16"/>
                <w:bdr w:val="none" w:sz="0" w:space="0" w:color="auto"/>
                <w:lang w:eastAsia="es-ES"/>
              </w:rPr>
            </w:pPr>
            <w:r w:rsidRPr="00C16D40">
              <w:rPr>
                <w:rFonts w:eastAsia="Times New Roman"/>
                <w:color w:val="auto"/>
                <w:sz w:val="16"/>
                <w:szCs w:val="16"/>
                <w:bdr w:val="none" w:sz="0" w:space="0" w:color="auto"/>
                <w:lang w:eastAsia="es-ES"/>
              </w:rPr>
              <w:t>- Aportación socios</w:t>
            </w:r>
          </w:p>
        </w:tc>
        <w:tc>
          <w:tcPr>
            <w:tcW w:w="477" w:type="pct"/>
            <w:tcBorders>
              <w:top w:val="nil"/>
              <w:left w:val="nil"/>
              <w:bottom w:val="nil"/>
              <w:right w:val="nil"/>
            </w:tcBorders>
            <w:shd w:val="clear" w:color="auto" w:fill="auto"/>
            <w:noWrap/>
            <w:vAlign w:val="center"/>
            <w:hideMark/>
          </w:tcPr>
          <w:p w14:paraId="75DE1DFA" w14:textId="21037640" w:rsidR="000D73AE" w:rsidRPr="00C16D40" w:rsidRDefault="000D73AE" w:rsidP="000D73AE">
            <w:pPr>
              <w:pBdr>
                <w:top w:val="none" w:sz="0" w:space="0" w:color="auto"/>
                <w:left w:val="none" w:sz="0" w:space="0" w:color="auto"/>
                <w:bottom w:val="none" w:sz="0" w:space="0" w:color="auto"/>
                <w:right w:val="none" w:sz="0" w:space="0" w:color="auto"/>
                <w:between w:val="none" w:sz="0" w:space="0" w:color="auto"/>
                <w:bar w:val="none" w:sz="0" w:color="auto"/>
              </w:pBdr>
              <w:jc w:val="center"/>
              <w:outlineLvl w:val="9"/>
              <w:rPr>
                <w:rFonts w:eastAsia="Times New Roman"/>
                <w:color w:val="auto"/>
                <w:sz w:val="16"/>
                <w:szCs w:val="16"/>
                <w:bdr w:val="none" w:sz="0" w:space="0" w:color="auto"/>
                <w:lang w:eastAsia="es-ES"/>
              </w:rPr>
            </w:pPr>
            <w:r w:rsidRPr="00C16D40">
              <w:rPr>
                <w:rFonts w:eastAsia="Times New Roman"/>
                <w:color w:val="auto"/>
                <w:sz w:val="16"/>
                <w:szCs w:val="16"/>
                <w:bdr w:val="none" w:sz="0" w:space="0" w:color="auto"/>
                <w:lang w:eastAsia="es-ES"/>
              </w:rPr>
              <w:t>8.</w:t>
            </w:r>
            <w:proofErr w:type="gramStart"/>
            <w:r w:rsidRPr="00C16D40">
              <w:rPr>
                <w:rFonts w:eastAsia="Times New Roman"/>
                <w:color w:val="auto"/>
                <w:sz w:val="16"/>
                <w:szCs w:val="16"/>
                <w:bdr w:val="none" w:sz="0" w:space="0" w:color="auto"/>
                <w:lang w:eastAsia="es-ES"/>
              </w:rPr>
              <w:t>4.d</w:t>
            </w:r>
            <w:proofErr w:type="gramEnd"/>
          </w:p>
        </w:tc>
        <w:tc>
          <w:tcPr>
            <w:tcW w:w="734" w:type="pct"/>
            <w:tcBorders>
              <w:top w:val="nil"/>
              <w:left w:val="nil"/>
              <w:bottom w:val="nil"/>
              <w:right w:val="nil"/>
            </w:tcBorders>
            <w:shd w:val="clear" w:color="auto" w:fill="auto"/>
            <w:vAlign w:val="center"/>
          </w:tcPr>
          <w:p w14:paraId="211D577C" w14:textId="1BFBAC70" w:rsidR="000D73AE" w:rsidRPr="00C16D40" w:rsidRDefault="000D73AE" w:rsidP="000D73AE">
            <w:pPr>
              <w:pBdr>
                <w:top w:val="none" w:sz="0" w:space="0" w:color="auto"/>
                <w:left w:val="none" w:sz="0" w:space="0" w:color="auto"/>
                <w:bottom w:val="none" w:sz="0" w:space="0" w:color="auto"/>
                <w:right w:val="none" w:sz="0" w:space="0" w:color="auto"/>
                <w:between w:val="none" w:sz="0" w:space="0" w:color="auto"/>
                <w:bar w:val="none" w:sz="0" w:color="auto"/>
              </w:pBdr>
              <w:jc w:val="right"/>
              <w:outlineLvl w:val="9"/>
              <w:rPr>
                <w:rFonts w:eastAsia="Times New Roman"/>
                <w:color w:val="auto"/>
                <w:sz w:val="16"/>
                <w:szCs w:val="16"/>
                <w:bdr w:val="none" w:sz="0" w:space="0" w:color="auto"/>
                <w:lang w:eastAsia="es-ES"/>
              </w:rPr>
            </w:pPr>
            <w:r>
              <w:rPr>
                <w:sz w:val="16"/>
                <w:szCs w:val="16"/>
              </w:rPr>
              <w:t>3.590.000,00</w:t>
            </w:r>
          </w:p>
        </w:tc>
        <w:tc>
          <w:tcPr>
            <w:tcW w:w="784" w:type="pct"/>
            <w:tcBorders>
              <w:top w:val="nil"/>
              <w:left w:val="nil"/>
              <w:bottom w:val="nil"/>
              <w:right w:val="nil"/>
            </w:tcBorders>
            <w:shd w:val="clear" w:color="auto" w:fill="auto"/>
            <w:vAlign w:val="center"/>
            <w:hideMark/>
          </w:tcPr>
          <w:p w14:paraId="7DB1F221" w14:textId="5DE58428" w:rsidR="000D73AE" w:rsidRPr="00C16D40" w:rsidRDefault="000D73AE" w:rsidP="000D73AE">
            <w:pPr>
              <w:pBdr>
                <w:top w:val="none" w:sz="0" w:space="0" w:color="auto"/>
                <w:left w:val="none" w:sz="0" w:space="0" w:color="auto"/>
                <w:bottom w:val="none" w:sz="0" w:space="0" w:color="auto"/>
                <w:right w:val="none" w:sz="0" w:space="0" w:color="auto"/>
                <w:between w:val="none" w:sz="0" w:space="0" w:color="auto"/>
                <w:bar w:val="none" w:sz="0" w:color="auto"/>
              </w:pBdr>
              <w:jc w:val="right"/>
              <w:outlineLvl w:val="9"/>
              <w:rPr>
                <w:rFonts w:eastAsia="Times New Roman"/>
                <w:color w:val="auto"/>
                <w:sz w:val="16"/>
                <w:szCs w:val="16"/>
                <w:bdr w:val="none" w:sz="0" w:space="0" w:color="auto"/>
                <w:lang w:eastAsia="es-ES"/>
              </w:rPr>
            </w:pPr>
            <w:r>
              <w:rPr>
                <w:sz w:val="16"/>
                <w:szCs w:val="16"/>
              </w:rPr>
              <w:t>3.577.139,00</w:t>
            </w:r>
          </w:p>
        </w:tc>
      </w:tr>
      <w:tr w:rsidR="000D73AE" w:rsidRPr="00C16D40" w14:paraId="3D152C4F" w14:textId="77777777" w:rsidTr="00BA5560">
        <w:trPr>
          <w:trHeight w:val="227"/>
        </w:trPr>
        <w:tc>
          <w:tcPr>
            <w:tcW w:w="3005" w:type="pct"/>
            <w:tcBorders>
              <w:top w:val="nil"/>
              <w:left w:val="nil"/>
              <w:bottom w:val="nil"/>
              <w:right w:val="nil"/>
            </w:tcBorders>
            <w:shd w:val="clear" w:color="auto" w:fill="auto"/>
            <w:vAlign w:val="center"/>
            <w:hideMark/>
          </w:tcPr>
          <w:p w14:paraId="3A16C7D7" w14:textId="77777777" w:rsidR="000D73AE" w:rsidRPr="00C16D40" w:rsidRDefault="000D73AE" w:rsidP="000D73AE">
            <w:pPr>
              <w:pBdr>
                <w:top w:val="none" w:sz="0" w:space="0" w:color="auto"/>
                <w:left w:val="none" w:sz="0" w:space="0" w:color="auto"/>
                <w:bottom w:val="none" w:sz="0" w:space="0" w:color="auto"/>
                <w:right w:val="none" w:sz="0" w:space="0" w:color="auto"/>
                <w:between w:val="none" w:sz="0" w:space="0" w:color="auto"/>
                <w:bar w:val="none" w:sz="0" w:color="auto"/>
              </w:pBdr>
              <w:outlineLvl w:val="9"/>
              <w:rPr>
                <w:rFonts w:eastAsia="Times New Roman"/>
                <w:color w:val="auto"/>
                <w:sz w:val="16"/>
                <w:szCs w:val="16"/>
                <w:bdr w:val="none" w:sz="0" w:space="0" w:color="auto"/>
                <w:lang w:eastAsia="es-ES"/>
              </w:rPr>
            </w:pPr>
            <w:r w:rsidRPr="00C16D40">
              <w:rPr>
                <w:rFonts w:eastAsia="Times New Roman"/>
                <w:color w:val="auto"/>
                <w:sz w:val="16"/>
                <w:szCs w:val="16"/>
                <w:bdr w:val="none" w:sz="0" w:space="0" w:color="auto"/>
                <w:lang w:eastAsia="es-ES"/>
              </w:rPr>
              <w:t>- Subvenciones, donaciones y legados recibidos</w:t>
            </w:r>
          </w:p>
        </w:tc>
        <w:tc>
          <w:tcPr>
            <w:tcW w:w="477" w:type="pct"/>
            <w:tcBorders>
              <w:top w:val="nil"/>
              <w:left w:val="nil"/>
              <w:bottom w:val="nil"/>
              <w:right w:val="nil"/>
            </w:tcBorders>
            <w:shd w:val="clear" w:color="auto" w:fill="auto"/>
            <w:noWrap/>
            <w:vAlign w:val="center"/>
            <w:hideMark/>
          </w:tcPr>
          <w:p w14:paraId="16FD54A1" w14:textId="59A40A76" w:rsidR="000D73AE" w:rsidRPr="00C16D40" w:rsidRDefault="000D73AE" w:rsidP="000D73AE">
            <w:pPr>
              <w:pBdr>
                <w:top w:val="none" w:sz="0" w:space="0" w:color="auto"/>
                <w:left w:val="none" w:sz="0" w:space="0" w:color="auto"/>
                <w:bottom w:val="none" w:sz="0" w:space="0" w:color="auto"/>
                <w:right w:val="none" w:sz="0" w:space="0" w:color="auto"/>
                <w:between w:val="none" w:sz="0" w:space="0" w:color="auto"/>
                <w:bar w:val="none" w:sz="0" w:color="auto"/>
              </w:pBdr>
              <w:jc w:val="center"/>
              <w:outlineLvl w:val="9"/>
              <w:rPr>
                <w:rFonts w:eastAsia="Times New Roman"/>
                <w:color w:val="auto"/>
                <w:sz w:val="16"/>
                <w:szCs w:val="16"/>
                <w:bdr w:val="none" w:sz="0" w:space="0" w:color="auto"/>
                <w:lang w:eastAsia="es-ES"/>
              </w:rPr>
            </w:pPr>
          </w:p>
        </w:tc>
        <w:tc>
          <w:tcPr>
            <w:tcW w:w="734" w:type="pct"/>
            <w:tcBorders>
              <w:top w:val="nil"/>
              <w:left w:val="nil"/>
              <w:bottom w:val="nil"/>
              <w:right w:val="nil"/>
            </w:tcBorders>
            <w:shd w:val="clear" w:color="auto" w:fill="auto"/>
            <w:vAlign w:val="center"/>
          </w:tcPr>
          <w:p w14:paraId="32674705" w14:textId="2112FBE9" w:rsidR="000D73AE" w:rsidRPr="00C16D40" w:rsidRDefault="000D73AE" w:rsidP="000D73AE">
            <w:pPr>
              <w:pBdr>
                <w:top w:val="none" w:sz="0" w:space="0" w:color="auto"/>
                <w:left w:val="none" w:sz="0" w:space="0" w:color="auto"/>
                <w:bottom w:val="none" w:sz="0" w:space="0" w:color="auto"/>
                <w:right w:val="none" w:sz="0" w:space="0" w:color="auto"/>
                <w:between w:val="none" w:sz="0" w:space="0" w:color="auto"/>
                <w:bar w:val="none" w:sz="0" w:color="auto"/>
              </w:pBdr>
              <w:jc w:val="right"/>
              <w:outlineLvl w:val="9"/>
              <w:rPr>
                <w:rFonts w:eastAsia="Times New Roman"/>
                <w:color w:val="auto"/>
                <w:sz w:val="16"/>
                <w:szCs w:val="16"/>
                <w:bdr w:val="none" w:sz="0" w:space="0" w:color="auto"/>
                <w:lang w:eastAsia="es-ES"/>
              </w:rPr>
            </w:pPr>
            <w:r>
              <w:rPr>
                <w:sz w:val="16"/>
                <w:szCs w:val="16"/>
              </w:rPr>
              <w:t xml:space="preserve"> -</w:t>
            </w:r>
          </w:p>
        </w:tc>
        <w:tc>
          <w:tcPr>
            <w:tcW w:w="784" w:type="pct"/>
            <w:tcBorders>
              <w:top w:val="nil"/>
              <w:left w:val="nil"/>
              <w:bottom w:val="nil"/>
              <w:right w:val="nil"/>
            </w:tcBorders>
            <w:shd w:val="clear" w:color="auto" w:fill="auto"/>
            <w:vAlign w:val="center"/>
            <w:hideMark/>
          </w:tcPr>
          <w:p w14:paraId="3F1C55D2" w14:textId="6791C8D1" w:rsidR="000D73AE" w:rsidRPr="00C16D40" w:rsidRDefault="000D73AE" w:rsidP="000D73AE">
            <w:pPr>
              <w:pBdr>
                <w:top w:val="none" w:sz="0" w:space="0" w:color="auto"/>
                <w:left w:val="none" w:sz="0" w:space="0" w:color="auto"/>
                <w:bottom w:val="none" w:sz="0" w:space="0" w:color="auto"/>
                <w:right w:val="none" w:sz="0" w:space="0" w:color="auto"/>
                <w:between w:val="none" w:sz="0" w:space="0" w:color="auto"/>
                <w:bar w:val="none" w:sz="0" w:color="auto"/>
              </w:pBdr>
              <w:jc w:val="right"/>
              <w:outlineLvl w:val="9"/>
              <w:rPr>
                <w:rFonts w:eastAsia="Times New Roman"/>
                <w:color w:val="auto"/>
                <w:sz w:val="16"/>
                <w:szCs w:val="16"/>
                <w:bdr w:val="none" w:sz="0" w:space="0" w:color="auto"/>
                <w:lang w:eastAsia="es-ES"/>
              </w:rPr>
            </w:pPr>
            <w:r>
              <w:rPr>
                <w:rFonts w:eastAsia="Times New Roman"/>
                <w:color w:val="auto"/>
                <w:sz w:val="16"/>
                <w:szCs w:val="16"/>
                <w:bdr w:val="none" w:sz="0" w:space="0" w:color="auto"/>
                <w:lang w:eastAsia="es-ES"/>
              </w:rPr>
              <w:t>-</w:t>
            </w:r>
          </w:p>
        </w:tc>
      </w:tr>
      <w:tr w:rsidR="00680BE3" w:rsidRPr="00C16D40" w14:paraId="7ECD28D1" w14:textId="77777777" w:rsidTr="00BA5560">
        <w:trPr>
          <w:trHeight w:val="113"/>
        </w:trPr>
        <w:tc>
          <w:tcPr>
            <w:tcW w:w="3005" w:type="pct"/>
            <w:tcBorders>
              <w:top w:val="nil"/>
              <w:left w:val="nil"/>
              <w:bottom w:val="nil"/>
              <w:right w:val="nil"/>
            </w:tcBorders>
            <w:shd w:val="clear" w:color="auto" w:fill="auto"/>
            <w:vAlign w:val="center"/>
            <w:hideMark/>
          </w:tcPr>
          <w:p w14:paraId="7051B66D" w14:textId="77777777" w:rsidR="00680BE3" w:rsidRPr="00C16D40" w:rsidRDefault="00680BE3" w:rsidP="00680BE3">
            <w:pPr>
              <w:pBdr>
                <w:top w:val="none" w:sz="0" w:space="0" w:color="auto"/>
                <w:left w:val="none" w:sz="0" w:space="0" w:color="auto"/>
                <w:bottom w:val="none" w:sz="0" w:space="0" w:color="auto"/>
                <w:right w:val="none" w:sz="0" w:space="0" w:color="auto"/>
                <w:between w:val="none" w:sz="0" w:space="0" w:color="auto"/>
                <w:bar w:val="none" w:sz="0" w:color="auto"/>
              </w:pBdr>
              <w:jc w:val="right"/>
              <w:outlineLvl w:val="9"/>
              <w:rPr>
                <w:rFonts w:eastAsia="Times New Roman"/>
                <w:color w:val="auto"/>
                <w:sz w:val="16"/>
                <w:szCs w:val="16"/>
                <w:bdr w:val="none" w:sz="0" w:space="0" w:color="auto"/>
                <w:lang w:eastAsia="es-ES"/>
              </w:rPr>
            </w:pPr>
          </w:p>
        </w:tc>
        <w:tc>
          <w:tcPr>
            <w:tcW w:w="477" w:type="pct"/>
            <w:tcBorders>
              <w:top w:val="nil"/>
              <w:left w:val="nil"/>
              <w:bottom w:val="nil"/>
              <w:right w:val="nil"/>
            </w:tcBorders>
            <w:shd w:val="clear" w:color="auto" w:fill="auto"/>
            <w:noWrap/>
            <w:vAlign w:val="center"/>
            <w:hideMark/>
          </w:tcPr>
          <w:p w14:paraId="09D06ABD" w14:textId="77777777" w:rsidR="00680BE3" w:rsidRPr="00C16D40" w:rsidRDefault="00680BE3" w:rsidP="00680BE3">
            <w:pPr>
              <w:pBdr>
                <w:top w:val="none" w:sz="0" w:space="0" w:color="auto"/>
                <w:left w:val="none" w:sz="0" w:space="0" w:color="auto"/>
                <w:bottom w:val="none" w:sz="0" w:space="0" w:color="auto"/>
                <w:right w:val="none" w:sz="0" w:space="0" w:color="auto"/>
                <w:between w:val="none" w:sz="0" w:space="0" w:color="auto"/>
                <w:bar w:val="none" w:sz="0" w:color="auto"/>
              </w:pBdr>
              <w:jc w:val="center"/>
              <w:outlineLvl w:val="9"/>
              <w:rPr>
                <w:rFonts w:eastAsia="Times New Roman"/>
                <w:color w:val="auto"/>
                <w:sz w:val="16"/>
                <w:szCs w:val="16"/>
                <w:bdr w:val="none" w:sz="0" w:space="0" w:color="auto"/>
                <w:lang w:eastAsia="es-ES"/>
              </w:rPr>
            </w:pPr>
          </w:p>
        </w:tc>
        <w:tc>
          <w:tcPr>
            <w:tcW w:w="734" w:type="pct"/>
            <w:tcBorders>
              <w:top w:val="nil"/>
              <w:left w:val="nil"/>
              <w:bottom w:val="nil"/>
              <w:right w:val="nil"/>
            </w:tcBorders>
            <w:shd w:val="clear" w:color="auto" w:fill="auto"/>
            <w:noWrap/>
            <w:vAlign w:val="center"/>
          </w:tcPr>
          <w:p w14:paraId="37AE84CE" w14:textId="77777777" w:rsidR="00680BE3" w:rsidRPr="00C16D40" w:rsidRDefault="00680BE3" w:rsidP="00680BE3">
            <w:pPr>
              <w:pBdr>
                <w:top w:val="none" w:sz="0" w:space="0" w:color="auto"/>
                <w:left w:val="none" w:sz="0" w:space="0" w:color="auto"/>
                <w:bottom w:val="none" w:sz="0" w:space="0" w:color="auto"/>
                <w:right w:val="none" w:sz="0" w:space="0" w:color="auto"/>
                <w:between w:val="none" w:sz="0" w:space="0" w:color="auto"/>
                <w:bar w:val="none" w:sz="0" w:color="auto"/>
              </w:pBdr>
              <w:jc w:val="right"/>
              <w:outlineLvl w:val="9"/>
              <w:rPr>
                <w:rFonts w:eastAsia="Times New Roman"/>
                <w:color w:val="auto"/>
                <w:sz w:val="16"/>
                <w:szCs w:val="16"/>
                <w:bdr w:val="none" w:sz="0" w:space="0" w:color="auto"/>
                <w:lang w:eastAsia="es-ES"/>
              </w:rPr>
            </w:pPr>
          </w:p>
        </w:tc>
        <w:tc>
          <w:tcPr>
            <w:tcW w:w="784" w:type="pct"/>
            <w:tcBorders>
              <w:top w:val="nil"/>
              <w:left w:val="nil"/>
              <w:bottom w:val="nil"/>
              <w:right w:val="nil"/>
            </w:tcBorders>
            <w:shd w:val="clear" w:color="auto" w:fill="auto"/>
            <w:noWrap/>
            <w:vAlign w:val="center"/>
            <w:hideMark/>
          </w:tcPr>
          <w:p w14:paraId="3D2991DA" w14:textId="77777777" w:rsidR="00680BE3" w:rsidRPr="00C16D40" w:rsidRDefault="00680BE3" w:rsidP="00680BE3">
            <w:pPr>
              <w:pBdr>
                <w:top w:val="none" w:sz="0" w:space="0" w:color="auto"/>
                <w:left w:val="none" w:sz="0" w:space="0" w:color="auto"/>
                <w:bottom w:val="none" w:sz="0" w:space="0" w:color="auto"/>
                <w:right w:val="none" w:sz="0" w:space="0" w:color="auto"/>
                <w:between w:val="none" w:sz="0" w:space="0" w:color="auto"/>
                <w:bar w:val="none" w:sz="0" w:color="auto"/>
              </w:pBdr>
              <w:jc w:val="right"/>
              <w:outlineLvl w:val="9"/>
              <w:rPr>
                <w:rFonts w:eastAsia="Times New Roman"/>
                <w:color w:val="auto"/>
                <w:sz w:val="16"/>
                <w:szCs w:val="16"/>
                <w:bdr w:val="none" w:sz="0" w:space="0" w:color="auto"/>
                <w:lang w:eastAsia="es-ES"/>
              </w:rPr>
            </w:pPr>
          </w:p>
        </w:tc>
      </w:tr>
      <w:tr w:rsidR="00680BE3" w:rsidRPr="00C16D40" w14:paraId="54D9BF7F" w14:textId="77777777" w:rsidTr="00BA5560">
        <w:trPr>
          <w:trHeight w:val="227"/>
        </w:trPr>
        <w:tc>
          <w:tcPr>
            <w:tcW w:w="3005" w:type="pct"/>
            <w:tcBorders>
              <w:top w:val="nil"/>
              <w:left w:val="nil"/>
              <w:bottom w:val="nil"/>
              <w:right w:val="nil"/>
            </w:tcBorders>
            <w:shd w:val="clear" w:color="auto" w:fill="auto"/>
            <w:vAlign w:val="center"/>
            <w:hideMark/>
          </w:tcPr>
          <w:p w14:paraId="1FA3C4DA" w14:textId="77777777" w:rsidR="00680BE3" w:rsidRPr="00C16D40" w:rsidRDefault="00680BE3" w:rsidP="00680BE3">
            <w:pPr>
              <w:pBdr>
                <w:top w:val="none" w:sz="0" w:space="0" w:color="auto"/>
                <w:left w:val="none" w:sz="0" w:space="0" w:color="auto"/>
                <w:bottom w:val="none" w:sz="0" w:space="0" w:color="auto"/>
                <w:right w:val="none" w:sz="0" w:space="0" w:color="auto"/>
                <w:between w:val="none" w:sz="0" w:space="0" w:color="auto"/>
                <w:bar w:val="none" w:sz="0" w:color="auto"/>
              </w:pBdr>
              <w:outlineLvl w:val="9"/>
              <w:rPr>
                <w:rFonts w:eastAsia="Times New Roman"/>
                <w:b/>
                <w:bCs/>
                <w:color w:val="auto"/>
                <w:sz w:val="16"/>
                <w:szCs w:val="16"/>
                <w:bdr w:val="none" w:sz="0" w:space="0" w:color="auto"/>
                <w:lang w:eastAsia="es-ES"/>
              </w:rPr>
            </w:pPr>
            <w:r w:rsidRPr="00C16D40">
              <w:rPr>
                <w:rFonts w:eastAsia="Times New Roman"/>
                <w:b/>
                <w:bCs/>
                <w:color w:val="auto"/>
                <w:sz w:val="16"/>
                <w:szCs w:val="16"/>
                <w:bdr w:val="none" w:sz="0" w:space="0" w:color="auto"/>
                <w:lang w:eastAsia="es-ES"/>
              </w:rPr>
              <w:t>Cobros y pagos por instrumentos de pasivo financiero:</w:t>
            </w:r>
          </w:p>
        </w:tc>
        <w:tc>
          <w:tcPr>
            <w:tcW w:w="477" w:type="pct"/>
            <w:tcBorders>
              <w:top w:val="nil"/>
              <w:left w:val="nil"/>
              <w:bottom w:val="nil"/>
              <w:right w:val="nil"/>
            </w:tcBorders>
            <w:shd w:val="clear" w:color="auto" w:fill="auto"/>
            <w:noWrap/>
            <w:vAlign w:val="center"/>
            <w:hideMark/>
          </w:tcPr>
          <w:p w14:paraId="68C39A76" w14:textId="77777777" w:rsidR="00680BE3" w:rsidRPr="00C16D40" w:rsidRDefault="00680BE3" w:rsidP="00680BE3">
            <w:pPr>
              <w:pBdr>
                <w:top w:val="none" w:sz="0" w:space="0" w:color="auto"/>
                <w:left w:val="none" w:sz="0" w:space="0" w:color="auto"/>
                <w:bottom w:val="none" w:sz="0" w:space="0" w:color="auto"/>
                <w:right w:val="none" w:sz="0" w:space="0" w:color="auto"/>
                <w:between w:val="none" w:sz="0" w:space="0" w:color="auto"/>
                <w:bar w:val="none" w:sz="0" w:color="auto"/>
              </w:pBdr>
              <w:jc w:val="center"/>
              <w:outlineLvl w:val="9"/>
              <w:rPr>
                <w:rFonts w:eastAsia="Times New Roman"/>
                <w:b/>
                <w:bCs/>
                <w:color w:val="auto"/>
                <w:sz w:val="16"/>
                <w:szCs w:val="16"/>
                <w:bdr w:val="none" w:sz="0" w:space="0" w:color="auto"/>
                <w:lang w:eastAsia="es-ES"/>
              </w:rPr>
            </w:pPr>
          </w:p>
        </w:tc>
        <w:tc>
          <w:tcPr>
            <w:tcW w:w="734" w:type="pct"/>
            <w:tcBorders>
              <w:top w:val="single" w:sz="4" w:space="0" w:color="auto"/>
              <w:left w:val="nil"/>
              <w:bottom w:val="single" w:sz="4" w:space="0" w:color="auto"/>
              <w:right w:val="nil"/>
            </w:tcBorders>
            <w:shd w:val="clear" w:color="auto" w:fill="auto"/>
            <w:vAlign w:val="center"/>
          </w:tcPr>
          <w:p w14:paraId="119AB68E" w14:textId="330CFACE" w:rsidR="00680BE3" w:rsidRPr="000D73AE" w:rsidRDefault="000D73AE" w:rsidP="000D73AE">
            <w:pPr>
              <w:pBdr>
                <w:top w:val="none" w:sz="0" w:space="0" w:color="auto"/>
                <w:left w:val="none" w:sz="0" w:space="0" w:color="auto"/>
                <w:bottom w:val="none" w:sz="0" w:space="0" w:color="auto"/>
                <w:right w:val="none" w:sz="0" w:space="0" w:color="auto"/>
                <w:between w:val="none" w:sz="0" w:space="0" w:color="auto"/>
                <w:bar w:val="none" w:sz="0" w:color="auto"/>
              </w:pBdr>
              <w:jc w:val="right"/>
              <w:outlineLvl w:val="9"/>
              <w:rPr>
                <w:rFonts w:eastAsia="Times New Roman"/>
                <w:b/>
                <w:bCs/>
                <w:color w:val="auto"/>
                <w:sz w:val="16"/>
                <w:szCs w:val="16"/>
                <w:bdr w:val="none" w:sz="0" w:space="0" w:color="auto"/>
                <w:lang w:eastAsia="es-ES"/>
              </w:rPr>
            </w:pPr>
            <w:r>
              <w:rPr>
                <w:b/>
                <w:bCs/>
                <w:sz w:val="16"/>
                <w:szCs w:val="16"/>
              </w:rPr>
              <w:t>56.701,75</w:t>
            </w:r>
          </w:p>
        </w:tc>
        <w:tc>
          <w:tcPr>
            <w:tcW w:w="784" w:type="pct"/>
            <w:tcBorders>
              <w:top w:val="single" w:sz="4" w:space="0" w:color="auto"/>
              <w:left w:val="nil"/>
              <w:bottom w:val="single" w:sz="4" w:space="0" w:color="auto"/>
              <w:right w:val="nil"/>
            </w:tcBorders>
            <w:shd w:val="clear" w:color="auto" w:fill="auto"/>
            <w:vAlign w:val="center"/>
            <w:hideMark/>
          </w:tcPr>
          <w:p w14:paraId="775A0E0B" w14:textId="344845C5" w:rsidR="00680BE3" w:rsidRPr="00C16D40" w:rsidRDefault="00680BE3" w:rsidP="00680BE3">
            <w:pPr>
              <w:pBdr>
                <w:top w:val="none" w:sz="0" w:space="0" w:color="auto"/>
                <w:left w:val="none" w:sz="0" w:space="0" w:color="auto"/>
                <w:bottom w:val="none" w:sz="0" w:space="0" w:color="auto"/>
                <w:right w:val="none" w:sz="0" w:space="0" w:color="auto"/>
                <w:between w:val="none" w:sz="0" w:space="0" w:color="auto"/>
                <w:bar w:val="none" w:sz="0" w:color="auto"/>
              </w:pBdr>
              <w:jc w:val="right"/>
              <w:outlineLvl w:val="9"/>
              <w:rPr>
                <w:rFonts w:eastAsia="Times New Roman"/>
                <w:b/>
                <w:bCs/>
                <w:color w:val="auto"/>
                <w:sz w:val="16"/>
                <w:szCs w:val="16"/>
                <w:bdr w:val="none" w:sz="0" w:space="0" w:color="auto"/>
                <w:lang w:eastAsia="es-ES"/>
              </w:rPr>
            </w:pPr>
            <w:r>
              <w:rPr>
                <w:b/>
                <w:bCs/>
                <w:sz w:val="16"/>
                <w:szCs w:val="16"/>
              </w:rPr>
              <w:t>4.446,60</w:t>
            </w:r>
          </w:p>
        </w:tc>
      </w:tr>
      <w:tr w:rsidR="00680BE3" w:rsidRPr="00C16D40" w14:paraId="387622EE" w14:textId="77777777" w:rsidTr="00BA5560">
        <w:trPr>
          <w:trHeight w:val="170"/>
        </w:trPr>
        <w:tc>
          <w:tcPr>
            <w:tcW w:w="3005" w:type="pct"/>
            <w:tcBorders>
              <w:top w:val="nil"/>
              <w:left w:val="nil"/>
              <w:bottom w:val="nil"/>
              <w:right w:val="nil"/>
            </w:tcBorders>
            <w:shd w:val="clear" w:color="auto" w:fill="auto"/>
            <w:vAlign w:val="center"/>
            <w:hideMark/>
          </w:tcPr>
          <w:p w14:paraId="40943C96" w14:textId="77777777" w:rsidR="00680BE3" w:rsidRPr="00C16D40" w:rsidRDefault="00680BE3" w:rsidP="00680BE3">
            <w:pPr>
              <w:pBdr>
                <w:top w:val="none" w:sz="0" w:space="0" w:color="auto"/>
                <w:left w:val="none" w:sz="0" w:space="0" w:color="auto"/>
                <w:bottom w:val="none" w:sz="0" w:space="0" w:color="auto"/>
                <w:right w:val="none" w:sz="0" w:space="0" w:color="auto"/>
                <w:between w:val="none" w:sz="0" w:space="0" w:color="auto"/>
                <w:bar w:val="none" w:sz="0" w:color="auto"/>
              </w:pBdr>
              <w:outlineLvl w:val="9"/>
              <w:rPr>
                <w:rFonts w:eastAsia="Times New Roman"/>
                <w:color w:val="auto"/>
                <w:sz w:val="16"/>
                <w:szCs w:val="16"/>
                <w:bdr w:val="none" w:sz="0" w:space="0" w:color="auto"/>
                <w:lang w:eastAsia="es-ES"/>
              </w:rPr>
            </w:pPr>
            <w:r w:rsidRPr="00C16D40">
              <w:rPr>
                <w:rFonts w:eastAsia="Times New Roman"/>
                <w:color w:val="auto"/>
                <w:sz w:val="16"/>
                <w:szCs w:val="16"/>
                <w:bdr w:val="none" w:sz="0" w:space="0" w:color="auto"/>
                <w:lang w:eastAsia="es-ES"/>
              </w:rPr>
              <w:t>- Emisión:</w:t>
            </w:r>
          </w:p>
        </w:tc>
        <w:tc>
          <w:tcPr>
            <w:tcW w:w="477" w:type="pct"/>
            <w:tcBorders>
              <w:top w:val="nil"/>
              <w:left w:val="nil"/>
              <w:bottom w:val="nil"/>
              <w:right w:val="nil"/>
            </w:tcBorders>
            <w:shd w:val="clear" w:color="auto" w:fill="auto"/>
            <w:noWrap/>
            <w:vAlign w:val="center"/>
            <w:hideMark/>
          </w:tcPr>
          <w:p w14:paraId="11E50AFB" w14:textId="77777777" w:rsidR="00680BE3" w:rsidRPr="00C16D40" w:rsidRDefault="00680BE3" w:rsidP="00680BE3">
            <w:pPr>
              <w:pBdr>
                <w:top w:val="none" w:sz="0" w:space="0" w:color="auto"/>
                <w:left w:val="none" w:sz="0" w:space="0" w:color="auto"/>
                <w:bottom w:val="none" w:sz="0" w:space="0" w:color="auto"/>
                <w:right w:val="none" w:sz="0" w:space="0" w:color="auto"/>
                <w:between w:val="none" w:sz="0" w:space="0" w:color="auto"/>
                <w:bar w:val="none" w:sz="0" w:color="auto"/>
              </w:pBdr>
              <w:jc w:val="center"/>
              <w:outlineLvl w:val="9"/>
              <w:rPr>
                <w:rFonts w:eastAsia="Times New Roman"/>
                <w:color w:val="auto"/>
                <w:sz w:val="16"/>
                <w:szCs w:val="16"/>
                <w:bdr w:val="none" w:sz="0" w:space="0" w:color="auto"/>
                <w:lang w:eastAsia="es-ES"/>
              </w:rPr>
            </w:pPr>
          </w:p>
        </w:tc>
        <w:tc>
          <w:tcPr>
            <w:tcW w:w="734" w:type="pct"/>
            <w:tcBorders>
              <w:top w:val="nil"/>
              <w:left w:val="nil"/>
              <w:bottom w:val="nil"/>
              <w:right w:val="nil"/>
            </w:tcBorders>
            <w:shd w:val="clear" w:color="auto" w:fill="auto"/>
            <w:vAlign w:val="center"/>
          </w:tcPr>
          <w:p w14:paraId="0FA0CDC7" w14:textId="77777777" w:rsidR="00680BE3" w:rsidRPr="00C16D40" w:rsidRDefault="00680BE3" w:rsidP="00680BE3">
            <w:pPr>
              <w:pBdr>
                <w:top w:val="none" w:sz="0" w:space="0" w:color="auto"/>
                <w:left w:val="none" w:sz="0" w:space="0" w:color="auto"/>
                <w:bottom w:val="none" w:sz="0" w:space="0" w:color="auto"/>
                <w:right w:val="none" w:sz="0" w:space="0" w:color="auto"/>
                <w:between w:val="none" w:sz="0" w:space="0" w:color="auto"/>
                <w:bar w:val="none" w:sz="0" w:color="auto"/>
              </w:pBdr>
              <w:jc w:val="right"/>
              <w:outlineLvl w:val="9"/>
              <w:rPr>
                <w:rFonts w:eastAsia="Times New Roman"/>
                <w:color w:val="auto"/>
                <w:sz w:val="16"/>
                <w:szCs w:val="16"/>
                <w:bdr w:val="none" w:sz="0" w:space="0" w:color="auto"/>
                <w:lang w:eastAsia="es-ES"/>
              </w:rPr>
            </w:pPr>
          </w:p>
        </w:tc>
        <w:tc>
          <w:tcPr>
            <w:tcW w:w="784" w:type="pct"/>
            <w:tcBorders>
              <w:top w:val="nil"/>
              <w:left w:val="nil"/>
              <w:bottom w:val="nil"/>
              <w:right w:val="nil"/>
            </w:tcBorders>
            <w:shd w:val="clear" w:color="auto" w:fill="auto"/>
            <w:vAlign w:val="center"/>
            <w:hideMark/>
          </w:tcPr>
          <w:p w14:paraId="2702FB79" w14:textId="77777777" w:rsidR="00680BE3" w:rsidRPr="00C16D40" w:rsidRDefault="00680BE3" w:rsidP="00680BE3">
            <w:pPr>
              <w:pBdr>
                <w:top w:val="none" w:sz="0" w:space="0" w:color="auto"/>
                <w:left w:val="none" w:sz="0" w:space="0" w:color="auto"/>
                <w:bottom w:val="none" w:sz="0" w:space="0" w:color="auto"/>
                <w:right w:val="none" w:sz="0" w:space="0" w:color="auto"/>
                <w:between w:val="none" w:sz="0" w:space="0" w:color="auto"/>
                <w:bar w:val="none" w:sz="0" w:color="auto"/>
              </w:pBdr>
              <w:jc w:val="right"/>
              <w:outlineLvl w:val="9"/>
              <w:rPr>
                <w:rFonts w:eastAsia="Times New Roman"/>
                <w:color w:val="auto"/>
                <w:sz w:val="16"/>
                <w:szCs w:val="16"/>
                <w:bdr w:val="none" w:sz="0" w:space="0" w:color="auto"/>
                <w:lang w:eastAsia="es-ES"/>
              </w:rPr>
            </w:pPr>
          </w:p>
        </w:tc>
      </w:tr>
      <w:tr w:rsidR="000D73AE" w:rsidRPr="00C16D40" w14:paraId="029C2607" w14:textId="77777777" w:rsidTr="00BA5560">
        <w:trPr>
          <w:trHeight w:val="170"/>
        </w:trPr>
        <w:tc>
          <w:tcPr>
            <w:tcW w:w="3005" w:type="pct"/>
            <w:tcBorders>
              <w:top w:val="nil"/>
              <w:left w:val="nil"/>
              <w:bottom w:val="nil"/>
              <w:right w:val="nil"/>
            </w:tcBorders>
            <w:shd w:val="clear" w:color="auto" w:fill="auto"/>
            <w:vAlign w:val="center"/>
            <w:hideMark/>
          </w:tcPr>
          <w:p w14:paraId="2726D35D" w14:textId="77777777" w:rsidR="000D73AE" w:rsidRPr="00C16D40" w:rsidRDefault="000D73AE" w:rsidP="000D73AE">
            <w:pPr>
              <w:pBdr>
                <w:top w:val="none" w:sz="0" w:space="0" w:color="auto"/>
                <w:left w:val="none" w:sz="0" w:space="0" w:color="auto"/>
                <w:bottom w:val="none" w:sz="0" w:space="0" w:color="auto"/>
                <w:right w:val="none" w:sz="0" w:space="0" w:color="auto"/>
                <w:between w:val="none" w:sz="0" w:space="0" w:color="auto"/>
                <w:bar w:val="none" w:sz="0" w:color="auto"/>
              </w:pBdr>
              <w:outlineLvl w:val="9"/>
              <w:rPr>
                <w:rFonts w:eastAsia="Times New Roman"/>
                <w:color w:val="auto"/>
                <w:sz w:val="16"/>
                <w:szCs w:val="16"/>
                <w:bdr w:val="none" w:sz="0" w:space="0" w:color="auto"/>
                <w:lang w:eastAsia="es-ES"/>
              </w:rPr>
            </w:pPr>
            <w:r w:rsidRPr="00C16D40">
              <w:rPr>
                <w:rFonts w:eastAsia="Times New Roman"/>
                <w:color w:val="auto"/>
                <w:sz w:val="16"/>
                <w:szCs w:val="16"/>
                <w:bdr w:val="none" w:sz="0" w:space="0" w:color="auto"/>
                <w:lang w:eastAsia="es-ES"/>
              </w:rPr>
              <w:t xml:space="preserve">    - Deudas con entidades de crédito</w:t>
            </w:r>
          </w:p>
        </w:tc>
        <w:tc>
          <w:tcPr>
            <w:tcW w:w="477" w:type="pct"/>
            <w:tcBorders>
              <w:top w:val="nil"/>
              <w:left w:val="nil"/>
              <w:bottom w:val="nil"/>
              <w:right w:val="nil"/>
            </w:tcBorders>
            <w:shd w:val="clear" w:color="auto" w:fill="auto"/>
            <w:noWrap/>
            <w:vAlign w:val="center"/>
            <w:hideMark/>
          </w:tcPr>
          <w:p w14:paraId="17875487" w14:textId="77777777" w:rsidR="000D73AE" w:rsidRPr="00C16D40" w:rsidRDefault="000D73AE" w:rsidP="000D73AE">
            <w:pPr>
              <w:pBdr>
                <w:top w:val="none" w:sz="0" w:space="0" w:color="auto"/>
                <w:left w:val="none" w:sz="0" w:space="0" w:color="auto"/>
                <w:bottom w:val="none" w:sz="0" w:space="0" w:color="auto"/>
                <w:right w:val="none" w:sz="0" w:space="0" w:color="auto"/>
                <w:between w:val="none" w:sz="0" w:space="0" w:color="auto"/>
                <w:bar w:val="none" w:sz="0" w:color="auto"/>
              </w:pBdr>
              <w:jc w:val="center"/>
              <w:outlineLvl w:val="9"/>
              <w:rPr>
                <w:rFonts w:eastAsia="Times New Roman"/>
                <w:color w:val="auto"/>
                <w:sz w:val="16"/>
                <w:szCs w:val="16"/>
                <w:bdr w:val="none" w:sz="0" w:space="0" w:color="auto"/>
                <w:lang w:eastAsia="es-ES"/>
              </w:rPr>
            </w:pPr>
          </w:p>
        </w:tc>
        <w:tc>
          <w:tcPr>
            <w:tcW w:w="734" w:type="pct"/>
            <w:tcBorders>
              <w:top w:val="nil"/>
              <w:left w:val="nil"/>
              <w:bottom w:val="nil"/>
              <w:right w:val="nil"/>
            </w:tcBorders>
            <w:shd w:val="clear" w:color="auto" w:fill="auto"/>
            <w:vAlign w:val="center"/>
          </w:tcPr>
          <w:p w14:paraId="6B8CFD7F" w14:textId="1BAAEA0F" w:rsidR="000D73AE" w:rsidRPr="00C16D40" w:rsidRDefault="000D73AE" w:rsidP="000D73AE">
            <w:pPr>
              <w:pBdr>
                <w:top w:val="none" w:sz="0" w:space="0" w:color="auto"/>
                <w:left w:val="none" w:sz="0" w:space="0" w:color="auto"/>
                <w:bottom w:val="none" w:sz="0" w:space="0" w:color="auto"/>
                <w:right w:val="none" w:sz="0" w:space="0" w:color="auto"/>
                <w:between w:val="none" w:sz="0" w:space="0" w:color="auto"/>
                <w:bar w:val="none" w:sz="0" w:color="auto"/>
              </w:pBdr>
              <w:jc w:val="right"/>
              <w:outlineLvl w:val="9"/>
              <w:rPr>
                <w:rFonts w:eastAsia="Times New Roman"/>
                <w:color w:val="auto"/>
                <w:sz w:val="16"/>
                <w:szCs w:val="16"/>
                <w:bdr w:val="none" w:sz="0" w:space="0" w:color="auto"/>
                <w:lang w:eastAsia="es-ES"/>
              </w:rPr>
            </w:pPr>
            <w:r>
              <w:rPr>
                <w:sz w:val="16"/>
                <w:szCs w:val="16"/>
              </w:rPr>
              <w:t xml:space="preserve"> -</w:t>
            </w:r>
          </w:p>
        </w:tc>
        <w:tc>
          <w:tcPr>
            <w:tcW w:w="784" w:type="pct"/>
            <w:tcBorders>
              <w:top w:val="nil"/>
              <w:left w:val="nil"/>
              <w:bottom w:val="nil"/>
              <w:right w:val="nil"/>
            </w:tcBorders>
            <w:shd w:val="clear" w:color="auto" w:fill="auto"/>
            <w:vAlign w:val="center"/>
            <w:hideMark/>
          </w:tcPr>
          <w:p w14:paraId="1AE5F2B1" w14:textId="25FF5AD1" w:rsidR="000D73AE" w:rsidRPr="00C16D40" w:rsidRDefault="000D73AE" w:rsidP="000D73AE">
            <w:pPr>
              <w:pBdr>
                <w:top w:val="none" w:sz="0" w:space="0" w:color="auto"/>
                <w:left w:val="none" w:sz="0" w:space="0" w:color="auto"/>
                <w:bottom w:val="none" w:sz="0" w:space="0" w:color="auto"/>
                <w:right w:val="none" w:sz="0" w:space="0" w:color="auto"/>
                <w:between w:val="none" w:sz="0" w:space="0" w:color="auto"/>
                <w:bar w:val="none" w:sz="0" w:color="auto"/>
              </w:pBdr>
              <w:jc w:val="right"/>
              <w:outlineLvl w:val="9"/>
              <w:rPr>
                <w:rFonts w:eastAsia="Times New Roman"/>
                <w:color w:val="auto"/>
                <w:sz w:val="16"/>
                <w:szCs w:val="16"/>
                <w:bdr w:val="none" w:sz="0" w:space="0" w:color="auto"/>
                <w:lang w:eastAsia="es-ES"/>
              </w:rPr>
            </w:pPr>
            <w:r>
              <w:rPr>
                <w:sz w:val="16"/>
                <w:szCs w:val="16"/>
              </w:rPr>
              <w:t xml:space="preserve"> -</w:t>
            </w:r>
          </w:p>
        </w:tc>
      </w:tr>
      <w:tr w:rsidR="000D73AE" w:rsidRPr="00C16D40" w14:paraId="5579E990" w14:textId="77777777" w:rsidTr="00BA5560">
        <w:trPr>
          <w:trHeight w:val="227"/>
        </w:trPr>
        <w:tc>
          <w:tcPr>
            <w:tcW w:w="3005" w:type="pct"/>
            <w:tcBorders>
              <w:top w:val="nil"/>
              <w:left w:val="nil"/>
              <w:bottom w:val="nil"/>
              <w:right w:val="nil"/>
            </w:tcBorders>
            <w:shd w:val="clear" w:color="auto" w:fill="auto"/>
            <w:vAlign w:val="center"/>
            <w:hideMark/>
          </w:tcPr>
          <w:p w14:paraId="3B6B9716" w14:textId="77777777" w:rsidR="000D73AE" w:rsidRPr="00C16D40" w:rsidRDefault="000D73AE" w:rsidP="000D73AE">
            <w:pPr>
              <w:pBdr>
                <w:top w:val="none" w:sz="0" w:space="0" w:color="auto"/>
                <w:left w:val="none" w:sz="0" w:space="0" w:color="auto"/>
                <w:bottom w:val="none" w:sz="0" w:space="0" w:color="auto"/>
                <w:right w:val="none" w:sz="0" w:space="0" w:color="auto"/>
                <w:between w:val="none" w:sz="0" w:space="0" w:color="auto"/>
                <w:bar w:val="none" w:sz="0" w:color="auto"/>
              </w:pBdr>
              <w:outlineLvl w:val="9"/>
              <w:rPr>
                <w:rFonts w:eastAsia="Times New Roman"/>
                <w:color w:val="auto"/>
                <w:sz w:val="16"/>
                <w:szCs w:val="16"/>
                <w:bdr w:val="none" w:sz="0" w:space="0" w:color="auto"/>
                <w:lang w:eastAsia="es-ES"/>
              </w:rPr>
            </w:pPr>
            <w:r w:rsidRPr="00C16D40">
              <w:rPr>
                <w:rFonts w:eastAsia="Times New Roman"/>
                <w:color w:val="auto"/>
                <w:sz w:val="16"/>
                <w:szCs w:val="16"/>
                <w:bdr w:val="none" w:sz="0" w:space="0" w:color="auto"/>
                <w:lang w:eastAsia="es-ES"/>
              </w:rPr>
              <w:t xml:space="preserve">    - Otras deudas</w:t>
            </w:r>
          </w:p>
        </w:tc>
        <w:tc>
          <w:tcPr>
            <w:tcW w:w="477" w:type="pct"/>
            <w:tcBorders>
              <w:top w:val="nil"/>
              <w:left w:val="nil"/>
              <w:bottom w:val="nil"/>
              <w:right w:val="nil"/>
            </w:tcBorders>
            <w:shd w:val="clear" w:color="auto" w:fill="auto"/>
            <w:noWrap/>
            <w:vAlign w:val="center"/>
            <w:hideMark/>
          </w:tcPr>
          <w:p w14:paraId="298FF7D8" w14:textId="77777777" w:rsidR="000D73AE" w:rsidRPr="00C16D40" w:rsidRDefault="000D73AE" w:rsidP="000D73AE">
            <w:pPr>
              <w:pBdr>
                <w:top w:val="none" w:sz="0" w:space="0" w:color="auto"/>
                <w:left w:val="none" w:sz="0" w:space="0" w:color="auto"/>
                <w:bottom w:val="none" w:sz="0" w:space="0" w:color="auto"/>
                <w:right w:val="none" w:sz="0" w:space="0" w:color="auto"/>
                <w:between w:val="none" w:sz="0" w:space="0" w:color="auto"/>
                <w:bar w:val="none" w:sz="0" w:color="auto"/>
              </w:pBdr>
              <w:jc w:val="center"/>
              <w:outlineLvl w:val="9"/>
              <w:rPr>
                <w:rFonts w:eastAsia="Times New Roman"/>
                <w:color w:val="auto"/>
                <w:sz w:val="16"/>
                <w:szCs w:val="16"/>
                <w:bdr w:val="none" w:sz="0" w:space="0" w:color="auto"/>
                <w:lang w:eastAsia="es-ES"/>
              </w:rPr>
            </w:pPr>
          </w:p>
        </w:tc>
        <w:tc>
          <w:tcPr>
            <w:tcW w:w="734" w:type="pct"/>
            <w:tcBorders>
              <w:top w:val="nil"/>
              <w:left w:val="nil"/>
              <w:bottom w:val="nil"/>
              <w:right w:val="nil"/>
            </w:tcBorders>
            <w:shd w:val="clear" w:color="auto" w:fill="auto"/>
            <w:vAlign w:val="center"/>
          </w:tcPr>
          <w:p w14:paraId="62DE4A87" w14:textId="06E1F4A1" w:rsidR="000D73AE" w:rsidRPr="00C16D40" w:rsidRDefault="000D73AE" w:rsidP="000D73AE">
            <w:pPr>
              <w:pBdr>
                <w:top w:val="none" w:sz="0" w:space="0" w:color="auto"/>
                <w:left w:val="none" w:sz="0" w:space="0" w:color="auto"/>
                <w:bottom w:val="none" w:sz="0" w:space="0" w:color="auto"/>
                <w:right w:val="none" w:sz="0" w:space="0" w:color="auto"/>
                <w:between w:val="none" w:sz="0" w:space="0" w:color="auto"/>
                <w:bar w:val="none" w:sz="0" w:color="auto"/>
              </w:pBdr>
              <w:jc w:val="right"/>
              <w:outlineLvl w:val="9"/>
              <w:rPr>
                <w:rFonts w:eastAsia="Times New Roman"/>
                <w:color w:val="auto"/>
                <w:sz w:val="16"/>
                <w:szCs w:val="16"/>
                <w:bdr w:val="none" w:sz="0" w:space="0" w:color="auto"/>
                <w:lang w:eastAsia="es-ES"/>
              </w:rPr>
            </w:pPr>
            <w:r>
              <w:rPr>
                <w:sz w:val="16"/>
                <w:szCs w:val="16"/>
              </w:rPr>
              <w:t>56.739,04</w:t>
            </w:r>
          </w:p>
        </w:tc>
        <w:tc>
          <w:tcPr>
            <w:tcW w:w="784" w:type="pct"/>
            <w:tcBorders>
              <w:top w:val="nil"/>
              <w:left w:val="nil"/>
              <w:bottom w:val="nil"/>
              <w:right w:val="nil"/>
            </w:tcBorders>
            <w:shd w:val="clear" w:color="auto" w:fill="auto"/>
            <w:vAlign w:val="center"/>
            <w:hideMark/>
          </w:tcPr>
          <w:p w14:paraId="04DE0BDE" w14:textId="0845885D" w:rsidR="000D73AE" w:rsidRPr="00C16D40" w:rsidRDefault="000D73AE" w:rsidP="000D73AE">
            <w:pPr>
              <w:pBdr>
                <w:top w:val="none" w:sz="0" w:space="0" w:color="auto"/>
                <w:left w:val="none" w:sz="0" w:space="0" w:color="auto"/>
                <w:bottom w:val="none" w:sz="0" w:space="0" w:color="auto"/>
                <w:right w:val="none" w:sz="0" w:space="0" w:color="auto"/>
                <w:between w:val="none" w:sz="0" w:space="0" w:color="auto"/>
                <w:bar w:val="none" w:sz="0" w:color="auto"/>
              </w:pBdr>
              <w:jc w:val="right"/>
              <w:outlineLvl w:val="9"/>
              <w:rPr>
                <w:rFonts w:eastAsia="Times New Roman"/>
                <w:color w:val="auto"/>
                <w:sz w:val="16"/>
                <w:szCs w:val="16"/>
                <w:bdr w:val="none" w:sz="0" w:space="0" w:color="auto"/>
                <w:lang w:eastAsia="es-ES"/>
              </w:rPr>
            </w:pPr>
            <w:r>
              <w:rPr>
                <w:sz w:val="16"/>
                <w:szCs w:val="16"/>
              </w:rPr>
              <w:t>5.209,82</w:t>
            </w:r>
          </w:p>
        </w:tc>
      </w:tr>
      <w:tr w:rsidR="00680BE3" w:rsidRPr="00C16D40" w14:paraId="7B7A4E69" w14:textId="77777777" w:rsidTr="00BA5560">
        <w:trPr>
          <w:trHeight w:val="170"/>
        </w:trPr>
        <w:tc>
          <w:tcPr>
            <w:tcW w:w="3005" w:type="pct"/>
            <w:tcBorders>
              <w:top w:val="nil"/>
              <w:left w:val="nil"/>
              <w:bottom w:val="nil"/>
              <w:right w:val="nil"/>
            </w:tcBorders>
            <w:shd w:val="clear" w:color="auto" w:fill="auto"/>
            <w:vAlign w:val="center"/>
            <w:hideMark/>
          </w:tcPr>
          <w:p w14:paraId="41020FB5" w14:textId="77777777" w:rsidR="00680BE3" w:rsidRPr="00C16D40" w:rsidRDefault="00680BE3" w:rsidP="00680BE3">
            <w:pPr>
              <w:pBdr>
                <w:top w:val="none" w:sz="0" w:space="0" w:color="auto"/>
                <w:left w:val="none" w:sz="0" w:space="0" w:color="auto"/>
                <w:bottom w:val="none" w:sz="0" w:space="0" w:color="auto"/>
                <w:right w:val="none" w:sz="0" w:space="0" w:color="auto"/>
                <w:between w:val="none" w:sz="0" w:space="0" w:color="auto"/>
                <w:bar w:val="none" w:sz="0" w:color="auto"/>
              </w:pBdr>
              <w:outlineLvl w:val="9"/>
              <w:rPr>
                <w:rFonts w:eastAsia="Times New Roman"/>
                <w:color w:val="auto"/>
                <w:sz w:val="16"/>
                <w:szCs w:val="16"/>
                <w:bdr w:val="none" w:sz="0" w:space="0" w:color="auto"/>
                <w:lang w:eastAsia="es-ES"/>
              </w:rPr>
            </w:pPr>
            <w:r w:rsidRPr="00C16D40">
              <w:rPr>
                <w:rFonts w:eastAsia="Times New Roman"/>
                <w:color w:val="auto"/>
                <w:sz w:val="16"/>
                <w:szCs w:val="16"/>
                <w:bdr w:val="none" w:sz="0" w:space="0" w:color="auto"/>
                <w:lang w:eastAsia="es-ES"/>
              </w:rPr>
              <w:t>- Devolución y amortización de:</w:t>
            </w:r>
          </w:p>
        </w:tc>
        <w:tc>
          <w:tcPr>
            <w:tcW w:w="477" w:type="pct"/>
            <w:tcBorders>
              <w:top w:val="nil"/>
              <w:left w:val="nil"/>
              <w:bottom w:val="nil"/>
              <w:right w:val="nil"/>
            </w:tcBorders>
            <w:shd w:val="clear" w:color="auto" w:fill="auto"/>
            <w:noWrap/>
            <w:vAlign w:val="bottom"/>
            <w:hideMark/>
          </w:tcPr>
          <w:p w14:paraId="072156CB" w14:textId="77777777" w:rsidR="00680BE3" w:rsidRPr="00C16D40" w:rsidRDefault="00680BE3" w:rsidP="00680BE3">
            <w:pPr>
              <w:pBdr>
                <w:top w:val="none" w:sz="0" w:space="0" w:color="auto"/>
                <w:left w:val="none" w:sz="0" w:space="0" w:color="auto"/>
                <w:bottom w:val="none" w:sz="0" w:space="0" w:color="auto"/>
                <w:right w:val="none" w:sz="0" w:space="0" w:color="auto"/>
                <w:between w:val="none" w:sz="0" w:space="0" w:color="auto"/>
                <w:bar w:val="none" w:sz="0" w:color="auto"/>
              </w:pBdr>
              <w:jc w:val="center"/>
              <w:outlineLvl w:val="9"/>
              <w:rPr>
                <w:rFonts w:eastAsia="Times New Roman"/>
                <w:color w:val="auto"/>
                <w:sz w:val="16"/>
                <w:szCs w:val="16"/>
                <w:bdr w:val="none" w:sz="0" w:space="0" w:color="auto"/>
                <w:lang w:eastAsia="es-ES"/>
              </w:rPr>
            </w:pPr>
          </w:p>
        </w:tc>
        <w:tc>
          <w:tcPr>
            <w:tcW w:w="734" w:type="pct"/>
            <w:tcBorders>
              <w:top w:val="nil"/>
              <w:left w:val="nil"/>
              <w:bottom w:val="nil"/>
              <w:right w:val="nil"/>
            </w:tcBorders>
            <w:shd w:val="clear" w:color="auto" w:fill="auto"/>
            <w:noWrap/>
            <w:vAlign w:val="center"/>
          </w:tcPr>
          <w:p w14:paraId="3F9CAA09" w14:textId="77777777" w:rsidR="00680BE3" w:rsidRPr="00C16D40" w:rsidRDefault="00680BE3" w:rsidP="00680BE3">
            <w:pPr>
              <w:pBdr>
                <w:top w:val="none" w:sz="0" w:space="0" w:color="auto"/>
                <w:left w:val="none" w:sz="0" w:space="0" w:color="auto"/>
                <w:bottom w:val="none" w:sz="0" w:space="0" w:color="auto"/>
                <w:right w:val="none" w:sz="0" w:space="0" w:color="auto"/>
                <w:between w:val="none" w:sz="0" w:space="0" w:color="auto"/>
                <w:bar w:val="none" w:sz="0" w:color="auto"/>
              </w:pBdr>
              <w:jc w:val="right"/>
              <w:outlineLvl w:val="9"/>
              <w:rPr>
                <w:rFonts w:eastAsia="Times New Roman"/>
                <w:color w:val="auto"/>
                <w:sz w:val="16"/>
                <w:szCs w:val="16"/>
                <w:bdr w:val="none" w:sz="0" w:space="0" w:color="auto"/>
                <w:lang w:eastAsia="es-ES"/>
              </w:rPr>
            </w:pPr>
          </w:p>
        </w:tc>
        <w:tc>
          <w:tcPr>
            <w:tcW w:w="784" w:type="pct"/>
            <w:tcBorders>
              <w:top w:val="nil"/>
              <w:left w:val="nil"/>
              <w:bottom w:val="nil"/>
              <w:right w:val="nil"/>
            </w:tcBorders>
            <w:shd w:val="clear" w:color="auto" w:fill="auto"/>
            <w:noWrap/>
            <w:vAlign w:val="center"/>
            <w:hideMark/>
          </w:tcPr>
          <w:p w14:paraId="7833EF90" w14:textId="77777777" w:rsidR="00680BE3" w:rsidRPr="00C16D40" w:rsidRDefault="00680BE3" w:rsidP="00680BE3">
            <w:pPr>
              <w:pBdr>
                <w:top w:val="none" w:sz="0" w:space="0" w:color="auto"/>
                <w:left w:val="none" w:sz="0" w:space="0" w:color="auto"/>
                <w:bottom w:val="none" w:sz="0" w:space="0" w:color="auto"/>
                <w:right w:val="none" w:sz="0" w:space="0" w:color="auto"/>
                <w:between w:val="none" w:sz="0" w:space="0" w:color="auto"/>
                <w:bar w:val="none" w:sz="0" w:color="auto"/>
              </w:pBdr>
              <w:outlineLvl w:val="9"/>
              <w:rPr>
                <w:rFonts w:eastAsia="Times New Roman"/>
                <w:color w:val="auto"/>
                <w:sz w:val="16"/>
                <w:szCs w:val="16"/>
                <w:bdr w:val="none" w:sz="0" w:space="0" w:color="auto"/>
                <w:lang w:eastAsia="es-ES"/>
              </w:rPr>
            </w:pPr>
          </w:p>
        </w:tc>
      </w:tr>
      <w:tr w:rsidR="00680BE3" w:rsidRPr="00C16D40" w14:paraId="3B7B5A3C" w14:textId="77777777" w:rsidTr="00BA5560">
        <w:trPr>
          <w:trHeight w:val="227"/>
        </w:trPr>
        <w:tc>
          <w:tcPr>
            <w:tcW w:w="3005" w:type="pct"/>
            <w:tcBorders>
              <w:top w:val="nil"/>
              <w:left w:val="nil"/>
              <w:bottom w:val="nil"/>
              <w:right w:val="nil"/>
            </w:tcBorders>
            <w:shd w:val="clear" w:color="auto" w:fill="auto"/>
            <w:vAlign w:val="center"/>
            <w:hideMark/>
          </w:tcPr>
          <w:p w14:paraId="35CF77E8" w14:textId="77777777" w:rsidR="00680BE3" w:rsidRPr="00C16D40" w:rsidRDefault="00680BE3" w:rsidP="00680BE3">
            <w:pPr>
              <w:pBdr>
                <w:top w:val="none" w:sz="0" w:space="0" w:color="auto"/>
                <w:left w:val="none" w:sz="0" w:space="0" w:color="auto"/>
                <w:bottom w:val="none" w:sz="0" w:space="0" w:color="auto"/>
                <w:right w:val="none" w:sz="0" w:space="0" w:color="auto"/>
                <w:between w:val="none" w:sz="0" w:space="0" w:color="auto"/>
                <w:bar w:val="none" w:sz="0" w:color="auto"/>
              </w:pBdr>
              <w:outlineLvl w:val="9"/>
              <w:rPr>
                <w:rFonts w:eastAsia="Times New Roman"/>
                <w:color w:val="auto"/>
                <w:sz w:val="16"/>
                <w:szCs w:val="16"/>
                <w:bdr w:val="none" w:sz="0" w:space="0" w:color="auto"/>
                <w:lang w:eastAsia="es-ES"/>
              </w:rPr>
            </w:pPr>
            <w:r w:rsidRPr="00C16D40">
              <w:rPr>
                <w:rFonts w:eastAsia="Times New Roman"/>
                <w:color w:val="auto"/>
                <w:sz w:val="16"/>
                <w:szCs w:val="16"/>
                <w:bdr w:val="none" w:sz="0" w:space="0" w:color="auto"/>
                <w:lang w:eastAsia="es-ES"/>
              </w:rPr>
              <w:t xml:space="preserve">    - Otras deudas</w:t>
            </w:r>
          </w:p>
        </w:tc>
        <w:tc>
          <w:tcPr>
            <w:tcW w:w="477" w:type="pct"/>
            <w:tcBorders>
              <w:top w:val="nil"/>
              <w:left w:val="nil"/>
              <w:bottom w:val="nil"/>
              <w:right w:val="nil"/>
            </w:tcBorders>
            <w:shd w:val="clear" w:color="auto" w:fill="auto"/>
            <w:noWrap/>
            <w:vAlign w:val="bottom"/>
            <w:hideMark/>
          </w:tcPr>
          <w:p w14:paraId="7337C09E" w14:textId="77777777" w:rsidR="00680BE3" w:rsidRPr="00C16D40" w:rsidRDefault="00680BE3" w:rsidP="00680BE3">
            <w:pPr>
              <w:pBdr>
                <w:top w:val="none" w:sz="0" w:space="0" w:color="auto"/>
                <w:left w:val="none" w:sz="0" w:space="0" w:color="auto"/>
                <w:bottom w:val="none" w:sz="0" w:space="0" w:color="auto"/>
                <w:right w:val="none" w:sz="0" w:space="0" w:color="auto"/>
                <w:between w:val="none" w:sz="0" w:space="0" w:color="auto"/>
                <w:bar w:val="none" w:sz="0" w:color="auto"/>
              </w:pBdr>
              <w:jc w:val="center"/>
              <w:outlineLvl w:val="9"/>
              <w:rPr>
                <w:rFonts w:eastAsia="Times New Roman"/>
                <w:color w:val="auto"/>
                <w:sz w:val="16"/>
                <w:szCs w:val="16"/>
                <w:bdr w:val="none" w:sz="0" w:space="0" w:color="auto"/>
                <w:lang w:eastAsia="es-ES"/>
              </w:rPr>
            </w:pPr>
          </w:p>
        </w:tc>
        <w:tc>
          <w:tcPr>
            <w:tcW w:w="734" w:type="pct"/>
            <w:tcBorders>
              <w:top w:val="nil"/>
              <w:left w:val="nil"/>
              <w:bottom w:val="nil"/>
              <w:right w:val="nil"/>
            </w:tcBorders>
            <w:shd w:val="clear" w:color="auto" w:fill="auto"/>
            <w:vAlign w:val="center"/>
          </w:tcPr>
          <w:p w14:paraId="4529A70B" w14:textId="0896ADC2" w:rsidR="00680BE3" w:rsidRPr="000D73AE" w:rsidRDefault="000D73AE" w:rsidP="000D73AE">
            <w:pPr>
              <w:pBdr>
                <w:top w:val="none" w:sz="0" w:space="0" w:color="auto"/>
                <w:left w:val="none" w:sz="0" w:space="0" w:color="auto"/>
                <w:bottom w:val="none" w:sz="0" w:space="0" w:color="auto"/>
                <w:right w:val="none" w:sz="0" w:space="0" w:color="auto"/>
                <w:between w:val="none" w:sz="0" w:space="0" w:color="auto"/>
                <w:bar w:val="none" w:sz="0" w:color="auto"/>
              </w:pBdr>
              <w:jc w:val="right"/>
              <w:outlineLvl w:val="9"/>
              <w:rPr>
                <w:rFonts w:eastAsia="Times New Roman"/>
                <w:color w:val="auto"/>
                <w:sz w:val="16"/>
                <w:szCs w:val="16"/>
                <w:bdr w:val="none" w:sz="0" w:space="0" w:color="auto"/>
                <w:lang w:eastAsia="es-ES"/>
              </w:rPr>
            </w:pPr>
            <w:r>
              <w:rPr>
                <w:sz w:val="16"/>
                <w:szCs w:val="16"/>
              </w:rPr>
              <w:t>(37,29)</w:t>
            </w:r>
          </w:p>
        </w:tc>
        <w:tc>
          <w:tcPr>
            <w:tcW w:w="784" w:type="pct"/>
            <w:tcBorders>
              <w:top w:val="nil"/>
              <w:left w:val="nil"/>
              <w:bottom w:val="nil"/>
              <w:right w:val="nil"/>
            </w:tcBorders>
            <w:shd w:val="clear" w:color="auto" w:fill="auto"/>
            <w:vAlign w:val="center"/>
            <w:hideMark/>
          </w:tcPr>
          <w:p w14:paraId="69FA1EC5" w14:textId="341299B8" w:rsidR="00680BE3" w:rsidRPr="00C16D40" w:rsidRDefault="00680BE3" w:rsidP="00680BE3">
            <w:pPr>
              <w:pBdr>
                <w:top w:val="none" w:sz="0" w:space="0" w:color="auto"/>
                <w:left w:val="none" w:sz="0" w:space="0" w:color="auto"/>
                <w:bottom w:val="none" w:sz="0" w:space="0" w:color="auto"/>
                <w:right w:val="none" w:sz="0" w:space="0" w:color="auto"/>
                <w:between w:val="none" w:sz="0" w:space="0" w:color="auto"/>
                <w:bar w:val="none" w:sz="0" w:color="auto"/>
              </w:pBdr>
              <w:jc w:val="right"/>
              <w:outlineLvl w:val="9"/>
              <w:rPr>
                <w:rFonts w:eastAsia="Times New Roman"/>
                <w:color w:val="auto"/>
                <w:sz w:val="16"/>
                <w:szCs w:val="16"/>
                <w:bdr w:val="none" w:sz="0" w:space="0" w:color="auto"/>
                <w:lang w:eastAsia="es-ES"/>
              </w:rPr>
            </w:pPr>
            <w:r>
              <w:rPr>
                <w:sz w:val="16"/>
                <w:szCs w:val="16"/>
              </w:rPr>
              <w:t>(763,22)</w:t>
            </w:r>
          </w:p>
        </w:tc>
      </w:tr>
      <w:tr w:rsidR="00680BE3" w:rsidRPr="00C16D40" w14:paraId="3AD4DA36" w14:textId="77777777" w:rsidTr="00BA5560">
        <w:trPr>
          <w:trHeight w:val="113"/>
        </w:trPr>
        <w:tc>
          <w:tcPr>
            <w:tcW w:w="3005" w:type="pct"/>
            <w:tcBorders>
              <w:top w:val="nil"/>
              <w:left w:val="nil"/>
              <w:bottom w:val="nil"/>
              <w:right w:val="nil"/>
            </w:tcBorders>
            <w:shd w:val="clear" w:color="auto" w:fill="auto"/>
            <w:noWrap/>
            <w:vAlign w:val="center"/>
            <w:hideMark/>
          </w:tcPr>
          <w:p w14:paraId="06419481" w14:textId="77777777" w:rsidR="00680BE3" w:rsidRPr="00C16D40" w:rsidRDefault="00680BE3" w:rsidP="00680BE3">
            <w:pPr>
              <w:pBdr>
                <w:top w:val="none" w:sz="0" w:space="0" w:color="auto"/>
                <w:left w:val="none" w:sz="0" w:space="0" w:color="auto"/>
                <w:bottom w:val="none" w:sz="0" w:space="0" w:color="auto"/>
                <w:right w:val="none" w:sz="0" w:space="0" w:color="auto"/>
                <w:between w:val="none" w:sz="0" w:space="0" w:color="auto"/>
                <w:bar w:val="none" w:sz="0" w:color="auto"/>
              </w:pBdr>
              <w:jc w:val="right"/>
              <w:outlineLvl w:val="9"/>
              <w:rPr>
                <w:rFonts w:eastAsia="Times New Roman"/>
                <w:color w:val="auto"/>
                <w:sz w:val="16"/>
                <w:szCs w:val="16"/>
                <w:bdr w:val="none" w:sz="0" w:space="0" w:color="auto"/>
                <w:lang w:eastAsia="es-ES"/>
              </w:rPr>
            </w:pPr>
          </w:p>
        </w:tc>
        <w:tc>
          <w:tcPr>
            <w:tcW w:w="477" w:type="pct"/>
            <w:tcBorders>
              <w:top w:val="nil"/>
              <w:left w:val="nil"/>
              <w:bottom w:val="nil"/>
              <w:right w:val="nil"/>
            </w:tcBorders>
            <w:shd w:val="clear" w:color="auto" w:fill="auto"/>
            <w:noWrap/>
            <w:vAlign w:val="center"/>
            <w:hideMark/>
          </w:tcPr>
          <w:p w14:paraId="1CEAD123" w14:textId="77777777" w:rsidR="00680BE3" w:rsidRPr="00C16D40" w:rsidRDefault="00680BE3" w:rsidP="00680BE3">
            <w:pPr>
              <w:pBdr>
                <w:top w:val="none" w:sz="0" w:space="0" w:color="auto"/>
                <w:left w:val="none" w:sz="0" w:space="0" w:color="auto"/>
                <w:bottom w:val="none" w:sz="0" w:space="0" w:color="auto"/>
                <w:right w:val="none" w:sz="0" w:space="0" w:color="auto"/>
                <w:between w:val="none" w:sz="0" w:space="0" w:color="auto"/>
                <w:bar w:val="none" w:sz="0" w:color="auto"/>
              </w:pBdr>
              <w:jc w:val="center"/>
              <w:outlineLvl w:val="9"/>
              <w:rPr>
                <w:rFonts w:eastAsia="Times New Roman"/>
                <w:color w:val="auto"/>
                <w:sz w:val="16"/>
                <w:szCs w:val="16"/>
                <w:bdr w:val="none" w:sz="0" w:space="0" w:color="auto"/>
                <w:lang w:eastAsia="es-ES"/>
              </w:rPr>
            </w:pPr>
          </w:p>
        </w:tc>
        <w:tc>
          <w:tcPr>
            <w:tcW w:w="734" w:type="pct"/>
            <w:tcBorders>
              <w:top w:val="nil"/>
              <w:left w:val="nil"/>
              <w:bottom w:val="nil"/>
              <w:right w:val="nil"/>
            </w:tcBorders>
            <w:shd w:val="clear" w:color="auto" w:fill="auto"/>
            <w:noWrap/>
            <w:vAlign w:val="center"/>
          </w:tcPr>
          <w:p w14:paraId="1C8EB130" w14:textId="77777777" w:rsidR="00680BE3" w:rsidRPr="00C16D40" w:rsidRDefault="00680BE3" w:rsidP="00680BE3">
            <w:pPr>
              <w:pBdr>
                <w:top w:val="none" w:sz="0" w:space="0" w:color="auto"/>
                <w:left w:val="none" w:sz="0" w:space="0" w:color="auto"/>
                <w:bottom w:val="none" w:sz="0" w:space="0" w:color="auto"/>
                <w:right w:val="none" w:sz="0" w:space="0" w:color="auto"/>
                <w:between w:val="none" w:sz="0" w:space="0" w:color="auto"/>
                <w:bar w:val="none" w:sz="0" w:color="auto"/>
              </w:pBdr>
              <w:jc w:val="right"/>
              <w:outlineLvl w:val="9"/>
              <w:rPr>
                <w:rFonts w:eastAsia="Times New Roman"/>
                <w:color w:val="auto"/>
                <w:sz w:val="16"/>
                <w:szCs w:val="16"/>
                <w:bdr w:val="none" w:sz="0" w:space="0" w:color="auto"/>
                <w:lang w:eastAsia="es-ES"/>
              </w:rPr>
            </w:pPr>
          </w:p>
        </w:tc>
        <w:tc>
          <w:tcPr>
            <w:tcW w:w="784" w:type="pct"/>
            <w:tcBorders>
              <w:top w:val="nil"/>
              <w:left w:val="nil"/>
              <w:bottom w:val="nil"/>
              <w:right w:val="nil"/>
            </w:tcBorders>
            <w:shd w:val="clear" w:color="auto" w:fill="auto"/>
            <w:noWrap/>
            <w:vAlign w:val="center"/>
            <w:hideMark/>
          </w:tcPr>
          <w:p w14:paraId="29303E5A" w14:textId="77777777" w:rsidR="00680BE3" w:rsidRPr="00C16D40" w:rsidRDefault="00680BE3" w:rsidP="00680BE3">
            <w:pPr>
              <w:pBdr>
                <w:top w:val="none" w:sz="0" w:space="0" w:color="auto"/>
                <w:left w:val="none" w:sz="0" w:space="0" w:color="auto"/>
                <w:bottom w:val="none" w:sz="0" w:space="0" w:color="auto"/>
                <w:right w:val="none" w:sz="0" w:space="0" w:color="auto"/>
                <w:between w:val="none" w:sz="0" w:space="0" w:color="auto"/>
                <w:bar w:val="none" w:sz="0" w:color="auto"/>
              </w:pBdr>
              <w:jc w:val="right"/>
              <w:outlineLvl w:val="9"/>
              <w:rPr>
                <w:rFonts w:eastAsia="Times New Roman"/>
                <w:color w:val="auto"/>
                <w:sz w:val="16"/>
                <w:szCs w:val="16"/>
                <w:bdr w:val="none" w:sz="0" w:space="0" w:color="auto"/>
                <w:lang w:eastAsia="es-ES"/>
              </w:rPr>
            </w:pPr>
          </w:p>
        </w:tc>
      </w:tr>
      <w:tr w:rsidR="00680BE3" w:rsidRPr="00C16D40" w14:paraId="35759CD6" w14:textId="77777777" w:rsidTr="00BA5560">
        <w:trPr>
          <w:trHeight w:val="227"/>
        </w:trPr>
        <w:tc>
          <w:tcPr>
            <w:tcW w:w="3005" w:type="pct"/>
            <w:tcBorders>
              <w:top w:val="single" w:sz="4" w:space="0" w:color="auto"/>
              <w:left w:val="nil"/>
              <w:bottom w:val="single" w:sz="4" w:space="0" w:color="auto"/>
              <w:right w:val="nil"/>
            </w:tcBorders>
            <w:shd w:val="clear" w:color="auto" w:fill="F2F2F2" w:themeFill="background1" w:themeFillShade="F2"/>
            <w:vAlign w:val="center"/>
            <w:hideMark/>
          </w:tcPr>
          <w:p w14:paraId="12C42974" w14:textId="77777777" w:rsidR="00680BE3" w:rsidRPr="00C16D40" w:rsidRDefault="00680BE3" w:rsidP="00680BE3">
            <w:pPr>
              <w:pBdr>
                <w:top w:val="none" w:sz="0" w:space="0" w:color="auto"/>
                <w:left w:val="none" w:sz="0" w:space="0" w:color="auto"/>
                <w:bottom w:val="none" w:sz="0" w:space="0" w:color="auto"/>
                <w:right w:val="none" w:sz="0" w:space="0" w:color="auto"/>
                <w:between w:val="none" w:sz="0" w:space="0" w:color="auto"/>
                <w:bar w:val="none" w:sz="0" w:color="auto"/>
              </w:pBdr>
              <w:outlineLvl w:val="9"/>
              <w:rPr>
                <w:rFonts w:eastAsia="Times New Roman"/>
                <w:b/>
                <w:bCs/>
                <w:color w:val="auto"/>
                <w:sz w:val="16"/>
                <w:szCs w:val="16"/>
                <w:bdr w:val="none" w:sz="0" w:space="0" w:color="auto"/>
                <w:lang w:eastAsia="es-ES"/>
              </w:rPr>
            </w:pPr>
            <w:r w:rsidRPr="00C16D40">
              <w:rPr>
                <w:rFonts w:eastAsia="Times New Roman"/>
                <w:b/>
                <w:bCs/>
                <w:color w:val="auto"/>
                <w:sz w:val="16"/>
                <w:szCs w:val="16"/>
                <w:bdr w:val="none" w:sz="0" w:space="0" w:color="auto"/>
                <w:lang w:eastAsia="es-ES"/>
              </w:rPr>
              <w:t>AUMENTO/DISMINUCIÓN NETA DEL EFECTIVO O EQUIVALENTES</w:t>
            </w:r>
          </w:p>
        </w:tc>
        <w:tc>
          <w:tcPr>
            <w:tcW w:w="477" w:type="pct"/>
            <w:tcBorders>
              <w:top w:val="single" w:sz="4" w:space="0" w:color="auto"/>
              <w:left w:val="nil"/>
              <w:bottom w:val="single" w:sz="4" w:space="0" w:color="auto"/>
              <w:right w:val="nil"/>
            </w:tcBorders>
            <w:shd w:val="clear" w:color="auto" w:fill="F2F2F2" w:themeFill="background1" w:themeFillShade="F2"/>
            <w:vAlign w:val="center"/>
            <w:hideMark/>
          </w:tcPr>
          <w:p w14:paraId="0A7706D5" w14:textId="56B3E53D" w:rsidR="00680BE3" w:rsidRPr="00C16D40" w:rsidRDefault="00680BE3" w:rsidP="00680BE3">
            <w:pPr>
              <w:pBdr>
                <w:top w:val="none" w:sz="0" w:space="0" w:color="auto"/>
                <w:left w:val="none" w:sz="0" w:space="0" w:color="auto"/>
                <w:bottom w:val="none" w:sz="0" w:space="0" w:color="auto"/>
                <w:right w:val="none" w:sz="0" w:space="0" w:color="auto"/>
                <w:between w:val="none" w:sz="0" w:space="0" w:color="auto"/>
                <w:bar w:val="none" w:sz="0" w:color="auto"/>
              </w:pBdr>
              <w:jc w:val="center"/>
              <w:outlineLvl w:val="9"/>
              <w:rPr>
                <w:rFonts w:eastAsia="Times New Roman"/>
                <w:b/>
                <w:bCs/>
                <w:color w:val="auto"/>
                <w:sz w:val="16"/>
                <w:szCs w:val="16"/>
                <w:bdr w:val="none" w:sz="0" w:space="0" w:color="auto"/>
                <w:lang w:eastAsia="es-ES"/>
              </w:rPr>
            </w:pPr>
          </w:p>
        </w:tc>
        <w:tc>
          <w:tcPr>
            <w:tcW w:w="734" w:type="pct"/>
            <w:tcBorders>
              <w:top w:val="single" w:sz="4" w:space="0" w:color="auto"/>
              <w:left w:val="nil"/>
              <w:bottom w:val="single" w:sz="4" w:space="0" w:color="auto"/>
              <w:right w:val="nil"/>
            </w:tcBorders>
            <w:shd w:val="clear" w:color="auto" w:fill="F2F2F2" w:themeFill="background1" w:themeFillShade="F2"/>
            <w:vAlign w:val="center"/>
          </w:tcPr>
          <w:p w14:paraId="2CFD651C" w14:textId="10CFBF27" w:rsidR="00680BE3" w:rsidRPr="00C16D40" w:rsidRDefault="000D73AE" w:rsidP="00680BE3">
            <w:pPr>
              <w:pBdr>
                <w:top w:val="none" w:sz="0" w:space="0" w:color="auto"/>
                <w:left w:val="none" w:sz="0" w:space="0" w:color="auto"/>
                <w:bottom w:val="none" w:sz="0" w:space="0" w:color="auto"/>
                <w:right w:val="none" w:sz="0" w:space="0" w:color="auto"/>
                <w:between w:val="none" w:sz="0" w:space="0" w:color="auto"/>
                <w:bar w:val="none" w:sz="0" w:color="auto"/>
              </w:pBdr>
              <w:jc w:val="right"/>
              <w:outlineLvl w:val="9"/>
              <w:rPr>
                <w:rFonts w:eastAsia="Times New Roman"/>
                <w:b/>
                <w:bCs/>
                <w:sz w:val="16"/>
                <w:szCs w:val="16"/>
                <w:bdr w:val="none" w:sz="0" w:space="0" w:color="auto"/>
                <w:lang w:eastAsia="es-ES"/>
              </w:rPr>
            </w:pPr>
            <w:r>
              <w:rPr>
                <w:rFonts w:eastAsia="Times New Roman"/>
                <w:b/>
                <w:bCs/>
                <w:sz w:val="16"/>
                <w:szCs w:val="16"/>
                <w:bdr w:val="none" w:sz="0" w:space="0" w:color="auto"/>
                <w:lang w:eastAsia="es-ES"/>
              </w:rPr>
              <w:t>(1.735.381,40)</w:t>
            </w:r>
          </w:p>
        </w:tc>
        <w:tc>
          <w:tcPr>
            <w:tcW w:w="784" w:type="pct"/>
            <w:tcBorders>
              <w:top w:val="single" w:sz="4" w:space="0" w:color="auto"/>
              <w:left w:val="nil"/>
              <w:bottom w:val="single" w:sz="4" w:space="0" w:color="auto"/>
              <w:right w:val="nil"/>
            </w:tcBorders>
            <w:shd w:val="clear" w:color="auto" w:fill="F2F2F2" w:themeFill="background1" w:themeFillShade="F2"/>
            <w:vAlign w:val="center"/>
            <w:hideMark/>
          </w:tcPr>
          <w:p w14:paraId="101CA1BE" w14:textId="3CEEEDF0" w:rsidR="00680BE3" w:rsidRPr="00C16D40" w:rsidRDefault="00680BE3" w:rsidP="00680BE3">
            <w:pPr>
              <w:pBdr>
                <w:top w:val="none" w:sz="0" w:space="0" w:color="auto"/>
                <w:left w:val="none" w:sz="0" w:space="0" w:color="auto"/>
                <w:bottom w:val="none" w:sz="0" w:space="0" w:color="auto"/>
                <w:right w:val="none" w:sz="0" w:space="0" w:color="auto"/>
                <w:between w:val="none" w:sz="0" w:space="0" w:color="auto"/>
                <w:bar w:val="none" w:sz="0" w:color="auto"/>
              </w:pBdr>
              <w:jc w:val="right"/>
              <w:outlineLvl w:val="9"/>
              <w:rPr>
                <w:rFonts w:eastAsia="Times New Roman"/>
                <w:b/>
                <w:bCs/>
                <w:color w:val="auto"/>
                <w:sz w:val="16"/>
                <w:szCs w:val="16"/>
                <w:bdr w:val="none" w:sz="0" w:space="0" w:color="auto"/>
                <w:lang w:eastAsia="es-ES"/>
              </w:rPr>
            </w:pPr>
            <w:r>
              <w:rPr>
                <w:b/>
                <w:bCs/>
                <w:sz w:val="16"/>
                <w:szCs w:val="16"/>
              </w:rPr>
              <w:t>(5.648.908,67)</w:t>
            </w:r>
          </w:p>
        </w:tc>
      </w:tr>
      <w:tr w:rsidR="00680BE3" w:rsidRPr="00C16D40" w14:paraId="2D41B551" w14:textId="77777777" w:rsidTr="00BA5560">
        <w:trPr>
          <w:trHeight w:val="227"/>
        </w:trPr>
        <w:tc>
          <w:tcPr>
            <w:tcW w:w="3482" w:type="pct"/>
            <w:gridSpan w:val="2"/>
            <w:tcBorders>
              <w:top w:val="single" w:sz="4" w:space="0" w:color="auto"/>
              <w:left w:val="nil"/>
              <w:right w:val="nil"/>
            </w:tcBorders>
            <w:shd w:val="clear" w:color="auto" w:fill="auto"/>
            <w:noWrap/>
            <w:vAlign w:val="center"/>
            <w:hideMark/>
          </w:tcPr>
          <w:p w14:paraId="7C0E9B06" w14:textId="77777777" w:rsidR="00680BE3" w:rsidRPr="00C16D40" w:rsidRDefault="00680BE3" w:rsidP="00680BE3">
            <w:pPr>
              <w:pBdr>
                <w:top w:val="none" w:sz="0" w:space="0" w:color="auto"/>
                <w:left w:val="none" w:sz="0" w:space="0" w:color="auto"/>
                <w:bottom w:val="none" w:sz="0" w:space="0" w:color="auto"/>
                <w:right w:val="none" w:sz="0" w:space="0" w:color="auto"/>
                <w:between w:val="none" w:sz="0" w:space="0" w:color="auto"/>
                <w:bar w:val="none" w:sz="0" w:color="auto"/>
              </w:pBdr>
              <w:outlineLvl w:val="9"/>
              <w:rPr>
                <w:rFonts w:eastAsia="Times New Roman"/>
                <w:color w:val="auto"/>
                <w:sz w:val="16"/>
                <w:szCs w:val="16"/>
                <w:bdr w:val="none" w:sz="0" w:space="0" w:color="auto"/>
                <w:lang w:eastAsia="es-ES"/>
              </w:rPr>
            </w:pPr>
            <w:r w:rsidRPr="00C16D40">
              <w:rPr>
                <w:rFonts w:eastAsia="Times New Roman"/>
                <w:color w:val="auto"/>
                <w:sz w:val="16"/>
                <w:szCs w:val="16"/>
                <w:bdr w:val="none" w:sz="0" w:space="0" w:color="auto"/>
                <w:lang w:eastAsia="es-ES"/>
              </w:rPr>
              <w:t>Efectivo o equivalentes al comienzo del ejercicio</w:t>
            </w:r>
          </w:p>
        </w:tc>
        <w:tc>
          <w:tcPr>
            <w:tcW w:w="734" w:type="pct"/>
            <w:tcBorders>
              <w:top w:val="nil"/>
              <w:left w:val="nil"/>
              <w:right w:val="nil"/>
            </w:tcBorders>
            <w:shd w:val="clear" w:color="auto" w:fill="auto"/>
            <w:vAlign w:val="center"/>
          </w:tcPr>
          <w:p w14:paraId="550498D5" w14:textId="28B64AC6" w:rsidR="00680BE3" w:rsidRPr="00C16D40" w:rsidRDefault="000D73AE" w:rsidP="00680BE3">
            <w:pPr>
              <w:pBdr>
                <w:top w:val="none" w:sz="0" w:space="0" w:color="auto"/>
                <w:left w:val="none" w:sz="0" w:space="0" w:color="auto"/>
                <w:bottom w:val="none" w:sz="0" w:space="0" w:color="auto"/>
                <w:right w:val="none" w:sz="0" w:space="0" w:color="auto"/>
                <w:between w:val="none" w:sz="0" w:space="0" w:color="auto"/>
                <w:bar w:val="none" w:sz="0" w:color="auto"/>
              </w:pBdr>
              <w:jc w:val="right"/>
              <w:outlineLvl w:val="9"/>
              <w:rPr>
                <w:rFonts w:eastAsia="Times New Roman"/>
                <w:color w:val="auto"/>
                <w:sz w:val="16"/>
                <w:szCs w:val="16"/>
                <w:bdr w:val="none" w:sz="0" w:space="0" w:color="auto"/>
                <w:lang w:eastAsia="es-ES"/>
              </w:rPr>
            </w:pPr>
            <w:r>
              <w:rPr>
                <w:rFonts w:eastAsia="Times New Roman"/>
                <w:color w:val="auto"/>
                <w:sz w:val="16"/>
                <w:szCs w:val="16"/>
                <w:bdr w:val="none" w:sz="0" w:space="0" w:color="auto"/>
                <w:lang w:eastAsia="es-ES"/>
              </w:rPr>
              <w:t>15.215.512,78</w:t>
            </w:r>
          </w:p>
        </w:tc>
        <w:tc>
          <w:tcPr>
            <w:tcW w:w="784" w:type="pct"/>
            <w:tcBorders>
              <w:top w:val="nil"/>
              <w:left w:val="nil"/>
              <w:right w:val="nil"/>
            </w:tcBorders>
            <w:shd w:val="clear" w:color="auto" w:fill="auto"/>
            <w:vAlign w:val="center"/>
            <w:hideMark/>
          </w:tcPr>
          <w:p w14:paraId="2C6802D7" w14:textId="0603337A" w:rsidR="00680BE3" w:rsidRPr="00C16D40" w:rsidRDefault="00BD2F87" w:rsidP="00680BE3">
            <w:pPr>
              <w:pBdr>
                <w:top w:val="none" w:sz="0" w:space="0" w:color="auto"/>
                <w:left w:val="none" w:sz="0" w:space="0" w:color="auto"/>
                <w:bottom w:val="none" w:sz="0" w:space="0" w:color="auto"/>
                <w:right w:val="none" w:sz="0" w:space="0" w:color="auto"/>
                <w:between w:val="none" w:sz="0" w:space="0" w:color="auto"/>
                <w:bar w:val="none" w:sz="0" w:color="auto"/>
              </w:pBdr>
              <w:jc w:val="right"/>
              <w:outlineLvl w:val="9"/>
              <w:rPr>
                <w:rFonts w:eastAsia="Times New Roman"/>
                <w:color w:val="auto"/>
                <w:sz w:val="16"/>
                <w:szCs w:val="16"/>
                <w:bdr w:val="none" w:sz="0" w:space="0" w:color="auto"/>
                <w:lang w:eastAsia="es-ES"/>
              </w:rPr>
            </w:pPr>
            <w:r>
              <w:rPr>
                <w:sz w:val="16"/>
                <w:szCs w:val="16"/>
              </w:rPr>
              <w:t>20.864.421,45</w:t>
            </w:r>
          </w:p>
        </w:tc>
      </w:tr>
      <w:tr w:rsidR="00680BE3" w:rsidRPr="00C16D40" w14:paraId="2733E43C" w14:textId="77777777" w:rsidTr="00BA5560">
        <w:trPr>
          <w:trHeight w:val="227"/>
        </w:trPr>
        <w:tc>
          <w:tcPr>
            <w:tcW w:w="3005" w:type="pct"/>
            <w:tcBorders>
              <w:top w:val="nil"/>
              <w:left w:val="nil"/>
              <w:bottom w:val="single" w:sz="4" w:space="0" w:color="auto"/>
              <w:right w:val="nil"/>
            </w:tcBorders>
            <w:shd w:val="clear" w:color="auto" w:fill="auto"/>
            <w:noWrap/>
            <w:vAlign w:val="center"/>
            <w:hideMark/>
          </w:tcPr>
          <w:p w14:paraId="4CD5BBA4" w14:textId="77777777" w:rsidR="00680BE3" w:rsidRPr="00C16D40" w:rsidRDefault="00680BE3" w:rsidP="00680BE3">
            <w:pPr>
              <w:pBdr>
                <w:top w:val="none" w:sz="0" w:space="0" w:color="auto"/>
                <w:left w:val="none" w:sz="0" w:space="0" w:color="auto"/>
                <w:bottom w:val="none" w:sz="0" w:space="0" w:color="auto"/>
                <w:right w:val="none" w:sz="0" w:space="0" w:color="auto"/>
                <w:between w:val="none" w:sz="0" w:space="0" w:color="auto"/>
                <w:bar w:val="none" w:sz="0" w:color="auto"/>
              </w:pBdr>
              <w:outlineLvl w:val="9"/>
              <w:rPr>
                <w:rFonts w:eastAsia="Times New Roman"/>
                <w:color w:val="auto"/>
                <w:sz w:val="16"/>
                <w:szCs w:val="16"/>
                <w:bdr w:val="none" w:sz="0" w:space="0" w:color="auto"/>
                <w:lang w:eastAsia="es-ES"/>
              </w:rPr>
            </w:pPr>
            <w:r w:rsidRPr="00C16D40">
              <w:rPr>
                <w:rFonts w:eastAsia="Times New Roman"/>
                <w:color w:val="auto"/>
                <w:sz w:val="16"/>
                <w:szCs w:val="16"/>
                <w:bdr w:val="none" w:sz="0" w:space="0" w:color="auto"/>
                <w:lang w:eastAsia="es-ES"/>
              </w:rPr>
              <w:t>Efectivo o equivalentes al final del ejercicio</w:t>
            </w:r>
          </w:p>
        </w:tc>
        <w:tc>
          <w:tcPr>
            <w:tcW w:w="477" w:type="pct"/>
            <w:tcBorders>
              <w:top w:val="nil"/>
              <w:left w:val="nil"/>
              <w:bottom w:val="single" w:sz="4" w:space="0" w:color="auto"/>
              <w:right w:val="nil"/>
            </w:tcBorders>
            <w:shd w:val="clear" w:color="auto" w:fill="auto"/>
            <w:noWrap/>
            <w:vAlign w:val="center"/>
            <w:hideMark/>
          </w:tcPr>
          <w:p w14:paraId="3E8C6CE7" w14:textId="77777777" w:rsidR="00680BE3" w:rsidRPr="00C16D40" w:rsidRDefault="00680BE3" w:rsidP="00680BE3">
            <w:pPr>
              <w:pBdr>
                <w:top w:val="none" w:sz="0" w:space="0" w:color="auto"/>
                <w:left w:val="none" w:sz="0" w:space="0" w:color="auto"/>
                <w:bottom w:val="none" w:sz="0" w:space="0" w:color="auto"/>
                <w:right w:val="none" w:sz="0" w:space="0" w:color="auto"/>
                <w:between w:val="none" w:sz="0" w:space="0" w:color="auto"/>
                <w:bar w:val="none" w:sz="0" w:color="auto"/>
              </w:pBdr>
              <w:outlineLvl w:val="9"/>
              <w:rPr>
                <w:rFonts w:eastAsia="Times New Roman"/>
                <w:color w:val="auto"/>
                <w:sz w:val="16"/>
                <w:szCs w:val="16"/>
                <w:bdr w:val="none" w:sz="0" w:space="0" w:color="auto"/>
                <w:lang w:eastAsia="es-ES"/>
              </w:rPr>
            </w:pPr>
            <w:r w:rsidRPr="00C16D40">
              <w:rPr>
                <w:rFonts w:eastAsia="Times New Roman"/>
                <w:color w:val="auto"/>
                <w:sz w:val="16"/>
                <w:szCs w:val="16"/>
                <w:bdr w:val="none" w:sz="0" w:space="0" w:color="auto"/>
                <w:lang w:eastAsia="es-ES"/>
              </w:rPr>
              <w:t> </w:t>
            </w:r>
          </w:p>
        </w:tc>
        <w:tc>
          <w:tcPr>
            <w:tcW w:w="734" w:type="pct"/>
            <w:tcBorders>
              <w:top w:val="nil"/>
              <w:left w:val="nil"/>
              <w:bottom w:val="single" w:sz="4" w:space="0" w:color="auto"/>
              <w:right w:val="nil"/>
            </w:tcBorders>
            <w:shd w:val="clear" w:color="auto" w:fill="auto"/>
            <w:vAlign w:val="center"/>
          </w:tcPr>
          <w:p w14:paraId="619C1BD4" w14:textId="0A07A4D2" w:rsidR="00680BE3" w:rsidRPr="00C16D40" w:rsidRDefault="000D73AE" w:rsidP="00680BE3">
            <w:pPr>
              <w:pBdr>
                <w:top w:val="none" w:sz="0" w:space="0" w:color="auto"/>
                <w:left w:val="none" w:sz="0" w:space="0" w:color="auto"/>
                <w:bottom w:val="none" w:sz="0" w:space="0" w:color="auto"/>
                <w:right w:val="none" w:sz="0" w:space="0" w:color="auto"/>
                <w:between w:val="none" w:sz="0" w:space="0" w:color="auto"/>
                <w:bar w:val="none" w:sz="0" w:color="auto"/>
              </w:pBdr>
              <w:jc w:val="right"/>
              <w:outlineLvl w:val="9"/>
              <w:rPr>
                <w:rFonts w:eastAsia="Times New Roman"/>
                <w:color w:val="auto"/>
                <w:sz w:val="16"/>
                <w:szCs w:val="16"/>
                <w:bdr w:val="none" w:sz="0" w:space="0" w:color="auto"/>
                <w:lang w:eastAsia="es-ES"/>
              </w:rPr>
            </w:pPr>
            <w:r>
              <w:rPr>
                <w:rFonts w:eastAsia="Times New Roman"/>
                <w:color w:val="auto"/>
                <w:sz w:val="16"/>
                <w:szCs w:val="16"/>
                <w:bdr w:val="none" w:sz="0" w:space="0" w:color="auto"/>
                <w:lang w:eastAsia="es-ES"/>
              </w:rPr>
              <w:t>13.480.131,38</w:t>
            </w:r>
          </w:p>
        </w:tc>
        <w:tc>
          <w:tcPr>
            <w:tcW w:w="784" w:type="pct"/>
            <w:tcBorders>
              <w:top w:val="nil"/>
              <w:left w:val="nil"/>
              <w:bottom w:val="single" w:sz="4" w:space="0" w:color="auto"/>
              <w:right w:val="nil"/>
            </w:tcBorders>
            <w:shd w:val="clear" w:color="auto" w:fill="auto"/>
            <w:vAlign w:val="center"/>
            <w:hideMark/>
          </w:tcPr>
          <w:p w14:paraId="3CE48E4D" w14:textId="48BD3319" w:rsidR="00680BE3" w:rsidRPr="00C16D40" w:rsidRDefault="00680BE3" w:rsidP="00680BE3">
            <w:pPr>
              <w:pBdr>
                <w:top w:val="none" w:sz="0" w:space="0" w:color="auto"/>
                <w:left w:val="none" w:sz="0" w:space="0" w:color="auto"/>
                <w:bottom w:val="none" w:sz="0" w:space="0" w:color="auto"/>
                <w:right w:val="none" w:sz="0" w:space="0" w:color="auto"/>
                <w:between w:val="none" w:sz="0" w:space="0" w:color="auto"/>
                <w:bar w:val="none" w:sz="0" w:color="auto"/>
              </w:pBdr>
              <w:jc w:val="right"/>
              <w:outlineLvl w:val="9"/>
              <w:rPr>
                <w:rFonts w:eastAsia="Times New Roman"/>
                <w:color w:val="auto"/>
                <w:sz w:val="16"/>
                <w:szCs w:val="16"/>
                <w:bdr w:val="none" w:sz="0" w:space="0" w:color="auto"/>
                <w:lang w:eastAsia="es-ES"/>
              </w:rPr>
            </w:pPr>
            <w:r>
              <w:rPr>
                <w:rFonts w:eastAsia="Times New Roman"/>
                <w:color w:val="auto"/>
                <w:sz w:val="16"/>
                <w:szCs w:val="16"/>
                <w:bdr w:val="none" w:sz="0" w:space="0" w:color="auto"/>
                <w:lang w:eastAsia="es-ES"/>
              </w:rPr>
              <w:t>15.215.512,78</w:t>
            </w:r>
          </w:p>
        </w:tc>
      </w:tr>
    </w:tbl>
    <w:p w14:paraId="156AA5ED" w14:textId="77777777" w:rsidR="00052BF5" w:rsidRPr="00C16D40" w:rsidRDefault="006220A2" w:rsidP="00BA5560">
      <w:pPr>
        <w:widowControl w:val="0"/>
        <w:tabs>
          <w:tab w:val="left" w:pos="737"/>
          <w:tab w:val="left" w:pos="1474"/>
          <w:tab w:val="left" w:pos="2324"/>
          <w:tab w:val="left" w:pos="4320"/>
          <w:tab w:val="left" w:pos="5040"/>
          <w:tab w:val="left" w:pos="5760"/>
          <w:tab w:val="left" w:pos="6480"/>
          <w:tab w:val="decimal" w:pos="6520"/>
          <w:tab w:val="left" w:pos="7200"/>
          <w:tab w:val="left" w:pos="7920"/>
          <w:tab w:val="right" w:pos="8505"/>
          <w:tab w:val="left" w:pos="8640"/>
        </w:tabs>
        <w:spacing w:before="120"/>
        <w:jc w:val="center"/>
        <w:outlineLvl w:val="9"/>
        <w:rPr>
          <w:i/>
          <w:iCs/>
          <w:sz w:val="18"/>
          <w:szCs w:val="18"/>
        </w:rPr>
      </w:pPr>
      <w:r w:rsidRPr="00C16D40">
        <w:rPr>
          <w:i/>
          <w:iCs/>
          <w:sz w:val="18"/>
          <w:szCs w:val="18"/>
        </w:rPr>
        <w:t xml:space="preserve">Las Cuentas Anuales de la Sociedad, que forman una sola unidad, comprenden este Estado de Flujos de Efectivo, el Balance, la Cuenta de Pérdidas y Ganancias, el Estado de Cambios en el Patrimonio Neto adjuntos y </w:t>
      </w:r>
    </w:p>
    <w:p w14:paraId="25F16245" w14:textId="3F254F94" w:rsidR="0071126B" w:rsidRPr="00BA5560" w:rsidRDefault="006220A2" w:rsidP="00BA5560">
      <w:pPr>
        <w:widowControl w:val="0"/>
        <w:tabs>
          <w:tab w:val="left" w:pos="737"/>
          <w:tab w:val="left" w:pos="1474"/>
          <w:tab w:val="left" w:pos="2324"/>
          <w:tab w:val="left" w:pos="4320"/>
          <w:tab w:val="left" w:pos="5040"/>
          <w:tab w:val="left" w:pos="5760"/>
          <w:tab w:val="left" w:pos="6480"/>
          <w:tab w:val="decimal" w:pos="6520"/>
          <w:tab w:val="left" w:pos="7200"/>
          <w:tab w:val="left" w:pos="7920"/>
          <w:tab w:val="right" w:pos="8505"/>
          <w:tab w:val="left" w:pos="8640"/>
        </w:tabs>
        <w:jc w:val="center"/>
        <w:outlineLvl w:val="9"/>
        <w:rPr>
          <w:i/>
          <w:iCs/>
          <w:sz w:val="18"/>
          <w:szCs w:val="18"/>
        </w:rPr>
      </w:pPr>
      <w:r w:rsidRPr="00C16D40">
        <w:rPr>
          <w:i/>
          <w:iCs/>
          <w:sz w:val="18"/>
          <w:szCs w:val="18"/>
        </w:rPr>
        <w:t>la Memor</w:t>
      </w:r>
      <w:r w:rsidR="002B673F" w:rsidRPr="00C16D40">
        <w:rPr>
          <w:i/>
          <w:iCs/>
          <w:sz w:val="18"/>
          <w:szCs w:val="18"/>
        </w:rPr>
        <w:t>ia Anual adjunta que consta de 20</w:t>
      </w:r>
      <w:r w:rsidRPr="00C16D40">
        <w:rPr>
          <w:i/>
          <w:iCs/>
          <w:sz w:val="18"/>
          <w:szCs w:val="18"/>
        </w:rPr>
        <w:t xml:space="preserve"> Nota</w:t>
      </w:r>
      <w:r w:rsidRPr="00BA5560">
        <w:rPr>
          <w:i/>
          <w:iCs/>
          <w:sz w:val="18"/>
          <w:szCs w:val="18"/>
        </w:rPr>
        <w:t>s</w:t>
      </w:r>
    </w:p>
    <w:p w14:paraId="3853A73E" w14:textId="77777777" w:rsidR="0071126B" w:rsidRPr="00BA5560" w:rsidRDefault="0071126B" w:rsidP="00BA5560">
      <w:pPr>
        <w:widowControl w:val="0"/>
        <w:tabs>
          <w:tab w:val="left" w:pos="737"/>
          <w:tab w:val="left" w:pos="1474"/>
          <w:tab w:val="left" w:pos="2324"/>
          <w:tab w:val="left" w:pos="4320"/>
          <w:tab w:val="left" w:pos="5040"/>
          <w:tab w:val="left" w:pos="5760"/>
          <w:tab w:val="left" w:pos="6480"/>
          <w:tab w:val="decimal" w:pos="6520"/>
          <w:tab w:val="left" w:pos="7200"/>
          <w:tab w:val="left" w:pos="7920"/>
          <w:tab w:val="right" w:pos="8505"/>
          <w:tab w:val="left" w:pos="8640"/>
        </w:tabs>
        <w:jc w:val="center"/>
        <w:outlineLvl w:val="9"/>
        <w:rPr>
          <w:i/>
          <w:iCs/>
          <w:sz w:val="18"/>
          <w:szCs w:val="18"/>
        </w:rPr>
        <w:sectPr w:rsidR="0071126B" w:rsidRPr="00BA5560" w:rsidSect="00064105">
          <w:pgSz w:w="11900" w:h="16840" w:code="9"/>
          <w:pgMar w:top="1985" w:right="1134" w:bottom="1701" w:left="1701" w:header="1020" w:footer="680" w:gutter="0"/>
          <w:pgNumType w:start="1"/>
          <w:cols w:space="708"/>
          <w:docGrid w:linePitch="360"/>
        </w:sectPr>
      </w:pPr>
    </w:p>
    <w:p w14:paraId="7C43B582" w14:textId="77777777" w:rsidR="006220A2" w:rsidRPr="006579C4" w:rsidRDefault="006220A2" w:rsidP="007C7F1C">
      <w:pPr>
        <w:ind w:left="426"/>
        <w:jc w:val="center"/>
        <w:rPr>
          <w:b/>
          <w:color w:val="auto"/>
          <w:sz w:val="28"/>
          <w:szCs w:val="28"/>
        </w:rPr>
      </w:pPr>
      <w:r w:rsidRPr="006579C4">
        <w:rPr>
          <w:b/>
          <w:color w:val="auto"/>
          <w:sz w:val="28"/>
          <w:szCs w:val="28"/>
        </w:rPr>
        <w:lastRenderedPageBreak/>
        <w:t>PROMOTUR</w:t>
      </w:r>
      <w:r w:rsidR="00FF5498" w:rsidRPr="006579C4">
        <w:rPr>
          <w:b/>
          <w:color w:val="auto"/>
          <w:sz w:val="28"/>
          <w:szCs w:val="28"/>
        </w:rPr>
        <w:t xml:space="preserve"> TURISMO CANARIAS</w:t>
      </w:r>
      <w:r w:rsidRPr="006579C4">
        <w:rPr>
          <w:b/>
          <w:color w:val="auto"/>
          <w:sz w:val="28"/>
          <w:szCs w:val="28"/>
        </w:rPr>
        <w:t xml:space="preserve"> S.A.</w:t>
      </w:r>
    </w:p>
    <w:p w14:paraId="4C974113" w14:textId="77777777" w:rsidR="006220A2" w:rsidRPr="006579C4" w:rsidRDefault="006220A2" w:rsidP="006220A2">
      <w:pPr>
        <w:jc w:val="center"/>
        <w:rPr>
          <w:b/>
          <w:color w:val="auto"/>
          <w:sz w:val="28"/>
          <w:szCs w:val="28"/>
        </w:rPr>
      </w:pPr>
    </w:p>
    <w:p w14:paraId="61A851B0" w14:textId="6043EA47" w:rsidR="006220A2" w:rsidRPr="006579C4" w:rsidRDefault="006220A2" w:rsidP="006220A2">
      <w:pPr>
        <w:jc w:val="center"/>
        <w:rPr>
          <w:b/>
          <w:color w:val="auto"/>
          <w:sz w:val="28"/>
          <w:szCs w:val="28"/>
        </w:rPr>
      </w:pPr>
      <w:r w:rsidRPr="006579C4">
        <w:rPr>
          <w:b/>
          <w:color w:val="auto"/>
          <w:sz w:val="28"/>
          <w:szCs w:val="28"/>
        </w:rPr>
        <w:t>Memoria del Ejerc</w:t>
      </w:r>
      <w:r w:rsidR="00403F0F" w:rsidRPr="006579C4">
        <w:rPr>
          <w:b/>
          <w:color w:val="auto"/>
          <w:sz w:val="28"/>
          <w:szCs w:val="28"/>
        </w:rPr>
        <w:t>icio 20</w:t>
      </w:r>
      <w:r w:rsidR="00C75886" w:rsidRPr="006579C4">
        <w:rPr>
          <w:b/>
          <w:color w:val="auto"/>
          <w:sz w:val="28"/>
          <w:szCs w:val="28"/>
        </w:rPr>
        <w:t>2</w:t>
      </w:r>
      <w:r w:rsidR="00680BE3">
        <w:rPr>
          <w:b/>
          <w:color w:val="auto"/>
          <w:sz w:val="28"/>
          <w:szCs w:val="28"/>
        </w:rPr>
        <w:t>4</w:t>
      </w:r>
    </w:p>
    <w:p w14:paraId="1152BA56" w14:textId="168F598E" w:rsidR="006220A2" w:rsidRDefault="006220A2" w:rsidP="006220A2">
      <w:pPr>
        <w:rPr>
          <w:sz w:val="20"/>
        </w:rPr>
      </w:pPr>
    </w:p>
    <w:p w14:paraId="146B6C76" w14:textId="77777777" w:rsidR="00052BF5" w:rsidRPr="0083433F" w:rsidRDefault="00052BF5" w:rsidP="006220A2">
      <w:pPr>
        <w:rPr>
          <w:sz w:val="20"/>
        </w:rPr>
      </w:pPr>
    </w:p>
    <w:p w14:paraId="2DC33036" w14:textId="77777777" w:rsidR="006220A2" w:rsidRPr="000B5966" w:rsidRDefault="006220A2" w:rsidP="00052BF5">
      <w:pPr>
        <w:widowControl w:val="0"/>
        <w:numPr>
          <w:ilvl w:val="0"/>
          <w:numId w:val="6"/>
        </w:numPr>
        <w:pBdr>
          <w:top w:val="none" w:sz="0" w:space="0" w:color="auto"/>
          <w:left w:val="none" w:sz="0" w:space="0" w:color="auto"/>
          <w:bottom w:val="none" w:sz="0" w:space="0" w:color="auto"/>
          <w:right w:val="none" w:sz="0" w:space="0" w:color="auto"/>
          <w:between w:val="none" w:sz="0" w:space="0" w:color="auto"/>
          <w:bar w:val="none" w:sz="0" w:color="auto"/>
        </w:pBdr>
        <w:spacing w:after="120" w:line="280" w:lineRule="exact"/>
        <w:ind w:left="284" w:hanging="284"/>
        <w:outlineLvl w:val="9"/>
        <w:rPr>
          <w:b/>
          <w:snapToGrid w:val="0"/>
          <w:sz w:val="22"/>
          <w:szCs w:val="22"/>
        </w:rPr>
      </w:pPr>
      <w:r w:rsidRPr="000B5966">
        <w:rPr>
          <w:b/>
          <w:snapToGrid w:val="0"/>
          <w:sz w:val="22"/>
          <w:szCs w:val="22"/>
        </w:rPr>
        <w:t>Información general</w:t>
      </w:r>
    </w:p>
    <w:p w14:paraId="341D5F96" w14:textId="291978EE" w:rsidR="006220A2" w:rsidRPr="0083433F" w:rsidRDefault="006220A2" w:rsidP="00BA5560">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line="260" w:lineRule="exact"/>
        <w:jc w:val="both"/>
        <w:outlineLvl w:val="9"/>
        <w:rPr>
          <w:snapToGrid w:val="0"/>
          <w:sz w:val="20"/>
          <w:szCs w:val="22"/>
        </w:rPr>
      </w:pPr>
      <w:r w:rsidRPr="0083433F">
        <w:rPr>
          <w:snapToGrid w:val="0"/>
          <w:sz w:val="20"/>
          <w:szCs w:val="22"/>
        </w:rPr>
        <w:t xml:space="preserve">El Gobierno de Canarias, en sesión celebrada el día 21 de diciembre de 2004, acordó constituir la Empresa Pública, </w:t>
      </w:r>
      <w:r w:rsidRPr="00063EF4">
        <w:rPr>
          <w:b/>
          <w:bCs/>
          <w:snapToGrid w:val="0"/>
          <w:sz w:val="20"/>
          <w:szCs w:val="22"/>
        </w:rPr>
        <w:t>Promotur Turismo Canarias, S.A</w:t>
      </w:r>
      <w:r w:rsidRPr="00063EF4">
        <w:rPr>
          <w:snapToGrid w:val="0"/>
          <w:sz w:val="20"/>
          <w:szCs w:val="22"/>
        </w:rPr>
        <w:t>.</w:t>
      </w:r>
      <w:r w:rsidRPr="0083433F">
        <w:rPr>
          <w:snapToGrid w:val="0"/>
          <w:sz w:val="20"/>
          <w:szCs w:val="22"/>
        </w:rPr>
        <w:t xml:space="preserve">, Sociedad Unipersonal, </w:t>
      </w:r>
      <w:r w:rsidR="007E7835">
        <w:rPr>
          <w:snapToGrid w:val="0"/>
          <w:sz w:val="20"/>
          <w:szCs w:val="22"/>
        </w:rPr>
        <w:t xml:space="preserve">(en adelante </w:t>
      </w:r>
      <w:r w:rsidR="00052BF5">
        <w:rPr>
          <w:snapToGrid w:val="0"/>
          <w:sz w:val="20"/>
          <w:szCs w:val="22"/>
        </w:rPr>
        <w:t xml:space="preserve">“Promotur” o </w:t>
      </w:r>
      <w:r w:rsidR="007E7835">
        <w:rPr>
          <w:snapToGrid w:val="0"/>
          <w:sz w:val="20"/>
          <w:szCs w:val="22"/>
        </w:rPr>
        <w:t xml:space="preserve">“La Sociedad”) </w:t>
      </w:r>
      <w:r w:rsidRPr="0083433F">
        <w:rPr>
          <w:snapToGrid w:val="0"/>
          <w:sz w:val="20"/>
          <w:szCs w:val="22"/>
        </w:rPr>
        <w:t>con un capital social inicial de 600.000,00 euros, suscrito íntegramente por la Comunidad Autónoma de Canarias, y quedando la misma adscrita a la Consejería de Turismo</w:t>
      </w:r>
      <w:r w:rsidR="008D2CC2">
        <w:rPr>
          <w:snapToGrid w:val="0"/>
          <w:sz w:val="20"/>
          <w:szCs w:val="22"/>
        </w:rPr>
        <w:t xml:space="preserve"> y Empleo</w:t>
      </w:r>
      <w:r w:rsidRPr="0083433F">
        <w:rPr>
          <w:snapToGrid w:val="0"/>
          <w:sz w:val="20"/>
          <w:szCs w:val="22"/>
        </w:rPr>
        <w:t>.</w:t>
      </w:r>
    </w:p>
    <w:p w14:paraId="65E8BA68" w14:textId="0A10AF0E" w:rsidR="006220A2" w:rsidRPr="0083433F" w:rsidRDefault="006220A2" w:rsidP="00BA5560">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line="260" w:lineRule="exact"/>
        <w:jc w:val="both"/>
        <w:outlineLvl w:val="9"/>
        <w:rPr>
          <w:snapToGrid w:val="0"/>
          <w:sz w:val="20"/>
          <w:szCs w:val="22"/>
        </w:rPr>
      </w:pPr>
      <w:r w:rsidRPr="0083433F">
        <w:rPr>
          <w:snapToGrid w:val="0"/>
          <w:sz w:val="20"/>
          <w:szCs w:val="22"/>
        </w:rPr>
        <w:t xml:space="preserve">Promotur Turismo Canarias, S.A. se constituyó por tiempo indefinido ante el Notario D. Juan Alfonso Cabello Cascajo, el 11 de marzo de 2005, y figura inscrita en el </w:t>
      </w:r>
      <w:smartTag w:uri="urn:schemas-microsoft-com:office:smarttags" w:element="PersonName">
        <w:smartTagPr>
          <w:attr w:name="ProductID" w:val="Registro Mercantil"/>
        </w:smartTagPr>
        <w:r w:rsidRPr="0083433F">
          <w:rPr>
            <w:snapToGrid w:val="0"/>
            <w:sz w:val="20"/>
            <w:szCs w:val="22"/>
          </w:rPr>
          <w:t>Registro Mercantil</w:t>
        </w:r>
      </w:smartTag>
      <w:r w:rsidRPr="0083433F">
        <w:rPr>
          <w:snapToGrid w:val="0"/>
          <w:sz w:val="20"/>
          <w:szCs w:val="22"/>
        </w:rPr>
        <w:t xml:space="preserve"> de la Provincia de Las Palmas, con fecha 25 de julio de 2005. La Sociedad dio comienzo a sus oper</w:t>
      </w:r>
      <w:r w:rsidR="00C75016" w:rsidRPr="0083433F">
        <w:rPr>
          <w:snapToGrid w:val="0"/>
          <w:sz w:val="20"/>
          <w:szCs w:val="22"/>
        </w:rPr>
        <w:t xml:space="preserve">aciones el 11 de marzo de 2005, </w:t>
      </w:r>
      <w:r w:rsidRPr="0083433F">
        <w:rPr>
          <w:snapToGrid w:val="0"/>
          <w:sz w:val="20"/>
          <w:szCs w:val="22"/>
        </w:rPr>
        <w:t xml:space="preserve">domicilio social en la calle Víctor Hugo, </w:t>
      </w:r>
      <w:proofErr w:type="spellStart"/>
      <w:r w:rsidRPr="0083433F">
        <w:rPr>
          <w:snapToGrid w:val="0"/>
          <w:sz w:val="20"/>
          <w:szCs w:val="22"/>
        </w:rPr>
        <w:t>nº</w:t>
      </w:r>
      <w:proofErr w:type="spellEnd"/>
      <w:r w:rsidRPr="0083433F">
        <w:rPr>
          <w:snapToGrid w:val="0"/>
          <w:sz w:val="20"/>
          <w:szCs w:val="22"/>
        </w:rPr>
        <w:t xml:space="preserve"> 60, de Las Palmas de Gran Canaria. </w:t>
      </w:r>
    </w:p>
    <w:p w14:paraId="2C441B79" w14:textId="77777777" w:rsidR="00CA02DE" w:rsidRPr="0083433F" w:rsidRDefault="00D51508" w:rsidP="00BA5560">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line="260" w:lineRule="exact"/>
        <w:jc w:val="both"/>
        <w:outlineLvl w:val="9"/>
        <w:rPr>
          <w:snapToGrid w:val="0"/>
          <w:sz w:val="20"/>
          <w:szCs w:val="22"/>
        </w:rPr>
      </w:pPr>
      <w:r w:rsidRPr="0083433F">
        <w:rPr>
          <w:snapToGrid w:val="0"/>
          <w:sz w:val="20"/>
          <w:szCs w:val="22"/>
        </w:rPr>
        <w:t>La Sociedad cambia su domicilio social mediante escritura del 17 de octubre de 2019 al Edi</w:t>
      </w:r>
      <w:r w:rsidR="00CA02DE" w:rsidRPr="0083433F">
        <w:rPr>
          <w:snapToGrid w:val="0"/>
          <w:sz w:val="20"/>
          <w:szCs w:val="22"/>
        </w:rPr>
        <w:t xml:space="preserve">ficio </w:t>
      </w:r>
      <w:proofErr w:type="spellStart"/>
      <w:r w:rsidR="00CA02DE" w:rsidRPr="0083433F">
        <w:rPr>
          <w:snapToGrid w:val="0"/>
          <w:sz w:val="20"/>
          <w:szCs w:val="22"/>
        </w:rPr>
        <w:t>Woermann</w:t>
      </w:r>
      <w:proofErr w:type="spellEnd"/>
      <w:r w:rsidR="00CA02DE" w:rsidRPr="0083433F">
        <w:rPr>
          <w:snapToGrid w:val="0"/>
          <w:sz w:val="20"/>
          <w:szCs w:val="22"/>
        </w:rPr>
        <w:t xml:space="preserve"> en la calle Eduardo Ben</w:t>
      </w:r>
      <w:r w:rsidR="00744388" w:rsidRPr="0083433F">
        <w:rPr>
          <w:snapToGrid w:val="0"/>
          <w:sz w:val="20"/>
          <w:szCs w:val="22"/>
        </w:rPr>
        <w:t>o</w:t>
      </w:r>
      <w:r w:rsidR="00CA02DE" w:rsidRPr="0083433F">
        <w:rPr>
          <w:snapToGrid w:val="0"/>
          <w:sz w:val="20"/>
          <w:szCs w:val="22"/>
        </w:rPr>
        <w:t xml:space="preserve">t, </w:t>
      </w:r>
      <w:proofErr w:type="spellStart"/>
      <w:r w:rsidR="00CA02DE" w:rsidRPr="0083433F">
        <w:rPr>
          <w:snapToGrid w:val="0"/>
          <w:sz w:val="20"/>
          <w:szCs w:val="22"/>
        </w:rPr>
        <w:t>nº</w:t>
      </w:r>
      <w:proofErr w:type="spellEnd"/>
      <w:r w:rsidR="00CA02DE" w:rsidRPr="0083433F">
        <w:rPr>
          <w:snapToGrid w:val="0"/>
          <w:sz w:val="20"/>
          <w:szCs w:val="22"/>
        </w:rPr>
        <w:t xml:space="preserve"> 35,</w:t>
      </w:r>
      <w:r w:rsidRPr="0083433F">
        <w:rPr>
          <w:snapToGrid w:val="0"/>
          <w:sz w:val="20"/>
          <w:szCs w:val="22"/>
        </w:rPr>
        <w:t xml:space="preserve"> bajo,</w:t>
      </w:r>
      <w:r w:rsidR="00CA02DE" w:rsidRPr="0083433F">
        <w:rPr>
          <w:snapToGrid w:val="0"/>
          <w:sz w:val="20"/>
          <w:szCs w:val="22"/>
        </w:rPr>
        <w:t xml:space="preserve"> de Las Palmas de Gran Canaria.</w:t>
      </w:r>
    </w:p>
    <w:p w14:paraId="4BDEB5D1" w14:textId="77777777" w:rsidR="00CA02DE" w:rsidRPr="0083433F" w:rsidRDefault="006220A2" w:rsidP="00BA5560">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line="260" w:lineRule="exact"/>
        <w:jc w:val="both"/>
        <w:outlineLvl w:val="9"/>
        <w:rPr>
          <w:snapToGrid w:val="0"/>
          <w:sz w:val="20"/>
          <w:szCs w:val="22"/>
        </w:rPr>
      </w:pPr>
      <w:r w:rsidRPr="0083433F">
        <w:rPr>
          <w:snapToGrid w:val="0"/>
          <w:sz w:val="20"/>
          <w:szCs w:val="22"/>
        </w:rPr>
        <w:t>La Sociedad tiene por objeto social:</w:t>
      </w:r>
    </w:p>
    <w:p w14:paraId="39F1E9FE" w14:textId="77777777" w:rsidR="006220A2" w:rsidRPr="0083433F" w:rsidRDefault="006220A2" w:rsidP="001B5A15">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line="260" w:lineRule="exact"/>
        <w:ind w:left="284"/>
        <w:jc w:val="both"/>
        <w:outlineLvl w:val="9"/>
        <w:rPr>
          <w:snapToGrid w:val="0"/>
          <w:sz w:val="20"/>
          <w:szCs w:val="22"/>
        </w:rPr>
      </w:pPr>
      <w:r w:rsidRPr="0083433F">
        <w:rPr>
          <w:snapToGrid w:val="0"/>
          <w:sz w:val="20"/>
          <w:szCs w:val="22"/>
        </w:rPr>
        <w:t>La realización de las actividades relacionadas con el estudio, promoción, fomento, difusión y comercialización de los distintos productos y servicios turísticos de Canarias y potenciación de la oferta turística del archipiélago.</w:t>
      </w:r>
    </w:p>
    <w:p w14:paraId="10AA91AA" w14:textId="77777777" w:rsidR="006220A2" w:rsidRPr="0083433F" w:rsidRDefault="006220A2" w:rsidP="001B5A15">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line="260" w:lineRule="exact"/>
        <w:ind w:left="284"/>
        <w:jc w:val="both"/>
        <w:outlineLvl w:val="9"/>
        <w:rPr>
          <w:snapToGrid w:val="0"/>
          <w:sz w:val="20"/>
          <w:szCs w:val="22"/>
        </w:rPr>
      </w:pPr>
      <w:r w:rsidRPr="0083433F">
        <w:rPr>
          <w:snapToGrid w:val="0"/>
          <w:sz w:val="20"/>
          <w:szCs w:val="22"/>
        </w:rPr>
        <w:t>Las actividades integrantes del objeto social podrán ser desarrolladas, total o parcialmente, de modo indirecto, mediante la titularidad de acciones o participaciones mercantiles con objeto idéntico o análogo.</w:t>
      </w:r>
    </w:p>
    <w:p w14:paraId="7AA2D8CF" w14:textId="77777777" w:rsidR="006220A2" w:rsidRPr="0083433F" w:rsidRDefault="006220A2" w:rsidP="00C7588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141"/>
        <w:jc w:val="both"/>
        <w:rPr>
          <w:snapToGrid w:val="0"/>
          <w:sz w:val="20"/>
          <w:szCs w:val="22"/>
        </w:rPr>
      </w:pPr>
    </w:p>
    <w:p w14:paraId="546463ED" w14:textId="77777777" w:rsidR="006220A2" w:rsidRPr="0083433F" w:rsidRDefault="006220A2" w:rsidP="00C75886">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right="141"/>
        <w:jc w:val="both"/>
        <w:rPr>
          <w:snapToGrid w:val="0"/>
          <w:sz w:val="20"/>
          <w:szCs w:val="22"/>
        </w:rPr>
      </w:pPr>
    </w:p>
    <w:p w14:paraId="2A5A5623" w14:textId="77777777" w:rsidR="006220A2" w:rsidRPr="0083433F" w:rsidRDefault="006220A2" w:rsidP="00052BF5">
      <w:pPr>
        <w:widowControl w:val="0"/>
        <w:numPr>
          <w:ilvl w:val="0"/>
          <w:numId w:val="6"/>
        </w:numPr>
        <w:pBdr>
          <w:top w:val="none" w:sz="0" w:space="0" w:color="auto"/>
          <w:left w:val="none" w:sz="0" w:space="0" w:color="auto"/>
          <w:bottom w:val="none" w:sz="0" w:space="0" w:color="auto"/>
          <w:right w:val="none" w:sz="0" w:space="0" w:color="auto"/>
          <w:between w:val="none" w:sz="0" w:space="0" w:color="auto"/>
          <w:bar w:val="none" w:sz="0" w:color="auto"/>
        </w:pBdr>
        <w:spacing w:after="120" w:line="280" w:lineRule="exact"/>
        <w:ind w:left="284" w:hanging="284"/>
        <w:outlineLvl w:val="9"/>
        <w:rPr>
          <w:b/>
          <w:snapToGrid w:val="0"/>
          <w:sz w:val="22"/>
          <w:szCs w:val="22"/>
        </w:rPr>
      </w:pPr>
      <w:r w:rsidRPr="0083433F">
        <w:rPr>
          <w:b/>
          <w:snapToGrid w:val="0"/>
          <w:sz w:val="22"/>
          <w:szCs w:val="22"/>
        </w:rPr>
        <w:t>Bases de presentación</w:t>
      </w:r>
    </w:p>
    <w:p w14:paraId="66A74ACA" w14:textId="10D41C59" w:rsidR="006220A2" w:rsidRPr="00052BF5" w:rsidRDefault="006220A2">
      <w:pPr>
        <w:pStyle w:val="Prrafodelista"/>
        <w:widowControl w:val="0"/>
        <w:numPr>
          <w:ilvl w:val="3"/>
          <w:numId w:val="26"/>
        </w:numPr>
        <w:tabs>
          <w:tab w:val="left" w:pos="284"/>
        </w:tabs>
        <w:spacing w:before="120"/>
        <w:ind w:left="284"/>
        <w:rPr>
          <w:rFonts w:ascii="Arial" w:hAnsi="Arial" w:cs="Arial"/>
          <w:snapToGrid w:val="0"/>
          <w:sz w:val="20"/>
          <w:szCs w:val="22"/>
        </w:rPr>
      </w:pPr>
      <w:r w:rsidRPr="00052BF5">
        <w:rPr>
          <w:rFonts w:ascii="Arial" w:hAnsi="Arial" w:cs="Arial"/>
          <w:snapToGrid w:val="0"/>
          <w:sz w:val="20"/>
          <w:szCs w:val="22"/>
          <w:u w:val="single"/>
        </w:rPr>
        <w:t>Imagen fiel</w:t>
      </w:r>
    </w:p>
    <w:p w14:paraId="3AED0B90" w14:textId="56354D56" w:rsidR="006220A2" w:rsidRPr="0083433F" w:rsidRDefault="006220A2" w:rsidP="00BA5560">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line="260" w:lineRule="exact"/>
        <w:jc w:val="both"/>
        <w:outlineLvl w:val="9"/>
        <w:rPr>
          <w:snapToGrid w:val="0"/>
          <w:sz w:val="20"/>
          <w:szCs w:val="22"/>
        </w:rPr>
      </w:pPr>
      <w:r w:rsidRPr="0083433F">
        <w:rPr>
          <w:snapToGrid w:val="0"/>
          <w:sz w:val="20"/>
          <w:szCs w:val="22"/>
        </w:rPr>
        <w:t>Las cuentas anuales se han preparado a partir de los registros contables de la Sociedad y se presentan de acuerdo con la legislación mercantil vigente y con las normas establecidas en el Plan General de Contabilidad aprobado mediante Real Decret</w:t>
      </w:r>
      <w:r w:rsidRPr="00881880">
        <w:rPr>
          <w:snapToGrid w:val="0"/>
          <w:sz w:val="20"/>
          <w:szCs w:val="22"/>
        </w:rPr>
        <w:t>o 1514/2007</w:t>
      </w:r>
      <w:r w:rsidR="005339D3" w:rsidRPr="00881880">
        <w:rPr>
          <w:snapToGrid w:val="0"/>
          <w:sz w:val="20"/>
          <w:szCs w:val="22"/>
        </w:rPr>
        <w:t>, de 16 de noviembre,</w:t>
      </w:r>
      <w:r w:rsidRPr="00881880">
        <w:rPr>
          <w:snapToGrid w:val="0"/>
          <w:sz w:val="20"/>
          <w:szCs w:val="22"/>
        </w:rPr>
        <w:t xml:space="preserve"> y las modificaciones incorporadas a éste mediante RD 1159/2010,</w:t>
      </w:r>
      <w:r w:rsidR="004C62E4" w:rsidRPr="00881880">
        <w:rPr>
          <w:snapToGrid w:val="0"/>
          <w:sz w:val="20"/>
          <w:szCs w:val="22"/>
        </w:rPr>
        <w:t xml:space="preserve"> de 17 de septiembre y del Real Decreto 1/2021, del 12 de enero</w:t>
      </w:r>
      <w:r w:rsidR="00667463" w:rsidRPr="00881880">
        <w:rPr>
          <w:snapToGrid w:val="0"/>
          <w:sz w:val="20"/>
          <w:szCs w:val="22"/>
        </w:rPr>
        <w:t>, así como el resto de la legislación mercantil y otra normativa vigente aplicable,</w:t>
      </w:r>
      <w:r w:rsidRPr="00881880">
        <w:rPr>
          <w:snapToGrid w:val="0"/>
          <w:sz w:val="20"/>
          <w:szCs w:val="22"/>
        </w:rPr>
        <w:t xml:space="preserve"> con objeto de mostrar la imagen fiel del patrimonio, de la situación financiera y de los resultados de la Sociedad, así como la veracidad de los flujos de efectivo incorporados en el estado de flujos de efectivo.</w:t>
      </w:r>
    </w:p>
    <w:p w14:paraId="32E16788" w14:textId="18F00F90" w:rsidR="006220A2" w:rsidRPr="00052BF5" w:rsidRDefault="006220A2">
      <w:pPr>
        <w:pStyle w:val="Prrafodelista"/>
        <w:widowControl w:val="0"/>
        <w:numPr>
          <w:ilvl w:val="3"/>
          <w:numId w:val="26"/>
        </w:numPr>
        <w:tabs>
          <w:tab w:val="left" w:pos="284"/>
        </w:tabs>
        <w:spacing w:before="120"/>
        <w:ind w:left="284"/>
        <w:rPr>
          <w:rFonts w:ascii="Arial" w:hAnsi="Arial" w:cs="Arial"/>
          <w:snapToGrid w:val="0"/>
          <w:sz w:val="20"/>
          <w:szCs w:val="22"/>
          <w:u w:val="single"/>
        </w:rPr>
      </w:pPr>
      <w:r w:rsidRPr="00052BF5">
        <w:rPr>
          <w:rFonts w:ascii="Arial" w:hAnsi="Arial" w:cs="Arial"/>
          <w:snapToGrid w:val="0"/>
          <w:sz w:val="20"/>
          <w:szCs w:val="22"/>
          <w:u w:val="single"/>
        </w:rPr>
        <w:t>Aspectos críticos de la valoración y estimación de la incertidumbre</w:t>
      </w:r>
    </w:p>
    <w:p w14:paraId="0C4DAC8B" w14:textId="613B61AA" w:rsidR="006220A2" w:rsidRDefault="006220A2" w:rsidP="00BA5560">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line="260" w:lineRule="exact"/>
        <w:jc w:val="both"/>
        <w:outlineLvl w:val="9"/>
        <w:rPr>
          <w:snapToGrid w:val="0"/>
          <w:sz w:val="20"/>
          <w:szCs w:val="22"/>
        </w:rPr>
      </w:pPr>
      <w:r w:rsidRPr="0083433F">
        <w:rPr>
          <w:snapToGrid w:val="0"/>
          <w:sz w:val="20"/>
          <w:szCs w:val="22"/>
        </w:rPr>
        <w:t>La preparación de las cuentas anuales exige el uso por parte de la Sociedad de ciertas estimaciones y juicios en relación con el futuro que se evalúan continuamente y se basan en la experiencia histórica y otros factores, incluidas las expectativas de sucesos futuros que se creen razonables bajo las circunstancias.</w:t>
      </w:r>
    </w:p>
    <w:p w14:paraId="404D3ACC" w14:textId="2A01A29D" w:rsidR="00C652D8" w:rsidRPr="000A34DD" w:rsidRDefault="00C652D8" w:rsidP="00BA5560">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line="260" w:lineRule="exact"/>
        <w:jc w:val="both"/>
        <w:outlineLvl w:val="9"/>
        <w:rPr>
          <w:snapToGrid w:val="0"/>
          <w:sz w:val="20"/>
          <w:szCs w:val="22"/>
        </w:rPr>
      </w:pPr>
      <w:r w:rsidRPr="000A34DD">
        <w:rPr>
          <w:snapToGrid w:val="0"/>
          <w:sz w:val="20"/>
          <w:szCs w:val="22"/>
        </w:rPr>
        <w:t>El órgano de administración ha elaborado las presentes cuentas anuales bajo el principio de empresa en funcionamiento. Consideran que no existe riesgo de continuidad de la actividad.</w:t>
      </w:r>
    </w:p>
    <w:p w14:paraId="06B51579" w14:textId="0D27EF86" w:rsidR="006220A2" w:rsidRPr="00052BF5" w:rsidRDefault="006220A2">
      <w:pPr>
        <w:pStyle w:val="Prrafodelista"/>
        <w:keepNext/>
        <w:keepLines/>
        <w:widowControl w:val="0"/>
        <w:numPr>
          <w:ilvl w:val="3"/>
          <w:numId w:val="26"/>
        </w:numPr>
        <w:tabs>
          <w:tab w:val="left" w:pos="284"/>
        </w:tabs>
        <w:spacing w:before="120"/>
        <w:ind w:left="284"/>
        <w:rPr>
          <w:rFonts w:ascii="Arial" w:hAnsi="Arial" w:cs="Arial"/>
          <w:snapToGrid w:val="0"/>
          <w:sz w:val="20"/>
          <w:szCs w:val="22"/>
          <w:u w:val="single"/>
        </w:rPr>
      </w:pPr>
      <w:r w:rsidRPr="00052BF5">
        <w:rPr>
          <w:rFonts w:ascii="Arial" w:hAnsi="Arial" w:cs="Arial"/>
          <w:snapToGrid w:val="0"/>
          <w:sz w:val="20"/>
          <w:szCs w:val="22"/>
          <w:u w:val="single"/>
        </w:rPr>
        <w:lastRenderedPageBreak/>
        <w:tab/>
        <w:t>Vidas útiles de los elementos de inmovilizado material</w:t>
      </w:r>
    </w:p>
    <w:p w14:paraId="6C05815F" w14:textId="77777777" w:rsidR="006220A2" w:rsidRPr="00063EF4" w:rsidRDefault="006220A2" w:rsidP="000E1D9E">
      <w:pPr>
        <w:keepNext/>
        <w:keepLines/>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line="260" w:lineRule="exact"/>
        <w:jc w:val="both"/>
        <w:outlineLvl w:val="9"/>
        <w:rPr>
          <w:snapToGrid w:val="0"/>
          <w:sz w:val="20"/>
          <w:szCs w:val="22"/>
        </w:rPr>
      </w:pPr>
      <w:r w:rsidRPr="00063EF4">
        <w:rPr>
          <w:snapToGrid w:val="0"/>
          <w:sz w:val="20"/>
          <w:szCs w:val="22"/>
        </w:rPr>
        <w:t>La dirección de la Sociedad determina las vidas útiles estimadas de los elementos de inmovilizado material, con excepción de los terrenos que no se amortizan, calculando la amortización sistemáticamente por el método lineal en función de dicha vida útil estimada, atendiendo a la depreciación efectivamente sufrida por su funcionamiento, uso y disfrute.</w:t>
      </w:r>
    </w:p>
    <w:p w14:paraId="2A40FF1E" w14:textId="0F5D8C4D" w:rsidR="006220A2" w:rsidRPr="00052BF5" w:rsidRDefault="006220A2">
      <w:pPr>
        <w:pStyle w:val="Prrafodelista"/>
        <w:widowControl w:val="0"/>
        <w:numPr>
          <w:ilvl w:val="3"/>
          <w:numId w:val="26"/>
        </w:numPr>
        <w:tabs>
          <w:tab w:val="left" w:pos="284"/>
        </w:tabs>
        <w:spacing w:before="120"/>
        <w:ind w:left="284"/>
        <w:rPr>
          <w:rFonts w:ascii="Arial" w:hAnsi="Arial" w:cs="Arial"/>
          <w:snapToGrid w:val="0"/>
          <w:sz w:val="20"/>
          <w:szCs w:val="22"/>
          <w:u w:val="single"/>
        </w:rPr>
      </w:pPr>
      <w:r w:rsidRPr="00052BF5">
        <w:rPr>
          <w:rFonts w:ascii="Arial" w:hAnsi="Arial" w:cs="Arial"/>
          <w:snapToGrid w:val="0"/>
          <w:sz w:val="20"/>
          <w:szCs w:val="22"/>
          <w:u w:val="single"/>
        </w:rPr>
        <w:t>Agrupación de partidas</w:t>
      </w:r>
    </w:p>
    <w:p w14:paraId="1A87E111" w14:textId="6E015C3A" w:rsidR="00C75886" w:rsidRPr="00063EF4" w:rsidRDefault="006220A2" w:rsidP="004A41D6">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line="260" w:lineRule="exact"/>
        <w:jc w:val="both"/>
        <w:outlineLvl w:val="9"/>
        <w:rPr>
          <w:snapToGrid w:val="0"/>
          <w:sz w:val="20"/>
          <w:szCs w:val="22"/>
        </w:rPr>
      </w:pPr>
      <w:r w:rsidRPr="00063EF4">
        <w:rPr>
          <w:snapToGrid w:val="0"/>
          <w:sz w:val="20"/>
          <w:szCs w:val="22"/>
        </w:rPr>
        <w:t>A efectos de facilitar la comprensión del balance, de la cuenta de pérdidas y ganancias, del estado de cambios en el patrimonio neto y del estado de flujos de efectivo, estos estados se presentan de forma agrupada, recogiéndose los análisis requeridos en las notas correspondientes de la memoria.</w:t>
      </w:r>
    </w:p>
    <w:p w14:paraId="453C067F" w14:textId="360F60E8" w:rsidR="001B7D27" w:rsidRPr="00052BF5" w:rsidRDefault="001B7D27">
      <w:pPr>
        <w:pStyle w:val="Prrafodelista"/>
        <w:widowControl w:val="0"/>
        <w:numPr>
          <w:ilvl w:val="3"/>
          <w:numId w:val="26"/>
        </w:numPr>
        <w:tabs>
          <w:tab w:val="left" w:pos="284"/>
        </w:tabs>
        <w:spacing w:before="120"/>
        <w:ind w:left="284"/>
        <w:rPr>
          <w:rFonts w:ascii="Arial" w:hAnsi="Arial" w:cs="Arial"/>
          <w:snapToGrid w:val="0"/>
          <w:sz w:val="20"/>
          <w:szCs w:val="22"/>
          <w:u w:val="single"/>
        </w:rPr>
      </w:pPr>
      <w:r w:rsidRPr="00052BF5">
        <w:rPr>
          <w:rFonts w:ascii="Arial" w:hAnsi="Arial" w:cs="Arial"/>
          <w:snapToGrid w:val="0"/>
          <w:sz w:val="20"/>
          <w:szCs w:val="22"/>
          <w:u w:val="single"/>
        </w:rPr>
        <w:t xml:space="preserve">Cambios en criterios contables </w:t>
      </w:r>
    </w:p>
    <w:p w14:paraId="33FA19F6" w14:textId="278DF781" w:rsidR="001B7D27" w:rsidRPr="00063EF4" w:rsidRDefault="001B7D27" w:rsidP="004A41D6">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line="260" w:lineRule="exact"/>
        <w:jc w:val="both"/>
        <w:outlineLvl w:val="9"/>
        <w:rPr>
          <w:snapToGrid w:val="0"/>
          <w:sz w:val="20"/>
          <w:szCs w:val="22"/>
        </w:rPr>
      </w:pPr>
      <w:r w:rsidRPr="00063EF4">
        <w:rPr>
          <w:snapToGrid w:val="0"/>
          <w:sz w:val="20"/>
          <w:szCs w:val="22"/>
        </w:rPr>
        <w:t>No se han realizado cambios en criterios contables propios, ni tampoco originados por la adaptación de la contabilidad al Nuevo Plan General Contable.</w:t>
      </w:r>
    </w:p>
    <w:p w14:paraId="48F0F32D" w14:textId="06B9BE20" w:rsidR="00DE320C" w:rsidRPr="00052BF5" w:rsidRDefault="004269B8">
      <w:pPr>
        <w:pStyle w:val="Prrafodelista"/>
        <w:widowControl w:val="0"/>
        <w:numPr>
          <w:ilvl w:val="3"/>
          <w:numId w:val="26"/>
        </w:numPr>
        <w:tabs>
          <w:tab w:val="left" w:pos="284"/>
        </w:tabs>
        <w:spacing w:before="120"/>
        <w:ind w:left="284"/>
        <w:rPr>
          <w:rFonts w:ascii="Arial" w:hAnsi="Arial" w:cs="Arial"/>
          <w:snapToGrid w:val="0"/>
          <w:sz w:val="20"/>
          <w:szCs w:val="22"/>
          <w:u w:val="single"/>
        </w:rPr>
      </w:pPr>
      <w:r w:rsidRPr="00052BF5">
        <w:rPr>
          <w:rFonts w:ascii="Arial" w:hAnsi="Arial" w:cs="Arial"/>
          <w:snapToGrid w:val="0"/>
          <w:sz w:val="20"/>
          <w:szCs w:val="22"/>
          <w:u w:val="single"/>
        </w:rPr>
        <w:t>C</w:t>
      </w:r>
      <w:r w:rsidR="00725A7D" w:rsidRPr="00052BF5">
        <w:rPr>
          <w:rFonts w:ascii="Arial" w:hAnsi="Arial" w:cs="Arial"/>
          <w:snapToGrid w:val="0"/>
          <w:sz w:val="20"/>
          <w:szCs w:val="22"/>
          <w:u w:val="single"/>
        </w:rPr>
        <w:t>orrección de errores</w:t>
      </w:r>
    </w:p>
    <w:p w14:paraId="5634A51F" w14:textId="680019B9" w:rsidR="00725A7D" w:rsidRPr="00063EF4" w:rsidRDefault="00725A7D" w:rsidP="004A41D6">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line="260" w:lineRule="exact"/>
        <w:jc w:val="both"/>
        <w:outlineLvl w:val="9"/>
        <w:rPr>
          <w:snapToGrid w:val="0"/>
          <w:sz w:val="20"/>
          <w:szCs w:val="22"/>
        </w:rPr>
      </w:pPr>
      <w:r w:rsidRPr="00063EF4">
        <w:rPr>
          <w:snapToGrid w:val="0"/>
          <w:sz w:val="20"/>
          <w:szCs w:val="22"/>
        </w:rPr>
        <w:t xml:space="preserve">En el transcurso del ejercicio </w:t>
      </w:r>
      <w:r w:rsidR="000A34DD" w:rsidRPr="00063EF4">
        <w:rPr>
          <w:snapToGrid w:val="0"/>
          <w:sz w:val="20"/>
          <w:szCs w:val="22"/>
        </w:rPr>
        <w:t>20</w:t>
      </w:r>
      <w:r w:rsidR="003D1564">
        <w:rPr>
          <w:snapToGrid w:val="0"/>
          <w:sz w:val="20"/>
          <w:szCs w:val="22"/>
        </w:rPr>
        <w:t>2</w:t>
      </w:r>
      <w:r w:rsidR="00234252">
        <w:rPr>
          <w:snapToGrid w:val="0"/>
          <w:sz w:val="20"/>
          <w:szCs w:val="22"/>
        </w:rPr>
        <w:t>4</w:t>
      </w:r>
      <w:r w:rsidR="000A34DD" w:rsidRPr="00063EF4">
        <w:rPr>
          <w:snapToGrid w:val="0"/>
          <w:sz w:val="20"/>
          <w:szCs w:val="22"/>
        </w:rPr>
        <w:t xml:space="preserve"> y 202</w:t>
      </w:r>
      <w:r w:rsidR="00234252">
        <w:rPr>
          <w:snapToGrid w:val="0"/>
          <w:sz w:val="20"/>
          <w:szCs w:val="22"/>
        </w:rPr>
        <w:t>3</w:t>
      </w:r>
      <w:r w:rsidR="000A34DD" w:rsidRPr="00063EF4">
        <w:rPr>
          <w:snapToGrid w:val="0"/>
          <w:sz w:val="20"/>
          <w:szCs w:val="22"/>
        </w:rPr>
        <w:t xml:space="preserve"> </w:t>
      </w:r>
      <w:r w:rsidRPr="00063EF4">
        <w:rPr>
          <w:snapToGrid w:val="0"/>
          <w:sz w:val="20"/>
          <w:szCs w:val="22"/>
        </w:rPr>
        <w:t>no se han detectado errores que hayan motivado la realización de ningún tipo de corrección patrimonial.</w:t>
      </w:r>
    </w:p>
    <w:p w14:paraId="6EA39615" w14:textId="1BF9028D" w:rsidR="003214B8" w:rsidRPr="00052BF5" w:rsidRDefault="003214B8">
      <w:pPr>
        <w:pStyle w:val="Prrafodelista"/>
        <w:widowControl w:val="0"/>
        <w:numPr>
          <w:ilvl w:val="3"/>
          <w:numId w:val="26"/>
        </w:numPr>
        <w:tabs>
          <w:tab w:val="left" w:pos="284"/>
        </w:tabs>
        <w:spacing w:before="120"/>
        <w:ind w:left="284"/>
        <w:rPr>
          <w:rFonts w:ascii="Arial" w:hAnsi="Arial" w:cs="Arial"/>
          <w:snapToGrid w:val="0"/>
          <w:sz w:val="20"/>
          <w:szCs w:val="22"/>
          <w:u w:val="single"/>
        </w:rPr>
      </w:pPr>
      <w:r w:rsidRPr="00052BF5">
        <w:rPr>
          <w:rFonts w:ascii="Arial" w:hAnsi="Arial" w:cs="Arial"/>
          <w:snapToGrid w:val="0"/>
          <w:sz w:val="20"/>
          <w:szCs w:val="22"/>
          <w:u w:val="single"/>
        </w:rPr>
        <w:t>Responsabilidad de la información y estimaciones realizadas</w:t>
      </w:r>
    </w:p>
    <w:p w14:paraId="14C199DE" w14:textId="77777777" w:rsidR="003214B8" w:rsidRPr="00063EF4" w:rsidRDefault="003214B8" w:rsidP="004A41D6">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line="260" w:lineRule="exact"/>
        <w:jc w:val="both"/>
        <w:outlineLvl w:val="9"/>
        <w:rPr>
          <w:snapToGrid w:val="0"/>
          <w:sz w:val="20"/>
          <w:szCs w:val="22"/>
        </w:rPr>
      </w:pPr>
      <w:r w:rsidRPr="00063EF4">
        <w:rPr>
          <w:snapToGrid w:val="0"/>
          <w:sz w:val="20"/>
          <w:szCs w:val="22"/>
        </w:rPr>
        <w:t xml:space="preserve">La preparación de las cuentas anuales exige que se hagan juicios de valor, estimaciones y asunciones que afectan a la aplicación de políticas contables y los saldos de activos, pasivos, ingresos y gastos. Las estimaciones y las asunciones relacionadas están basadas en la experiencia histórica y en otros factores diversos que son entendidos como razonables de acuerdo con las circunstancias. Las estimaciones y asunciones respectivas son revisadas de forma continuada; los efectos de las revisiones de las estimaciones contables son reconocidos en el periodo en el cual se realizan, si éstas afectan sólo a ese periodo, o en el periodo de la revisión y futuros, si la revisión les afecta. </w:t>
      </w:r>
    </w:p>
    <w:p w14:paraId="322E2C65" w14:textId="048602F0" w:rsidR="003214B8" w:rsidRPr="00052BF5" w:rsidRDefault="003214B8">
      <w:pPr>
        <w:pStyle w:val="Prrafodelista"/>
        <w:widowControl w:val="0"/>
        <w:numPr>
          <w:ilvl w:val="3"/>
          <w:numId w:val="26"/>
        </w:numPr>
        <w:tabs>
          <w:tab w:val="left" w:pos="284"/>
        </w:tabs>
        <w:spacing w:before="120"/>
        <w:ind w:left="284"/>
        <w:rPr>
          <w:rFonts w:ascii="Arial" w:hAnsi="Arial" w:cs="Arial"/>
          <w:snapToGrid w:val="0"/>
          <w:sz w:val="20"/>
          <w:szCs w:val="22"/>
          <w:u w:val="single"/>
        </w:rPr>
      </w:pPr>
      <w:r w:rsidRPr="00052BF5">
        <w:rPr>
          <w:rFonts w:ascii="Arial" w:hAnsi="Arial" w:cs="Arial"/>
          <w:snapToGrid w:val="0"/>
          <w:sz w:val="20"/>
          <w:szCs w:val="22"/>
          <w:u w:val="single"/>
        </w:rPr>
        <w:t>Comparación de la información</w:t>
      </w:r>
    </w:p>
    <w:p w14:paraId="70B90538" w14:textId="512D45B3" w:rsidR="000E5621" w:rsidRPr="000E5621" w:rsidRDefault="000E5621" w:rsidP="004A41D6">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line="260" w:lineRule="exact"/>
        <w:jc w:val="both"/>
        <w:outlineLvl w:val="9"/>
        <w:rPr>
          <w:snapToGrid w:val="0"/>
          <w:sz w:val="20"/>
          <w:szCs w:val="22"/>
        </w:rPr>
      </w:pPr>
      <w:r w:rsidRPr="000E5621">
        <w:rPr>
          <w:snapToGrid w:val="0"/>
          <w:sz w:val="20"/>
          <w:szCs w:val="22"/>
        </w:rPr>
        <w:t>Las cuenta</w:t>
      </w:r>
      <w:r>
        <w:rPr>
          <w:snapToGrid w:val="0"/>
          <w:sz w:val="20"/>
          <w:szCs w:val="22"/>
        </w:rPr>
        <w:t>s</w:t>
      </w:r>
      <w:r w:rsidRPr="000E5621">
        <w:rPr>
          <w:snapToGrid w:val="0"/>
          <w:sz w:val="20"/>
          <w:szCs w:val="22"/>
        </w:rPr>
        <w:t xml:space="preserve"> anu</w:t>
      </w:r>
      <w:r>
        <w:rPr>
          <w:snapToGrid w:val="0"/>
          <w:sz w:val="20"/>
          <w:szCs w:val="22"/>
        </w:rPr>
        <w:t>a</w:t>
      </w:r>
      <w:r w:rsidRPr="000E5621">
        <w:rPr>
          <w:snapToGrid w:val="0"/>
          <w:sz w:val="20"/>
          <w:szCs w:val="22"/>
        </w:rPr>
        <w:t xml:space="preserve">les presentan a efectos comparativos, con cada una de las partidas del balance de situación, de la cuenta de pérdidas y ganancias, </w:t>
      </w:r>
      <w:r w:rsidR="00CD6566">
        <w:rPr>
          <w:snapToGrid w:val="0"/>
          <w:sz w:val="20"/>
          <w:szCs w:val="22"/>
        </w:rPr>
        <w:t xml:space="preserve">del estado de cambios en el patrimonio neto y del estado de flujos de efectivo, </w:t>
      </w:r>
      <w:r w:rsidRPr="000E5621">
        <w:rPr>
          <w:snapToGrid w:val="0"/>
          <w:sz w:val="20"/>
          <w:szCs w:val="22"/>
        </w:rPr>
        <w:t>además de las cifras del ejercicio 202</w:t>
      </w:r>
      <w:r w:rsidR="00234252">
        <w:rPr>
          <w:snapToGrid w:val="0"/>
          <w:sz w:val="20"/>
          <w:szCs w:val="22"/>
        </w:rPr>
        <w:t>4</w:t>
      </w:r>
      <w:r w:rsidRPr="000E5621">
        <w:rPr>
          <w:snapToGrid w:val="0"/>
          <w:sz w:val="20"/>
          <w:szCs w:val="22"/>
        </w:rPr>
        <w:t>, las correspondientes al ejercicio anterior. Asimismo, la información contenida en esta memoria referida al ejercicio 202</w:t>
      </w:r>
      <w:r w:rsidR="00234252">
        <w:rPr>
          <w:snapToGrid w:val="0"/>
          <w:sz w:val="20"/>
          <w:szCs w:val="22"/>
        </w:rPr>
        <w:t>4</w:t>
      </w:r>
      <w:r w:rsidRPr="000E5621">
        <w:rPr>
          <w:snapToGrid w:val="0"/>
          <w:sz w:val="20"/>
          <w:szCs w:val="22"/>
        </w:rPr>
        <w:t xml:space="preserve"> se presenta, a efectos comparativos con la información del ejercicio 202</w:t>
      </w:r>
      <w:r w:rsidR="00234252">
        <w:rPr>
          <w:snapToGrid w:val="0"/>
          <w:sz w:val="20"/>
          <w:szCs w:val="22"/>
        </w:rPr>
        <w:t>3</w:t>
      </w:r>
      <w:r w:rsidRPr="000E5621">
        <w:rPr>
          <w:snapToGrid w:val="0"/>
          <w:sz w:val="20"/>
          <w:szCs w:val="22"/>
        </w:rPr>
        <w:t>, sin que existan causas que impidan tal comparación.</w:t>
      </w:r>
    </w:p>
    <w:p w14:paraId="69D2015F" w14:textId="4D31DCF6" w:rsidR="00484275" w:rsidRDefault="00484275" w:rsidP="0054637F">
      <w:pPr>
        <w:widowControl w:val="0"/>
        <w:tabs>
          <w:tab w:val="left" w:pos="284"/>
        </w:tabs>
        <w:spacing w:line="276" w:lineRule="auto"/>
        <w:rPr>
          <w:snapToGrid w:val="0"/>
          <w:sz w:val="20"/>
        </w:rPr>
      </w:pPr>
    </w:p>
    <w:p w14:paraId="0CF6AD66" w14:textId="5E1CAE64" w:rsidR="00993E1D" w:rsidRDefault="00993E1D" w:rsidP="0054637F">
      <w:pPr>
        <w:widowControl w:val="0"/>
        <w:tabs>
          <w:tab w:val="left" w:pos="284"/>
        </w:tabs>
        <w:spacing w:line="276" w:lineRule="auto"/>
        <w:rPr>
          <w:snapToGrid w:val="0"/>
          <w:sz w:val="20"/>
        </w:rPr>
      </w:pPr>
      <w:r>
        <w:rPr>
          <w:snapToGrid w:val="0"/>
          <w:sz w:val="20"/>
        </w:rPr>
        <w:br w:type="page"/>
      </w:r>
    </w:p>
    <w:p w14:paraId="388B7C31" w14:textId="254D2466" w:rsidR="006220A2" w:rsidRPr="00CD3131" w:rsidRDefault="00C75886" w:rsidP="00052BF5">
      <w:pPr>
        <w:widowControl w:val="0"/>
        <w:numPr>
          <w:ilvl w:val="0"/>
          <w:numId w:val="6"/>
        </w:numPr>
        <w:pBdr>
          <w:top w:val="none" w:sz="0" w:space="0" w:color="auto"/>
          <w:left w:val="none" w:sz="0" w:space="0" w:color="auto"/>
          <w:bottom w:val="none" w:sz="0" w:space="0" w:color="auto"/>
          <w:right w:val="none" w:sz="0" w:space="0" w:color="auto"/>
          <w:between w:val="none" w:sz="0" w:space="0" w:color="auto"/>
          <w:bar w:val="none" w:sz="0" w:color="auto"/>
        </w:pBdr>
        <w:spacing w:after="120" w:line="280" w:lineRule="exact"/>
        <w:ind w:left="284" w:hanging="284"/>
        <w:outlineLvl w:val="9"/>
        <w:rPr>
          <w:b/>
          <w:snapToGrid w:val="0"/>
          <w:sz w:val="22"/>
          <w:szCs w:val="22"/>
        </w:rPr>
      </w:pPr>
      <w:r w:rsidRPr="00052BF5">
        <w:rPr>
          <w:b/>
          <w:snapToGrid w:val="0"/>
          <w:sz w:val="22"/>
          <w:szCs w:val="22"/>
        </w:rPr>
        <w:lastRenderedPageBreak/>
        <w:t xml:space="preserve"> </w:t>
      </w:r>
      <w:r w:rsidR="006220A2" w:rsidRPr="00CD3131">
        <w:rPr>
          <w:b/>
          <w:snapToGrid w:val="0"/>
          <w:sz w:val="22"/>
          <w:szCs w:val="22"/>
        </w:rPr>
        <w:t>Resultado del ejercicio</w:t>
      </w:r>
    </w:p>
    <w:p w14:paraId="5A28461B" w14:textId="77777777" w:rsidR="006220A2" w:rsidRPr="0083433F" w:rsidRDefault="006220A2" w:rsidP="00063EF4">
      <w:pPr>
        <w:keepNext/>
        <w:keepLines/>
        <w:widowControl w:val="0"/>
        <w:spacing w:before="200"/>
        <w:ind w:left="284"/>
        <w:rPr>
          <w:spacing w:val="-2"/>
          <w:sz w:val="20"/>
          <w:szCs w:val="22"/>
        </w:rPr>
      </w:pPr>
      <w:r w:rsidRPr="0083433F">
        <w:rPr>
          <w:spacing w:val="-2"/>
          <w:sz w:val="20"/>
          <w:szCs w:val="22"/>
          <w:u w:val="single"/>
        </w:rPr>
        <w:t>Propuesta de distribución del resultado</w:t>
      </w:r>
    </w:p>
    <w:p w14:paraId="56165FA3" w14:textId="0E00DB52" w:rsidR="006220A2" w:rsidRPr="00063EF4" w:rsidRDefault="006220A2" w:rsidP="004A41D6">
      <w:pPr>
        <w:widowControl w:val="0"/>
        <w:spacing w:before="120" w:line="260" w:lineRule="exact"/>
        <w:jc w:val="both"/>
        <w:outlineLvl w:val="9"/>
        <w:rPr>
          <w:snapToGrid w:val="0"/>
          <w:sz w:val="20"/>
          <w:szCs w:val="22"/>
        </w:rPr>
      </w:pPr>
      <w:r w:rsidRPr="00063EF4">
        <w:rPr>
          <w:snapToGrid w:val="0"/>
          <w:sz w:val="20"/>
          <w:szCs w:val="22"/>
        </w:rPr>
        <w:t xml:space="preserve">La propuesta de distribución </w:t>
      </w:r>
      <w:r w:rsidR="007C7F1C" w:rsidRPr="00063EF4">
        <w:rPr>
          <w:snapToGrid w:val="0"/>
          <w:sz w:val="20"/>
          <w:szCs w:val="22"/>
        </w:rPr>
        <w:t>de resultados de</w:t>
      </w:r>
      <w:r w:rsidR="003704B2" w:rsidRPr="00063EF4">
        <w:rPr>
          <w:snapToGrid w:val="0"/>
          <w:sz w:val="20"/>
          <w:szCs w:val="22"/>
        </w:rPr>
        <w:t xml:space="preserve"> </w:t>
      </w:r>
      <w:r w:rsidR="007C7F1C" w:rsidRPr="00063EF4">
        <w:rPr>
          <w:snapToGrid w:val="0"/>
          <w:sz w:val="20"/>
          <w:szCs w:val="22"/>
        </w:rPr>
        <w:t>l</w:t>
      </w:r>
      <w:r w:rsidR="003704B2" w:rsidRPr="00063EF4">
        <w:rPr>
          <w:snapToGrid w:val="0"/>
          <w:sz w:val="20"/>
          <w:szCs w:val="22"/>
        </w:rPr>
        <w:t>os</w:t>
      </w:r>
      <w:r w:rsidR="007C7F1C" w:rsidRPr="00063EF4">
        <w:rPr>
          <w:snapToGrid w:val="0"/>
          <w:sz w:val="20"/>
          <w:szCs w:val="22"/>
        </w:rPr>
        <w:t xml:space="preserve"> ejercicio</w:t>
      </w:r>
      <w:r w:rsidR="003704B2" w:rsidRPr="00063EF4">
        <w:rPr>
          <w:snapToGrid w:val="0"/>
          <w:sz w:val="20"/>
          <w:szCs w:val="22"/>
        </w:rPr>
        <w:t>s</w:t>
      </w:r>
      <w:r w:rsidR="007C7F1C" w:rsidRPr="00063EF4">
        <w:rPr>
          <w:snapToGrid w:val="0"/>
          <w:sz w:val="20"/>
          <w:szCs w:val="22"/>
        </w:rPr>
        <w:t xml:space="preserve"> 20</w:t>
      </w:r>
      <w:r w:rsidR="003704B2" w:rsidRPr="00063EF4">
        <w:rPr>
          <w:snapToGrid w:val="0"/>
          <w:sz w:val="20"/>
          <w:szCs w:val="22"/>
        </w:rPr>
        <w:t>2</w:t>
      </w:r>
      <w:r w:rsidR="00234252">
        <w:rPr>
          <w:snapToGrid w:val="0"/>
          <w:sz w:val="20"/>
          <w:szCs w:val="22"/>
        </w:rPr>
        <w:t>4</w:t>
      </w:r>
      <w:r w:rsidR="003704B2" w:rsidRPr="00063EF4">
        <w:rPr>
          <w:snapToGrid w:val="0"/>
          <w:sz w:val="20"/>
          <w:szCs w:val="22"/>
        </w:rPr>
        <w:t xml:space="preserve"> y 20</w:t>
      </w:r>
      <w:r w:rsidR="0035534D" w:rsidRPr="00063EF4">
        <w:rPr>
          <w:snapToGrid w:val="0"/>
          <w:sz w:val="20"/>
          <w:szCs w:val="22"/>
        </w:rPr>
        <w:t>2</w:t>
      </w:r>
      <w:r w:rsidR="00234252">
        <w:rPr>
          <w:snapToGrid w:val="0"/>
          <w:sz w:val="20"/>
          <w:szCs w:val="22"/>
        </w:rPr>
        <w:t>3</w:t>
      </w:r>
      <w:r w:rsidRPr="00063EF4">
        <w:rPr>
          <w:snapToGrid w:val="0"/>
          <w:sz w:val="20"/>
          <w:szCs w:val="22"/>
        </w:rPr>
        <w:t>, en base a las cuentas anuales del ejercicio formuladas por los administradores, es la siguiente:</w:t>
      </w:r>
    </w:p>
    <w:p w14:paraId="335FC449" w14:textId="77777777" w:rsidR="006220A2" w:rsidRPr="0083433F" w:rsidRDefault="006220A2" w:rsidP="006220A2">
      <w:pPr>
        <w:widowControl w:val="0"/>
        <w:tabs>
          <w:tab w:val="left" w:pos="567"/>
          <w:tab w:val="left" w:pos="1134"/>
          <w:tab w:val="left" w:pos="1587"/>
        </w:tabs>
        <w:rPr>
          <w:sz w:val="20"/>
          <w:szCs w:val="22"/>
        </w:rPr>
      </w:pPr>
    </w:p>
    <w:tbl>
      <w:tblPr>
        <w:tblW w:w="5000" w:type="pct"/>
        <w:tblCellMar>
          <w:left w:w="70" w:type="dxa"/>
          <w:right w:w="70" w:type="dxa"/>
        </w:tblCellMar>
        <w:tblLook w:val="04A0" w:firstRow="1" w:lastRow="0" w:firstColumn="1" w:lastColumn="0" w:noHBand="0" w:noVBand="1"/>
      </w:tblPr>
      <w:tblGrid>
        <w:gridCol w:w="5047"/>
        <w:gridCol w:w="1867"/>
        <w:gridCol w:w="1867"/>
      </w:tblGrid>
      <w:tr w:rsidR="00484275" w:rsidRPr="00C75886" w14:paraId="607CFE42" w14:textId="77777777" w:rsidTr="00063EF4">
        <w:trPr>
          <w:trHeight w:val="240"/>
        </w:trPr>
        <w:tc>
          <w:tcPr>
            <w:tcW w:w="2874" w:type="pct"/>
            <w:tcBorders>
              <w:top w:val="single" w:sz="4" w:space="0" w:color="auto"/>
              <w:left w:val="nil"/>
              <w:bottom w:val="nil"/>
              <w:right w:val="nil"/>
            </w:tcBorders>
            <w:shd w:val="clear" w:color="auto" w:fill="auto"/>
            <w:vAlign w:val="center"/>
            <w:hideMark/>
          </w:tcPr>
          <w:p w14:paraId="7BF9F6B6" w14:textId="77777777" w:rsidR="00484275" w:rsidRPr="00C75886" w:rsidRDefault="00484275" w:rsidP="00C75886">
            <w:pPr>
              <w:pBdr>
                <w:top w:val="none" w:sz="0" w:space="0" w:color="auto"/>
                <w:left w:val="none" w:sz="0" w:space="0" w:color="auto"/>
                <w:bottom w:val="none" w:sz="0" w:space="0" w:color="auto"/>
                <w:right w:val="none" w:sz="0" w:space="0" w:color="auto"/>
                <w:between w:val="none" w:sz="0" w:space="0" w:color="auto"/>
                <w:bar w:val="none" w:sz="0" w:color="auto"/>
              </w:pBdr>
              <w:outlineLvl w:val="9"/>
              <w:rPr>
                <w:rFonts w:eastAsia="Times New Roman"/>
                <w:sz w:val="18"/>
                <w:szCs w:val="18"/>
                <w:bdr w:val="none" w:sz="0" w:space="0" w:color="auto"/>
                <w:lang w:eastAsia="es-ES"/>
              </w:rPr>
            </w:pPr>
            <w:r w:rsidRPr="00C75886">
              <w:rPr>
                <w:rFonts w:eastAsia="Times New Roman"/>
                <w:sz w:val="18"/>
                <w:szCs w:val="18"/>
                <w:bdr w:val="none" w:sz="0" w:space="0" w:color="auto"/>
                <w:lang w:eastAsia="es-ES"/>
              </w:rPr>
              <w:t> </w:t>
            </w:r>
          </w:p>
        </w:tc>
        <w:tc>
          <w:tcPr>
            <w:tcW w:w="2126" w:type="pct"/>
            <w:gridSpan w:val="2"/>
            <w:tcBorders>
              <w:top w:val="single" w:sz="4" w:space="0" w:color="auto"/>
              <w:left w:val="nil"/>
              <w:bottom w:val="single" w:sz="4" w:space="0" w:color="auto"/>
              <w:right w:val="nil"/>
            </w:tcBorders>
            <w:shd w:val="clear" w:color="auto" w:fill="auto"/>
            <w:vAlign w:val="bottom"/>
            <w:hideMark/>
          </w:tcPr>
          <w:p w14:paraId="3F7AAE49" w14:textId="77777777" w:rsidR="00484275" w:rsidRPr="00C75886" w:rsidRDefault="00484275" w:rsidP="00484275">
            <w:pPr>
              <w:pBdr>
                <w:top w:val="none" w:sz="0" w:space="0" w:color="auto"/>
                <w:left w:val="none" w:sz="0" w:space="0" w:color="auto"/>
                <w:bottom w:val="none" w:sz="0" w:space="0" w:color="auto"/>
                <w:right w:val="none" w:sz="0" w:space="0" w:color="auto"/>
                <w:between w:val="none" w:sz="0" w:space="0" w:color="auto"/>
                <w:bar w:val="none" w:sz="0" w:color="auto"/>
              </w:pBdr>
              <w:jc w:val="center"/>
              <w:outlineLvl w:val="9"/>
              <w:rPr>
                <w:rFonts w:eastAsia="Times New Roman"/>
                <w:b/>
                <w:bCs/>
                <w:sz w:val="18"/>
                <w:szCs w:val="18"/>
                <w:bdr w:val="none" w:sz="0" w:space="0" w:color="auto"/>
                <w:lang w:eastAsia="es-ES"/>
              </w:rPr>
            </w:pPr>
            <w:r w:rsidRPr="00C75886">
              <w:rPr>
                <w:rFonts w:eastAsia="Times New Roman"/>
                <w:b/>
                <w:bCs/>
                <w:sz w:val="18"/>
                <w:szCs w:val="18"/>
                <w:bdr w:val="none" w:sz="0" w:space="0" w:color="auto"/>
                <w:lang w:eastAsia="es-ES"/>
              </w:rPr>
              <w:t>Euros</w:t>
            </w:r>
          </w:p>
        </w:tc>
      </w:tr>
      <w:tr w:rsidR="000B5966" w:rsidRPr="00C75886" w14:paraId="516F0F79" w14:textId="77777777" w:rsidTr="00063EF4">
        <w:trPr>
          <w:trHeight w:val="240"/>
        </w:trPr>
        <w:tc>
          <w:tcPr>
            <w:tcW w:w="2874" w:type="pct"/>
            <w:tcBorders>
              <w:top w:val="nil"/>
              <w:left w:val="nil"/>
              <w:bottom w:val="nil"/>
              <w:right w:val="nil"/>
            </w:tcBorders>
            <w:shd w:val="clear" w:color="auto" w:fill="auto"/>
            <w:vAlign w:val="center"/>
            <w:hideMark/>
          </w:tcPr>
          <w:p w14:paraId="36331EB7" w14:textId="77777777" w:rsidR="000B5966" w:rsidRPr="00C75886" w:rsidRDefault="000B5966" w:rsidP="000B5966">
            <w:pPr>
              <w:pBdr>
                <w:top w:val="none" w:sz="0" w:space="0" w:color="auto"/>
                <w:left w:val="none" w:sz="0" w:space="0" w:color="auto"/>
                <w:bottom w:val="none" w:sz="0" w:space="0" w:color="auto"/>
                <w:right w:val="none" w:sz="0" w:space="0" w:color="auto"/>
                <w:between w:val="none" w:sz="0" w:space="0" w:color="auto"/>
                <w:bar w:val="none" w:sz="0" w:color="auto"/>
              </w:pBdr>
              <w:outlineLvl w:val="9"/>
              <w:rPr>
                <w:rFonts w:eastAsia="Times New Roman"/>
                <w:b/>
                <w:bCs/>
                <w:sz w:val="18"/>
                <w:szCs w:val="18"/>
                <w:bdr w:val="none" w:sz="0" w:space="0" w:color="auto"/>
                <w:lang w:eastAsia="es-ES"/>
              </w:rPr>
            </w:pPr>
          </w:p>
        </w:tc>
        <w:tc>
          <w:tcPr>
            <w:tcW w:w="1063" w:type="pct"/>
            <w:tcBorders>
              <w:top w:val="single" w:sz="4" w:space="0" w:color="auto"/>
              <w:left w:val="nil"/>
              <w:bottom w:val="nil"/>
              <w:right w:val="nil"/>
            </w:tcBorders>
            <w:shd w:val="clear" w:color="auto" w:fill="auto"/>
            <w:vAlign w:val="bottom"/>
            <w:hideMark/>
          </w:tcPr>
          <w:p w14:paraId="622E2C2B" w14:textId="674D4393" w:rsidR="000B5966" w:rsidRPr="00C75886" w:rsidRDefault="000B5966" w:rsidP="000B5966">
            <w:pPr>
              <w:pBdr>
                <w:top w:val="none" w:sz="0" w:space="0" w:color="auto"/>
                <w:left w:val="none" w:sz="0" w:space="0" w:color="auto"/>
                <w:bottom w:val="none" w:sz="0" w:space="0" w:color="auto"/>
                <w:right w:val="none" w:sz="0" w:space="0" w:color="auto"/>
                <w:between w:val="none" w:sz="0" w:space="0" w:color="auto"/>
                <w:bar w:val="none" w:sz="0" w:color="auto"/>
              </w:pBdr>
              <w:jc w:val="center"/>
              <w:outlineLvl w:val="9"/>
              <w:rPr>
                <w:rFonts w:eastAsia="Times New Roman"/>
                <w:b/>
                <w:bCs/>
                <w:sz w:val="18"/>
                <w:szCs w:val="18"/>
                <w:bdr w:val="none" w:sz="0" w:space="0" w:color="auto"/>
                <w:lang w:eastAsia="es-ES"/>
              </w:rPr>
            </w:pPr>
            <w:r w:rsidRPr="003B2D35">
              <w:rPr>
                <w:rFonts w:eastAsia="Times New Roman"/>
                <w:b/>
                <w:bCs/>
                <w:sz w:val="18"/>
                <w:szCs w:val="18"/>
                <w:bdr w:val="none" w:sz="0" w:space="0" w:color="auto"/>
                <w:lang w:eastAsia="es-ES"/>
              </w:rPr>
              <w:t>202</w:t>
            </w:r>
            <w:r w:rsidR="00234252">
              <w:rPr>
                <w:rFonts w:eastAsia="Times New Roman"/>
                <w:b/>
                <w:bCs/>
                <w:sz w:val="18"/>
                <w:szCs w:val="18"/>
                <w:bdr w:val="none" w:sz="0" w:space="0" w:color="auto"/>
                <w:lang w:eastAsia="es-ES"/>
              </w:rPr>
              <w:t>4</w:t>
            </w:r>
          </w:p>
        </w:tc>
        <w:tc>
          <w:tcPr>
            <w:tcW w:w="1063" w:type="pct"/>
            <w:tcBorders>
              <w:top w:val="single" w:sz="4" w:space="0" w:color="auto"/>
              <w:left w:val="nil"/>
              <w:bottom w:val="nil"/>
              <w:right w:val="nil"/>
            </w:tcBorders>
            <w:shd w:val="clear" w:color="auto" w:fill="auto"/>
            <w:vAlign w:val="bottom"/>
            <w:hideMark/>
          </w:tcPr>
          <w:p w14:paraId="206157B9" w14:textId="4B8CC30D" w:rsidR="000B5966" w:rsidRPr="00C75886" w:rsidRDefault="000B5966" w:rsidP="000B5966">
            <w:pPr>
              <w:pBdr>
                <w:top w:val="none" w:sz="0" w:space="0" w:color="auto"/>
                <w:left w:val="none" w:sz="0" w:space="0" w:color="auto"/>
                <w:bottom w:val="none" w:sz="0" w:space="0" w:color="auto"/>
                <w:right w:val="none" w:sz="0" w:space="0" w:color="auto"/>
                <w:between w:val="none" w:sz="0" w:space="0" w:color="auto"/>
                <w:bar w:val="none" w:sz="0" w:color="auto"/>
              </w:pBdr>
              <w:jc w:val="center"/>
              <w:outlineLvl w:val="9"/>
              <w:rPr>
                <w:rFonts w:eastAsia="Times New Roman"/>
                <w:b/>
                <w:bCs/>
                <w:sz w:val="18"/>
                <w:szCs w:val="18"/>
                <w:bdr w:val="none" w:sz="0" w:space="0" w:color="auto"/>
                <w:lang w:eastAsia="es-ES"/>
              </w:rPr>
            </w:pPr>
            <w:r w:rsidRPr="00C75886">
              <w:rPr>
                <w:rFonts w:eastAsia="Times New Roman"/>
                <w:b/>
                <w:bCs/>
                <w:sz w:val="18"/>
                <w:szCs w:val="18"/>
                <w:bdr w:val="none" w:sz="0" w:space="0" w:color="auto"/>
                <w:lang w:eastAsia="es-ES"/>
              </w:rPr>
              <w:t>202</w:t>
            </w:r>
            <w:r w:rsidR="00234252">
              <w:rPr>
                <w:rFonts w:eastAsia="Times New Roman"/>
                <w:b/>
                <w:bCs/>
                <w:sz w:val="18"/>
                <w:szCs w:val="18"/>
                <w:bdr w:val="none" w:sz="0" w:space="0" w:color="auto"/>
                <w:lang w:eastAsia="es-ES"/>
              </w:rPr>
              <w:t>3</w:t>
            </w:r>
          </w:p>
        </w:tc>
      </w:tr>
      <w:tr w:rsidR="000B5966" w:rsidRPr="00C75886" w14:paraId="2EC87BF2" w14:textId="77777777" w:rsidTr="00063EF4">
        <w:trPr>
          <w:trHeight w:val="283"/>
        </w:trPr>
        <w:tc>
          <w:tcPr>
            <w:tcW w:w="2874" w:type="pct"/>
            <w:tcBorders>
              <w:top w:val="single" w:sz="4" w:space="0" w:color="auto"/>
              <w:left w:val="nil"/>
              <w:bottom w:val="nil"/>
              <w:right w:val="nil"/>
            </w:tcBorders>
            <w:shd w:val="clear" w:color="auto" w:fill="auto"/>
            <w:vAlign w:val="center"/>
            <w:hideMark/>
          </w:tcPr>
          <w:p w14:paraId="2CB188CC" w14:textId="77777777" w:rsidR="000B5966" w:rsidRPr="00C75886" w:rsidRDefault="000B5966" w:rsidP="000B5966">
            <w:pPr>
              <w:pBdr>
                <w:top w:val="none" w:sz="0" w:space="0" w:color="auto"/>
                <w:left w:val="none" w:sz="0" w:space="0" w:color="auto"/>
                <w:bottom w:val="none" w:sz="0" w:space="0" w:color="auto"/>
                <w:right w:val="none" w:sz="0" w:space="0" w:color="auto"/>
                <w:between w:val="none" w:sz="0" w:space="0" w:color="auto"/>
                <w:bar w:val="none" w:sz="0" w:color="auto"/>
              </w:pBdr>
              <w:outlineLvl w:val="9"/>
              <w:rPr>
                <w:rFonts w:eastAsia="Times New Roman"/>
                <w:b/>
                <w:bCs/>
                <w:sz w:val="18"/>
                <w:szCs w:val="18"/>
                <w:u w:val="single"/>
                <w:bdr w:val="none" w:sz="0" w:space="0" w:color="auto"/>
                <w:lang w:eastAsia="es-ES"/>
              </w:rPr>
            </w:pPr>
            <w:r w:rsidRPr="00C75886">
              <w:rPr>
                <w:rFonts w:eastAsia="Times New Roman"/>
                <w:b/>
                <w:bCs/>
                <w:sz w:val="18"/>
                <w:szCs w:val="18"/>
                <w:u w:val="single"/>
                <w:bdr w:val="none" w:sz="0" w:space="0" w:color="auto"/>
                <w:lang w:eastAsia="es-ES"/>
              </w:rPr>
              <w:t>Base de reparto</w:t>
            </w:r>
          </w:p>
        </w:tc>
        <w:tc>
          <w:tcPr>
            <w:tcW w:w="1063" w:type="pct"/>
            <w:tcBorders>
              <w:top w:val="single" w:sz="4" w:space="0" w:color="auto"/>
              <w:left w:val="nil"/>
              <w:bottom w:val="nil"/>
              <w:right w:val="nil"/>
            </w:tcBorders>
            <w:shd w:val="clear" w:color="auto" w:fill="auto"/>
            <w:vAlign w:val="center"/>
          </w:tcPr>
          <w:p w14:paraId="31D9CCE8" w14:textId="77777777" w:rsidR="000B5966" w:rsidRPr="00C75886" w:rsidRDefault="000B5966" w:rsidP="000B5966">
            <w:pPr>
              <w:pBdr>
                <w:top w:val="none" w:sz="0" w:space="0" w:color="auto"/>
                <w:left w:val="none" w:sz="0" w:space="0" w:color="auto"/>
                <w:bottom w:val="none" w:sz="0" w:space="0" w:color="auto"/>
                <w:right w:val="none" w:sz="0" w:space="0" w:color="auto"/>
                <w:between w:val="none" w:sz="0" w:space="0" w:color="auto"/>
                <w:bar w:val="none" w:sz="0" w:color="auto"/>
              </w:pBdr>
              <w:outlineLvl w:val="9"/>
              <w:rPr>
                <w:rFonts w:eastAsia="Times New Roman"/>
                <w:b/>
                <w:bCs/>
                <w:sz w:val="18"/>
                <w:szCs w:val="18"/>
                <w:u w:val="single"/>
                <w:bdr w:val="none" w:sz="0" w:space="0" w:color="auto"/>
                <w:lang w:eastAsia="es-ES"/>
              </w:rPr>
            </w:pPr>
          </w:p>
        </w:tc>
        <w:tc>
          <w:tcPr>
            <w:tcW w:w="1063" w:type="pct"/>
            <w:tcBorders>
              <w:top w:val="single" w:sz="4" w:space="0" w:color="auto"/>
              <w:left w:val="nil"/>
              <w:bottom w:val="nil"/>
              <w:right w:val="nil"/>
            </w:tcBorders>
            <w:shd w:val="clear" w:color="auto" w:fill="auto"/>
            <w:vAlign w:val="center"/>
          </w:tcPr>
          <w:p w14:paraId="0B96AF1C" w14:textId="77777777" w:rsidR="000B5966" w:rsidRPr="00C75886" w:rsidRDefault="000B5966" w:rsidP="000B5966">
            <w:pPr>
              <w:pBdr>
                <w:top w:val="none" w:sz="0" w:space="0" w:color="auto"/>
                <w:left w:val="none" w:sz="0" w:space="0" w:color="auto"/>
                <w:bottom w:val="none" w:sz="0" w:space="0" w:color="auto"/>
                <w:right w:val="none" w:sz="0" w:space="0" w:color="auto"/>
                <w:between w:val="none" w:sz="0" w:space="0" w:color="auto"/>
                <w:bar w:val="none" w:sz="0" w:color="auto"/>
              </w:pBdr>
              <w:outlineLvl w:val="9"/>
              <w:rPr>
                <w:rFonts w:eastAsia="Times New Roman"/>
                <w:b/>
                <w:bCs/>
                <w:sz w:val="18"/>
                <w:szCs w:val="18"/>
                <w:u w:val="single"/>
                <w:bdr w:val="none" w:sz="0" w:space="0" w:color="auto"/>
                <w:lang w:eastAsia="es-ES"/>
              </w:rPr>
            </w:pPr>
          </w:p>
        </w:tc>
      </w:tr>
      <w:tr w:rsidR="00187B3E" w:rsidRPr="00C75886" w14:paraId="15EE9C76" w14:textId="77777777" w:rsidTr="00063EF4">
        <w:trPr>
          <w:trHeight w:val="283"/>
        </w:trPr>
        <w:tc>
          <w:tcPr>
            <w:tcW w:w="2874" w:type="pct"/>
            <w:tcBorders>
              <w:top w:val="nil"/>
              <w:left w:val="nil"/>
              <w:bottom w:val="nil"/>
              <w:right w:val="nil"/>
            </w:tcBorders>
            <w:shd w:val="clear" w:color="auto" w:fill="auto"/>
            <w:vAlign w:val="center"/>
            <w:hideMark/>
          </w:tcPr>
          <w:p w14:paraId="5C47C449" w14:textId="77777777" w:rsidR="00187B3E" w:rsidRPr="00C75886" w:rsidRDefault="00187B3E" w:rsidP="00187B3E">
            <w:pPr>
              <w:pBdr>
                <w:top w:val="none" w:sz="0" w:space="0" w:color="auto"/>
                <w:left w:val="none" w:sz="0" w:space="0" w:color="auto"/>
                <w:bottom w:val="none" w:sz="0" w:space="0" w:color="auto"/>
                <w:right w:val="none" w:sz="0" w:space="0" w:color="auto"/>
                <w:between w:val="none" w:sz="0" w:space="0" w:color="auto"/>
                <w:bar w:val="none" w:sz="0" w:color="auto"/>
              </w:pBdr>
              <w:outlineLvl w:val="9"/>
              <w:rPr>
                <w:rFonts w:eastAsia="Times New Roman"/>
                <w:sz w:val="18"/>
                <w:szCs w:val="18"/>
                <w:bdr w:val="none" w:sz="0" w:space="0" w:color="auto"/>
                <w:lang w:eastAsia="es-ES"/>
              </w:rPr>
            </w:pPr>
            <w:r w:rsidRPr="00C75886">
              <w:rPr>
                <w:rFonts w:eastAsia="Times New Roman"/>
                <w:sz w:val="18"/>
                <w:szCs w:val="18"/>
                <w:bdr w:val="none" w:sz="0" w:space="0" w:color="auto"/>
                <w:lang w:eastAsia="es-ES"/>
              </w:rPr>
              <w:t>Pérdida</w:t>
            </w:r>
          </w:p>
        </w:tc>
        <w:tc>
          <w:tcPr>
            <w:tcW w:w="1063" w:type="pct"/>
            <w:tcBorders>
              <w:top w:val="nil"/>
              <w:left w:val="nil"/>
              <w:bottom w:val="nil"/>
              <w:right w:val="nil"/>
            </w:tcBorders>
            <w:shd w:val="clear" w:color="auto" w:fill="auto"/>
            <w:vAlign w:val="center"/>
          </w:tcPr>
          <w:p w14:paraId="48420866" w14:textId="5F11BD57" w:rsidR="00187B3E" w:rsidRPr="0063096F" w:rsidRDefault="00187B3E" w:rsidP="00B1370C">
            <w:pPr>
              <w:pBdr>
                <w:top w:val="none" w:sz="0" w:space="0" w:color="auto"/>
                <w:left w:val="none" w:sz="0" w:space="0" w:color="auto"/>
                <w:bottom w:val="none" w:sz="0" w:space="0" w:color="auto"/>
                <w:right w:val="none" w:sz="0" w:space="0" w:color="auto"/>
                <w:between w:val="none" w:sz="0" w:space="0" w:color="auto"/>
                <w:bar w:val="none" w:sz="0" w:color="auto"/>
              </w:pBdr>
              <w:jc w:val="right"/>
              <w:outlineLvl w:val="9"/>
              <w:rPr>
                <w:rFonts w:eastAsia="Times New Roman"/>
                <w:sz w:val="18"/>
                <w:szCs w:val="18"/>
                <w:bdr w:val="none" w:sz="0" w:space="0" w:color="auto"/>
                <w:lang w:eastAsia="es-ES"/>
              </w:rPr>
            </w:pPr>
            <w:r>
              <w:rPr>
                <w:sz w:val="18"/>
                <w:szCs w:val="18"/>
              </w:rPr>
              <w:t>3.590.000,00</w:t>
            </w:r>
          </w:p>
        </w:tc>
        <w:tc>
          <w:tcPr>
            <w:tcW w:w="1063" w:type="pct"/>
            <w:tcBorders>
              <w:top w:val="nil"/>
              <w:left w:val="nil"/>
              <w:bottom w:val="nil"/>
              <w:right w:val="nil"/>
            </w:tcBorders>
            <w:shd w:val="clear" w:color="auto" w:fill="auto"/>
            <w:vAlign w:val="center"/>
            <w:hideMark/>
          </w:tcPr>
          <w:p w14:paraId="28490FC4" w14:textId="6BCE8B9A" w:rsidR="00187B3E" w:rsidRPr="00C75886" w:rsidRDefault="00187B3E" w:rsidP="00B1370C">
            <w:pPr>
              <w:pBdr>
                <w:top w:val="none" w:sz="0" w:space="0" w:color="auto"/>
                <w:left w:val="none" w:sz="0" w:space="0" w:color="auto"/>
                <w:bottom w:val="none" w:sz="0" w:space="0" w:color="auto"/>
                <w:right w:val="none" w:sz="0" w:space="0" w:color="auto"/>
                <w:between w:val="none" w:sz="0" w:space="0" w:color="auto"/>
                <w:bar w:val="none" w:sz="0" w:color="auto"/>
              </w:pBdr>
              <w:jc w:val="right"/>
              <w:outlineLvl w:val="9"/>
              <w:rPr>
                <w:rFonts w:eastAsia="Times New Roman"/>
                <w:sz w:val="18"/>
                <w:szCs w:val="18"/>
                <w:bdr w:val="none" w:sz="0" w:space="0" w:color="auto"/>
                <w:lang w:eastAsia="es-ES"/>
              </w:rPr>
            </w:pPr>
            <w:r w:rsidRPr="0063096F">
              <w:rPr>
                <w:sz w:val="18"/>
                <w:szCs w:val="18"/>
              </w:rPr>
              <w:t>3.577.139,00</w:t>
            </w:r>
          </w:p>
        </w:tc>
      </w:tr>
      <w:tr w:rsidR="00187B3E" w:rsidRPr="00C75886" w14:paraId="3B9B13CC" w14:textId="77777777" w:rsidTr="00063EF4">
        <w:trPr>
          <w:trHeight w:val="283"/>
        </w:trPr>
        <w:tc>
          <w:tcPr>
            <w:tcW w:w="2874" w:type="pct"/>
            <w:tcBorders>
              <w:top w:val="single" w:sz="4" w:space="0" w:color="auto"/>
              <w:left w:val="nil"/>
              <w:bottom w:val="single" w:sz="4" w:space="0" w:color="auto"/>
              <w:right w:val="nil"/>
            </w:tcBorders>
            <w:shd w:val="clear" w:color="auto" w:fill="auto"/>
            <w:vAlign w:val="center"/>
            <w:hideMark/>
          </w:tcPr>
          <w:p w14:paraId="7DF50E90" w14:textId="77777777" w:rsidR="00187B3E" w:rsidRPr="00C75886" w:rsidRDefault="00187B3E" w:rsidP="00187B3E">
            <w:pPr>
              <w:pBdr>
                <w:top w:val="none" w:sz="0" w:space="0" w:color="auto"/>
                <w:left w:val="none" w:sz="0" w:space="0" w:color="auto"/>
                <w:bottom w:val="none" w:sz="0" w:space="0" w:color="auto"/>
                <w:right w:val="none" w:sz="0" w:space="0" w:color="auto"/>
                <w:between w:val="none" w:sz="0" w:space="0" w:color="auto"/>
                <w:bar w:val="none" w:sz="0" w:color="auto"/>
              </w:pBdr>
              <w:outlineLvl w:val="9"/>
              <w:rPr>
                <w:rFonts w:eastAsia="Times New Roman"/>
                <w:sz w:val="18"/>
                <w:szCs w:val="18"/>
                <w:bdr w:val="none" w:sz="0" w:space="0" w:color="auto"/>
                <w:lang w:eastAsia="es-ES"/>
              </w:rPr>
            </w:pPr>
            <w:r w:rsidRPr="00C75886">
              <w:rPr>
                <w:rFonts w:eastAsia="Times New Roman"/>
                <w:sz w:val="18"/>
                <w:szCs w:val="18"/>
                <w:bdr w:val="none" w:sz="0" w:space="0" w:color="auto"/>
                <w:lang w:eastAsia="es-ES"/>
              </w:rPr>
              <w:t> </w:t>
            </w:r>
          </w:p>
        </w:tc>
        <w:tc>
          <w:tcPr>
            <w:tcW w:w="1063" w:type="pct"/>
            <w:tcBorders>
              <w:top w:val="single" w:sz="4" w:space="0" w:color="auto"/>
              <w:left w:val="nil"/>
              <w:bottom w:val="single" w:sz="4" w:space="0" w:color="auto"/>
              <w:right w:val="nil"/>
            </w:tcBorders>
            <w:shd w:val="clear" w:color="auto" w:fill="auto"/>
            <w:vAlign w:val="center"/>
          </w:tcPr>
          <w:p w14:paraId="3D3CB741" w14:textId="0FE97255" w:rsidR="00187B3E" w:rsidRPr="0063096F" w:rsidRDefault="00187B3E" w:rsidP="00B1370C">
            <w:pPr>
              <w:jc w:val="right"/>
              <w:rPr>
                <w:b/>
                <w:bCs/>
                <w:sz w:val="18"/>
                <w:szCs w:val="18"/>
              </w:rPr>
            </w:pPr>
            <w:r>
              <w:rPr>
                <w:b/>
                <w:bCs/>
                <w:sz w:val="18"/>
                <w:szCs w:val="18"/>
              </w:rPr>
              <w:t>3.590.000,00</w:t>
            </w:r>
          </w:p>
        </w:tc>
        <w:tc>
          <w:tcPr>
            <w:tcW w:w="1063" w:type="pct"/>
            <w:tcBorders>
              <w:top w:val="single" w:sz="4" w:space="0" w:color="auto"/>
              <w:left w:val="nil"/>
              <w:bottom w:val="single" w:sz="4" w:space="0" w:color="auto"/>
              <w:right w:val="nil"/>
            </w:tcBorders>
            <w:shd w:val="clear" w:color="auto" w:fill="auto"/>
            <w:vAlign w:val="center"/>
            <w:hideMark/>
          </w:tcPr>
          <w:p w14:paraId="5D4F05B7" w14:textId="26A2A524" w:rsidR="00187B3E" w:rsidRPr="00C75886" w:rsidRDefault="00187B3E" w:rsidP="00B1370C">
            <w:pPr>
              <w:pBdr>
                <w:top w:val="none" w:sz="0" w:space="0" w:color="auto"/>
                <w:left w:val="none" w:sz="0" w:space="0" w:color="auto"/>
                <w:bottom w:val="none" w:sz="0" w:space="0" w:color="auto"/>
                <w:right w:val="none" w:sz="0" w:space="0" w:color="auto"/>
                <w:between w:val="none" w:sz="0" w:space="0" w:color="auto"/>
                <w:bar w:val="none" w:sz="0" w:color="auto"/>
              </w:pBdr>
              <w:jc w:val="right"/>
              <w:outlineLvl w:val="9"/>
              <w:rPr>
                <w:rFonts w:eastAsia="Times New Roman"/>
                <w:b/>
                <w:bCs/>
                <w:sz w:val="18"/>
                <w:szCs w:val="18"/>
                <w:bdr w:val="none" w:sz="0" w:space="0" w:color="auto"/>
                <w:lang w:eastAsia="es-ES"/>
              </w:rPr>
            </w:pPr>
            <w:r w:rsidRPr="0063096F">
              <w:rPr>
                <w:b/>
                <w:bCs/>
                <w:sz w:val="18"/>
                <w:szCs w:val="18"/>
              </w:rPr>
              <w:t>3.577.139,00</w:t>
            </w:r>
          </w:p>
        </w:tc>
      </w:tr>
      <w:tr w:rsidR="00234252" w:rsidRPr="00C75886" w14:paraId="3C0CCC4D" w14:textId="77777777" w:rsidTr="00063EF4">
        <w:trPr>
          <w:trHeight w:val="283"/>
        </w:trPr>
        <w:tc>
          <w:tcPr>
            <w:tcW w:w="2874" w:type="pct"/>
            <w:tcBorders>
              <w:top w:val="nil"/>
              <w:left w:val="nil"/>
              <w:bottom w:val="nil"/>
              <w:right w:val="nil"/>
            </w:tcBorders>
            <w:shd w:val="clear" w:color="auto" w:fill="auto"/>
            <w:vAlign w:val="center"/>
            <w:hideMark/>
          </w:tcPr>
          <w:p w14:paraId="47535C8A" w14:textId="77777777" w:rsidR="00234252" w:rsidRPr="00C75886" w:rsidRDefault="00234252" w:rsidP="00234252">
            <w:pPr>
              <w:pBdr>
                <w:top w:val="none" w:sz="0" w:space="0" w:color="auto"/>
                <w:left w:val="none" w:sz="0" w:space="0" w:color="auto"/>
                <w:bottom w:val="none" w:sz="0" w:space="0" w:color="auto"/>
                <w:right w:val="none" w:sz="0" w:space="0" w:color="auto"/>
                <w:between w:val="none" w:sz="0" w:space="0" w:color="auto"/>
                <w:bar w:val="none" w:sz="0" w:color="auto"/>
              </w:pBdr>
              <w:outlineLvl w:val="9"/>
              <w:rPr>
                <w:rFonts w:eastAsia="Times New Roman"/>
                <w:b/>
                <w:bCs/>
                <w:sz w:val="18"/>
                <w:szCs w:val="18"/>
                <w:u w:val="single"/>
                <w:bdr w:val="none" w:sz="0" w:space="0" w:color="auto"/>
                <w:lang w:eastAsia="es-ES"/>
              </w:rPr>
            </w:pPr>
            <w:r w:rsidRPr="00C75886">
              <w:rPr>
                <w:rFonts w:eastAsia="Times New Roman"/>
                <w:b/>
                <w:bCs/>
                <w:sz w:val="18"/>
                <w:szCs w:val="18"/>
                <w:u w:val="single"/>
                <w:bdr w:val="none" w:sz="0" w:space="0" w:color="auto"/>
                <w:lang w:eastAsia="es-ES"/>
              </w:rPr>
              <w:t>Aplicación</w:t>
            </w:r>
          </w:p>
        </w:tc>
        <w:tc>
          <w:tcPr>
            <w:tcW w:w="1063" w:type="pct"/>
            <w:tcBorders>
              <w:top w:val="nil"/>
              <w:left w:val="nil"/>
              <w:bottom w:val="nil"/>
              <w:right w:val="nil"/>
            </w:tcBorders>
            <w:shd w:val="clear" w:color="auto" w:fill="auto"/>
            <w:vAlign w:val="center"/>
          </w:tcPr>
          <w:p w14:paraId="6411F565" w14:textId="77777777" w:rsidR="00234252" w:rsidRDefault="00234252" w:rsidP="00B1370C">
            <w:pPr>
              <w:jc w:val="right"/>
              <w:rPr>
                <w:b/>
                <w:bCs/>
                <w:sz w:val="18"/>
                <w:szCs w:val="18"/>
              </w:rPr>
            </w:pPr>
          </w:p>
        </w:tc>
        <w:tc>
          <w:tcPr>
            <w:tcW w:w="1063" w:type="pct"/>
            <w:tcBorders>
              <w:top w:val="nil"/>
              <w:left w:val="nil"/>
              <w:bottom w:val="nil"/>
              <w:right w:val="nil"/>
            </w:tcBorders>
            <w:shd w:val="clear" w:color="auto" w:fill="auto"/>
            <w:vAlign w:val="center"/>
            <w:hideMark/>
          </w:tcPr>
          <w:p w14:paraId="200006AD" w14:textId="77777777" w:rsidR="00234252" w:rsidRPr="00C75886" w:rsidRDefault="00234252" w:rsidP="00B1370C">
            <w:pPr>
              <w:pBdr>
                <w:top w:val="none" w:sz="0" w:space="0" w:color="auto"/>
                <w:left w:val="none" w:sz="0" w:space="0" w:color="auto"/>
                <w:bottom w:val="none" w:sz="0" w:space="0" w:color="auto"/>
                <w:right w:val="none" w:sz="0" w:space="0" w:color="auto"/>
                <w:between w:val="none" w:sz="0" w:space="0" w:color="auto"/>
                <w:bar w:val="none" w:sz="0" w:color="auto"/>
              </w:pBdr>
              <w:jc w:val="right"/>
              <w:outlineLvl w:val="9"/>
              <w:rPr>
                <w:rFonts w:ascii="Times New Roman" w:eastAsia="Times New Roman" w:hAnsi="Times New Roman" w:cs="Times New Roman"/>
                <w:color w:val="auto"/>
                <w:sz w:val="20"/>
                <w:szCs w:val="20"/>
                <w:bdr w:val="none" w:sz="0" w:space="0" w:color="auto"/>
                <w:lang w:eastAsia="es-ES"/>
              </w:rPr>
            </w:pPr>
          </w:p>
        </w:tc>
      </w:tr>
      <w:tr w:rsidR="00187B3E" w:rsidRPr="00C75886" w14:paraId="56B56E7F" w14:textId="77777777" w:rsidTr="00063EF4">
        <w:trPr>
          <w:trHeight w:val="283"/>
        </w:trPr>
        <w:tc>
          <w:tcPr>
            <w:tcW w:w="2874" w:type="pct"/>
            <w:tcBorders>
              <w:top w:val="nil"/>
              <w:left w:val="nil"/>
              <w:bottom w:val="nil"/>
              <w:right w:val="nil"/>
            </w:tcBorders>
            <w:shd w:val="clear" w:color="auto" w:fill="auto"/>
            <w:vAlign w:val="center"/>
            <w:hideMark/>
          </w:tcPr>
          <w:p w14:paraId="52067B51" w14:textId="77777777" w:rsidR="00187B3E" w:rsidRPr="00C75886" w:rsidRDefault="00187B3E" w:rsidP="00187B3E">
            <w:pPr>
              <w:pBdr>
                <w:top w:val="none" w:sz="0" w:space="0" w:color="auto"/>
                <w:left w:val="none" w:sz="0" w:space="0" w:color="auto"/>
                <w:bottom w:val="none" w:sz="0" w:space="0" w:color="auto"/>
                <w:right w:val="none" w:sz="0" w:space="0" w:color="auto"/>
                <w:between w:val="none" w:sz="0" w:space="0" w:color="auto"/>
                <w:bar w:val="none" w:sz="0" w:color="auto"/>
              </w:pBdr>
              <w:outlineLvl w:val="9"/>
              <w:rPr>
                <w:rFonts w:eastAsia="Times New Roman"/>
                <w:sz w:val="18"/>
                <w:szCs w:val="18"/>
                <w:bdr w:val="none" w:sz="0" w:space="0" w:color="auto"/>
                <w:lang w:eastAsia="es-ES"/>
              </w:rPr>
            </w:pPr>
            <w:r w:rsidRPr="00C75886">
              <w:rPr>
                <w:rFonts w:eastAsia="Times New Roman"/>
                <w:sz w:val="18"/>
                <w:szCs w:val="18"/>
                <w:bdr w:val="none" w:sz="0" w:space="0" w:color="auto"/>
                <w:lang w:eastAsia="es-ES"/>
              </w:rPr>
              <w:t>Resultados negativos de ejercicios anteriores</w:t>
            </w:r>
          </w:p>
        </w:tc>
        <w:tc>
          <w:tcPr>
            <w:tcW w:w="1063" w:type="pct"/>
            <w:tcBorders>
              <w:top w:val="nil"/>
              <w:left w:val="nil"/>
              <w:bottom w:val="nil"/>
              <w:right w:val="nil"/>
            </w:tcBorders>
            <w:shd w:val="clear" w:color="auto" w:fill="auto"/>
            <w:vAlign w:val="center"/>
          </w:tcPr>
          <w:p w14:paraId="5DB5A7FE" w14:textId="223E2646" w:rsidR="00187B3E" w:rsidRDefault="00187B3E" w:rsidP="00B1370C">
            <w:pPr>
              <w:jc w:val="right"/>
              <w:rPr>
                <w:sz w:val="18"/>
                <w:szCs w:val="18"/>
              </w:rPr>
            </w:pPr>
            <w:r>
              <w:rPr>
                <w:sz w:val="18"/>
                <w:szCs w:val="18"/>
              </w:rPr>
              <w:t>3.590.000,00</w:t>
            </w:r>
          </w:p>
        </w:tc>
        <w:tc>
          <w:tcPr>
            <w:tcW w:w="1063" w:type="pct"/>
            <w:tcBorders>
              <w:top w:val="nil"/>
              <w:left w:val="nil"/>
              <w:bottom w:val="nil"/>
              <w:right w:val="nil"/>
            </w:tcBorders>
            <w:shd w:val="clear" w:color="auto" w:fill="auto"/>
            <w:vAlign w:val="center"/>
            <w:hideMark/>
          </w:tcPr>
          <w:p w14:paraId="1CFAA5C0" w14:textId="26F1456E" w:rsidR="00187B3E" w:rsidRPr="00C75886" w:rsidRDefault="00187B3E" w:rsidP="00B1370C">
            <w:pPr>
              <w:pBdr>
                <w:top w:val="none" w:sz="0" w:space="0" w:color="auto"/>
                <w:left w:val="none" w:sz="0" w:space="0" w:color="auto"/>
                <w:bottom w:val="none" w:sz="0" w:space="0" w:color="auto"/>
                <w:right w:val="none" w:sz="0" w:space="0" w:color="auto"/>
                <w:between w:val="none" w:sz="0" w:space="0" w:color="auto"/>
                <w:bar w:val="none" w:sz="0" w:color="auto"/>
              </w:pBdr>
              <w:jc w:val="right"/>
              <w:outlineLvl w:val="9"/>
              <w:rPr>
                <w:rFonts w:eastAsia="Times New Roman"/>
                <w:sz w:val="18"/>
                <w:szCs w:val="18"/>
                <w:bdr w:val="none" w:sz="0" w:space="0" w:color="auto"/>
                <w:lang w:eastAsia="es-ES"/>
              </w:rPr>
            </w:pPr>
            <w:r w:rsidRPr="0063096F">
              <w:rPr>
                <w:sz w:val="18"/>
                <w:szCs w:val="18"/>
              </w:rPr>
              <w:t>3.577.139,00</w:t>
            </w:r>
          </w:p>
        </w:tc>
      </w:tr>
      <w:tr w:rsidR="00187B3E" w:rsidRPr="00C75886" w14:paraId="363D5215" w14:textId="77777777" w:rsidTr="00063EF4">
        <w:trPr>
          <w:trHeight w:val="283"/>
        </w:trPr>
        <w:tc>
          <w:tcPr>
            <w:tcW w:w="2874" w:type="pct"/>
            <w:tcBorders>
              <w:top w:val="single" w:sz="4" w:space="0" w:color="auto"/>
              <w:left w:val="nil"/>
              <w:bottom w:val="single" w:sz="4" w:space="0" w:color="auto"/>
              <w:right w:val="nil"/>
            </w:tcBorders>
            <w:shd w:val="clear" w:color="auto" w:fill="auto"/>
            <w:vAlign w:val="center"/>
            <w:hideMark/>
          </w:tcPr>
          <w:p w14:paraId="095CDD60" w14:textId="77777777" w:rsidR="00187B3E" w:rsidRPr="00C75886" w:rsidRDefault="00187B3E" w:rsidP="00187B3E">
            <w:pPr>
              <w:pBdr>
                <w:top w:val="none" w:sz="0" w:space="0" w:color="auto"/>
                <w:left w:val="none" w:sz="0" w:space="0" w:color="auto"/>
                <w:bottom w:val="none" w:sz="0" w:space="0" w:color="auto"/>
                <w:right w:val="none" w:sz="0" w:space="0" w:color="auto"/>
                <w:between w:val="none" w:sz="0" w:space="0" w:color="auto"/>
                <w:bar w:val="none" w:sz="0" w:color="auto"/>
              </w:pBdr>
              <w:outlineLvl w:val="9"/>
              <w:rPr>
                <w:rFonts w:eastAsia="Times New Roman"/>
                <w:sz w:val="18"/>
                <w:szCs w:val="18"/>
                <w:bdr w:val="none" w:sz="0" w:space="0" w:color="auto"/>
                <w:lang w:eastAsia="es-ES"/>
              </w:rPr>
            </w:pPr>
            <w:r w:rsidRPr="00C75886">
              <w:rPr>
                <w:rFonts w:eastAsia="Times New Roman"/>
                <w:sz w:val="18"/>
                <w:szCs w:val="18"/>
                <w:bdr w:val="none" w:sz="0" w:space="0" w:color="auto"/>
                <w:lang w:eastAsia="es-ES"/>
              </w:rPr>
              <w:t> </w:t>
            </w:r>
          </w:p>
        </w:tc>
        <w:tc>
          <w:tcPr>
            <w:tcW w:w="1063" w:type="pct"/>
            <w:tcBorders>
              <w:top w:val="single" w:sz="4" w:space="0" w:color="auto"/>
              <w:left w:val="nil"/>
              <w:bottom w:val="single" w:sz="4" w:space="0" w:color="auto"/>
              <w:right w:val="nil"/>
            </w:tcBorders>
            <w:shd w:val="clear" w:color="auto" w:fill="auto"/>
            <w:vAlign w:val="center"/>
          </w:tcPr>
          <w:p w14:paraId="4AA55A2E" w14:textId="02BB3A47" w:rsidR="00187B3E" w:rsidRPr="0063096F" w:rsidRDefault="00187B3E" w:rsidP="00B1370C">
            <w:pPr>
              <w:jc w:val="right"/>
              <w:rPr>
                <w:b/>
                <w:bCs/>
                <w:sz w:val="18"/>
                <w:szCs w:val="18"/>
              </w:rPr>
            </w:pPr>
            <w:r>
              <w:rPr>
                <w:b/>
                <w:bCs/>
                <w:sz w:val="18"/>
                <w:szCs w:val="18"/>
              </w:rPr>
              <w:t>3.590.000,00</w:t>
            </w:r>
          </w:p>
        </w:tc>
        <w:tc>
          <w:tcPr>
            <w:tcW w:w="1063" w:type="pct"/>
            <w:tcBorders>
              <w:top w:val="single" w:sz="4" w:space="0" w:color="auto"/>
              <w:left w:val="nil"/>
              <w:bottom w:val="single" w:sz="4" w:space="0" w:color="auto"/>
              <w:right w:val="nil"/>
            </w:tcBorders>
            <w:shd w:val="clear" w:color="auto" w:fill="auto"/>
            <w:vAlign w:val="center"/>
            <w:hideMark/>
          </w:tcPr>
          <w:p w14:paraId="44817A4A" w14:textId="7A28824D" w:rsidR="00187B3E" w:rsidRPr="00C75886" w:rsidRDefault="00187B3E" w:rsidP="00B1370C">
            <w:pPr>
              <w:pBdr>
                <w:top w:val="none" w:sz="0" w:space="0" w:color="auto"/>
                <w:left w:val="none" w:sz="0" w:space="0" w:color="auto"/>
                <w:bottom w:val="none" w:sz="0" w:space="0" w:color="auto"/>
                <w:right w:val="none" w:sz="0" w:space="0" w:color="auto"/>
                <w:between w:val="none" w:sz="0" w:space="0" w:color="auto"/>
                <w:bar w:val="none" w:sz="0" w:color="auto"/>
              </w:pBdr>
              <w:jc w:val="right"/>
              <w:outlineLvl w:val="9"/>
              <w:rPr>
                <w:rFonts w:eastAsia="Times New Roman"/>
                <w:b/>
                <w:bCs/>
                <w:sz w:val="18"/>
                <w:szCs w:val="18"/>
                <w:bdr w:val="none" w:sz="0" w:space="0" w:color="auto"/>
                <w:lang w:eastAsia="es-ES"/>
              </w:rPr>
            </w:pPr>
            <w:r w:rsidRPr="0063096F">
              <w:rPr>
                <w:b/>
                <w:bCs/>
                <w:sz w:val="18"/>
                <w:szCs w:val="18"/>
              </w:rPr>
              <w:t>3.577.139,00</w:t>
            </w:r>
          </w:p>
        </w:tc>
      </w:tr>
    </w:tbl>
    <w:p w14:paraId="599A50B6" w14:textId="04122DED" w:rsidR="00063EF4" w:rsidRDefault="006220A2" w:rsidP="004A41D6">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line="260" w:lineRule="exact"/>
        <w:jc w:val="both"/>
        <w:outlineLvl w:val="9"/>
        <w:rPr>
          <w:snapToGrid w:val="0"/>
          <w:sz w:val="20"/>
          <w:szCs w:val="22"/>
        </w:rPr>
      </w:pPr>
      <w:r w:rsidRPr="00FA269F">
        <w:rPr>
          <w:snapToGrid w:val="0"/>
          <w:sz w:val="20"/>
          <w:szCs w:val="22"/>
        </w:rPr>
        <w:t>Con posterioridad a la formulación de las cu</w:t>
      </w:r>
      <w:r w:rsidR="00694E39" w:rsidRPr="00FA269F">
        <w:rPr>
          <w:snapToGrid w:val="0"/>
          <w:sz w:val="20"/>
          <w:szCs w:val="22"/>
        </w:rPr>
        <w:t>entas anuales del ejercicio 20</w:t>
      </w:r>
      <w:r w:rsidR="00D93900" w:rsidRPr="00FA269F">
        <w:rPr>
          <w:snapToGrid w:val="0"/>
          <w:sz w:val="20"/>
          <w:szCs w:val="22"/>
        </w:rPr>
        <w:t>2</w:t>
      </w:r>
      <w:r w:rsidR="00234252">
        <w:rPr>
          <w:snapToGrid w:val="0"/>
          <w:sz w:val="20"/>
          <w:szCs w:val="22"/>
        </w:rPr>
        <w:t>3</w:t>
      </w:r>
      <w:r w:rsidRPr="00FA269F">
        <w:rPr>
          <w:snapToGrid w:val="0"/>
          <w:sz w:val="20"/>
          <w:szCs w:val="22"/>
        </w:rPr>
        <w:t xml:space="preserve">, la Junta en reunión de fecha </w:t>
      </w:r>
      <w:r w:rsidR="00234252">
        <w:rPr>
          <w:snapToGrid w:val="0"/>
          <w:sz w:val="20"/>
          <w:szCs w:val="22"/>
        </w:rPr>
        <w:t>2</w:t>
      </w:r>
      <w:r w:rsidR="00B02419" w:rsidRPr="00FA269F">
        <w:rPr>
          <w:snapToGrid w:val="0"/>
          <w:sz w:val="20"/>
          <w:szCs w:val="22"/>
        </w:rPr>
        <w:t xml:space="preserve"> de</w:t>
      </w:r>
      <w:r w:rsidR="00A04128" w:rsidRPr="00FA269F">
        <w:rPr>
          <w:snapToGrid w:val="0"/>
          <w:sz w:val="20"/>
          <w:szCs w:val="22"/>
        </w:rPr>
        <w:t xml:space="preserve"> ma</w:t>
      </w:r>
      <w:r w:rsidR="00234252">
        <w:rPr>
          <w:snapToGrid w:val="0"/>
          <w:sz w:val="20"/>
          <w:szCs w:val="22"/>
        </w:rPr>
        <w:t>yo</w:t>
      </w:r>
      <w:r w:rsidR="00B02419" w:rsidRPr="00FA269F">
        <w:rPr>
          <w:snapToGrid w:val="0"/>
          <w:sz w:val="20"/>
          <w:szCs w:val="22"/>
        </w:rPr>
        <w:t xml:space="preserve"> </w:t>
      </w:r>
      <w:r w:rsidR="00CC7A4A" w:rsidRPr="00FA269F">
        <w:rPr>
          <w:snapToGrid w:val="0"/>
          <w:sz w:val="20"/>
          <w:szCs w:val="22"/>
        </w:rPr>
        <w:t>de 20</w:t>
      </w:r>
      <w:r w:rsidR="00C75886" w:rsidRPr="00FA269F">
        <w:rPr>
          <w:snapToGrid w:val="0"/>
          <w:sz w:val="20"/>
          <w:szCs w:val="22"/>
        </w:rPr>
        <w:t>2</w:t>
      </w:r>
      <w:r w:rsidR="00234252">
        <w:rPr>
          <w:snapToGrid w:val="0"/>
          <w:sz w:val="20"/>
          <w:szCs w:val="22"/>
        </w:rPr>
        <w:t>4</w:t>
      </w:r>
      <w:r w:rsidRPr="00FA269F">
        <w:rPr>
          <w:snapToGrid w:val="0"/>
          <w:sz w:val="20"/>
          <w:szCs w:val="22"/>
        </w:rPr>
        <w:t>, acordó la compensación del Resul</w:t>
      </w:r>
      <w:r w:rsidR="00694E39" w:rsidRPr="00FA269F">
        <w:rPr>
          <w:snapToGrid w:val="0"/>
          <w:sz w:val="20"/>
          <w:szCs w:val="22"/>
        </w:rPr>
        <w:t>tado negativo del ejercicio 20</w:t>
      </w:r>
      <w:r w:rsidR="00A04128" w:rsidRPr="00FA269F">
        <w:rPr>
          <w:snapToGrid w:val="0"/>
          <w:sz w:val="20"/>
          <w:szCs w:val="22"/>
        </w:rPr>
        <w:t>2</w:t>
      </w:r>
      <w:r w:rsidR="00234252">
        <w:rPr>
          <w:snapToGrid w:val="0"/>
          <w:sz w:val="20"/>
          <w:szCs w:val="22"/>
        </w:rPr>
        <w:t>3</w:t>
      </w:r>
      <w:r w:rsidR="00940F21" w:rsidRPr="00FA269F">
        <w:rPr>
          <w:snapToGrid w:val="0"/>
          <w:sz w:val="20"/>
          <w:szCs w:val="22"/>
        </w:rPr>
        <w:t xml:space="preserve"> </w:t>
      </w:r>
      <w:r w:rsidRPr="00FA269F">
        <w:rPr>
          <w:snapToGrid w:val="0"/>
          <w:sz w:val="20"/>
          <w:szCs w:val="22"/>
        </w:rPr>
        <w:t xml:space="preserve">contra aportaciones de socios por importe de </w:t>
      </w:r>
      <w:r w:rsidR="00234252">
        <w:rPr>
          <w:snapToGrid w:val="0"/>
          <w:sz w:val="20"/>
          <w:szCs w:val="22"/>
        </w:rPr>
        <w:t>3.577.139</w:t>
      </w:r>
      <w:r w:rsidR="00A04128" w:rsidRPr="00FA269F">
        <w:rPr>
          <w:snapToGrid w:val="0"/>
          <w:sz w:val="20"/>
          <w:szCs w:val="22"/>
        </w:rPr>
        <w:t xml:space="preserve"> </w:t>
      </w:r>
      <w:r w:rsidRPr="00FA269F">
        <w:rPr>
          <w:snapToGrid w:val="0"/>
          <w:sz w:val="20"/>
          <w:szCs w:val="22"/>
        </w:rPr>
        <w:t>euros</w:t>
      </w:r>
      <w:r w:rsidR="00C75886" w:rsidRPr="00FA269F">
        <w:rPr>
          <w:snapToGrid w:val="0"/>
          <w:sz w:val="20"/>
          <w:szCs w:val="22"/>
        </w:rPr>
        <w:t>.</w:t>
      </w:r>
    </w:p>
    <w:p w14:paraId="3E4656EE" w14:textId="04D7345D" w:rsidR="00063EF4" w:rsidRDefault="00063EF4" w:rsidP="00B1370C">
      <w:pPr>
        <w:pBdr>
          <w:top w:val="none" w:sz="0" w:space="0" w:color="auto"/>
          <w:left w:val="none" w:sz="0" w:space="0" w:color="auto"/>
          <w:bottom w:val="none" w:sz="0" w:space="0" w:color="auto"/>
          <w:right w:val="none" w:sz="0" w:space="0" w:color="auto"/>
          <w:between w:val="none" w:sz="0" w:space="0" w:color="auto"/>
          <w:bar w:val="none" w:sz="0" w:color="auto"/>
        </w:pBdr>
        <w:jc w:val="center"/>
        <w:outlineLvl w:val="9"/>
        <w:rPr>
          <w:snapToGrid w:val="0"/>
          <w:sz w:val="20"/>
          <w:szCs w:val="22"/>
        </w:rPr>
      </w:pPr>
    </w:p>
    <w:p w14:paraId="4F00908D" w14:textId="77777777" w:rsidR="00993E1D" w:rsidRDefault="00993E1D">
      <w:pPr>
        <w:pBdr>
          <w:top w:val="none" w:sz="0" w:space="0" w:color="auto"/>
          <w:left w:val="none" w:sz="0" w:space="0" w:color="auto"/>
          <w:bottom w:val="none" w:sz="0" w:space="0" w:color="auto"/>
          <w:right w:val="none" w:sz="0" w:space="0" w:color="auto"/>
          <w:between w:val="none" w:sz="0" w:space="0" w:color="auto"/>
          <w:bar w:val="none" w:sz="0" w:color="auto"/>
        </w:pBdr>
        <w:outlineLvl w:val="9"/>
        <w:rPr>
          <w:snapToGrid w:val="0"/>
          <w:sz w:val="20"/>
          <w:szCs w:val="22"/>
        </w:rPr>
      </w:pPr>
    </w:p>
    <w:p w14:paraId="5DB42A18" w14:textId="745A7A48" w:rsidR="006220A2" w:rsidRPr="00052BF5" w:rsidRDefault="007F3953" w:rsidP="00052BF5">
      <w:pPr>
        <w:widowControl w:val="0"/>
        <w:numPr>
          <w:ilvl w:val="0"/>
          <w:numId w:val="6"/>
        </w:numPr>
        <w:pBdr>
          <w:top w:val="none" w:sz="0" w:space="0" w:color="auto"/>
          <w:left w:val="none" w:sz="0" w:space="0" w:color="auto"/>
          <w:bottom w:val="none" w:sz="0" w:space="0" w:color="auto"/>
          <w:right w:val="none" w:sz="0" w:space="0" w:color="auto"/>
          <w:between w:val="none" w:sz="0" w:space="0" w:color="auto"/>
          <w:bar w:val="none" w:sz="0" w:color="auto"/>
        </w:pBdr>
        <w:spacing w:after="120" w:line="280" w:lineRule="exact"/>
        <w:ind w:left="284" w:hanging="284"/>
        <w:outlineLvl w:val="9"/>
        <w:rPr>
          <w:b/>
          <w:snapToGrid w:val="0"/>
          <w:sz w:val="22"/>
          <w:szCs w:val="22"/>
        </w:rPr>
      </w:pPr>
      <w:r w:rsidRPr="00052BF5">
        <w:rPr>
          <w:b/>
          <w:snapToGrid w:val="0"/>
          <w:sz w:val="22"/>
          <w:szCs w:val="22"/>
        </w:rPr>
        <w:t xml:space="preserve"> </w:t>
      </w:r>
      <w:r w:rsidR="006220A2" w:rsidRPr="00052BF5">
        <w:rPr>
          <w:b/>
          <w:snapToGrid w:val="0"/>
          <w:sz w:val="22"/>
          <w:szCs w:val="22"/>
        </w:rPr>
        <w:t>Criterios contables</w:t>
      </w:r>
    </w:p>
    <w:p w14:paraId="63BFBBF9" w14:textId="77777777" w:rsidR="006220A2" w:rsidRPr="009B0773" w:rsidRDefault="006220A2" w:rsidP="00063EF4">
      <w:pPr>
        <w:widowControl w:val="0"/>
        <w:spacing w:before="240" w:after="120" w:line="260" w:lineRule="exact"/>
        <w:rPr>
          <w:sz w:val="20"/>
          <w:szCs w:val="20"/>
        </w:rPr>
      </w:pPr>
      <w:r w:rsidRPr="009B0773">
        <w:rPr>
          <w:b/>
          <w:sz w:val="20"/>
          <w:szCs w:val="20"/>
        </w:rPr>
        <w:t xml:space="preserve">4.1 </w:t>
      </w:r>
      <w:r w:rsidRPr="009B0773">
        <w:rPr>
          <w:b/>
          <w:sz w:val="20"/>
          <w:szCs w:val="20"/>
        </w:rPr>
        <w:tab/>
        <w:t>Inmovilizado intangible</w:t>
      </w:r>
    </w:p>
    <w:p w14:paraId="4D9B36D1" w14:textId="77777777" w:rsidR="006220A2" w:rsidRPr="0083433F" w:rsidRDefault="006220A2" w:rsidP="006220A2">
      <w:pPr>
        <w:widowControl w:val="0"/>
        <w:tabs>
          <w:tab w:val="left" w:pos="284"/>
          <w:tab w:val="left" w:pos="2880"/>
          <w:tab w:val="left" w:pos="3600"/>
          <w:tab w:val="left" w:pos="4320"/>
          <w:tab w:val="left" w:pos="5040"/>
          <w:tab w:val="left" w:pos="5760"/>
          <w:tab w:val="left" w:pos="6480"/>
          <w:tab w:val="left" w:pos="7200"/>
          <w:tab w:val="left" w:pos="7920"/>
          <w:tab w:val="left" w:pos="8640"/>
        </w:tabs>
        <w:spacing w:before="200"/>
        <w:rPr>
          <w:sz w:val="20"/>
          <w:u w:val="single"/>
        </w:rPr>
      </w:pPr>
      <w:r w:rsidRPr="0083433F">
        <w:rPr>
          <w:sz w:val="20"/>
        </w:rPr>
        <w:t>a)</w:t>
      </w:r>
      <w:r w:rsidRPr="0083433F">
        <w:rPr>
          <w:sz w:val="20"/>
        </w:rPr>
        <w:tab/>
      </w:r>
      <w:r w:rsidRPr="0083433F">
        <w:rPr>
          <w:sz w:val="20"/>
          <w:u w:val="single"/>
        </w:rPr>
        <w:t>Licencias y marcas</w:t>
      </w:r>
    </w:p>
    <w:p w14:paraId="5692D753" w14:textId="77777777" w:rsidR="006220A2" w:rsidRPr="00063EF4" w:rsidRDefault="006220A2" w:rsidP="004A41D6">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s>
        <w:spacing w:before="120" w:line="260" w:lineRule="exact"/>
        <w:jc w:val="both"/>
        <w:outlineLvl w:val="9"/>
        <w:rPr>
          <w:snapToGrid w:val="0"/>
          <w:sz w:val="20"/>
          <w:szCs w:val="22"/>
        </w:rPr>
      </w:pPr>
      <w:r w:rsidRPr="00063EF4">
        <w:rPr>
          <w:snapToGrid w:val="0"/>
          <w:sz w:val="20"/>
          <w:szCs w:val="22"/>
        </w:rPr>
        <w:t>Las licencias y marcas tienen una vida útil definida y se llevan a coste menos amortización acumulada y correcciones por deterioro del valor reconocidas. La amortización se calcula por el método lineal para asignar el coste de las marcas y licencias durante su vida útil estimada (10 años).</w:t>
      </w:r>
    </w:p>
    <w:p w14:paraId="5A5B7E77" w14:textId="77777777" w:rsidR="006220A2" w:rsidRPr="0083433F" w:rsidRDefault="006220A2" w:rsidP="003704B2">
      <w:pPr>
        <w:keepNext/>
        <w:keepLines/>
        <w:widowControl w:val="0"/>
        <w:tabs>
          <w:tab w:val="left" w:pos="284"/>
          <w:tab w:val="left" w:pos="2880"/>
          <w:tab w:val="left" w:pos="3600"/>
          <w:tab w:val="left" w:pos="4320"/>
          <w:tab w:val="left" w:pos="5040"/>
          <w:tab w:val="left" w:pos="5760"/>
          <w:tab w:val="left" w:pos="6480"/>
          <w:tab w:val="left" w:pos="7200"/>
          <w:tab w:val="left" w:pos="7920"/>
          <w:tab w:val="left" w:pos="8640"/>
        </w:tabs>
        <w:spacing w:before="200"/>
        <w:rPr>
          <w:sz w:val="20"/>
          <w:u w:val="single"/>
        </w:rPr>
      </w:pPr>
      <w:r w:rsidRPr="0083433F">
        <w:rPr>
          <w:sz w:val="20"/>
        </w:rPr>
        <w:t>b)</w:t>
      </w:r>
      <w:r w:rsidRPr="0083433F">
        <w:rPr>
          <w:sz w:val="20"/>
        </w:rPr>
        <w:tab/>
      </w:r>
      <w:r w:rsidRPr="0083433F">
        <w:rPr>
          <w:sz w:val="20"/>
          <w:u w:val="single"/>
        </w:rPr>
        <w:t>Aplicaciones informáticas</w:t>
      </w:r>
    </w:p>
    <w:p w14:paraId="030F89FB" w14:textId="77777777" w:rsidR="006220A2" w:rsidRPr="00063EF4" w:rsidRDefault="006220A2" w:rsidP="004A41D6">
      <w:pPr>
        <w:widowControl w:val="0"/>
        <w:spacing w:before="120" w:line="260" w:lineRule="exact"/>
        <w:jc w:val="both"/>
        <w:outlineLvl w:val="9"/>
        <w:rPr>
          <w:snapToGrid w:val="0"/>
          <w:sz w:val="20"/>
          <w:szCs w:val="22"/>
        </w:rPr>
      </w:pPr>
      <w:r w:rsidRPr="00063EF4">
        <w:rPr>
          <w:snapToGrid w:val="0"/>
          <w:sz w:val="20"/>
          <w:szCs w:val="22"/>
        </w:rPr>
        <w:t>Las licencias para programas informáticos adquiridas a terceros se capitalizan sobre la base de los costes en que se ha incurrido para adquirirlas y prepararlas para usar el programa específico. Estos costes se amortizan durante sus vidas útiles estimadas (3 años).</w:t>
      </w:r>
    </w:p>
    <w:p w14:paraId="062D0122" w14:textId="77777777" w:rsidR="006220A2" w:rsidRPr="00063EF4" w:rsidRDefault="006220A2" w:rsidP="004A41D6">
      <w:pPr>
        <w:widowControl w:val="0"/>
        <w:spacing w:before="120" w:line="260" w:lineRule="exact"/>
        <w:jc w:val="both"/>
        <w:outlineLvl w:val="9"/>
        <w:rPr>
          <w:snapToGrid w:val="0"/>
          <w:sz w:val="20"/>
          <w:szCs w:val="22"/>
        </w:rPr>
      </w:pPr>
      <w:r w:rsidRPr="00063EF4">
        <w:rPr>
          <w:snapToGrid w:val="0"/>
          <w:sz w:val="20"/>
          <w:szCs w:val="22"/>
        </w:rPr>
        <w:t>Los gastos relacionados con el mantenimiento de programas informáticos se reconocen como gasto cuando se incurre en ellos.</w:t>
      </w:r>
    </w:p>
    <w:p w14:paraId="07912982" w14:textId="77777777" w:rsidR="006220A2" w:rsidRPr="00063EF4" w:rsidRDefault="006220A2" w:rsidP="00063EF4">
      <w:pPr>
        <w:widowControl w:val="0"/>
        <w:spacing w:before="240" w:after="120" w:line="260" w:lineRule="exact"/>
        <w:rPr>
          <w:b/>
          <w:sz w:val="20"/>
          <w:szCs w:val="20"/>
        </w:rPr>
      </w:pPr>
      <w:r w:rsidRPr="00063EF4">
        <w:rPr>
          <w:b/>
          <w:sz w:val="20"/>
          <w:szCs w:val="20"/>
        </w:rPr>
        <w:t xml:space="preserve">4.2 </w:t>
      </w:r>
      <w:r w:rsidRPr="00063EF4">
        <w:rPr>
          <w:b/>
          <w:sz w:val="20"/>
          <w:szCs w:val="20"/>
        </w:rPr>
        <w:tab/>
        <w:t>Inmovilizado material</w:t>
      </w:r>
    </w:p>
    <w:p w14:paraId="66F21484" w14:textId="77777777" w:rsidR="006220A2" w:rsidRPr="00063EF4" w:rsidRDefault="006220A2" w:rsidP="004A41D6">
      <w:pPr>
        <w:widowControl w:val="0"/>
        <w:spacing w:before="120" w:line="260" w:lineRule="exact"/>
        <w:jc w:val="both"/>
        <w:outlineLvl w:val="9"/>
        <w:rPr>
          <w:snapToGrid w:val="0"/>
          <w:sz w:val="20"/>
          <w:szCs w:val="22"/>
        </w:rPr>
      </w:pPr>
      <w:r w:rsidRPr="00063EF4">
        <w:rPr>
          <w:snapToGrid w:val="0"/>
          <w:sz w:val="20"/>
          <w:szCs w:val="22"/>
        </w:rPr>
        <w:t xml:space="preserve">Los elementos del inmovilizado material se reconocen por su precio de adquisición o coste de producción menos la amortización acumulada y el importe acumulado de las pérdidas reconocidas. </w:t>
      </w:r>
    </w:p>
    <w:p w14:paraId="7009F4A7" w14:textId="77777777" w:rsidR="006220A2" w:rsidRPr="00063EF4" w:rsidRDefault="006220A2" w:rsidP="004A41D6">
      <w:pPr>
        <w:widowControl w:val="0"/>
        <w:spacing w:before="120" w:line="260" w:lineRule="exact"/>
        <w:jc w:val="both"/>
        <w:outlineLvl w:val="9"/>
        <w:rPr>
          <w:snapToGrid w:val="0"/>
          <w:sz w:val="20"/>
          <w:szCs w:val="22"/>
        </w:rPr>
      </w:pPr>
      <w:r w:rsidRPr="00063EF4">
        <w:rPr>
          <w:snapToGrid w:val="0"/>
          <w:sz w:val="20"/>
          <w:szCs w:val="22"/>
        </w:rPr>
        <w:t>Los costes de ampliación, modernización o mejora de los bienes del inmovilizado material se incorporan al activo como mayor valor del bien exclusivamente cuando suponen un aumento de su capacidad, productividad o alargamiento de su vida útil, y siempre que sea posible conocer o estimar el valor contable de los elementos que resultan dados de baja del inventario por haber sido sustituidos.</w:t>
      </w:r>
    </w:p>
    <w:p w14:paraId="48FBA8C6" w14:textId="77777777" w:rsidR="006220A2" w:rsidRPr="00063EF4" w:rsidRDefault="006220A2" w:rsidP="004A41D6">
      <w:pPr>
        <w:widowControl w:val="0"/>
        <w:spacing w:before="120" w:line="260" w:lineRule="exact"/>
        <w:jc w:val="both"/>
        <w:outlineLvl w:val="9"/>
        <w:rPr>
          <w:snapToGrid w:val="0"/>
          <w:sz w:val="20"/>
          <w:szCs w:val="22"/>
        </w:rPr>
      </w:pPr>
      <w:r w:rsidRPr="00063EF4">
        <w:rPr>
          <w:snapToGrid w:val="0"/>
          <w:sz w:val="20"/>
          <w:szCs w:val="22"/>
        </w:rPr>
        <w:t>Los costes de reparaciones importantes se activan y se amortizan durante la vida útil estimada de los mismos, mientras que los gastos de mantenimiento recurrentes se cargan en la cuenta de pérdidas y ganancias durante el ejercicio en que se incurre en ellos.</w:t>
      </w:r>
    </w:p>
    <w:p w14:paraId="79868260" w14:textId="5B7AC4C1" w:rsidR="006220A2" w:rsidRDefault="006220A2" w:rsidP="004A41D6">
      <w:pPr>
        <w:keepNext/>
        <w:keepLines/>
        <w:widowControl w:val="0"/>
        <w:spacing w:before="120" w:after="120" w:line="260" w:lineRule="exact"/>
        <w:jc w:val="both"/>
        <w:outlineLvl w:val="9"/>
        <w:rPr>
          <w:snapToGrid w:val="0"/>
          <w:sz w:val="20"/>
          <w:szCs w:val="22"/>
        </w:rPr>
      </w:pPr>
      <w:r w:rsidRPr="00063EF4">
        <w:rPr>
          <w:snapToGrid w:val="0"/>
          <w:sz w:val="20"/>
          <w:szCs w:val="22"/>
        </w:rPr>
        <w:lastRenderedPageBreak/>
        <w:t>La amortización del inmovilizado material, con excepción de los terrenos que no se amortizan, se calcula sistemáticamente por el método lineal en función de su vida útil estimada, atendiendo a la depreciación efectivamente sufrida por su funcionamiento, uso y disfrute. Las vidas útiles estimadas son:</w:t>
      </w:r>
    </w:p>
    <w:tbl>
      <w:tblPr>
        <w:tblW w:w="5000" w:type="pct"/>
        <w:jc w:val="center"/>
        <w:tblLook w:val="04A0" w:firstRow="1" w:lastRow="0" w:firstColumn="1" w:lastColumn="0" w:noHBand="0" w:noVBand="1"/>
      </w:tblPr>
      <w:tblGrid>
        <w:gridCol w:w="5997"/>
        <w:gridCol w:w="2784"/>
      </w:tblGrid>
      <w:tr w:rsidR="006220A2" w:rsidRPr="0083433F" w14:paraId="7A654338" w14:textId="77777777" w:rsidTr="00063EF4">
        <w:trPr>
          <w:trHeight w:val="340"/>
          <w:jc w:val="center"/>
        </w:trPr>
        <w:tc>
          <w:tcPr>
            <w:tcW w:w="3415" w:type="pct"/>
            <w:tcBorders>
              <w:top w:val="single" w:sz="4" w:space="0" w:color="auto"/>
              <w:bottom w:val="single" w:sz="4" w:space="0" w:color="auto"/>
            </w:tcBorders>
            <w:shd w:val="clear" w:color="auto" w:fill="auto"/>
            <w:vAlign w:val="bottom"/>
          </w:tcPr>
          <w:p w14:paraId="3844A3E6" w14:textId="77777777" w:rsidR="006220A2" w:rsidRPr="0083433F" w:rsidRDefault="006220A2" w:rsidP="00063EF4">
            <w:pPr>
              <w:pStyle w:val="TextePrinc"/>
              <w:tabs>
                <w:tab w:val="left" w:pos="-384"/>
                <w:tab w:val="left" w:pos="325"/>
                <w:tab w:val="left" w:pos="1035"/>
                <w:tab w:val="left" w:pos="1741"/>
                <w:tab w:val="left" w:pos="2451"/>
                <w:tab w:val="left" w:pos="3160"/>
                <w:tab w:val="left" w:pos="3864"/>
                <w:tab w:val="left" w:pos="4571"/>
                <w:tab w:val="left" w:pos="5280"/>
                <w:tab w:val="left" w:pos="5990"/>
                <w:tab w:val="left" w:pos="6699"/>
              </w:tabs>
              <w:ind w:left="319"/>
              <w:jc w:val="center"/>
              <w:rPr>
                <w:rFonts w:cs="Arial"/>
                <w:b/>
                <w:noProof w:val="0"/>
                <w:snapToGrid w:val="0"/>
                <w:szCs w:val="18"/>
              </w:rPr>
            </w:pPr>
            <w:r w:rsidRPr="0083433F">
              <w:rPr>
                <w:rFonts w:cs="Arial"/>
                <w:b/>
                <w:noProof w:val="0"/>
                <w:snapToGrid w:val="0"/>
                <w:szCs w:val="18"/>
              </w:rPr>
              <w:t>Descripción</w:t>
            </w:r>
          </w:p>
        </w:tc>
        <w:tc>
          <w:tcPr>
            <w:tcW w:w="1585" w:type="pct"/>
            <w:tcBorders>
              <w:top w:val="single" w:sz="4" w:space="0" w:color="auto"/>
              <w:bottom w:val="single" w:sz="4" w:space="0" w:color="auto"/>
            </w:tcBorders>
            <w:shd w:val="clear" w:color="auto" w:fill="auto"/>
            <w:vAlign w:val="bottom"/>
          </w:tcPr>
          <w:p w14:paraId="3C506E52" w14:textId="77777777" w:rsidR="006220A2" w:rsidRPr="0083433F" w:rsidRDefault="006220A2" w:rsidP="00852114">
            <w:pPr>
              <w:pStyle w:val="TextePrinc"/>
              <w:tabs>
                <w:tab w:val="left" w:pos="-384"/>
                <w:tab w:val="left" w:pos="325"/>
                <w:tab w:val="left" w:pos="1035"/>
                <w:tab w:val="left" w:pos="1741"/>
                <w:tab w:val="left" w:pos="2451"/>
                <w:tab w:val="left" w:pos="3160"/>
                <w:tab w:val="left" w:pos="3864"/>
                <w:tab w:val="left" w:pos="4571"/>
                <w:tab w:val="left" w:pos="5280"/>
                <w:tab w:val="left" w:pos="5990"/>
                <w:tab w:val="left" w:pos="6699"/>
              </w:tabs>
              <w:jc w:val="center"/>
              <w:rPr>
                <w:rFonts w:cs="Arial"/>
                <w:b/>
                <w:noProof w:val="0"/>
                <w:snapToGrid w:val="0"/>
                <w:szCs w:val="18"/>
              </w:rPr>
            </w:pPr>
            <w:r w:rsidRPr="0083433F">
              <w:rPr>
                <w:rFonts w:cs="Arial"/>
                <w:b/>
                <w:noProof w:val="0"/>
                <w:snapToGrid w:val="0"/>
                <w:szCs w:val="18"/>
              </w:rPr>
              <w:t>Años de vida útil</w:t>
            </w:r>
          </w:p>
          <w:p w14:paraId="74A5095E" w14:textId="77777777" w:rsidR="006220A2" w:rsidRPr="0083433F" w:rsidRDefault="006220A2" w:rsidP="00852114">
            <w:pPr>
              <w:pStyle w:val="TextePrinc"/>
              <w:tabs>
                <w:tab w:val="left" w:pos="-384"/>
                <w:tab w:val="left" w:pos="325"/>
                <w:tab w:val="left" w:pos="1035"/>
                <w:tab w:val="left" w:pos="1741"/>
                <w:tab w:val="left" w:pos="2451"/>
                <w:tab w:val="left" w:pos="3160"/>
                <w:tab w:val="left" w:pos="3864"/>
                <w:tab w:val="left" w:pos="4571"/>
                <w:tab w:val="left" w:pos="5280"/>
                <w:tab w:val="left" w:pos="5990"/>
                <w:tab w:val="left" w:pos="6699"/>
              </w:tabs>
              <w:jc w:val="center"/>
              <w:rPr>
                <w:rFonts w:cs="Arial"/>
                <w:b/>
                <w:noProof w:val="0"/>
                <w:snapToGrid w:val="0"/>
                <w:szCs w:val="18"/>
              </w:rPr>
            </w:pPr>
            <w:r w:rsidRPr="0083433F">
              <w:rPr>
                <w:rFonts w:cs="Arial"/>
                <w:b/>
                <w:noProof w:val="0"/>
                <w:snapToGrid w:val="0"/>
                <w:szCs w:val="18"/>
              </w:rPr>
              <w:t>estimada</w:t>
            </w:r>
          </w:p>
        </w:tc>
      </w:tr>
      <w:tr w:rsidR="006220A2" w:rsidRPr="0083433F" w14:paraId="3500BCD4" w14:textId="77777777" w:rsidTr="00063EF4">
        <w:trPr>
          <w:trHeight w:val="283"/>
          <w:jc w:val="center"/>
        </w:trPr>
        <w:tc>
          <w:tcPr>
            <w:tcW w:w="3415" w:type="pct"/>
            <w:tcBorders>
              <w:top w:val="single" w:sz="4" w:space="0" w:color="auto"/>
            </w:tcBorders>
            <w:shd w:val="clear" w:color="auto" w:fill="auto"/>
            <w:vAlign w:val="center"/>
          </w:tcPr>
          <w:p w14:paraId="19D0C716" w14:textId="77777777" w:rsidR="006220A2" w:rsidRPr="0083433F" w:rsidRDefault="006220A2" w:rsidP="00063EF4">
            <w:pPr>
              <w:pStyle w:val="TextePrinc"/>
              <w:tabs>
                <w:tab w:val="left" w:pos="-384"/>
                <w:tab w:val="left" w:pos="325"/>
                <w:tab w:val="left" w:pos="1035"/>
                <w:tab w:val="left" w:pos="1741"/>
                <w:tab w:val="left" w:pos="2451"/>
                <w:tab w:val="left" w:pos="3160"/>
                <w:tab w:val="left" w:pos="3864"/>
                <w:tab w:val="left" w:pos="4571"/>
                <w:tab w:val="left" w:pos="5280"/>
                <w:tab w:val="left" w:pos="5990"/>
                <w:tab w:val="left" w:pos="6699"/>
              </w:tabs>
              <w:ind w:left="319"/>
              <w:rPr>
                <w:rFonts w:cs="Arial"/>
                <w:noProof w:val="0"/>
                <w:snapToGrid w:val="0"/>
                <w:szCs w:val="18"/>
              </w:rPr>
            </w:pPr>
            <w:r w:rsidRPr="0083433F">
              <w:rPr>
                <w:rFonts w:cs="Arial"/>
                <w:noProof w:val="0"/>
                <w:snapToGrid w:val="0"/>
                <w:szCs w:val="18"/>
              </w:rPr>
              <w:t>Construcciones</w:t>
            </w:r>
          </w:p>
        </w:tc>
        <w:tc>
          <w:tcPr>
            <w:tcW w:w="1585" w:type="pct"/>
            <w:tcBorders>
              <w:top w:val="single" w:sz="4" w:space="0" w:color="auto"/>
            </w:tcBorders>
            <w:shd w:val="clear" w:color="auto" w:fill="auto"/>
            <w:vAlign w:val="center"/>
          </w:tcPr>
          <w:p w14:paraId="797267B0" w14:textId="77777777" w:rsidR="006220A2" w:rsidRPr="0083433F" w:rsidRDefault="006220A2" w:rsidP="00852114">
            <w:pPr>
              <w:pStyle w:val="TextePrinc"/>
              <w:tabs>
                <w:tab w:val="left" w:pos="-384"/>
                <w:tab w:val="left" w:pos="325"/>
                <w:tab w:val="left" w:pos="1035"/>
                <w:tab w:val="left" w:pos="1741"/>
                <w:tab w:val="left" w:pos="2451"/>
                <w:tab w:val="left" w:pos="3160"/>
                <w:tab w:val="left" w:pos="3864"/>
                <w:tab w:val="left" w:pos="4571"/>
                <w:tab w:val="left" w:pos="5280"/>
                <w:tab w:val="left" w:pos="5990"/>
                <w:tab w:val="left" w:pos="6699"/>
              </w:tabs>
              <w:jc w:val="center"/>
              <w:rPr>
                <w:rFonts w:cs="Arial"/>
                <w:noProof w:val="0"/>
                <w:snapToGrid w:val="0"/>
                <w:szCs w:val="18"/>
              </w:rPr>
            </w:pPr>
            <w:r w:rsidRPr="0083433F">
              <w:rPr>
                <w:rFonts w:cs="Arial"/>
                <w:noProof w:val="0"/>
                <w:snapToGrid w:val="0"/>
                <w:szCs w:val="18"/>
              </w:rPr>
              <w:t>3-30</w:t>
            </w:r>
          </w:p>
        </w:tc>
      </w:tr>
      <w:tr w:rsidR="006220A2" w:rsidRPr="0083433F" w14:paraId="26A17CBA" w14:textId="77777777" w:rsidTr="00063EF4">
        <w:trPr>
          <w:trHeight w:val="283"/>
          <w:jc w:val="center"/>
        </w:trPr>
        <w:tc>
          <w:tcPr>
            <w:tcW w:w="3415" w:type="pct"/>
            <w:shd w:val="clear" w:color="auto" w:fill="auto"/>
            <w:vAlign w:val="center"/>
          </w:tcPr>
          <w:p w14:paraId="7858EE73" w14:textId="77777777" w:rsidR="006220A2" w:rsidRPr="0083433F" w:rsidRDefault="006220A2" w:rsidP="00063EF4">
            <w:pPr>
              <w:pStyle w:val="TextePrinc"/>
              <w:tabs>
                <w:tab w:val="left" w:pos="-384"/>
                <w:tab w:val="left" w:pos="325"/>
                <w:tab w:val="left" w:pos="1035"/>
                <w:tab w:val="left" w:pos="1741"/>
                <w:tab w:val="left" w:pos="2451"/>
                <w:tab w:val="left" w:pos="3160"/>
                <w:tab w:val="left" w:pos="3864"/>
                <w:tab w:val="left" w:pos="4571"/>
                <w:tab w:val="left" w:pos="5280"/>
                <w:tab w:val="left" w:pos="5990"/>
                <w:tab w:val="left" w:pos="6699"/>
              </w:tabs>
              <w:ind w:left="319"/>
              <w:rPr>
                <w:rFonts w:cs="Arial"/>
                <w:noProof w:val="0"/>
                <w:snapToGrid w:val="0"/>
                <w:szCs w:val="18"/>
              </w:rPr>
            </w:pPr>
            <w:r w:rsidRPr="0083433F">
              <w:rPr>
                <w:rFonts w:cs="Arial"/>
                <w:noProof w:val="0"/>
                <w:snapToGrid w:val="0"/>
                <w:szCs w:val="18"/>
              </w:rPr>
              <w:t>Instalaciones técnicas</w:t>
            </w:r>
          </w:p>
        </w:tc>
        <w:tc>
          <w:tcPr>
            <w:tcW w:w="1585" w:type="pct"/>
            <w:shd w:val="clear" w:color="auto" w:fill="auto"/>
            <w:vAlign w:val="center"/>
          </w:tcPr>
          <w:p w14:paraId="06C09F07" w14:textId="77777777" w:rsidR="006220A2" w:rsidRPr="0083433F" w:rsidRDefault="006220A2" w:rsidP="00852114">
            <w:pPr>
              <w:pStyle w:val="TextePrinc"/>
              <w:tabs>
                <w:tab w:val="left" w:pos="-384"/>
                <w:tab w:val="left" w:pos="325"/>
                <w:tab w:val="left" w:pos="1035"/>
                <w:tab w:val="left" w:pos="1741"/>
                <w:tab w:val="left" w:pos="2451"/>
                <w:tab w:val="left" w:pos="3160"/>
                <w:tab w:val="left" w:pos="3864"/>
                <w:tab w:val="left" w:pos="4571"/>
                <w:tab w:val="left" w:pos="5280"/>
                <w:tab w:val="left" w:pos="5990"/>
                <w:tab w:val="left" w:pos="6699"/>
              </w:tabs>
              <w:jc w:val="center"/>
              <w:rPr>
                <w:rFonts w:cs="Arial"/>
                <w:noProof w:val="0"/>
                <w:snapToGrid w:val="0"/>
                <w:szCs w:val="18"/>
              </w:rPr>
            </w:pPr>
            <w:r w:rsidRPr="0083433F">
              <w:rPr>
                <w:rFonts w:cs="Arial"/>
                <w:noProof w:val="0"/>
                <w:snapToGrid w:val="0"/>
                <w:szCs w:val="18"/>
              </w:rPr>
              <w:t>3-8</w:t>
            </w:r>
          </w:p>
        </w:tc>
      </w:tr>
      <w:tr w:rsidR="006220A2" w:rsidRPr="0083433F" w14:paraId="69C561AA" w14:textId="77777777" w:rsidTr="00063EF4">
        <w:trPr>
          <w:trHeight w:val="283"/>
          <w:jc w:val="center"/>
        </w:trPr>
        <w:tc>
          <w:tcPr>
            <w:tcW w:w="3415" w:type="pct"/>
            <w:shd w:val="clear" w:color="auto" w:fill="auto"/>
            <w:vAlign w:val="center"/>
          </w:tcPr>
          <w:p w14:paraId="1C3AB35B" w14:textId="77777777" w:rsidR="006220A2" w:rsidRPr="0083433F" w:rsidRDefault="006220A2" w:rsidP="00063EF4">
            <w:pPr>
              <w:pStyle w:val="TextePrinc"/>
              <w:tabs>
                <w:tab w:val="left" w:pos="-384"/>
                <w:tab w:val="left" w:pos="325"/>
                <w:tab w:val="left" w:pos="1035"/>
                <w:tab w:val="left" w:pos="1741"/>
                <w:tab w:val="left" w:pos="2451"/>
                <w:tab w:val="left" w:pos="3160"/>
                <w:tab w:val="left" w:pos="3864"/>
                <w:tab w:val="left" w:pos="4571"/>
                <w:tab w:val="left" w:pos="5280"/>
                <w:tab w:val="left" w:pos="5990"/>
                <w:tab w:val="left" w:pos="6699"/>
              </w:tabs>
              <w:ind w:left="319"/>
              <w:rPr>
                <w:rFonts w:cs="Arial"/>
                <w:noProof w:val="0"/>
                <w:snapToGrid w:val="0"/>
                <w:szCs w:val="18"/>
              </w:rPr>
            </w:pPr>
            <w:r w:rsidRPr="0083433F">
              <w:rPr>
                <w:rFonts w:cs="Arial"/>
                <w:noProof w:val="0"/>
                <w:snapToGrid w:val="0"/>
                <w:szCs w:val="18"/>
              </w:rPr>
              <w:t>Mobiliario</w:t>
            </w:r>
          </w:p>
        </w:tc>
        <w:tc>
          <w:tcPr>
            <w:tcW w:w="1585" w:type="pct"/>
            <w:shd w:val="clear" w:color="auto" w:fill="auto"/>
            <w:vAlign w:val="center"/>
          </w:tcPr>
          <w:p w14:paraId="12FF5DFD" w14:textId="77777777" w:rsidR="006220A2" w:rsidRPr="0083433F" w:rsidRDefault="006220A2" w:rsidP="00852114">
            <w:pPr>
              <w:pStyle w:val="TextePrinc"/>
              <w:tabs>
                <w:tab w:val="left" w:pos="-384"/>
                <w:tab w:val="left" w:pos="325"/>
                <w:tab w:val="left" w:pos="1035"/>
                <w:tab w:val="left" w:pos="1741"/>
                <w:tab w:val="left" w:pos="2451"/>
                <w:tab w:val="left" w:pos="3160"/>
                <w:tab w:val="left" w:pos="3864"/>
                <w:tab w:val="left" w:pos="4571"/>
                <w:tab w:val="left" w:pos="5280"/>
                <w:tab w:val="left" w:pos="5990"/>
                <w:tab w:val="left" w:pos="6699"/>
              </w:tabs>
              <w:jc w:val="center"/>
              <w:rPr>
                <w:rFonts w:cs="Arial"/>
                <w:noProof w:val="0"/>
                <w:snapToGrid w:val="0"/>
                <w:szCs w:val="18"/>
              </w:rPr>
            </w:pPr>
            <w:r w:rsidRPr="0083433F">
              <w:rPr>
                <w:rFonts w:cs="Arial"/>
                <w:noProof w:val="0"/>
                <w:snapToGrid w:val="0"/>
                <w:szCs w:val="18"/>
              </w:rPr>
              <w:t>3-10</w:t>
            </w:r>
          </w:p>
        </w:tc>
      </w:tr>
      <w:tr w:rsidR="006220A2" w:rsidRPr="0083433F" w14:paraId="56D6D6C2" w14:textId="77777777" w:rsidTr="00063EF4">
        <w:trPr>
          <w:trHeight w:val="283"/>
          <w:jc w:val="center"/>
        </w:trPr>
        <w:tc>
          <w:tcPr>
            <w:tcW w:w="3415" w:type="pct"/>
            <w:shd w:val="clear" w:color="auto" w:fill="auto"/>
            <w:vAlign w:val="center"/>
          </w:tcPr>
          <w:p w14:paraId="54409DC9" w14:textId="77777777" w:rsidR="006220A2" w:rsidRPr="0083433F" w:rsidRDefault="006220A2" w:rsidP="00063EF4">
            <w:pPr>
              <w:pStyle w:val="TextePrinc"/>
              <w:tabs>
                <w:tab w:val="left" w:pos="-384"/>
                <w:tab w:val="left" w:pos="325"/>
                <w:tab w:val="left" w:pos="1035"/>
                <w:tab w:val="left" w:pos="1741"/>
                <w:tab w:val="left" w:pos="2451"/>
                <w:tab w:val="left" w:pos="3160"/>
                <w:tab w:val="left" w:pos="3864"/>
                <w:tab w:val="left" w:pos="4571"/>
                <w:tab w:val="left" w:pos="5280"/>
                <w:tab w:val="left" w:pos="5990"/>
                <w:tab w:val="left" w:pos="6699"/>
              </w:tabs>
              <w:ind w:left="319"/>
              <w:rPr>
                <w:rFonts w:cs="Arial"/>
                <w:noProof w:val="0"/>
                <w:snapToGrid w:val="0"/>
                <w:szCs w:val="18"/>
              </w:rPr>
            </w:pPr>
            <w:r w:rsidRPr="0083433F">
              <w:rPr>
                <w:rFonts w:cs="Arial"/>
                <w:noProof w:val="0"/>
                <w:snapToGrid w:val="0"/>
                <w:szCs w:val="18"/>
              </w:rPr>
              <w:t>Equipos para procesos de información</w:t>
            </w:r>
          </w:p>
        </w:tc>
        <w:tc>
          <w:tcPr>
            <w:tcW w:w="1585" w:type="pct"/>
            <w:shd w:val="clear" w:color="auto" w:fill="auto"/>
            <w:vAlign w:val="center"/>
          </w:tcPr>
          <w:p w14:paraId="4DF1F87E" w14:textId="77777777" w:rsidR="006220A2" w:rsidRPr="0083433F" w:rsidRDefault="006220A2" w:rsidP="00852114">
            <w:pPr>
              <w:pStyle w:val="TextePrinc"/>
              <w:tabs>
                <w:tab w:val="left" w:pos="-384"/>
                <w:tab w:val="left" w:pos="325"/>
                <w:tab w:val="left" w:pos="1035"/>
                <w:tab w:val="left" w:pos="1741"/>
                <w:tab w:val="left" w:pos="2451"/>
                <w:tab w:val="left" w:pos="3160"/>
                <w:tab w:val="left" w:pos="3864"/>
                <w:tab w:val="left" w:pos="4571"/>
                <w:tab w:val="left" w:pos="5280"/>
                <w:tab w:val="left" w:pos="5990"/>
                <w:tab w:val="left" w:pos="6699"/>
              </w:tabs>
              <w:jc w:val="center"/>
              <w:rPr>
                <w:rFonts w:cs="Arial"/>
                <w:noProof w:val="0"/>
                <w:snapToGrid w:val="0"/>
                <w:szCs w:val="18"/>
              </w:rPr>
            </w:pPr>
            <w:r w:rsidRPr="0083433F">
              <w:rPr>
                <w:rFonts w:cs="Arial"/>
                <w:noProof w:val="0"/>
                <w:snapToGrid w:val="0"/>
                <w:szCs w:val="18"/>
              </w:rPr>
              <w:t>2-4</w:t>
            </w:r>
          </w:p>
        </w:tc>
      </w:tr>
      <w:tr w:rsidR="006220A2" w:rsidRPr="0083433F" w14:paraId="2E9E2E2F" w14:textId="77777777" w:rsidTr="00063EF4">
        <w:trPr>
          <w:trHeight w:val="283"/>
          <w:jc w:val="center"/>
        </w:trPr>
        <w:tc>
          <w:tcPr>
            <w:tcW w:w="3415" w:type="pct"/>
            <w:tcBorders>
              <w:bottom w:val="single" w:sz="4" w:space="0" w:color="auto"/>
            </w:tcBorders>
            <w:shd w:val="clear" w:color="auto" w:fill="auto"/>
            <w:vAlign w:val="center"/>
          </w:tcPr>
          <w:p w14:paraId="0AF9BA47" w14:textId="77777777" w:rsidR="006220A2" w:rsidRPr="0083433F" w:rsidRDefault="006220A2" w:rsidP="00063EF4">
            <w:pPr>
              <w:pStyle w:val="TextePrinc"/>
              <w:tabs>
                <w:tab w:val="left" w:pos="-384"/>
                <w:tab w:val="left" w:pos="325"/>
                <w:tab w:val="left" w:pos="1035"/>
                <w:tab w:val="left" w:pos="1741"/>
                <w:tab w:val="left" w:pos="2451"/>
                <w:tab w:val="left" w:pos="3160"/>
                <w:tab w:val="left" w:pos="3864"/>
                <w:tab w:val="left" w:pos="4571"/>
                <w:tab w:val="left" w:pos="5280"/>
                <w:tab w:val="left" w:pos="5990"/>
                <w:tab w:val="left" w:pos="6699"/>
              </w:tabs>
              <w:ind w:left="319"/>
              <w:rPr>
                <w:rFonts w:cs="Arial"/>
                <w:noProof w:val="0"/>
                <w:snapToGrid w:val="0"/>
                <w:szCs w:val="18"/>
              </w:rPr>
            </w:pPr>
            <w:r w:rsidRPr="0083433F">
              <w:rPr>
                <w:rFonts w:cs="Arial"/>
                <w:noProof w:val="0"/>
                <w:snapToGrid w:val="0"/>
                <w:szCs w:val="18"/>
              </w:rPr>
              <w:t>Otro inmovilizado material</w:t>
            </w:r>
          </w:p>
        </w:tc>
        <w:tc>
          <w:tcPr>
            <w:tcW w:w="1585" w:type="pct"/>
            <w:tcBorders>
              <w:bottom w:val="single" w:sz="4" w:space="0" w:color="auto"/>
            </w:tcBorders>
            <w:shd w:val="clear" w:color="auto" w:fill="auto"/>
            <w:vAlign w:val="center"/>
          </w:tcPr>
          <w:p w14:paraId="296BFB8E" w14:textId="77777777" w:rsidR="006220A2" w:rsidRPr="0083433F" w:rsidRDefault="006220A2" w:rsidP="00852114">
            <w:pPr>
              <w:pStyle w:val="TextePrinc"/>
              <w:tabs>
                <w:tab w:val="left" w:pos="-384"/>
                <w:tab w:val="left" w:pos="325"/>
                <w:tab w:val="left" w:pos="1035"/>
                <w:tab w:val="left" w:pos="1741"/>
                <w:tab w:val="left" w:pos="2451"/>
                <w:tab w:val="left" w:pos="3160"/>
                <w:tab w:val="left" w:pos="3864"/>
                <w:tab w:val="left" w:pos="4571"/>
                <w:tab w:val="left" w:pos="5280"/>
                <w:tab w:val="left" w:pos="5990"/>
                <w:tab w:val="left" w:pos="6699"/>
              </w:tabs>
              <w:jc w:val="center"/>
              <w:rPr>
                <w:rFonts w:cs="Arial"/>
                <w:noProof w:val="0"/>
                <w:snapToGrid w:val="0"/>
                <w:szCs w:val="18"/>
              </w:rPr>
            </w:pPr>
            <w:r w:rsidRPr="0083433F">
              <w:rPr>
                <w:rFonts w:cs="Arial"/>
                <w:noProof w:val="0"/>
                <w:snapToGrid w:val="0"/>
                <w:szCs w:val="18"/>
              </w:rPr>
              <w:t>3-8</w:t>
            </w:r>
          </w:p>
        </w:tc>
      </w:tr>
    </w:tbl>
    <w:p w14:paraId="055E9260" w14:textId="69890125" w:rsidR="006220A2" w:rsidRPr="00063EF4" w:rsidRDefault="006220A2" w:rsidP="004A41D6">
      <w:pPr>
        <w:widowControl w:val="0"/>
        <w:spacing w:before="120" w:line="260" w:lineRule="exact"/>
        <w:jc w:val="both"/>
        <w:outlineLvl w:val="9"/>
        <w:rPr>
          <w:snapToGrid w:val="0"/>
          <w:sz w:val="20"/>
          <w:szCs w:val="22"/>
        </w:rPr>
      </w:pPr>
      <w:r w:rsidRPr="00063EF4">
        <w:rPr>
          <w:snapToGrid w:val="0"/>
          <w:sz w:val="20"/>
          <w:szCs w:val="22"/>
        </w:rPr>
        <w:t xml:space="preserve">Las adquisiciones realizadas del inmovilizado proveniente de la sociedad SATURNO que fueron adquiridos por </w:t>
      </w:r>
      <w:r w:rsidR="000E1D9E" w:rsidRPr="00063EF4">
        <w:rPr>
          <w:snapToGrid w:val="0"/>
          <w:sz w:val="20"/>
          <w:szCs w:val="22"/>
        </w:rPr>
        <w:t>PROMOTUR</w:t>
      </w:r>
      <w:r w:rsidRPr="00063EF4">
        <w:rPr>
          <w:snapToGrid w:val="0"/>
          <w:sz w:val="20"/>
          <w:szCs w:val="22"/>
        </w:rPr>
        <w:t xml:space="preserve"> en el ejercicio 2006, se </w:t>
      </w:r>
      <w:r w:rsidR="00D509C6" w:rsidRPr="00063EF4">
        <w:rPr>
          <w:snapToGrid w:val="0"/>
          <w:sz w:val="20"/>
          <w:szCs w:val="22"/>
        </w:rPr>
        <w:t>han</w:t>
      </w:r>
      <w:r w:rsidRPr="00063EF4">
        <w:rPr>
          <w:snapToGrid w:val="0"/>
          <w:sz w:val="20"/>
          <w:szCs w:val="22"/>
        </w:rPr>
        <w:t xml:space="preserve"> </w:t>
      </w:r>
      <w:r w:rsidR="009B0773" w:rsidRPr="00063EF4">
        <w:rPr>
          <w:snapToGrid w:val="0"/>
          <w:sz w:val="20"/>
          <w:szCs w:val="22"/>
        </w:rPr>
        <w:t>amortizado</w:t>
      </w:r>
      <w:r w:rsidRPr="00063EF4">
        <w:rPr>
          <w:snapToGrid w:val="0"/>
          <w:sz w:val="20"/>
          <w:szCs w:val="22"/>
        </w:rPr>
        <w:t xml:space="preserve"> al doble de su porcentaje de amortización. </w:t>
      </w:r>
    </w:p>
    <w:p w14:paraId="1822236D" w14:textId="77777777" w:rsidR="006220A2" w:rsidRPr="00063EF4" w:rsidRDefault="006220A2" w:rsidP="004A41D6">
      <w:pPr>
        <w:widowControl w:val="0"/>
        <w:spacing w:before="120" w:line="260" w:lineRule="exact"/>
        <w:jc w:val="both"/>
        <w:outlineLvl w:val="9"/>
        <w:rPr>
          <w:snapToGrid w:val="0"/>
          <w:sz w:val="20"/>
          <w:szCs w:val="22"/>
        </w:rPr>
      </w:pPr>
      <w:r w:rsidRPr="00063EF4">
        <w:rPr>
          <w:snapToGrid w:val="0"/>
          <w:sz w:val="20"/>
          <w:szCs w:val="22"/>
        </w:rPr>
        <w:t>El valor residual y la vida útil de los activos se revisa, ajustándose si fuese necesario, en la fecha de cada balance.</w:t>
      </w:r>
    </w:p>
    <w:p w14:paraId="70B5C910" w14:textId="77777777" w:rsidR="006220A2" w:rsidRPr="00063EF4" w:rsidRDefault="006220A2" w:rsidP="004A41D6">
      <w:pPr>
        <w:widowControl w:val="0"/>
        <w:spacing w:before="120" w:line="260" w:lineRule="exact"/>
        <w:jc w:val="both"/>
        <w:outlineLvl w:val="9"/>
        <w:rPr>
          <w:snapToGrid w:val="0"/>
          <w:sz w:val="20"/>
          <w:szCs w:val="22"/>
        </w:rPr>
      </w:pPr>
      <w:r w:rsidRPr="00063EF4">
        <w:rPr>
          <w:snapToGrid w:val="0"/>
          <w:sz w:val="20"/>
          <w:szCs w:val="22"/>
        </w:rPr>
        <w:t>Cuando el valor contable de un activo es superior a su importe recuperable estimado, su valor se reduce de forma inmediata hasta su importe recuperable.</w:t>
      </w:r>
    </w:p>
    <w:p w14:paraId="08EF5B0F" w14:textId="77777777" w:rsidR="006220A2" w:rsidRPr="00063EF4" w:rsidRDefault="006220A2" w:rsidP="004A41D6">
      <w:pPr>
        <w:widowControl w:val="0"/>
        <w:spacing w:before="120" w:line="260" w:lineRule="exact"/>
        <w:jc w:val="both"/>
        <w:outlineLvl w:val="9"/>
        <w:rPr>
          <w:snapToGrid w:val="0"/>
          <w:sz w:val="20"/>
          <w:szCs w:val="22"/>
        </w:rPr>
      </w:pPr>
      <w:r w:rsidRPr="00063EF4">
        <w:rPr>
          <w:snapToGrid w:val="0"/>
          <w:sz w:val="20"/>
          <w:szCs w:val="22"/>
        </w:rPr>
        <w:t>Las pérdidas y ganancias por la venta de inmovilizado material se calculan comparando los ingresos obtenidos por la venta con el valor contable y se registran en la cuenta de pérdidas y ganancias.</w:t>
      </w:r>
    </w:p>
    <w:p w14:paraId="57D68B00" w14:textId="1DAF7185" w:rsidR="00F372AF" w:rsidRPr="00063EF4" w:rsidRDefault="006220A2" w:rsidP="00063EF4">
      <w:pPr>
        <w:widowControl w:val="0"/>
        <w:spacing w:before="240" w:after="120" w:line="260" w:lineRule="exact"/>
        <w:rPr>
          <w:b/>
          <w:sz w:val="20"/>
          <w:szCs w:val="20"/>
        </w:rPr>
      </w:pPr>
      <w:r w:rsidRPr="00063EF4">
        <w:rPr>
          <w:b/>
          <w:sz w:val="20"/>
          <w:szCs w:val="20"/>
        </w:rPr>
        <w:t xml:space="preserve">4.3 </w:t>
      </w:r>
      <w:r w:rsidRPr="00063EF4">
        <w:rPr>
          <w:b/>
          <w:sz w:val="20"/>
          <w:szCs w:val="20"/>
        </w:rPr>
        <w:tab/>
      </w:r>
      <w:r w:rsidR="00F372AF" w:rsidRPr="00063EF4">
        <w:rPr>
          <w:b/>
          <w:sz w:val="20"/>
          <w:szCs w:val="20"/>
        </w:rPr>
        <w:t>Instrumentos financieros</w:t>
      </w:r>
    </w:p>
    <w:p w14:paraId="6C3372D4" w14:textId="65A215C4" w:rsidR="00F372AF" w:rsidRPr="00063EF4" w:rsidRDefault="000D187A" w:rsidP="004A41D6">
      <w:pPr>
        <w:widowControl w:val="0"/>
        <w:spacing w:before="120" w:line="260" w:lineRule="exact"/>
        <w:jc w:val="both"/>
        <w:outlineLvl w:val="9"/>
        <w:rPr>
          <w:snapToGrid w:val="0"/>
          <w:sz w:val="20"/>
          <w:szCs w:val="22"/>
        </w:rPr>
      </w:pPr>
      <w:r w:rsidRPr="00063EF4">
        <w:rPr>
          <w:snapToGrid w:val="0"/>
          <w:sz w:val="20"/>
          <w:szCs w:val="22"/>
        </w:rPr>
        <w:t>La Sociedad registra en el epígrafe de instrumentos financieros aquellos contratos que dan lugar a un activo financiero en una empresa y, simultáneamente, a un pasivo financiero o a un instrumento de patrimonio en otra empresa.</w:t>
      </w:r>
    </w:p>
    <w:p w14:paraId="0A47FD22" w14:textId="77777777" w:rsidR="000D187A" w:rsidRPr="00063EF4" w:rsidRDefault="000D187A" w:rsidP="004A41D6">
      <w:pPr>
        <w:widowControl w:val="0"/>
        <w:spacing w:before="120" w:line="260" w:lineRule="exact"/>
        <w:jc w:val="both"/>
        <w:outlineLvl w:val="9"/>
        <w:rPr>
          <w:snapToGrid w:val="0"/>
          <w:sz w:val="20"/>
          <w:szCs w:val="22"/>
        </w:rPr>
      </w:pPr>
      <w:r w:rsidRPr="00063EF4">
        <w:rPr>
          <w:snapToGrid w:val="0"/>
          <w:sz w:val="20"/>
          <w:szCs w:val="22"/>
        </w:rPr>
        <w:t xml:space="preserve">Un activo financiero es cualquier activo que sea: dinero en efectivo, un instrumento de patrimonio de otra empresa, o suponga un derecho contractual a recibir efectivo u otro activo financiero (un instrumento de deuda), o a intercambiar activos o pasivos financieros con terceros en condiciones potencialmente favorables. </w:t>
      </w:r>
    </w:p>
    <w:p w14:paraId="06C6BDBF" w14:textId="77777777" w:rsidR="000D187A" w:rsidRPr="00063EF4" w:rsidRDefault="000D187A" w:rsidP="004A41D6">
      <w:pPr>
        <w:widowControl w:val="0"/>
        <w:spacing w:before="120" w:line="260" w:lineRule="exact"/>
        <w:jc w:val="both"/>
        <w:outlineLvl w:val="9"/>
        <w:rPr>
          <w:snapToGrid w:val="0"/>
          <w:sz w:val="20"/>
          <w:szCs w:val="22"/>
        </w:rPr>
      </w:pPr>
      <w:r w:rsidRPr="00063EF4">
        <w:rPr>
          <w:snapToGrid w:val="0"/>
          <w:sz w:val="20"/>
          <w:szCs w:val="22"/>
        </w:rPr>
        <w:t>Los activos financieros, a efectos de su valoración, se clasifican en alguna de las siguientes categorías:</w:t>
      </w:r>
    </w:p>
    <w:p w14:paraId="116A0B4D" w14:textId="77777777" w:rsidR="000D187A" w:rsidRPr="00A40E6F" w:rsidRDefault="000D187A" w:rsidP="00063EF4">
      <w:pPr>
        <w:widowControl w:val="0"/>
        <w:tabs>
          <w:tab w:val="left" w:pos="567"/>
        </w:tabs>
        <w:spacing w:before="120" w:line="260" w:lineRule="exact"/>
        <w:ind w:left="284"/>
        <w:jc w:val="both"/>
        <w:rPr>
          <w:bCs/>
          <w:sz w:val="20"/>
        </w:rPr>
      </w:pPr>
      <w:r w:rsidRPr="00A40E6F">
        <w:rPr>
          <w:bCs/>
          <w:sz w:val="20"/>
        </w:rPr>
        <w:t>1.</w:t>
      </w:r>
      <w:r w:rsidRPr="00A40E6F">
        <w:rPr>
          <w:bCs/>
          <w:sz w:val="20"/>
        </w:rPr>
        <w:tab/>
        <w:t xml:space="preserve">Activos financieros a valor razonable con cambios en la cuenta de pérdidas y ganancias. </w:t>
      </w:r>
    </w:p>
    <w:p w14:paraId="2C404451" w14:textId="77777777" w:rsidR="000D187A" w:rsidRPr="00A40E6F" w:rsidRDefault="000D187A" w:rsidP="00063EF4">
      <w:pPr>
        <w:widowControl w:val="0"/>
        <w:tabs>
          <w:tab w:val="left" w:pos="567"/>
        </w:tabs>
        <w:spacing w:before="120" w:line="260" w:lineRule="exact"/>
        <w:ind w:left="284"/>
        <w:jc w:val="both"/>
        <w:rPr>
          <w:bCs/>
          <w:sz w:val="20"/>
        </w:rPr>
      </w:pPr>
      <w:r w:rsidRPr="00A40E6F">
        <w:rPr>
          <w:bCs/>
          <w:sz w:val="20"/>
        </w:rPr>
        <w:t>2.</w:t>
      </w:r>
      <w:r w:rsidRPr="00A40E6F">
        <w:rPr>
          <w:bCs/>
          <w:sz w:val="20"/>
        </w:rPr>
        <w:tab/>
        <w:t xml:space="preserve">Activos financieros a coste amortizado. </w:t>
      </w:r>
    </w:p>
    <w:p w14:paraId="3889ABDF" w14:textId="77777777" w:rsidR="000D187A" w:rsidRPr="00A40E6F" w:rsidRDefault="000D187A" w:rsidP="00063EF4">
      <w:pPr>
        <w:widowControl w:val="0"/>
        <w:tabs>
          <w:tab w:val="left" w:pos="567"/>
        </w:tabs>
        <w:spacing w:before="120" w:line="260" w:lineRule="exact"/>
        <w:ind w:left="284"/>
        <w:jc w:val="both"/>
        <w:rPr>
          <w:bCs/>
          <w:sz w:val="20"/>
        </w:rPr>
      </w:pPr>
      <w:r w:rsidRPr="00A40E6F">
        <w:rPr>
          <w:bCs/>
          <w:sz w:val="20"/>
        </w:rPr>
        <w:t>3.</w:t>
      </w:r>
      <w:r w:rsidRPr="00A40E6F">
        <w:rPr>
          <w:bCs/>
          <w:sz w:val="20"/>
        </w:rPr>
        <w:tab/>
        <w:t xml:space="preserve">Activos financieros a valor razonable con cambios en el patrimonio neto. </w:t>
      </w:r>
    </w:p>
    <w:p w14:paraId="149358B0" w14:textId="77777777" w:rsidR="000D187A" w:rsidRPr="00A40E6F" w:rsidRDefault="000D187A" w:rsidP="00063EF4">
      <w:pPr>
        <w:widowControl w:val="0"/>
        <w:tabs>
          <w:tab w:val="left" w:pos="567"/>
        </w:tabs>
        <w:spacing w:before="120" w:line="260" w:lineRule="exact"/>
        <w:ind w:left="284"/>
        <w:jc w:val="both"/>
        <w:rPr>
          <w:bCs/>
          <w:sz w:val="20"/>
        </w:rPr>
      </w:pPr>
      <w:r w:rsidRPr="00A40E6F">
        <w:rPr>
          <w:bCs/>
          <w:sz w:val="20"/>
        </w:rPr>
        <w:t>4.</w:t>
      </w:r>
      <w:r w:rsidRPr="00A40E6F">
        <w:rPr>
          <w:bCs/>
          <w:sz w:val="20"/>
        </w:rPr>
        <w:tab/>
        <w:t>Activos financieros a coste.</w:t>
      </w:r>
    </w:p>
    <w:p w14:paraId="73BE2722" w14:textId="77777777" w:rsidR="000D187A" w:rsidRPr="00063EF4" w:rsidRDefault="000D187A" w:rsidP="004A41D6">
      <w:pPr>
        <w:widowControl w:val="0"/>
        <w:spacing w:before="120" w:line="260" w:lineRule="exact"/>
        <w:jc w:val="both"/>
        <w:outlineLvl w:val="9"/>
        <w:rPr>
          <w:snapToGrid w:val="0"/>
          <w:sz w:val="20"/>
          <w:szCs w:val="22"/>
        </w:rPr>
      </w:pPr>
      <w:r w:rsidRPr="00063EF4">
        <w:rPr>
          <w:snapToGrid w:val="0"/>
          <w:sz w:val="20"/>
          <w:szCs w:val="22"/>
        </w:rPr>
        <w:t>Los instrumentos financieros emitidos, incurridos o asumidos se clasifican como pasivos financieros, en su totalidad o en una de sus partes, siempre que de acuerdo con su realidad económica supongan para la Sociedad una obligación contractual, directa o indirecta, de entregar efectivo u otro activo financiero, o de intercambiar activos o pasivos financieros con terceros en condiciones potencialmente desfavorables.</w:t>
      </w:r>
    </w:p>
    <w:p w14:paraId="60F04354" w14:textId="77777777" w:rsidR="000D187A" w:rsidRPr="00063EF4" w:rsidRDefault="000D187A" w:rsidP="004A41D6">
      <w:pPr>
        <w:widowControl w:val="0"/>
        <w:spacing w:before="120" w:line="260" w:lineRule="exact"/>
        <w:jc w:val="both"/>
        <w:outlineLvl w:val="9"/>
        <w:rPr>
          <w:snapToGrid w:val="0"/>
          <w:sz w:val="20"/>
          <w:szCs w:val="22"/>
        </w:rPr>
      </w:pPr>
      <w:r w:rsidRPr="00063EF4">
        <w:rPr>
          <w:snapToGrid w:val="0"/>
          <w:sz w:val="20"/>
          <w:szCs w:val="22"/>
        </w:rPr>
        <w:t>Los pasivos financieros, a efectos de su valoración, se clasifican en alguna de las siguientes categorías:</w:t>
      </w:r>
    </w:p>
    <w:p w14:paraId="7C53D0A4" w14:textId="77777777" w:rsidR="000D187A" w:rsidRPr="00A40E6F" w:rsidRDefault="000D187A" w:rsidP="00063EF4">
      <w:pPr>
        <w:widowControl w:val="0"/>
        <w:tabs>
          <w:tab w:val="left" w:pos="567"/>
        </w:tabs>
        <w:spacing w:before="120" w:line="276" w:lineRule="auto"/>
        <w:ind w:left="284"/>
        <w:jc w:val="both"/>
        <w:rPr>
          <w:bCs/>
          <w:sz w:val="20"/>
        </w:rPr>
      </w:pPr>
      <w:r w:rsidRPr="00A40E6F">
        <w:rPr>
          <w:bCs/>
          <w:sz w:val="20"/>
        </w:rPr>
        <w:t>1.</w:t>
      </w:r>
      <w:r w:rsidRPr="00A40E6F">
        <w:rPr>
          <w:bCs/>
          <w:sz w:val="20"/>
        </w:rPr>
        <w:tab/>
        <w:t xml:space="preserve">Pasivos financieros a valor razonable con cambios en la cuenta de pérdidas y ganancias. </w:t>
      </w:r>
    </w:p>
    <w:p w14:paraId="36782FB2" w14:textId="77777777" w:rsidR="000D187A" w:rsidRPr="00A40E6F" w:rsidRDefault="000D187A" w:rsidP="00063EF4">
      <w:pPr>
        <w:widowControl w:val="0"/>
        <w:tabs>
          <w:tab w:val="left" w:pos="567"/>
        </w:tabs>
        <w:spacing w:before="120" w:line="276" w:lineRule="auto"/>
        <w:ind w:left="284"/>
        <w:jc w:val="both"/>
        <w:rPr>
          <w:bCs/>
          <w:sz w:val="20"/>
        </w:rPr>
      </w:pPr>
      <w:r w:rsidRPr="00A40E6F">
        <w:rPr>
          <w:bCs/>
          <w:sz w:val="20"/>
        </w:rPr>
        <w:t>2.</w:t>
      </w:r>
      <w:r w:rsidRPr="00A40E6F">
        <w:rPr>
          <w:bCs/>
          <w:sz w:val="20"/>
        </w:rPr>
        <w:tab/>
        <w:t>Pasivos financieros a coste amortizado.</w:t>
      </w:r>
    </w:p>
    <w:p w14:paraId="1D1CA968" w14:textId="3BCA8CEA" w:rsidR="00F372AF" w:rsidRPr="00063EF4" w:rsidRDefault="000D187A" w:rsidP="004A41D6">
      <w:pPr>
        <w:widowControl w:val="0"/>
        <w:spacing w:before="120" w:line="260" w:lineRule="exact"/>
        <w:jc w:val="both"/>
        <w:outlineLvl w:val="9"/>
        <w:rPr>
          <w:snapToGrid w:val="0"/>
          <w:sz w:val="20"/>
          <w:szCs w:val="22"/>
        </w:rPr>
      </w:pPr>
      <w:r w:rsidRPr="00063EF4">
        <w:rPr>
          <w:snapToGrid w:val="0"/>
          <w:sz w:val="20"/>
          <w:szCs w:val="22"/>
        </w:rPr>
        <w:lastRenderedPageBreak/>
        <w:t>Dicho tratamiento resulta de aplicación a los siguientes instrumentos financieros:</w:t>
      </w:r>
    </w:p>
    <w:p w14:paraId="5ECCA4EA" w14:textId="77777777" w:rsidR="000A0387" w:rsidRPr="00A40E6F" w:rsidRDefault="000A0387" w:rsidP="00063EF4">
      <w:pPr>
        <w:widowControl w:val="0"/>
        <w:tabs>
          <w:tab w:val="left" w:pos="567"/>
        </w:tabs>
        <w:spacing w:before="120" w:line="276" w:lineRule="auto"/>
        <w:ind w:left="284"/>
        <w:jc w:val="both"/>
        <w:rPr>
          <w:bCs/>
          <w:sz w:val="20"/>
        </w:rPr>
      </w:pPr>
      <w:r w:rsidRPr="00A40E6F">
        <w:rPr>
          <w:bCs/>
          <w:sz w:val="20"/>
        </w:rPr>
        <w:t>a)</w:t>
      </w:r>
      <w:r w:rsidRPr="00A40E6F">
        <w:rPr>
          <w:bCs/>
          <w:sz w:val="20"/>
        </w:rPr>
        <w:tab/>
        <w:t xml:space="preserve">Activos financieros: </w:t>
      </w:r>
    </w:p>
    <w:p w14:paraId="6BDF9912" w14:textId="77777777" w:rsidR="000A0387" w:rsidRPr="00A40E6F" w:rsidRDefault="000A0387" w:rsidP="00063EF4">
      <w:pPr>
        <w:widowControl w:val="0"/>
        <w:tabs>
          <w:tab w:val="left" w:pos="567"/>
        </w:tabs>
        <w:spacing w:before="120" w:line="276" w:lineRule="auto"/>
        <w:ind w:left="284"/>
        <w:jc w:val="both"/>
        <w:rPr>
          <w:bCs/>
          <w:sz w:val="20"/>
        </w:rPr>
      </w:pPr>
      <w:r w:rsidRPr="00A40E6F">
        <w:rPr>
          <w:bCs/>
          <w:sz w:val="20"/>
        </w:rPr>
        <w:t>-</w:t>
      </w:r>
      <w:r w:rsidRPr="00A40E6F">
        <w:rPr>
          <w:bCs/>
          <w:sz w:val="20"/>
        </w:rPr>
        <w:tab/>
        <w:t xml:space="preserve">Efectivo y otros activos líquidos equivalentes; </w:t>
      </w:r>
    </w:p>
    <w:p w14:paraId="16FFA30C" w14:textId="61DAFD4C" w:rsidR="000A0387" w:rsidRPr="00A40E6F" w:rsidRDefault="000A0387" w:rsidP="00063EF4">
      <w:pPr>
        <w:widowControl w:val="0"/>
        <w:tabs>
          <w:tab w:val="left" w:pos="567"/>
        </w:tabs>
        <w:spacing w:before="120" w:line="276" w:lineRule="auto"/>
        <w:ind w:left="284"/>
        <w:jc w:val="both"/>
        <w:rPr>
          <w:bCs/>
          <w:sz w:val="20"/>
        </w:rPr>
      </w:pPr>
      <w:r w:rsidRPr="00A40E6F">
        <w:rPr>
          <w:bCs/>
          <w:sz w:val="20"/>
        </w:rPr>
        <w:t>-</w:t>
      </w:r>
      <w:r w:rsidRPr="00A40E6F">
        <w:rPr>
          <w:bCs/>
          <w:sz w:val="20"/>
        </w:rPr>
        <w:tab/>
        <w:t xml:space="preserve">Créditos por operaciones comerciales: clientes y deudores varios;  </w:t>
      </w:r>
    </w:p>
    <w:p w14:paraId="681EC1B3" w14:textId="77777777" w:rsidR="000A0387" w:rsidRPr="00A40E6F" w:rsidRDefault="000A0387" w:rsidP="00063EF4">
      <w:pPr>
        <w:widowControl w:val="0"/>
        <w:tabs>
          <w:tab w:val="left" w:pos="567"/>
        </w:tabs>
        <w:spacing w:before="120" w:line="276" w:lineRule="auto"/>
        <w:ind w:left="284"/>
        <w:jc w:val="both"/>
        <w:rPr>
          <w:bCs/>
          <w:sz w:val="20"/>
        </w:rPr>
      </w:pPr>
      <w:r w:rsidRPr="00A40E6F">
        <w:rPr>
          <w:bCs/>
          <w:sz w:val="20"/>
        </w:rPr>
        <w:t>-</w:t>
      </w:r>
      <w:r w:rsidRPr="00A40E6F">
        <w:rPr>
          <w:bCs/>
          <w:sz w:val="20"/>
        </w:rPr>
        <w:tab/>
        <w:t xml:space="preserve">Otros activos financieros: tales como depósitos en entidades de crédito, créditos al personal, fianzas y depósitos constituidos, dividendos a cobrar y desembolsos exigidos sobre instrumentos de patrimonio propio. </w:t>
      </w:r>
    </w:p>
    <w:p w14:paraId="7EF9CEA9" w14:textId="77777777" w:rsidR="000A0387" w:rsidRPr="00A40E6F" w:rsidRDefault="000A0387" w:rsidP="00063EF4">
      <w:pPr>
        <w:widowControl w:val="0"/>
        <w:tabs>
          <w:tab w:val="left" w:pos="567"/>
        </w:tabs>
        <w:spacing w:before="120" w:line="276" w:lineRule="auto"/>
        <w:ind w:left="284"/>
        <w:jc w:val="both"/>
        <w:rPr>
          <w:bCs/>
          <w:sz w:val="20"/>
        </w:rPr>
      </w:pPr>
      <w:r w:rsidRPr="00A40E6F">
        <w:rPr>
          <w:bCs/>
          <w:sz w:val="20"/>
        </w:rPr>
        <w:t>b)</w:t>
      </w:r>
      <w:r w:rsidRPr="00A40E6F">
        <w:rPr>
          <w:bCs/>
          <w:sz w:val="20"/>
        </w:rPr>
        <w:tab/>
        <w:t>Pasivos financieros:</w:t>
      </w:r>
    </w:p>
    <w:p w14:paraId="507A130B" w14:textId="77777777" w:rsidR="000A0387" w:rsidRPr="00A40E6F" w:rsidRDefault="000A0387" w:rsidP="00063EF4">
      <w:pPr>
        <w:widowControl w:val="0"/>
        <w:tabs>
          <w:tab w:val="left" w:pos="567"/>
        </w:tabs>
        <w:spacing w:before="120" w:line="276" w:lineRule="auto"/>
        <w:ind w:left="284"/>
        <w:jc w:val="both"/>
        <w:rPr>
          <w:bCs/>
          <w:sz w:val="20"/>
        </w:rPr>
      </w:pPr>
      <w:r w:rsidRPr="00A40E6F">
        <w:rPr>
          <w:bCs/>
          <w:sz w:val="20"/>
        </w:rPr>
        <w:t>-</w:t>
      </w:r>
      <w:r w:rsidRPr="00A40E6F">
        <w:rPr>
          <w:bCs/>
          <w:sz w:val="20"/>
        </w:rPr>
        <w:tab/>
        <w:t xml:space="preserve">Débitos por operaciones comerciales: proveedores y acreedores varios; </w:t>
      </w:r>
    </w:p>
    <w:p w14:paraId="7D90AB54" w14:textId="77777777" w:rsidR="000A0387" w:rsidRPr="00A40E6F" w:rsidRDefault="000A0387" w:rsidP="00063EF4">
      <w:pPr>
        <w:widowControl w:val="0"/>
        <w:tabs>
          <w:tab w:val="left" w:pos="567"/>
        </w:tabs>
        <w:spacing w:before="120" w:line="276" w:lineRule="auto"/>
        <w:ind w:left="284"/>
        <w:jc w:val="both"/>
        <w:rPr>
          <w:bCs/>
          <w:sz w:val="20"/>
        </w:rPr>
      </w:pPr>
      <w:r w:rsidRPr="00A40E6F">
        <w:rPr>
          <w:bCs/>
          <w:sz w:val="20"/>
        </w:rPr>
        <w:t>-</w:t>
      </w:r>
      <w:r w:rsidRPr="00A40E6F">
        <w:rPr>
          <w:bCs/>
          <w:sz w:val="20"/>
        </w:rPr>
        <w:tab/>
        <w:t xml:space="preserve">Otros pasivos financieros: deudas con terceros, tales como los préstamos y créditos financieros recibidos de personas o empresas que no sean entidades de crédito incluidos los surgidos en la compra de activos no corrientes, fianzas y depósitos recibidos y desembolsos exigidos por terceros sobre participaciones. </w:t>
      </w:r>
    </w:p>
    <w:p w14:paraId="32099FEA" w14:textId="77777777" w:rsidR="000A0387" w:rsidRPr="00A40E6F" w:rsidRDefault="000A0387" w:rsidP="00063EF4">
      <w:pPr>
        <w:keepNext/>
        <w:keepLines/>
        <w:widowControl w:val="0"/>
        <w:tabs>
          <w:tab w:val="left" w:pos="567"/>
        </w:tabs>
        <w:spacing w:before="120" w:line="276" w:lineRule="auto"/>
        <w:ind w:left="284"/>
        <w:jc w:val="both"/>
        <w:rPr>
          <w:bCs/>
          <w:sz w:val="20"/>
        </w:rPr>
      </w:pPr>
      <w:r w:rsidRPr="00A40E6F">
        <w:rPr>
          <w:bCs/>
          <w:sz w:val="20"/>
        </w:rPr>
        <w:t>c)</w:t>
      </w:r>
      <w:r w:rsidRPr="00A40E6F">
        <w:rPr>
          <w:bCs/>
          <w:sz w:val="20"/>
        </w:rPr>
        <w:tab/>
        <w:t xml:space="preserve">Instrumentos de patrimonio propio: </w:t>
      </w:r>
    </w:p>
    <w:p w14:paraId="3648AB26" w14:textId="77777777" w:rsidR="000A0387" w:rsidRPr="00063EF4" w:rsidRDefault="000A0387" w:rsidP="004A41D6">
      <w:pPr>
        <w:keepNext/>
        <w:keepLines/>
        <w:widowControl w:val="0"/>
        <w:spacing w:before="120" w:line="260" w:lineRule="exact"/>
        <w:jc w:val="both"/>
        <w:outlineLvl w:val="9"/>
        <w:rPr>
          <w:snapToGrid w:val="0"/>
          <w:sz w:val="20"/>
          <w:szCs w:val="22"/>
        </w:rPr>
      </w:pPr>
      <w:r w:rsidRPr="00063EF4">
        <w:rPr>
          <w:snapToGrid w:val="0"/>
          <w:sz w:val="20"/>
          <w:szCs w:val="22"/>
        </w:rPr>
        <w:t>Todos los instrumentos financieros que se incluyen dentro de los fondos propios, tal como las acciones ordinarias emitidas o participaciones en el capital social.</w:t>
      </w:r>
    </w:p>
    <w:p w14:paraId="1CDAB429" w14:textId="77777777" w:rsidR="000A0387" w:rsidRPr="00A40E6F" w:rsidRDefault="000A0387" w:rsidP="004A41D6">
      <w:pPr>
        <w:widowControl w:val="0"/>
        <w:tabs>
          <w:tab w:val="left" w:pos="567"/>
        </w:tabs>
        <w:spacing w:before="120" w:line="276" w:lineRule="auto"/>
        <w:jc w:val="both"/>
        <w:rPr>
          <w:bCs/>
          <w:sz w:val="20"/>
          <w:u w:val="single"/>
        </w:rPr>
      </w:pPr>
      <w:r w:rsidRPr="00A40E6F">
        <w:rPr>
          <w:bCs/>
          <w:sz w:val="20"/>
          <w:u w:val="single"/>
        </w:rPr>
        <w:t>Activos financieros a coste amortizado</w:t>
      </w:r>
    </w:p>
    <w:p w14:paraId="0D3E5D31" w14:textId="77777777" w:rsidR="000A0387" w:rsidRPr="00063EF4" w:rsidRDefault="000A0387" w:rsidP="004A41D6">
      <w:pPr>
        <w:widowControl w:val="0"/>
        <w:spacing w:before="120" w:line="260" w:lineRule="exact"/>
        <w:jc w:val="both"/>
        <w:outlineLvl w:val="9"/>
        <w:rPr>
          <w:snapToGrid w:val="0"/>
          <w:sz w:val="20"/>
          <w:szCs w:val="22"/>
        </w:rPr>
      </w:pPr>
      <w:r w:rsidRPr="00063EF4">
        <w:rPr>
          <w:snapToGrid w:val="0"/>
          <w:sz w:val="20"/>
          <w:szCs w:val="22"/>
        </w:rPr>
        <w:t xml:space="preserve">Un activo financiero se incluye en esta categoría, incluso cuando esté admitido a negociación en un mercado organizado, si la Sociedad mantiene la inversión con el objetivo de percibir los flujos de efectivo derivados de la ejecución del contrato, y las condiciones contractuales del activo financiero dan lugar, en fechas especificadas, a flujos de efectivo que son únicamente cobros de principal e intereses sobre el importe del principal pendiente.  </w:t>
      </w:r>
    </w:p>
    <w:p w14:paraId="2C89E18A" w14:textId="77777777" w:rsidR="000A0387" w:rsidRPr="00063EF4" w:rsidRDefault="000A0387" w:rsidP="004A41D6">
      <w:pPr>
        <w:widowControl w:val="0"/>
        <w:spacing w:before="120" w:line="260" w:lineRule="exact"/>
        <w:jc w:val="both"/>
        <w:outlineLvl w:val="9"/>
        <w:rPr>
          <w:snapToGrid w:val="0"/>
          <w:sz w:val="20"/>
          <w:szCs w:val="22"/>
        </w:rPr>
      </w:pPr>
      <w:r w:rsidRPr="00063EF4">
        <w:rPr>
          <w:snapToGrid w:val="0"/>
          <w:sz w:val="20"/>
          <w:szCs w:val="22"/>
        </w:rPr>
        <w:t>Los flujos de efectivo contractuales que son únicamente cobros de principal e interés sobre el importe del principal pendiente son inherentes a un acuerdo que tiene la naturaleza de préstamo ordinario o común, sin perjuicio de que la operación se acuerde a un tipo de interés cero o por debajo de mercado.</w:t>
      </w:r>
    </w:p>
    <w:p w14:paraId="409E4293" w14:textId="77777777" w:rsidR="000A0387" w:rsidRPr="00063EF4" w:rsidRDefault="000A0387" w:rsidP="004A41D6">
      <w:pPr>
        <w:widowControl w:val="0"/>
        <w:spacing w:before="120" w:line="260" w:lineRule="exact"/>
        <w:jc w:val="both"/>
        <w:outlineLvl w:val="9"/>
        <w:rPr>
          <w:snapToGrid w:val="0"/>
          <w:sz w:val="20"/>
          <w:szCs w:val="22"/>
        </w:rPr>
      </w:pPr>
      <w:r w:rsidRPr="00063EF4">
        <w:rPr>
          <w:snapToGrid w:val="0"/>
          <w:sz w:val="20"/>
          <w:szCs w:val="22"/>
        </w:rPr>
        <w:t>En esta categoría se clasifican:</w:t>
      </w:r>
    </w:p>
    <w:p w14:paraId="74FE4CE0" w14:textId="7D84E05A" w:rsidR="000A0387" w:rsidRPr="00A40E6F" w:rsidRDefault="000A0387" w:rsidP="00063EF4">
      <w:pPr>
        <w:widowControl w:val="0"/>
        <w:tabs>
          <w:tab w:val="left" w:pos="567"/>
        </w:tabs>
        <w:spacing w:before="120" w:line="276" w:lineRule="auto"/>
        <w:ind w:left="284"/>
        <w:jc w:val="both"/>
        <w:rPr>
          <w:bCs/>
          <w:sz w:val="20"/>
        </w:rPr>
      </w:pPr>
      <w:r w:rsidRPr="00A40E6F">
        <w:rPr>
          <w:bCs/>
          <w:sz w:val="20"/>
        </w:rPr>
        <w:t>a)</w:t>
      </w:r>
      <w:r w:rsidRPr="00A40E6F">
        <w:rPr>
          <w:bCs/>
          <w:sz w:val="20"/>
        </w:rPr>
        <w:tab/>
        <w:t>Créditos por operaciones comerciales: activos financieros originados por la venta de bienes y la prestación de servicios por operaciones de tráfico, y</w:t>
      </w:r>
    </w:p>
    <w:p w14:paraId="5AD815F9" w14:textId="77777777" w:rsidR="000A0387" w:rsidRPr="00A40E6F" w:rsidRDefault="000A0387" w:rsidP="00063EF4">
      <w:pPr>
        <w:widowControl w:val="0"/>
        <w:tabs>
          <w:tab w:val="left" w:pos="567"/>
        </w:tabs>
        <w:spacing w:before="120" w:line="276" w:lineRule="auto"/>
        <w:ind w:left="284"/>
        <w:jc w:val="both"/>
        <w:rPr>
          <w:bCs/>
          <w:sz w:val="20"/>
        </w:rPr>
      </w:pPr>
      <w:r w:rsidRPr="00A40E6F">
        <w:rPr>
          <w:bCs/>
          <w:sz w:val="20"/>
        </w:rPr>
        <w:t>b)</w:t>
      </w:r>
      <w:r w:rsidRPr="00A40E6F">
        <w:rPr>
          <w:bCs/>
          <w:sz w:val="20"/>
        </w:rPr>
        <w:tab/>
        <w:t>Créditos por operaciones no comerciales: activos financieros que, no siendo instrumentos de patrimonio ni derivados, no tienen origen comercial, cuyos cobros son de cuantía determinada o determinable.</w:t>
      </w:r>
    </w:p>
    <w:p w14:paraId="2ECFE12D" w14:textId="77777777" w:rsidR="000A0387" w:rsidRPr="00A40E6F" w:rsidRDefault="000A0387" w:rsidP="004A41D6">
      <w:pPr>
        <w:widowControl w:val="0"/>
        <w:tabs>
          <w:tab w:val="left" w:pos="567"/>
        </w:tabs>
        <w:spacing w:before="120" w:line="276" w:lineRule="auto"/>
        <w:jc w:val="both"/>
        <w:rPr>
          <w:bCs/>
          <w:i/>
          <w:iCs/>
          <w:sz w:val="20"/>
        </w:rPr>
      </w:pPr>
      <w:r w:rsidRPr="00A40E6F">
        <w:rPr>
          <w:bCs/>
          <w:i/>
          <w:iCs/>
          <w:sz w:val="20"/>
        </w:rPr>
        <w:t>Valoración inicial</w:t>
      </w:r>
    </w:p>
    <w:p w14:paraId="77FE4E84" w14:textId="77777777" w:rsidR="000A0387" w:rsidRPr="00063EF4" w:rsidRDefault="000A0387" w:rsidP="004A41D6">
      <w:pPr>
        <w:widowControl w:val="0"/>
        <w:spacing w:before="120" w:line="260" w:lineRule="exact"/>
        <w:jc w:val="both"/>
        <w:outlineLvl w:val="9"/>
        <w:rPr>
          <w:snapToGrid w:val="0"/>
          <w:sz w:val="20"/>
          <w:szCs w:val="22"/>
        </w:rPr>
      </w:pPr>
      <w:r w:rsidRPr="00063EF4">
        <w:rPr>
          <w:snapToGrid w:val="0"/>
          <w:sz w:val="20"/>
          <w:szCs w:val="22"/>
        </w:rPr>
        <w:t>Los activos financieros incluidos en esta categoría se valorarán inicialmente por su valor razonable, que, salvo evidencia en contrario, será el precio de transacción, que equivaldrá al valor razonable de la contraprestación entregada, más los costes de transacción que les sean directamente atribuibles.</w:t>
      </w:r>
    </w:p>
    <w:p w14:paraId="72170F9E" w14:textId="77777777" w:rsidR="000A0387" w:rsidRPr="00063EF4" w:rsidRDefault="000A0387" w:rsidP="004A41D6">
      <w:pPr>
        <w:widowControl w:val="0"/>
        <w:spacing w:before="120" w:line="260" w:lineRule="exact"/>
        <w:jc w:val="both"/>
        <w:outlineLvl w:val="9"/>
        <w:rPr>
          <w:snapToGrid w:val="0"/>
          <w:sz w:val="20"/>
          <w:szCs w:val="22"/>
        </w:rPr>
      </w:pPr>
      <w:r w:rsidRPr="00063EF4">
        <w:rPr>
          <w:snapToGrid w:val="0"/>
          <w:sz w:val="20"/>
          <w:szCs w:val="22"/>
        </w:rPr>
        <w:t>Formarán parte de la valoración inicial el importe de los derechos preferentes de suscripción y similares que, en su caso, se hubiesen adquirido.</w:t>
      </w:r>
    </w:p>
    <w:p w14:paraId="79BF0F5D" w14:textId="77777777" w:rsidR="000A0387" w:rsidRPr="00A40E6F" w:rsidRDefault="000A0387" w:rsidP="004A41D6">
      <w:pPr>
        <w:keepNext/>
        <w:keepLines/>
        <w:widowControl w:val="0"/>
        <w:tabs>
          <w:tab w:val="left" w:pos="567"/>
        </w:tabs>
        <w:spacing w:before="120" w:line="276" w:lineRule="auto"/>
        <w:jc w:val="both"/>
        <w:rPr>
          <w:bCs/>
          <w:i/>
          <w:iCs/>
          <w:sz w:val="20"/>
        </w:rPr>
      </w:pPr>
      <w:r w:rsidRPr="00A40E6F">
        <w:rPr>
          <w:bCs/>
          <w:i/>
          <w:iCs/>
          <w:sz w:val="20"/>
        </w:rPr>
        <w:lastRenderedPageBreak/>
        <w:t>Valoración posterior</w:t>
      </w:r>
    </w:p>
    <w:p w14:paraId="31BD6370" w14:textId="77777777" w:rsidR="000A0387" w:rsidRPr="00063EF4" w:rsidRDefault="000A0387" w:rsidP="004A41D6">
      <w:pPr>
        <w:keepNext/>
        <w:keepLines/>
        <w:widowControl w:val="0"/>
        <w:spacing w:before="120" w:line="260" w:lineRule="exact"/>
        <w:jc w:val="both"/>
        <w:outlineLvl w:val="9"/>
        <w:rPr>
          <w:snapToGrid w:val="0"/>
          <w:sz w:val="20"/>
          <w:szCs w:val="22"/>
        </w:rPr>
      </w:pPr>
      <w:r w:rsidRPr="00063EF4">
        <w:rPr>
          <w:snapToGrid w:val="0"/>
          <w:sz w:val="20"/>
          <w:szCs w:val="22"/>
        </w:rPr>
        <w:t xml:space="preserve">Los activos financieros incluidos en esta categoría se valorarán por su valor razonable, sin deducir los costes de transacción en que se pudiera incurrir en su enajenación. Los cambios que se produzcan en el valor razonable se registrarán directamente en el patrimonio neto, hasta que el activo financiero cause baje del balance o se deteriore, momento en que el importe así reconocido, se imputará a la cuenta de pérdidas y ganancias. </w:t>
      </w:r>
    </w:p>
    <w:p w14:paraId="499C94E1" w14:textId="77777777" w:rsidR="000A0387" w:rsidRPr="00A40E6F" w:rsidRDefault="000A0387" w:rsidP="004A41D6">
      <w:pPr>
        <w:widowControl w:val="0"/>
        <w:tabs>
          <w:tab w:val="left" w:pos="567"/>
        </w:tabs>
        <w:spacing w:before="120" w:line="276" w:lineRule="auto"/>
        <w:jc w:val="both"/>
        <w:rPr>
          <w:bCs/>
          <w:i/>
          <w:iCs/>
          <w:sz w:val="20"/>
        </w:rPr>
      </w:pPr>
      <w:r w:rsidRPr="00A40E6F">
        <w:rPr>
          <w:bCs/>
          <w:i/>
          <w:iCs/>
          <w:sz w:val="20"/>
        </w:rPr>
        <w:t>Deterioro del valor</w:t>
      </w:r>
    </w:p>
    <w:p w14:paraId="170869BC" w14:textId="77777777" w:rsidR="000A0387" w:rsidRPr="00063EF4" w:rsidRDefault="000A0387" w:rsidP="004A41D6">
      <w:pPr>
        <w:widowControl w:val="0"/>
        <w:spacing w:before="120" w:line="260" w:lineRule="exact"/>
        <w:jc w:val="both"/>
        <w:outlineLvl w:val="9"/>
        <w:rPr>
          <w:snapToGrid w:val="0"/>
          <w:sz w:val="20"/>
          <w:szCs w:val="22"/>
        </w:rPr>
      </w:pPr>
      <w:r w:rsidRPr="00063EF4">
        <w:rPr>
          <w:snapToGrid w:val="0"/>
          <w:sz w:val="20"/>
          <w:szCs w:val="22"/>
        </w:rPr>
        <w:t>Al menos al cierre del ejercicio, se efectúan las correcciones valorativas necesarias siempre que exista evidencia objetiva de que el valor en libros de una inversión no es recuperable.</w:t>
      </w:r>
    </w:p>
    <w:p w14:paraId="3C5ECE09" w14:textId="15917D24" w:rsidR="000A0387" w:rsidRPr="00063EF4" w:rsidRDefault="000A0387" w:rsidP="004A41D6">
      <w:pPr>
        <w:widowControl w:val="0"/>
        <w:spacing w:before="120" w:line="260" w:lineRule="exact"/>
        <w:jc w:val="both"/>
        <w:outlineLvl w:val="9"/>
        <w:rPr>
          <w:snapToGrid w:val="0"/>
          <w:sz w:val="20"/>
          <w:szCs w:val="22"/>
        </w:rPr>
      </w:pPr>
      <w:r w:rsidRPr="00063EF4">
        <w:rPr>
          <w:snapToGrid w:val="0"/>
          <w:sz w:val="20"/>
          <w:szCs w:val="22"/>
        </w:rPr>
        <w:t>La corrección valorativa por deterioro del valor de estos activos financieros será la diferencia entre su coste o coste amortizado menos, en su caso, cualquier corrección valorativa por deterioro previamente reconocida en la cuenta de pérdidas y ganancias y el valor razonable en el momento en el que se efectúe la valoración.</w:t>
      </w:r>
    </w:p>
    <w:p w14:paraId="1C1306CA" w14:textId="77777777" w:rsidR="000A0387" w:rsidRPr="00A40E6F" w:rsidRDefault="000A0387" w:rsidP="004A41D6">
      <w:pPr>
        <w:keepNext/>
        <w:keepLines/>
        <w:widowControl w:val="0"/>
        <w:tabs>
          <w:tab w:val="left" w:pos="567"/>
        </w:tabs>
        <w:spacing w:before="120" w:line="276" w:lineRule="auto"/>
        <w:jc w:val="both"/>
        <w:rPr>
          <w:bCs/>
          <w:sz w:val="20"/>
          <w:u w:val="single"/>
        </w:rPr>
      </w:pPr>
      <w:r w:rsidRPr="00A40E6F">
        <w:rPr>
          <w:bCs/>
          <w:sz w:val="20"/>
          <w:u w:val="single"/>
        </w:rPr>
        <w:t>Pasivos financieros a coste amortizado</w:t>
      </w:r>
    </w:p>
    <w:p w14:paraId="20F82CDB" w14:textId="77777777" w:rsidR="000A0387" w:rsidRPr="00063EF4" w:rsidRDefault="000A0387" w:rsidP="004A41D6">
      <w:pPr>
        <w:keepNext/>
        <w:keepLines/>
        <w:widowControl w:val="0"/>
        <w:spacing w:before="120" w:line="260" w:lineRule="exact"/>
        <w:jc w:val="both"/>
        <w:rPr>
          <w:bCs/>
          <w:i/>
          <w:iCs/>
          <w:sz w:val="20"/>
        </w:rPr>
      </w:pPr>
      <w:r w:rsidRPr="00063EF4">
        <w:rPr>
          <w:bCs/>
          <w:i/>
          <w:iCs/>
          <w:sz w:val="20"/>
        </w:rPr>
        <w:t>En esta categoría se clasifican:</w:t>
      </w:r>
    </w:p>
    <w:p w14:paraId="6BDD8D3F" w14:textId="77777777" w:rsidR="000A0387" w:rsidRPr="00A40E6F" w:rsidRDefault="000A0387" w:rsidP="00063EF4">
      <w:pPr>
        <w:keepNext/>
        <w:keepLines/>
        <w:widowControl w:val="0"/>
        <w:tabs>
          <w:tab w:val="left" w:pos="567"/>
        </w:tabs>
        <w:spacing w:before="120" w:line="276" w:lineRule="auto"/>
        <w:ind w:left="284"/>
        <w:jc w:val="both"/>
        <w:rPr>
          <w:bCs/>
          <w:sz w:val="20"/>
        </w:rPr>
      </w:pPr>
      <w:r w:rsidRPr="00A40E6F">
        <w:rPr>
          <w:bCs/>
          <w:sz w:val="20"/>
        </w:rPr>
        <w:t>a)</w:t>
      </w:r>
      <w:r w:rsidRPr="00A40E6F">
        <w:rPr>
          <w:bCs/>
          <w:sz w:val="20"/>
        </w:rPr>
        <w:tab/>
        <w:t>Débitos por operaciones comerciales: pasivos financieros originados por la compra de bienes y servicios por operaciones de tráfico, y</w:t>
      </w:r>
    </w:p>
    <w:p w14:paraId="2D8092DD" w14:textId="77777777" w:rsidR="000A0387" w:rsidRPr="00A40E6F" w:rsidRDefault="000A0387" w:rsidP="00063EF4">
      <w:pPr>
        <w:keepNext/>
        <w:keepLines/>
        <w:widowControl w:val="0"/>
        <w:tabs>
          <w:tab w:val="left" w:pos="567"/>
        </w:tabs>
        <w:spacing w:before="120" w:line="276" w:lineRule="auto"/>
        <w:ind w:left="284"/>
        <w:jc w:val="both"/>
        <w:rPr>
          <w:bCs/>
          <w:sz w:val="20"/>
        </w:rPr>
      </w:pPr>
      <w:r w:rsidRPr="00A40E6F">
        <w:rPr>
          <w:bCs/>
          <w:sz w:val="20"/>
        </w:rPr>
        <w:t>b)</w:t>
      </w:r>
      <w:r w:rsidRPr="00A40E6F">
        <w:rPr>
          <w:bCs/>
          <w:sz w:val="20"/>
        </w:rPr>
        <w:tab/>
      </w:r>
      <w:r w:rsidRPr="00A40E6F">
        <w:rPr>
          <w:bCs/>
          <w:sz w:val="20"/>
        </w:rPr>
        <w:tab/>
        <w:t>Débitos por operaciones no comerciales: pasivos financieros que, no siendo instrumentos derivados, no tienen origen comercial, sino que proceden de operaciones de préstamo o crédito recibidos por la Sociedad.</w:t>
      </w:r>
    </w:p>
    <w:p w14:paraId="388EEE32" w14:textId="77777777" w:rsidR="000A0387" w:rsidRPr="00A40E6F" w:rsidRDefault="000A0387" w:rsidP="004A41D6">
      <w:pPr>
        <w:widowControl w:val="0"/>
        <w:spacing w:before="120" w:line="260" w:lineRule="exact"/>
        <w:jc w:val="both"/>
        <w:rPr>
          <w:bCs/>
          <w:i/>
          <w:iCs/>
          <w:sz w:val="20"/>
        </w:rPr>
      </w:pPr>
      <w:r w:rsidRPr="00A40E6F">
        <w:rPr>
          <w:bCs/>
          <w:i/>
          <w:iCs/>
          <w:sz w:val="20"/>
        </w:rPr>
        <w:t>Valoración inicial</w:t>
      </w:r>
    </w:p>
    <w:p w14:paraId="7364D114" w14:textId="3CEB4932" w:rsidR="000A0387" w:rsidRPr="00063EF4" w:rsidRDefault="000A0387" w:rsidP="004A41D6">
      <w:pPr>
        <w:widowControl w:val="0"/>
        <w:spacing w:before="120" w:line="260" w:lineRule="exact"/>
        <w:jc w:val="both"/>
        <w:outlineLvl w:val="9"/>
        <w:rPr>
          <w:snapToGrid w:val="0"/>
          <w:sz w:val="20"/>
          <w:szCs w:val="22"/>
        </w:rPr>
      </w:pPr>
      <w:r w:rsidRPr="00063EF4">
        <w:rPr>
          <w:snapToGrid w:val="0"/>
          <w:sz w:val="20"/>
          <w:szCs w:val="22"/>
        </w:rPr>
        <w:t>Inicialmente, los activos y pasivos financieros incluidos en esta categoría se valoran por su valor razonable, que es el precio de la transacción, y que equivale al valor razonable de la contraprestación entregada más los costes de transacción que les son directamente atribuibles.</w:t>
      </w:r>
    </w:p>
    <w:p w14:paraId="7DB5F049" w14:textId="77777777" w:rsidR="000A0387" w:rsidRPr="00063EF4" w:rsidRDefault="000A0387" w:rsidP="004A41D6">
      <w:pPr>
        <w:widowControl w:val="0"/>
        <w:spacing w:before="120" w:line="260" w:lineRule="exact"/>
        <w:jc w:val="both"/>
        <w:outlineLvl w:val="9"/>
        <w:rPr>
          <w:snapToGrid w:val="0"/>
          <w:sz w:val="20"/>
          <w:szCs w:val="22"/>
        </w:rPr>
      </w:pPr>
      <w:r w:rsidRPr="00063EF4">
        <w:rPr>
          <w:snapToGrid w:val="0"/>
          <w:sz w:val="20"/>
          <w:szCs w:val="22"/>
        </w:rPr>
        <w:t>No obstante, lo señalado en el párrafo anterior, los créditos y débitos por operaciones comerciales con vencimiento no superior a un año y que no tienen un tipo de interés contractual, así como, en su caso, los anticipos y créditos al personal, los dividendos a cobrar y los desembolsos exigidos sobre instrumentos de patrimonio, cuyo importe se espera recibir en el corto plazo, y los desembolsos exigidos por terceros sobre participaciones, cuyo importe se espera pagar en el corto plazo, se valoran por su valor nominal cuando el efecto de no actualizar los flujos de efectivo no resulta significativo.</w:t>
      </w:r>
    </w:p>
    <w:p w14:paraId="47D022D2" w14:textId="77777777" w:rsidR="000A0387" w:rsidRPr="00A40E6F" w:rsidRDefault="000A0387" w:rsidP="004A41D6">
      <w:pPr>
        <w:widowControl w:val="0"/>
        <w:spacing w:before="120" w:line="260" w:lineRule="exact"/>
        <w:jc w:val="both"/>
        <w:rPr>
          <w:bCs/>
          <w:i/>
          <w:iCs/>
          <w:sz w:val="20"/>
        </w:rPr>
      </w:pPr>
      <w:r w:rsidRPr="00A40E6F">
        <w:rPr>
          <w:bCs/>
          <w:i/>
          <w:iCs/>
          <w:sz w:val="20"/>
        </w:rPr>
        <w:t>Valoración posterior</w:t>
      </w:r>
    </w:p>
    <w:p w14:paraId="16D4A756" w14:textId="77777777" w:rsidR="000A0387" w:rsidRPr="00063EF4" w:rsidRDefault="000A0387" w:rsidP="004A41D6">
      <w:pPr>
        <w:widowControl w:val="0"/>
        <w:spacing w:before="120" w:line="260" w:lineRule="exact"/>
        <w:jc w:val="both"/>
        <w:outlineLvl w:val="9"/>
        <w:rPr>
          <w:snapToGrid w:val="0"/>
          <w:sz w:val="20"/>
          <w:szCs w:val="22"/>
        </w:rPr>
      </w:pPr>
      <w:r w:rsidRPr="00063EF4">
        <w:rPr>
          <w:snapToGrid w:val="0"/>
          <w:sz w:val="20"/>
          <w:szCs w:val="22"/>
        </w:rPr>
        <w:t>En valoraciones posteriores, tanto activos como pasivos, se valoran por su coste amortizado. Los intereses devengados se contabilizan en la cuenta de pérdidas y ganancias, aplicando el método del tipo de interés efectivo. No obstante, lo anterior, los créditos y débitos con vencimiento no superior a un año que se valoraron inicialmente por su valor nominal, continúan valorándose por dicho importe, salvo, en el caso de créditos, que se hubieran deteriorado.</w:t>
      </w:r>
    </w:p>
    <w:p w14:paraId="772447EF" w14:textId="77777777" w:rsidR="000A0387" w:rsidRPr="00A40E6F" w:rsidRDefault="000A0387" w:rsidP="004A41D6">
      <w:pPr>
        <w:widowControl w:val="0"/>
        <w:spacing w:before="120" w:line="260" w:lineRule="exact"/>
        <w:jc w:val="both"/>
        <w:rPr>
          <w:bCs/>
          <w:i/>
          <w:iCs/>
          <w:sz w:val="20"/>
        </w:rPr>
      </w:pPr>
      <w:r w:rsidRPr="00A40E6F">
        <w:rPr>
          <w:bCs/>
          <w:i/>
          <w:iCs/>
          <w:sz w:val="20"/>
        </w:rPr>
        <w:t>Deterioro de valor de los activos financieros a coste amortizado</w:t>
      </w:r>
    </w:p>
    <w:p w14:paraId="45E896C8" w14:textId="77777777" w:rsidR="000A0387" w:rsidRPr="00063EF4" w:rsidRDefault="000A0387" w:rsidP="004A41D6">
      <w:pPr>
        <w:widowControl w:val="0"/>
        <w:spacing w:before="120" w:line="260" w:lineRule="exact"/>
        <w:jc w:val="both"/>
        <w:outlineLvl w:val="9"/>
        <w:rPr>
          <w:snapToGrid w:val="0"/>
          <w:sz w:val="20"/>
          <w:szCs w:val="22"/>
        </w:rPr>
      </w:pPr>
      <w:r w:rsidRPr="00063EF4">
        <w:rPr>
          <w:snapToGrid w:val="0"/>
          <w:sz w:val="20"/>
          <w:szCs w:val="22"/>
        </w:rPr>
        <w:t xml:space="preserve">Al menos al cierre del ejercicio, se efectúan las correcciones valorativas necesarias siempre que exista evidencia objetiva de que el valor de un activo financiero, o de un grupo de activos financieros con similares características de riesgo valorados colectivamente, se ha deteriorado como resultado de uno o más eventos que hayan ocurrido después de su reconocimiento inicial y que ocasionen una reducción o retraso en los flujos de efectivo estimados futuros, que pueden venir motivados por la insolvencia del deudor. </w:t>
      </w:r>
    </w:p>
    <w:p w14:paraId="06ED5359" w14:textId="77777777" w:rsidR="000A0387" w:rsidRPr="00063EF4" w:rsidRDefault="000A0387" w:rsidP="004A41D6">
      <w:pPr>
        <w:keepNext/>
        <w:keepLines/>
        <w:widowControl w:val="0"/>
        <w:spacing w:before="120" w:line="260" w:lineRule="exact"/>
        <w:jc w:val="both"/>
        <w:outlineLvl w:val="9"/>
        <w:rPr>
          <w:snapToGrid w:val="0"/>
          <w:sz w:val="20"/>
          <w:szCs w:val="22"/>
        </w:rPr>
      </w:pPr>
      <w:r w:rsidRPr="00063EF4">
        <w:rPr>
          <w:snapToGrid w:val="0"/>
          <w:sz w:val="20"/>
          <w:szCs w:val="22"/>
        </w:rPr>
        <w:lastRenderedPageBreak/>
        <w:t xml:space="preserve">La pérdida por deterioro del valor de estos activos financieros es la diferencia entre su valor en libros y el valor actual de los flujos de efectivo futuros, incluidos, en su caso, los procedentes de la ejecución de las garantías reales y personales, que se estima van a generar, descontados al tipo de interés efectivo calculado en el momento de su reconocimiento inicial. Para los activos financieros a tipo de interés variable, se emplea el tipo de interés efectivo que corresponda a la fecha de cierre de las cuentas anuales de acuerdo con las condiciones contractuales. </w:t>
      </w:r>
    </w:p>
    <w:p w14:paraId="59A324E5" w14:textId="77777777" w:rsidR="000A0387" w:rsidRPr="00063EF4" w:rsidRDefault="000A0387" w:rsidP="004A41D6">
      <w:pPr>
        <w:widowControl w:val="0"/>
        <w:spacing w:before="120" w:line="260" w:lineRule="exact"/>
        <w:jc w:val="both"/>
        <w:outlineLvl w:val="9"/>
        <w:rPr>
          <w:snapToGrid w:val="0"/>
          <w:sz w:val="20"/>
          <w:szCs w:val="22"/>
        </w:rPr>
      </w:pPr>
      <w:r w:rsidRPr="00063EF4">
        <w:rPr>
          <w:snapToGrid w:val="0"/>
          <w:sz w:val="20"/>
          <w:szCs w:val="22"/>
        </w:rPr>
        <w:t>Las correcciones de valor por deterioro, así como su reversión cuando el importe de dicha pérdida disminuyese por causas relacionadas con un evento posterior, se reconocen como un gasto o un ingreso, respectivamente, en la cuenta de pérdidas y ganancias. La reversión del deterioro tiene como límite el valor en libros del activo que estaría reconocido en la fecha de reversión si no se hubiese registrado el deterioro del valor.</w:t>
      </w:r>
    </w:p>
    <w:p w14:paraId="29B3EDCA" w14:textId="77777777" w:rsidR="000A0387" w:rsidRPr="00A40E6F" w:rsidRDefault="000A0387" w:rsidP="004A41D6">
      <w:pPr>
        <w:keepNext/>
        <w:keepLines/>
        <w:widowControl w:val="0"/>
        <w:tabs>
          <w:tab w:val="left" w:pos="567"/>
        </w:tabs>
        <w:spacing w:before="120" w:line="276" w:lineRule="auto"/>
        <w:jc w:val="both"/>
        <w:rPr>
          <w:bCs/>
          <w:sz w:val="20"/>
          <w:u w:val="single"/>
        </w:rPr>
      </w:pPr>
      <w:r w:rsidRPr="00A40E6F">
        <w:rPr>
          <w:bCs/>
          <w:sz w:val="20"/>
          <w:u w:val="single"/>
        </w:rPr>
        <w:t>Reclasificación de Activos Financieros</w:t>
      </w:r>
    </w:p>
    <w:p w14:paraId="76B61766" w14:textId="77777777" w:rsidR="000A0387" w:rsidRPr="00063EF4" w:rsidRDefault="000A0387" w:rsidP="004A41D6">
      <w:pPr>
        <w:keepNext/>
        <w:keepLines/>
        <w:widowControl w:val="0"/>
        <w:spacing w:before="120" w:line="260" w:lineRule="exact"/>
        <w:jc w:val="both"/>
        <w:outlineLvl w:val="9"/>
        <w:rPr>
          <w:snapToGrid w:val="0"/>
          <w:sz w:val="20"/>
          <w:szCs w:val="22"/>
        </w:rPr>
      </w:pPr>
      <w:r w:rsidRPr="00063EF4">
        <w:rPr>
          <w:snapToGrid w:val="0"/>
          <w:sz w:val="20"/>
          <w:szCs w:val="22"/>
        </w:rPr>
        <w:t>Cuando la Sociedad cambie la forma en que gestiona sus activos financieros para generar flujos de efectivo, reclasificará todos los activos afectados de acuerdo con los criterios señalados previamente. La reclasificación de categoría no es un supuesto de baja de balance sino un cambio en el criterio de valoración.</w:t>
      </w:r>
    </w:p>
    <w:p w14:paraId="42ACAD06" w14:textId="77777777" w:rsidR="000A0387" w:rsidRPr="00063EF4" w:rsidRDefault="000A0387" w:rsidP="004A41D6">
      <w:pPr>
        <w:widowControl w:val="0"/>
        <w:spacing w:before="120" w:line="260" w:lineRule="exact"/>
        <w:jc w:val="both"/>
        <w:outlineLvl w:val="9"/>
        <w:rPr>
          <w:snapToGrid w:val="0"/>
          <w:sz w:val="20"/>
          <w:szCs w:val="22"/>
        </w:rPr>
      </w:pPr>
      <w:r w:rsidRPr="00063EF4">
        <w:rPr>
          <w:snapToGrid w:val="0"/>
          <w:sz w:val="20"/>
          <w:szCs w:val="22"/>
        </w:rPr>
        <w:t>Se pueden dar las siguientes reclasificaciones:</w:t>
      </w:r>
    </w:p>
    <w:p w14:paraId="75769A84" w14:textId="484BA195" w:rsidR="000A0387" w:rsidRPr="00A40E6F" w:rsidRDefault="000A0387" w:rsidP="00063EF4">
      <w:pPr>
        <w:widowControl w:val="0"/>
        <w:tabs>
          <w:tab w:val="left" w:pos="567"/>
        </w:tabs>
        <w:spacing w:before="120" w:line="276" w:lineRule="auto"/>
        <w:ind w:left="284"/>
        <w:jc w:val="both"/>
        <w:rPr>
          <w:bCs/>
          <w:sz w:val="20"/>
        </w:rPr>
      </w:pPr>
      <w:r w:rsidRPr="00A40E6F">
        <w:rPr>
          <w:bCs/>
          <w:sz w:val="20"/>
        </w:rPr>
        <w:t>1) Reclasificación de los activos financieros a coste amortizado a la categoría de activos financieros a valor razonable con cambios en la cuenta de pérdidas y ganancias y al contrario</w:t>
      </w:r>
      <w:r w:rsidR="004A41D6">
        <w:rPr>
          <w:bCs/>
          <w:sz w:val="20"/>
        </w:rPr>
        <w:t>.</w:t>
      </w:r>
    </w:p>
    <w:p w14:paraId="6212A3E6" w14:textId="3D3294B8" w:rsidR="000A0387" w:rsidRPr="00A40E6F" w:rsidRDefault="000A0387" w:rsidP="00063EF4">
      <w:pPr>
        <w:widowControl w:val="0"/>
        <w:tabs>
          <w:tab w:val="left" w:pos="567"/>
        </w:tabs>
        <w:spacing w:before="120" w:line="276" w:lineRule="auto"/>
        <w:ind w:left="284"/>
        <w:jc w:val="both"/>
        <w:rPr>
          <w:bCs/>
          <w:sz w:val="20"/>
        </w:rPr>
      </w:pPr>
      <w:r w:rsidRPr="00A40E6F">
        <w:rPr>
          <w:bCs/>
          <w:sz w:val="20"/>
        </w:rPr>
        <w:t>2) Reclasificación de los activos financieros a coste amortizado a la categoría de activos financieros a valor razonable con cambios en el patrimonio neto y al contrario</w:t>
      </w:r>
      <w:r w:rsidR="004A41D6">
        <w:rPr>
          <w:bCs/>
          <w:sz w:val="20"/>
        </w:rPr>
        <w:t>.</w:t>
      </w:r>
    </w:p>
    <w:p w14:paraId="0026A8C4" w14:textId="57D5680D" w:rsidR="000A0387" w:rsidRPr="00A40E6F" w:rsidRDefault="000A0387" w:rsidP="00063EF4">
      <w:pPr>
        <w:widowControl w:val="0"/>
        <w:tabs>
          <w:tab w:val="left" w:pos="567"/>
        </w:tabs>
        <w:spacing w:before="120" w:line="276" w:lineRule="auto"/>
        <w:ind w:left="284"/>
        <w:jc w:val="both"/>
        <w:rPr>
          <w:bCs/>
          <w:sz w:val="20"/>
        </w:rPr>
      </w:pPr>
      <w:r w:rsidRPr="00A40E6F">
        <w:rPr>
          <w:bCs/>
          <w:sz w:val="20"/>
        </w:rPr>
        <w:t>3) Reclasificación de los activos financieros a valor razonable con cambios en la cuenta de pérdidas y ganancias a la categoría de activos financieros a valor razonable con cambios en el patrimonio neto y al contrario</w:t>
      </w:r>
      <w:r w:rsidR="004A41D6">
        <w:rPr>
          <w:bCs/>
          <w:sz w:val="20"/>
        </w:rPr>
        <w:t>.</w:t>
      </w:r>
    </w:p>
    <w:p w14:paraId="39F5E5F1" w14:textId="5606DD86" w:rsidR="000A0387" w:rsidRPr="00A40E6F" w:rsidRDefault="000A0387" w:rsidP="00063EF4">
      <w:pPr>
        <w:keepNext/>
        <w:keepLines/>
        <w:widowControl w:val="0"/>
        <w:tabs>
          <w:tab w:val="left" w:pos="567"/>
        </w:tabs>
        <w:spacing w:before="120" w:line="276" w:lineRule="auto"/>
        <w:ind w:left="284"/>
        <w:jc w:val="both"/>
        <w:rPr>
          <w:bCs/>
          <w:sz w:val="20"/>
        </w:rPr>
      </w:pPr>
      <w:r w:rsidRPr="00A40E6F">
        <w:rPr>
          <w:bCs/>
          <w:sz w:val="20"/>
        </w:rPr>
        <w:t>4) Reclasificación de las inversiones en instrumentos de patrimonio valoradas a coste a la categoría de activos financieros a valor razonable con cambios en pérdidas y ganancias y al contrario</w:t>
      </w:r>
      <w:r w:rsidR="004A41D6">
        <w:rPr>
          <w:bCs/>
          <w:sz w:val="20"/>
        </w:rPr>
        <w:t>.</w:t>
      </w:r>
    </w:p>
    <w:p w14:paraId="2983338E" w14:textId="77777777" w:rsidR="000A0387" w:rsidRPr="00063EF4" w:rsidRDefault="000A0387" w:rsidP="004A41D6">
      <w:pPr>
        <w:widowControl w:val="0"/>
        <w:spacing w:before="120" w:line="260" w:lineRule="exact"/>
        <w:jc w:val="both"/>
        <w:rPr>
          <w:bCs/>
          <w:i/>
          <w:iCs/>
          <w:sz w:val="20"/>
        </w:rPr>
      </w:pPr>
      <w:r w:rsidRPr="00063EF4">
        <w:rPr>
          <w:bCs/>
          <w:i/>
          <w:iCs/>
          <w:sz w:val="20"/>
        </w:rPr>
        <w:t>Baja de Activos Financieros</w:t>
      </w:r>
    </w:p>
    <w:p w14:paraId="295DA2BB" w14:textId="77777777" w:rsidR="000A0387" w:rsidRPr="00063EF4" w:rsidRDefault="000A0387" w:rsidP="004A41D6">
      <w:pPr>
        <w:widowControl w:val="0"/>
        <w:spacing w:before="120" w:line="260" w:lineRule="exact"/>
        <w:jc w:val="both"/>
        <w:outlineLvl w:val="9"/>
        <w:rPr>
          <w:snapToGrid w:val="0"/>
          <w:sz w:val="20"/>
          <w:szCs w:val="22"/>
        </w:rPr>
      </w:pPr>
      <w:r w:rsidRPr="00063EF4">
        <w:rPr>
          <w:snapToGrid w:val="0"/>
          <w:sz w:val="20"/>
          <w:szCs w:val="22"/>
        </w:rPr>
        <w:t>La Sociedad da de baja un activo financiero, o parte del mismo, cuando expiran o se han cedido los derechos contractuales sobre los flujos de efectivo del activo financiero y se han transferido de manera sustancial los riesgos y beneficios inherentes a su propiedad, en circunstancias que se evalúan comparando la exposición de la Sociedad, antes y después de la cesión, a la variación en los importes y en el calendario de los flujos de efectivo netos del activo transferido. Se entiende que se han cedido de manera sustancial los riesgos y beneficios inherentes a la propiedad del activo financiero cuando su exposición a tal variación deja de ser significativa en relación con la variación total del valor actual de los flujos de efectivo futuros netos asociados con el activo financiero.</w:t>
      </w:r>
    </w:p>
    <w:p w14:paraId="0838B91A" w14:textId="77777777" w:rsidR="000A0387" w:rsidRPr="00063EF4" w:rsidRDefault="000A0387" w:rsidP="004A41D6">
      <w:pPr>
        <w:widowControl w:val="0"/>
        <w:spacing w:before="120" w:line="260" w:lineRule="exact"/>
        <w:jc w:val="both"/>
        <w:outlineLvl w:val="9"/>
        <w:rPr>
          <w:snapToGrid w:val="0"/>
          <w:sz w:val="20"/>
          <w:szCs w:val="22"/>
        </w:rPr>
      </w:pPr>
      <w:r w:rsidRPr="00063EF4">
        <w:rPr>
          <w:snapToGrid w:val="0"/>
          <w:sz w:val="20"/>
          <w:szCs w:val="22"/>
        </w:rPr>
        <w:t xml:space="preserve">Cuando el activo financiero se da de baja, la diferencia entre la contraprestación recibida neta de los costes de transacción atribuibles, considerando cualquier nuevo activo obtenido menos cualquier pasivo asumido, y el valor en libros del activo financiero, determina la ganancia o la pérdida surgida al dar de baja dicho activo, y forma parte del resultado del ejercicio en que ésta se produce. </w:t>
      </w:r>
    </w:p>
    <w:p w14:paraId="43C5DE52" w14:textId="35BB297E" w:rsidR="000A0387" w:rsidRPr="00063EF4" w:rsidRDefault="000A0387" w:rsidP="004A41D6">
      <w:pPr>
        <w:widowControl w:val="0"/>
        <w:spacing w:before="120" w:line="260" w:lineRule="exact"/>
        <w:jc w:val="both"/>
        <w:outlineLvl w:val="9"/>
        <w:rPr>
          <w:snapToGrid w:val="0"/>
          <w:sz w:val="20"/>
          <w:szCs w:val="22"/>
        </w:rPr>
      </w:pPr>
      <w:r w:rsidRPr="00063EF4">
        <w:rPr>
          <w:snapToGrid w:val="0"/>
          <w:sz w:val="20"/>
          <w:szCs w:val="22"/>
        </w:rPr>
        <w:t>La Sociedad no da de baja los activos financieros y reconoce un pasivo financiero por un importe igual a la contraprestación recibida, en las cesiones de activos financieros en las que ha retenido sustancialmente los riesgos y beneficios inherentes a su propiedad, tales como en el descuento de efectos, el «</w:t>
      </w:r>
      <w:proofErr w:type="spellStart"/>
      <w:r w:rsidRPr="00063EF4">
        <w:rPr>
          <w:snapToGrid w:val="0"/>
          <w:sz w:val="20"/>
          <w:szCs w:val="22"/>
        </w:rPr>
        <w:t>factoring</w:t>
      </w:r>
      <w:proofErr w:type="spellEnd"/>
      <w:r w:rsidRPr="00063EF4">
        <w:rPr>
          <w:snapToGrid w:val="0"/>
          <w:sz w:val="20"/>
          <w:szCs w:val="22"/>
        </w:rPr>
        <w:t xml:space="preserve"> con recurso», las ventas de activos financieros con pacto de recompra a un precio fijo o al precio de venta más un interés y las titulizaciones de activos financieros en las que la empresa cedente retenga financiaciones subordinadas u otro tipo de garantías que absorban sustancialmente todas las pérdidas esperadas.</w:t>
      </w:r>
    </w:p>
    <w:p w14:paraId="18EEBAA6" w14:textId="77777777" w:rsidR="000A0387" w:rsidRPr="00063EF4" w:rsidRDefault="000A0387" w:rsidP="004A41D6">
      <w:pPr>
        <w:widowControl w:val="0"/>
        <w:spacing w:before="120" w:line="260" w:lineRule="exact"/>
        <w:jc w:val="both"/>
        <w:outlineLvl w:val="9"/>
        <w:rPr>
          <w:bCs/>
          <w:i/>
          <w:iCs/>
          <w:sz w:val="20"/>
        </w:rPr>
      </w:pPr>
      <w:r w:rsidRPr="00063EF4">
        <w:rPr>
          <w:bCs/>
          <w:i/>
          <w:iCs/>
          <w:sz w:val="20"/>
        </w:rPr>
        <w:lastRenderedPageBreak/>
        <w:t>Baja de Pasivos Financieros</w:t>
      </w:r>
    </w:p>
    <w:p w14:paraId="197B2808" w14:textId="77777777" w:rsidR="000A0387" w:rsidRPr="00063EF4" w:rsidRDefault="000A0387" w:rsidP="004A41D6">
      <w:pPr>
        <w:widowControl w:val="0"/>
        <w:spacing w:before="120" w:line="260" w:lineRule="exact"/>
        <w:jc w:val="both"/>
        <w:outlineLvl w:val="9"/>
        <w:rPr>
          <w:snapToGrid w:val="0"/>
          <w:sz w:val="20"/>
          <w:szCs w:val="22"/>
        </w:rPr>
      </w:pPr>
      <w:r w:rsidRPr="00063EF4">
        <w:rPr>
          <w:snapToGrid w:val="0"/>
          <w:sz w:val="20"/>
          <w:szCs w:val="22"/>
        </w:rPr>
        <w:t xml:space="preserve">La Sociedad da de baja un pasivo financiero, o parte del mismo, cuando la obligación se ha extinguido; es decir, cuando ha sido satisfecha, cancelada o ha expirado. También da de baja los pasivos financieros propios que adquiere, aunque sea con la intención de recolocarlos en el futuro. </w:t>
      </w:r>
    </w:p>
    <w:p w14:paraId="24BB7773" w14:textId="77777777" w:rsidR="000A0387" w:rsidRPr="00063EF4" w:rsidRDefault="000A0387" w:rsidP="004A41D6">
      <w:pPr>
        <w:widowControl w:val="0"/>
        <w:spacing w:before="120" w:line="260" w:lineRule="exact"/>
        <w:jc w:val="both"/>
        <w:outlineLvl w:val="9"/>
        <w:rPr>
          <w:snapToGrid w:val="0"/>
          <w:sz w:val="20"/>
          <w:szCs w:val="22"/>
        </w:rPr>
      </w:pPr>
      <w:r w:rsidRPr="00063EF4">
        <w:rPr>
          <w:snapToGrid w:val="0"/>
          <w:sz w:val="20"/>
          <w:szCs w:val="22"/>
        </w:rPr>
        <w:t xml:space="preserve">La diferencia entre el valor en libros del pasivo financiero o de la parte del mismo que se ha dado de baja y la contraprestación pagada incluidos los costes o comisiones en que se incurra y en la que se recoge asimismo cualquier activo cedido diferente del efectivo o pasivo asumido, se reconoce en la cuenta de pérdidas y ganancias del ejercicio en que tenga lugar. </w:t>
      </w:r>
    </w:p>
    <w:p w14:paraId="71E29E96" w14:textId="25DC7D66" w:rsidR="000A0387" w:rsidRPr="00063EF4" w:rsidRDefault="000A0387" w:rsidP="004A41D6">
      <w:pPr>
        <w:widowControl w:val="0"/>
        <w:spacing w:before="120" w:line="260" w:lineRule="exact"/>
        <w:jc w:val="both"/>
        <w:outlineLvl w:val="9"/>
        <w:rPr>
          <w:snapToGrid w:val="0"/>
          <w:sz w:val="20"/>
          <w:szCs w:val="22"/>
        </w:rPr>
      </w:pPr>
      <w:r w:rsidRPr="00063EF4">
        <w:rPr>
          <w:snapToGrid w:val="0"/>
          <w:sz w:val="20"/>
          <w:szCs w:val="22"/>
        </w:rPr>
        <w:t>En el caso de un intercambio de instrumentos de deuda que no tengan condiciones sustancialmente diferentes, el pasivo financiero original no se da de baja del balance. Cualquier coste de transacción o comisión incurrida ajusta el importe en libros del pasivo financiero. A partir de esa fecha, el coste amortizado del pasivo financiero se determina aplicando el tipo de interés efectivo que iguale el valor en libros del pasivo financiero con los flujos de efectivo a pagar según las nuevas condiciones.</w:t>
      </w:r>
    </w:p>
    <w:p w14:paraId="1FB8D06D" w14:textId="77777777" w:rsidR="006220A2" w:rsidRPr="00063EF4" w:rsidRDefault="006220A2" w:rsidP="00063EF4">
      <w:pPr>
        <w:widowControl w:val="0"/>
        <w:spacing w:before="240" w:after="120" w:line="260" w:lineRule="exact"/>
        <w:rPr>
          <w:b/>
          <w:sz w:val="20"/>
          <w:szCs w:val="20"/>
        </w:rPr>
      </w:pPr>
      <w:r w:rsidRPr="00063EF4">
        <w:rPr>
          <w:b/>
          <w:sz w:val="20"/>
          <w:szCs w:val="20"/>
        </w:rPr>
        <w:t xml:space="preserve">4.4 </w:t>
      </w:r>
      <w:r w:rsidRPr="00063EF4">
        <w:rPr>
          <w:b/>
          <w:sz w:val="20"/>
          <w:szCs w:val="20"/>
        </w:rPr>
        <w:tab/>
        <w:t>Patrimonio neto</w:t>
      </w:r>
    </w:p>
    <w:p w14:paraId="122C323E" w14:textId="3C022AB2" w:rsidR="006220A2" w:rsidRPr="00063EF4" w:rsidRDefault="006220A2" w:rsidP="004A41D6">
      <w:pPr>
        <w:widowControl w:val="0"/>
        <w:spacing w:before="120" w:line="260" w:lineRule="exact"/>
        <w:jc w:val="both"/>
        <w:outlineLvl w:val="9"/>
        <w:rPr>
          <w:snapToGrid w:val="0"/>
          <w:sz w:val="20"/>
          <w:szCs w:val="22"/>
        </w:rPr>
      </w:pPr>
      <w:r w:rsidRPr="00063EF4">
        <w:rPr>
          <w:snapToGrid w:val="0"/>
          <w:sz w:val="20"/>
          <w:szCs w:val="22"/>
        </w:rPr>
        <w:t>El capital social está representado por 102 acciones clase “A” nominativas de 3.000 euros nominales cada una, y 98 acciones clase “B” nominativas de 3.000 euros cada una. Todas las acciones gozan de iguales derechos políticos y económicos.</w:t>
      </w:r>
      <w:bookmarkStart w:id="1" w:name="_Hlk97817892"/>
    </w:p>
    <w:bookmarkEnd w:id="1"/>
    <w:p w14:paraId="44902920" w14:textId="61574294" w:rsidR="006220A2" w:rsidRPr="00063EF4" w:rsidRDefault="006220A2" w:rsidP="00063EF4">
      <w:pPr>
        <w:widowControl w:val="0"/>
        <w:spacing w:before="240" w:after="120" w:line="260" w:lineRule="exact"/>
        <w:rPr>
          <w:b/>
          <w:sz w:val="20"/>
          <w:szCs w:val="20"/>
        </w:rPr>
      </w:pPr>
      <w:r w:rsidRPr="00063EF4">
        <w:rPr>
          <w:b/>
          <w:sz w:val="20"/>
          <w:szCs w:val="20"/>
        </w:rPr>
        <w:t>4.</w:t>
      </w:r>
      <w:r w:rsidR="00B30832" w:rsidRPr="00063EF4">
        <w:rPr>
          <w:b/>
          <w:sz w:val="20"/>
          <w:szCs w:val="20"/>
        </w:rPr>
        <w:t>5</w:t>
      </w:r>
      <w:r w:rsidRPr="00063EF4">
        <w:rPr>
          <w:b/>
          <w:sz w:val="20"/>
          <w:szCs w:val="20"/>
        </w:rPr>
        <w:t xml:space="preserve"> </w:t>
      </w:r>
      <w:r w:rsidRPr="00063EF4">
        <w:rPr>
          <w:b/>
          <w:sz w:val="20"/>
          <w:szCs w:val="20"/>
        </w:rPr>
        <w:tab/>
        <w:t>Impuestos corrientes y diferidos</w:t>
      </w:r>
    </w:p>
    <w:p w14:paraId="698677BB" w14:textId="77777777" w:rsidR="006220A2" w:rsidRPr="00063EF4" w:rsidRDefault="006220A2" w:rsidP="004A41D6">
      <w:pPr>
        <w:widowControl w:val="0"/>
        <w:spacing w:before="120" w:line="260" w:lineRule="exact"/>
        <w:jc w:val="both"/>
        <w:outlineLvl w:val="9"/>
        <w:rPr>
          <w:snapToGrid w:val="0"/>
          <w:sz w:val="20"/>
          <w:szCs w:val="22"/>
        </w:rPr>
      </w:pPr>
      <w:r w:rsidRPr="00063EF4">
        <w:rPr>
          <w:snapToGrid w:val="0"/>
          <w:sz w:val="20"/>
          <w:szCs w:val="22"/>
        </w:rPr>
        <w:t>El gasto (ingreso) por impuesto sobre beneficios es el importe que, por este concepto, se devenga en el ejercicio y que comprende tanto el gasto (ingreso) por impuesto corriente como por impuesto diferido.</w:t>
      </w:r>
    </w:p>
    <w:p w14:paraId="66AC293B" w14:textId="77777777" w:rsidR="006220A2" w:rsidRPr="00063EF4" w:rsidRDefault="006220A2" w:rsidP="004A41D6">
      <w:pPr>
        <w:widowControl w:val="0"/>
        <w:spacing w:before="120" w:line="260" w:lineRule="exact"/>
        <w:jc w:val="both"/>
        <w:outlineLvl w:val="9"/>
        <w:rPr>
          <w:snapToGrid w:val="0"/>
          <w:sz w:val="20"/>
          <w:szCs w:val="22"/>
        </w:rPr>
      </w:pPr>
      <w:r w:rsidRPr="00063EF4">
        <w:rPr>
          <w:snapToGrid w:val="0"/>
          <w:sz w:val="20"/>
          <w:szCs w:val="22"/>
        </w:rPr>
        <w:t>Tanto el gasto (ingreso) por impuesto corriente como diferido se registra en la cuenta de pérdidas y ganancias. No obstante, se reconoce en el patrimonio neto el efecto impositivo relacionado con partidas que se registran directamente en el patrimonio neto.</w:t>
      </w:r>
    </w:p>
    <w:p w14:paraId="75B6B6A4" w14:textId="77777777" w:rsidR="006220A2" w:rsidRPr="00063EF4" w:rsidRDefault="006220A2" w:rsidP="004A41D6">
      <w:pPr>
        <w:widowControl w:val="0"/>
        <w:spacing w:before="120" w:line="260" w:lineRule="exact"/>
        <w:jc w:val="both"/>
        <w:outlineLvl w:val="9"/>
        <w:rPr>
          <w:snapToGrid w:val="0"/>
          <w:sz w:val="20"/>
          <w:szCs w:val="22"/>
        </w:rPr>
      </w:pPr>
      <w:r w:rsidRPr="00063EF4">
        <w:rPr>
          <w:snapToGrid w:val="0"/>
          <w:sz w:val="20"/>
          <w:szCs w:val="22"/>
        </w:rPr>
        <w:t>Los activos y pasivos por impuesto corriente se valorarán por las cantidades que se espera pagar o recuperar de las autoridades fiscales, de acuerdo con la normativa vigente o aprobada y pendiente de publicación en la fecha de cierre del ejercicio.</w:t>
      </w:r>
    </w:p>
    <w:p w14:paraId="7D89953B" w14:textId="77777777" w:rsidR="006220A2" w:rsidRPr="00063EF4" w:rsidRDefault="006220A2" w:rsidP="004A41D6">
      <w:pPr>
        <w:widowControl w:val="0"/>
        <w:spacing w:before="120" w:line="260" w:lineRule="exact"/>
        <w:jc w:val="both"/>
        <w:outlineLvl w:val="9"/>
        <w:rPr>
          <w:snapToGrid w:val="0"/>
          <w:sz w:val="20"/>
          <w:szCs w:val="22"/>
        </w:rPr>
      </w:pPr>
      <w:r w:rsidRPr="00063EF4">
        <w:rPr>
          <w:snapToGrid w:val="0"/>
          <w:sz w:val="20"/>
          <w:szCs w:val="22"/>
        </w:rPr>
        <w:t>Los impuestos diferidos se calculan, de acuerdo con el método del pasivo, sobre las diferencias temporarias que surgen entre las bases fiscales de los activos y pasivos y sus valores en libros. Sin embargo, si los impuestos diferidos surgen del reconocimiento inicial de un activo o un pasivo en una transacción distinta de una combinación de negocios que en el momento de la transacción no afecta ni al resultado contable ni a la base imponible del impuesto no se reconocen. El impuesto diferido se determina aplicando la normativa y los tipos impositivos aprobados o a punto de aprobarse en la fecha del balance y que se espera aplicar cuando el correspondiente activo por impuesto diferido se realice o el pasivo por impuesto diferido se liquide.</w:t>
      </w:r>
    </w:p>
    <w:p w14:paraId="222EE8C1" w14:textId="77777777" w:rsidR="006220A2" w:rsidRPr="00063EF4" w:rsidRDefault="006220A2" w:rsidP="004A41D6">
      <w:pPr>
        <w:widowControl w:val="0"/>
        <w:spacing w:before="120" w:line="260" w:lineRule="exact"/>
        <w:jc w:val="both"/>
        <w:outlineLvl w:val="9"/>
        <w:rPr>
          <w:snapToGrid w:val="0"/>
          <w:sz w:val="20"/>
          <w:szCs w:val="22"/>
        </w:rPr>
      </w:pPr>
      <w:r w:rsidRPr="00063EF4">
        <w:rPr>
          <w:snapToGrid w:val="0"/>
          <w:sz w:val="20"/>
          <w:szCs w:val="22"/>
        </w:rPr>
        <w:t>Los activos por impuestos diferidos se reconocen en la medida en que resulte probable que se vaya a disponer de ganancias fiscales futuras con las que poder compensar las diferencias temporarias.</w:t>
      </w:r>
    </w:p>
    <w:p w14:paraId="7CA3F260" w14:textId="44D05EB1" w:rsidR="006220A2" w:rsidRPr="00063EF4" w:rsidRDefault="006220A2" w:rsidP="00063EF4">
      <w:pPr>
        <w:widowControl w:val="0"/>
        <w:spacing w:before="240" w:after="120" w:line="260" w:lineRule="exact"/>
        <w:rPr>
          <w:b/>
          <w:sz w:val="20"/>
          <w:szCs w:val="20"/>
        </w:rPr>
      </w:pPr>
      <w:bookmarkStart w:id="2" w:name="_Hlk98316661"/>
      <w:r w:rsidRPr="00063EF4">
        <w:rPr>
          <w:b/>
          <w:sz w:val="20"/>
          <w:szCs w:val="20"/>
        </w:rPr>
        <w:t>4.</w:t>
      </w:r>
      <w:r w:rsidR="00B30832" w:rsidRPr="00063EF4">
        <w:rPr>
          <w:b/>
          <w:sz w:val="20"/>
          <w:szCs w:val="20"/>
        </w:rPr>
        <w:t>6</w:t>
      </w:r>
      <w:r w:rsidRPr="00063EF4">
        <w:rPr>
          <w:b/>
          <w:sz w:val="20"/>
          <w:szCs w:val="20"/>
        </w:rPr>
        <w:t xml:space="preserve"> </w:t>
      </w:r>
      <w:r w:rsidRPr="00063EF4">
        <w:rPr>
          <w:b/>
          <w:sz w:val="20"/>
          <w:szCs w:val="20"/>
        </w:rPr>
        <w:tab/>
        <w:t>Compromisos por premio de jubilación</w:t>
      </w:r>
    </w:p>
    <w:bookmarkEnd w:id="2"/>
    <w:p w14:paraId="38964AE8" w14:textId="77777777" w:rsidR="006220A2" w:rsidRPr="00063EF4" w:rsidRDefault="006220A2" w:rsidP="004A41D6">
      <w:pPr>
        <w:widowControl w:val="0"/>
        <w:spacing w:before="120" w:line="260" w:lineRule="exact"/>
        <w:jc w:val="both"/>
        <w:outlineLvl w:val="9"/>
        <w:rPr>
          <w:snapToGrid w:val="0"/>
          <w:sz w:val="20"/>
          <w:szCs w:val="22"/>
        </w:rPr>
      </w:pPr>
      <w:r w:rsidRPr="00063EF4">
        <w:rPr>
          <w:snapToGrid w:val="0"/>
          <w:sz w:val="20"/>
          <w:szCs w:val="22"/>
        </w:rPr>
        <w:t>La Sociedad tiene obligación, según el convenio colectivo vigente de la empresa, de premiar la vinculación de su personal en el momento de su jubilación o fallecimiento. Estas gratificaciones se pagan en el momento de la jubilación o fallecimiento del empleado y consisten en el pago de entre dos y seis mensualidades en función de los años de antigüedad e</w:t>
      </w:r>
      <w:r w:rsidR="00694E39" w:rsidRPr="00063EF4">
        <w:rPr>
          <w:snapToGrid w:val="0"/>
          <w:sz w:val="20"/>
          <w:szCs w:val="22"/>
        </w:rPr>
        <w:t>n la empresa.</w:t>
      </w:r>
    </w:p>
    <w:p w14:paraId="78C46DD6" w14:textId="77D1B087" w:rsidR="006220A2" w:rsidRPr="00063EF4" w:rsidRDefault="006220A2" w:rsidP="004A41D6">
      <w:pPr>
        <w:keepNext/>
        <w:keepLines/>
        <w:widowControl w:val="0"/>
        <w:spacing w:before="120" w:line="260" w:lineRule="exact"/>
        <w:jc w:val="both"/>
        <w:outlineLvl w:val="9"/>
        <w:rPr>
          <w:snapToGrid w:val="0"/>
          <w:sz w:val="20"/>
          <w:szCs w:val="22"/>
        </w:rPr>
      </w:pPr>
      <w:r w:rsidRPr="00063EF4">
        <w:rPr>
          <w:snapToGrid w:val="0"/>
          <w:sz w:val="20"/>
          <w:szCs w:val="22"/>
        </w:rPr>
        <w:lastRenderedPageBreak/>
        <w:t>La legislación vigente establece la obligación de externalizar los compromisos de este tipo devengados, habiéndose cumplido con dicha normativa, de modo que la totalidad de las obligaciones devengadas por el premio de jubilación hasta 31 de diciembre de 2011 se encuentran externalizadas a 31 de diciembre de 20</w:t>
      </w:r>
      <w:r w:rsidR="003704B2" w:rsidRPr="00063EF4">
        <w:rPr>
          <w:snapToGrid w:val="0"/>
          <w:sz w:val="20"/>
          <w:szCs w:val="22"/>
        </w:rPr>
        <w:t>2</w:t>
      </w:r>
      <w:r w:rsidR="000A6567">
        <w:rPr>
          <w:snapToGrid w:val="0"/>
          <w:sz w:val="20"/>
          <w:szCs w:val="22"/>
        </w:rPr>
        <w:t>2</w:t>
      </w:r>
      <w:r w:rsidRPr="00063EF4">
        <w:rPr>
          <w:snapToGrid w:val="0"/>
          <w:sz w:val="20"/>
          <w:szCs w:val="22"/>
        </w:rPr>
        <w:t>, no existiendo por tanto provisión por dicho concepto en las presentes cuentas anuales.</w:t>
      </w:r>
    </w:p>
    <w:p w14:paraId="22B6967E" w14:textId="77777777" w:rsidR="006220A2" w:rsidRPr="00063EF4" w:rsidRDefault="006220A2" w:rsidP="004A41D6">
      <w:pPr>
        <w:widowControl w:val="0"/>
        <w:spacing w:before="120" w:line="260" w:lineRule="exact"/>
        <w:jc w:val="both"/>
        <w:outlineLvl w:val="9"/>
        <w:rPr>
          <w:snapToGrid w:val="0"/>
          <w:sz w:val="20"/>
          <w:szCs w:val="22"/>
        </w:rPr>
      </w:pPr>
      <w:r w:rsidRPr="00063EF4">
        <w:rPr>
          <w:snapToGrid w:val="0"/>
          <w:sz w:val="20"/>
          <w:szCs w:val="22"/>
        </w:rPr>
        <w:t>Desde el ejercicio 2011, la Sociedad no ha registrado gastos por este concepto, ni realizado, por tanto, aportaciones al fondo constituido, y que tiene externalizado, de acuerdo con las directrices marcadas por el Gobierno de Canarias, que estableció en los Presupuestos Generales de la Comunidad Autónoma de Canarias desde dicho ejercicio, que los entes del sector público autonómico con presupuesto estimativo no podrán realizar aportaciones a planes de pensiones o instituciones de ahorro con efectos similares, quedando por tanto suspendido el derecho de los empleados de la Sociedad a recibir dichas gratificaciones en el momento de su jubilación o fallecimiento de los mismos.</w:t>
      </w:r>
    </w:p>
    <w:p w14:paraId="51B81B0A" w14:textId="4CF0C885" w:rsidR="006220A2" w:rsidRPr="00063EF4" w:rsidRDefault="006220A2" w:rsidP="004A41D6">
      <w:pPr>
        <w:widowControl w:val="0"/>
        <w:spacing w:before="120" w:line="260" w:lineRule="exact"/>
        <w:jc w:val="both"/>
        <w:outlineLvl w:val="9"/>
        <w:rPr>
          <w:snapToGrid w:val="0"/>
          <w:sz w:val="20"/>
          <w:szCs w:val="22"/>
        </w:rPr>
      </w:pPr>
      <w:bookmarkStart w:id="3" w:name="_Hlk98316688"/>
      <w:r w:rsidRPr="00187B3E">
        <w:rPr>
          <w:snapToGrid w:val="0"/>
          <w:sz w:val="20"/>
          <w:szCs w:val="22"/>
        </w:rPr>
        <w:t>El valor de rescate a cierre del ejercicio 20</w:t>
      </w:r>
      <w:r w:rsidR="00B04211" w:rsidRPr="00187B3E">
        <w:rPr>
          <w:snapToGrid w:val="0"/>
          <w:sz w:val="20"/>
          <w:szCs w:val="22"/>
        </w:rPr>
        <w:t>2</w:t>
      </w:r>
      <w:r w:rsidR="00234252" w:rsidRPr="00187B3E">
        <w:rPr>
          <w:snapToGrid w:val="0"/>
          <w:sz w:val="20"/>
          <w:szCs w:val="22"/>
        </w:rPr>
        <w:t>4</w:t>
      </w:r>
      <w:r w:rsidRPr="00187B3E">
        <w:rPr>
          <w:snapToGrid w:val="0"/>
          <w:sz w:val="20"/>
          <w:szCs w:val="22"/>
        </w:rPr>
        <w:t xml:space="preserve"> de las aportaciones realizadas por la Sociedad en ejercicios anteriores asciende a un valor de </w:t>
      </w:r>
      <w:r w:rsidR="00187B3E" w:rsidRPr="00187B3E">
        <w:rPr>
          <w:snapToGrid w:val="0"/>
          <w:sz w:val="20"/>
          <w:szCs w:val="22"/>
        </w:rPr>
        <w:t xml:space="preserve">207.227,52 </w:t>
      </w:r>
      <w:r w:rsidRPr="00187B3E">
        <w:rPr>
          <w:snapToGrid w:val="0"/>
          <w:sz w:val="20"/>
          <w:szCs w:val="22"/>
        </w:rPr>
        <w:t>euros</w:t>
      </w:r>
      <w:r w:rsidR="003704B2" w:rsidRPr="00187B3E">
        <w:rPr>
          <w:snapToGrid w:val="0"/>
          <w:sz w:val="20"/>
          <w:szCs w:val="22"/>
        </w:rPr>
        <w:t>.</w:t>
      </w:r>
    </w:p>
    <w:bookmarkEnd w:id="3"/>
    <w:p w14:paraId="6EABAA24" w14:textId="4ED6ADCD" w:rsidR="00A34718" w:rsidRPr="00063EF4" w:rsidRDefault="006220A2" w:rsidP="00063EF4">
      <w:pPr>
        <w:widowControl w:val="0"/>
        <w:spacing w:before="240" w:after="120" w:line="260" w:lineRule="exact"/>
        <w:rPr>
          <w:b/>
          <w:sz w:val="20"/>
          <w:szCs w:val="20"/>
        </w:rPr>
      </w:pPr>
      <w:r w:rsidRPr="00063EF4">
        <w:rPr>
          <w:b/>
          <w:sz w:val="20"/>
          <w:szCs w:val="20"/>
        </w:rPr>
        <w:t>4.</w:t>
      </w:r>
      <w:r w:rsidR="00B30832" w:rsidRPr="00063EF4">
        <w:rPr>
          <w:b/>
          <w:sz w:val="20"/>
          <w:szCs w:val="20"/>
        </w:rPr>
        <w:t>7</w:t>
      </w:r>
      <w:r w:rsidRPr="00063EF4">
        <w:rPr>
          <w:b/>
          <w:sz w:val="20"/>
          <w:szCs w:val="20"/>
        </w:rPr>
        <w:t xml:space="preserve"> </w:t>
      </w:r>
      <w:r w:rsidRPr="00063EF4">
        <w:rPr>
          <w:b/>
          <w:sz w:val="20"/>
          <w:szCs w:val="20"/>
        </w:rPr>
        <w:tab/>
      </w:r>
      <w:r w:rsidR="00A34718" w:rsidRPr="00063EF4">
        <w:rPr>
          <w:b/>
          <w:sz w:val="20"/>
          <w:szCs w:val="20"/>
        </w:rPr>
        <w:t xml:space="preserve">Ingresos y gastos </w:t>
      </w:r>
    </w:p>
    <w:p w14:paraId="220D8271" w14:textId="45F96267" w:rsidR="00A34718" w:rsidRPr="00063EF4" w:rsidRDefault="00A34718" w:rsidP="004A41D6">
      <w:pPr>
        <w:widowControl w:val="0"/>
        <w:spacing w:before="120" w:line="260" w:lineRule="exact"/>
        <w:jc w:val="both"/>
        <w:outlineLvl w:val="9"/>
        <w:rPr>
          <w:snapToGrid w:val="0"/>
          <w:sz w:val="20"/>
          <w:szCs w:val="22"/>
        </w:rPr>
      </w:pPr>
      <w:r w:rsidRPr="003B2D35">
        <w:rPr>
          <w:snapToGrid w:val="0"/>
          <w:sz w:val="20"/>
          <w:szCs w:val="22"/>
        </w:rPr>
        <w:t>La actividad de la Sociedad es la promoción turística de Canarias, esto se desarrolla mediante tres tipos</w:t>
      </w:r>
      <w:r w:rsidR="00346101" w:rsidRPr="003B2D35">
        <w:rPr>
          <w:snapToGrid w:val="0"/>
          <w:sz w:val="20"/>
          <w:szCs w:val="22"/>
        </w:rPr>
        <w:t xml:space="preserve"> de ingresos: a)</w:t>
      </w:r>
      <w:r w:rsidRPr="003B2D35">
        <w:rPr>
          <w:snapToGrid w:val="0"/>
          <w:sz w:val="20"/>
          <w:szCs w:val="22"/>
        </w:rPr>
        <w:t xml:space="preserve"> la prestación de servicios, que son los ingresos por encomiendas y convenios con el Gobierno de Canarias</w:t>
      </w:r>
      <w:r w:rsidR="00346101" w:rsidRPr="003B2D35">
        <w:rPr>
          <w:snapToGrid w:val="0"/>
          <w:sz w:val="20"/>
          <w:szCs w:val="22"/>
        </w:rPr>
        <w:t xml:space="preserve">; b) </w:t>
      </w:r>
      <w:r w:rsidRPr="003B2D35">
        <w:rPr>
          <w:snapToGrid w:val="0"/>
          <w:sz w:val="20"/>
          <w:szCs w:val="22"/>
        </w:rPr>
        <w:t>las subvenciones de explotación que son concedidas por el Gobierno de Canarias para financiar</w:t>
      </w:r>
      <w:r w:rsidR="007E0B23" w:rsidRPr="003B2D35">
        <w:rPr>
          <w:snapToGrid w:val="0"/>
          <w:sz w:val="20"/>
          <w:szCs w:val="22"/>
        </w:rPr>
        <w:t xml:space="preserve"> su actividad</w:t>
      </w:r>
      <w:r w:rsidR="00346101" w:rsidRPr="003B2D35">
        <w:rPr>
          <w:snapToGrid w:val="0"/>
          <w:sz w:val="20"/>
          <w:szCs w:val="22"/>
        </w:rPr>
        <w:t>;</w:t>
      </w:r>
      <w:r w:rsidR="007E0B23" w:rsidRPr="003B2D35">
        <w:rPr>
          <w:snapToGrid w:val="0"/>
          <w:sz w:val="20"/>
          <w:szCs w:val="22"/>
        </w:rPr>
        <w:t xml:space="preserve"> y</w:t>
      </w:r>
      <w:r w:rsidR="00CB02BB" w:rsidRPr="003B2D35">
        <w:rPr>
          <w:snapToGrid w:val="0"/>
          <w:sz w:val="20"/>
          <w:szCs w:val="22"/>
        </w:rPr>
        <w:t xml:space="preserve"> </w:t>
      </w:r>
      <w:r w:rsidR="00346101" w:rsidRPr="003B2D35">
        <w:rPr>
          <w:snapToGrid w:val="0"/>
          <w:sz w:val="20"/>
          <w:szCs w:val="22"/>
        </w:rPr>
        <w:t>c)</w:t>
      </w:r>
      <w:r w:rsidR="00A40E6F" w:rsidRPr="003B2D35">
        <w:rPr>
          <w:snapToGrid w:val="0"/>
          <w:sz w:val="20"/>
          <w:szCs w:val="22"/>
        </w:rPr>
        <w:t xml:space="preserve"> los ingresos que </w:t>
      </w:r>
      <w:r w:rsidR="007E0B23" w:rsidRPr="003B2D35">
        <w:rPr>
          <w:snapToGrid w:val="0"/>
          <w:sz w:val="20"/>
          <w:szCs w:val="22"/>
        </w:rPr>
        <w:t>recibe por</w:t>
      </w:r>
      <w:r w:rsidR="00A40E6F" w:rsidRPr="003B2D35">
        <w:rPr>
          <w:snapToGrid w:val="0"/>
          <w:sz w:val="20"/>
          <w:szCs w:val="22"/>
        </w:rPr>
        <w:t xml:space="preserve"> su asistencia a ferias y eventos turísticos.</w:t>
      </w:r>
    </w:p>
    <w:p w14:paraId="3252DF01" w14:textId="1338C170" w:rsidR="007E0B23" w:rsidRPr="00144303" w:rsidRDefault="007E0B23" w:rsidP="00063EF4">
      <w:pPr>
        <w:widowControl w:val="0"/>
        <w:tabs>
          <w:tab w:val="left" w:pos="567"/>
        </w:tabs>
        <w:spacing w:before="200"/>
        <w:ind w:left="284"/>
        <w:jc w:val="both"/>
        <w:rPr>
          <w:b/>
          <w:sz w:val="20"/>
        </w:rPr>
      </w:pPr>
      <w:r w:rsidRPr="00144303">
        <w:rPr>
          <w:b/>
          <w:sz w:val="20"/>
        </w:rPr>
        <w:t>Reconocimiento de ingresos por ventas y prestación de servicios</w:t>
      </w:r>
    </w:p>
    <w:p w14:paraId="6D5F8C22" w14:textId="0361B15E" w:rsidR="007E0B23" w:rsidRPr="00063EF4" w:rsidRDefault="007E0B23" w:rsidP="004A41D6">
      <w:pPr>
        <w:widowControl w:val="0"/>
        <w:spacing w:before="120" w:line="260" w:lineRule="exact"/>
        <w:jc w:val="both"/>
        <w:outlineLvl w:val="9"/>
        <w:rPr>
          <w:snapToGrid w:val="0"/>
          <w:sz w:val="20"/>
          <w:szCs w:val="22"/>
        </w:rPr>
      </w:pPr>
      <w:r w:rsidRPr="00063EF4">
        <w:rPr>
          <w:snapToGrid w:val="0"/>
          <w:sz w:val="20"/>
          <w:szCs w:val="22"/>
        </w:rPr>
        <w:t>Los ingresos derivados de un contrato se reconocen a medida que se produce la transferencia al cliente de control sobre los bienes o servicios comprometidos.</w:t>
      </w:r>
    </w:p>
    <w:p w14:paraId="7B306529" w14:textId="55DE2828" w:rsidR="007E0B23" w:rsidRPr="00144303" w:rsidRDefault="007E0B23" w:rsidP="004A41D6">
      <w:pPr>
        <w:widowControl w:val="0"/>
        <w:tabs>
          <w:tab w:val="left" w:pos="567"/>
        </w:tabs>
        <w:spacing w:before="200"/>
        <w:jc w:val="both"/>
        <w:rPr>
          <w:bCs/>
          <w:i/>
          <w:iCs/>
          <w:sz w:val="20"/>
        </w:rPr>
      </w:pPr>
      <w:r w:rsidRPr="00144303">
        <w:rPr>
          <w:bCs/>
          <w:i/>
          <w:iCs/>
          <w:sz w:val="20"/>
        </w:rPr>
        <w:t>Valoración</w:t>
      </w:r>
    </w:p>
    <w:p w14:paraId="188BDDF7" w14:textId="3EB6C237" w:rsidR="007E0B23" w:rsidRPr="00063EF4" w:rsidRDefault="007E0B23" w:rsidP="004A41D6">
      <w:pPr>
        <w:widowControl w:val="0"/>
        <w:spacing w:before="120" w:line="260" w:lineRule="exact"/>
        <w:jc w:val="both"/>
        <w:outlineLvl w:val="9"/>
        <w:rPr>
          <w:snapToGrid w:val="0"/>
          <w:sz w:val="20"/>
          <w:szCs w:val="22"/>
        </w:rPr>
      </w:pPr>
      <w:r w:rsidRPr="00144303">
        <w:rPr>
          <w:bCs/>
          <w:sz w:val="20"/>
        </w:rPr>
        <w:t xml:space="preserve">Los ingresos ordinarios procedentes de la venta de bienes y de la prestación de servicios se valoran </w:t>
      </w:r>
      <w:r w:rsidRPr="00063EF4">
        <w:rPr>
          <w:snapToGrid w:val="0"/>
          <w:sz w:val="20"/>
          <w:szCs w:val="22"/>
        </w:rPr>
        <w:t>por el importe monetario o, en su caso, por el valor razonable de la contrapartida, recibida o que se espere recibir, derivada de la misma, que, salvo evidencia en contrario, es el precio acordado para los activos a trasferir al cliente, deducido: el importe de cualquier descuento, rebaja en el precio u otras partidas similares que la empresa pueda conceder, así como los intereses incorporados al nominal de los créditos.</w:t>
      </w:r>
    </w:p>
    <w:p w14:paraId="48CF0AEC" w14:textId="77777777" w:rsidR="007E0B23" w:rsidRPr="00063EF4" w:rsidRDefault="007E0B23" w:rsidP="004A41D6">
      <w:pPr>
        <w:widowControl w:val="0"/>
        <w:spacing w:before="120" w:line="260" w:lineRule="exact"/>
        <w:jc w:val="both"/>
        <w:outlineLvl w:val="9"/>
        <w:rPr>
          <w:snapToGrid w:val="0"/>
          <w:sz w:val="20"/>
          <w:szCs w:val="22"/>
        </w:rPr>
      </w:pPr>
      <w:r w:rsidRPr="00063EF4">
        <w:rPr>
          <w:snapToGrid w:val="0"/>
          <w:sz w:val="20"/>
          <w:szCs w:val="22"/>
        </w:rPr>
        <w:t>No forman parte de los ingresos los impuestos que gravan las operaciones de entrega de bienes y prestación de servicios que la empresa debe repercutir a terceros como el impuesto general indirecto canario y los impuestos especiales, así como las cantidades recibidas por cuenta de terceros.</w:t>
      </w:r>
    </w:p>
    <w:p w14:paraId="046EAECE" w14:textId="2534C6E4" w:rsidR="004A41D6" w:rsidRDefault="007E0B23" w:rsidP="004A41D6">
      <w:pPr>
        <w:keepNext/>
        <w:keepLines/>
        <w:widowControl w:val="0"/>
        <w:spacing w:before="120" w:line="260" w:lineRule="exact"/>
        <w:jc w:val="both"/>
        <w:outlineLvl w:val="9"/>
        <w:rPr>
          <w:snapToGrid w:val="0"/>
          <w:sz w:val="20"/>
          <w:szCs w:val="22"/>
        </w:rPr>
      </w:pPr>
      <w:r w:rsidRPr="00063EF4">
        <w:rPr>
          <w:snapToGrid w:val="0"/>
          <w:sz w:val="20"/>
          <w:szCs w:val="22"/>
        </w:rPr>
        <w:t>Los créditos por operaciones comerciales se valoran de acuerdo con lo dispuesto en la norma relativa a instrumentos financieros. Cuando existan dudas relativas al cobro del derecho de crédito previamente reconocido como ingresos por venta o prestación de servicios, la pérdida por deterioro se registrará como un gasto por corrección de valor por deterioro y no como un menor ingreso.</w:t>
      </w:r>
      <w:r w:rsidR="004A41D6">
        <w:rPr>
          <w:snapToGrid w:val="0"/>
          <w:sz w:val="20"/>
          <w:szCs w:val="22"/>
        </w:rPr>
        <w:br w:type="page"/>
      </w:r>
    </w:p>
    <w:p w14:paraId="45CA5199" w14:textId="57370641" w:rsidR="00702391" w:rsidRPr="00063EF4" w:rsidRDefault="00702391" w:rsidP="00063EF4">
      <w:pPr>
        <w:widowControl w:val="0"/>
        <w:spacing w:before="240" w:after="120" w:line="260" w:lineRule="exact"/>
        <w:rPr>
          <w:b/>
          <w:sz w:val="20"/>
          <w:szCs w:val="20"/>
        </w:rPr>
      </w:pPr>
      <w:r w:rsidRPr="00063EF4">
        <w:rPr>
          <w:b/>
          <w:sz w:val="20"/>
          <w:szCs w:val="20"/>
        </w:rPr>
        <w:lastRenderedPageBreak/>
        <w:t>4.8. Subvenciones, donaciones y legados</w:t>
      </w:r>
    </w:p>
    <w:p w14:paraId="7DA93A30" w14:textId="77777777" w:rsidR="00702391" w:rsidRPr="00063EF4" w:rsidRDefault="00702391" w:rsidP="004A41D6">
      <w:pPr>
        <w:widowControl w:val="0"/>
        <w:spacing w:before="120" w:line="260" w:lineRule="exact"/>
        <w:jc w:val="both"/>
        <w:outlineLvl w:val="9"/>
        <w:rPr>
          <w:snapToGrid w:val="0"/>
          <w:sz w:val="20"/>
          <w:szCs w:val="22"/>
        </w:rPr>
      </w:pPr>
      <w:r w:rsidRPr="00063EF4">
        <w:rPr>
          <w:snapToGrid w:val="0"/>
          <w:sz w:val="20"/>
          <w:szCs w:val="22"/>
        </w:rPr>
        <w:t xml:space="preserve">Las subvenciones que tengan carácter de reintegrables se registran como pasivos hasta cumplir las condiciones para considerarse no reintegrables, mientras que las subvenciones no reintegrables se registran como ingresos directamente imputados al patrimonio neto y se reconocen como ingresos sobre una base sistemática y racional de forma correlacionada con los gastos derivados de la subvención. </w:t>
      </w:r>
    </w:p>
    <w:p w14:paraId="602A3AF2" w14:textId="77777777" w:rsidR="00702391" w:rsidRPr="00063EF4" w:rsidRDefault="00702391" w:rsidP="004A41D6">
      <w:pPr>
        <w:widowControl w:val="0"/>
        <w:spacing w:before="120" w:line="260" w:lineRule="exact"/>
        <w:jc w:val="both"/>
        <w:outlineLvl w:val="9"/>
        <w:rPr>
          <w:snapToGrid w:val="0"/>
          <w:sz w:val="20"/>
          <w:szCs w:val="22"/>
        </w:rPr>
      </w:pPr>
      <w:r w:rsidRPr="00063EF4">
        <w:rPr>
          <w:snapToGrid w:val="0"/>
          <w:sz w:val="20"/>
          <w:szCs w:val="22"/>
        </w:rPr>
        <w:t>A estos efectos, una subvención se considera no reintegrable cuando existe un acuerdo individualizado de concesión de la subvención, se han cumplido todas las condiciones establecidas para su concesión y no existen dudas razonables de que se cobrará.</w:t>
      </w:r>
    </w:p>
    <w:p w14:paraId="4F244B53" w14:textId="77777777" w:rsidR="00702391" w:rsidRPr="00063EF4" w:rsidRDefault="00702391" w:rsidP="004A41D6">
      <w:pPr>
        <w:widowControl w:val="0"/>
        <w:spacing w:before="120" w:line="260" w:lineRule="exact"/>
        <w:jc w:val="both"/>
        <w:outlineLvl w:val="9"/>
        <w:rPr>
          <w:snapToGrid w:val="0"/>
          <w:sz w:val="20"/>
          <w:szCs w:val="22"/>
        </w:rPr>
      </w:pPr>
      <w:r w:rsidRPr="00063EF4">
        <w:rPr>
          <w:snapToGrid w:val="0"/>
          <w:sz w:val="20"/>
          <w:szCs w:val="22"/>
        </w:rPr>
        <w:t>Las subvenciones de carácter monetario se valoran por el valor razonable del importe concedido y las subvenciones no monetarias por el valor razonable del bien recibido, referidos ambos valores al momento de su reconocimiento.</w:t>
      </w:r>
    </w:p>
    <w:p w14:paraId="3E6AA132" w14:textId="77777777" w:rsidR="00702391" w:rsidRPr="00063EF4" w:rsidRDefault="00702391" w:rsidP="004A41D6">
      <w:pPr>
        <w:widowControl w:val="0"/>
        <w:spacing w:before="120" w:line="260" w:lineRule="exact"/>
        <w:jc w:val="both"/>
        <w:outlineLvl w:val="9"/>
        <w:rPr>
          <w:snapToGrid w:val="0"/>
          <w:sz w:val="20"/>
          <w:szCs w:val="22"/>
        </w:rPr>
      </w:pPr>
      <w:r w:rsidRPr="00063EF4">
        <w:rPr>
          <w:snapToGrid w:val="0"/>
          <w:sz w:val="20"/>
          <w:szCs w:val="22"/>
        </w:rPr>
        <w:t>Las subvenciones no reintegrables relacionadas con la adquisición de inmovilizado intangible, material e inversiones inmobiliarias se imputan como ingresos del ejercicio en proporción a la amortización de los correspondientes activos o, en su caso, cuando se produzca su enajenación, corrección valorativa por deterioro o baja en balance. Por su parte, las subvenciones no reintegrables relacionadas con gastos específicos se reconocen en la cuenta de pérdidas y ganancias en el mismo ejercicio en que se devengan los correspondientes gastos y las concedidas para compensar déficit de explotación en el ejercicio en que se conceden, salvo cuando se destinan a compensar déficit de explotación de ejercicios futuros, en cuyo caso se imputan en dichos ejercicios.</w:t>
      </w:r>
    </w:p>
    <w:p w14:paraId="1BB6C02D" w14:textId="77777777" w:rsidR="00702391" w:rsidRPr="00063EF4" w:rsidRDefault="00702391" w:rsidP="004A41D6">
      <w:pPr>
        <w:widowControl w:val="0"/>
        <w:spacing w:before="120" w:line="260" w:lineRule="exact"/>
        <w:jc w:val="both"/>
        <w:outlineLvl w:val="9"/>
        <w:rPr>
          <w:snapToGrid w:val="0"/>
          <w:sz w:val="20"/>
          <w:szCs w:val="22"/>
        </w:rPr>
      </w:pPr>
      <w:r w:rsidRPr="00063EF4">
        <w:rPr>
          <w:snapToGrid w:val="0"/>
          <w:sz w:val="20"/>
          <w:szCs w:val="22"/>
        </w:rPr>
        <w:t>Subvenciones o transferencias con finalidad indeterminada concedida por las Administraciones Públicas, para financiar déficits de explotación o gastos generales de funcionamiento de la empresa, no asociados con ninguna actividad o área de actividad en concreto sino con el conjunto de las actividades que realiza, son tratadas como aportaciones de socios contabilizándose directamente en el Patrimonio neto de la Sociedad.</w:t>
      </w:r>
    </w:p>
    <w:p w14:paraId="71F3F599" w14:textId="2ADFCB8C" w:rsidR="006220A2" w:rsidRPr="00063EF4" w:rsidRDefault="006220A2" w:rsidP="00063EF4">
      <w:pPr>
        <w:widowControl w:val="0"/>
        <w:spacing w:before="240" w:after="120" w:line="260" w:lineRule="exact"/>
        <w:rPr>
          <w:b/>
          <w:sz w:val="20"/>
          <w:szCs w:val="20"/>
        </w:rPr>
      </w:pPr>
      <w:r w:rsidRPr="00063EF4">
        <w:rPr>
          <w:b/>
          <w:sz w:val="20"/>
          <w:szCs w:val="20"/>
        </w:rPr>
        <w:t>4.</w:t>
      </w:r>
      <w:r w:rsidR="00702391" w:rsidRPr="00063EF4">
        <w:rPr>
          <w:b/>
          <w:sz w:val="20"/>
          <w:szCs w:val="20"/>
        </w:rPr>
        <w:t>9</w:t>
      </w:r>
      <w:r w:rsidRPr="00063EF4">
        <w:rPr>
          <w:b/>
          <w:sz w:val="20"/>
          <w:szCs w:val="20"/>
        </w:rPr>
        <w:t xml:space="preserve"> </w:t>
      </w:r>
      <w:r w:rsidRPr="00063EF4">
        <w:rPr>
          <w:b/>
          <w:sz w:val="20"/>
          <w:szCs w:val="20"/>
        </w:rPr>
        <w:tab/>
        <w:t>Arrendamientos</w:t>
      </w:r>
    </w:p>
    <w:p w14:paraId="3721D96E" w14:textId="77777777" w:rsidR="006220A2" w:rsidRPr="00063EF4" w:rsidRDefault="006220A2" w:rsidP="004A41D6">
      <w:pPr>
        <w:widowControl w:val="0"/>
        <w:spacing w:before="120" w:line="260" w:lineRule="exact"/>
        <w:jc w:val="both"/>
        <w:outlineLvl w:val="9"/>
        <w:rPr>
          <w:snapToGrid w:val="0"/>
          <w:sz w:val="20"/>
          <w:szCs w:val="22"/>
        </w:rPr>
      </w:pPr>
      <w:r w:rsidRPr="00063EF4">
        <w:rPr>
          <w:snapToGrid w:val="0"/>
          <w:sz w:val="20"/>
          <w:szCs w:val="22"/>
        </w:rPr>
        <w:t>Los arrendamientos en los que el arrendador conserva una parte importante de los riesgos y beneficios derivados de la titularidad se clasifican como arrendamientos operativos. Los pagos en concepto de arrendamiento operativo (netos de cualquier incentivo recibido del arrendador) se cargan en la cuenta de pérdidas y ganancias del ejercicio en que se devengan sobre una base lineal durante el período de arrendamiento.</w:t>
      </w:r>
    </w:p>
    <w:p w14:paraId="289F2BB3" w14:textId="3A754F86" w:rsidR="006220A2" w:rsidRPr="00063EF4" w:rsidRDefault="006220A2" w:rsidP="00063EF4">
      <w:pPr>
        <w:widowControl w:val="0"/>
        <w:spacing w:before="240" w:after="120" w:line="260" w:lineRule="exact"/>
        <w:rPr>
          <w:b/>
          <w:sz w:val="20"/>
          <w:szCs w:val="20"/>
        </w:rPr>
      </w:pPr>
      <w:r w:rsidRPr="00063EF4">
        <w:rPr>
          <w:b/>
          <w:sz w:val="20"/>
          <w:szCs w:val="20"/>
        </w:rPr>
        <w:t>4.</w:t>
      </w:r>
      <w:r w:rsidR="00702391" w:rsidRPr="00063EF4">
        <w:rPr>
          <w:b/>
          <w:sz w:val="20"/>
          <w:szCs w:val="20"/>
        </w:rPr>
        <w:t>10</w:t>
      </w:r>
      <w:r w:rsidRPr="00063EF4">
        <w:rPr>
          <w:b/>
          <w:sz w:val="20"/>
          <w:szCs w:val="20"/>
        </w:rPr>
        <w:t xml:space="preserve"> </w:t>
      </w:r>
      <w:r w:rsidRPr="00063EF4">
        <w:rPr>
          <w:b/>
          <w:sz w:val="20"/>
          <w:szCs w:val="20"/>
        </w:rPr>
        <w:tab/>
        <w:t>Transacciones en moneda extranjera</w:t>
      </w:r>
    </w:p>
    <w:p w14:paraId="7D5C4A97" w14:textId="77777777" w:rsidR="006220A2" w:rsidRPr="0083433F" w:rsidRDefault="006220A2" w:rsidP="006220A2">
      <w:pPr>
        <w:widowControl w:val="0"/>
        <w:tabs>
          <w:tab w:val="left" w:pos="284"/>
        </w:tabs>
        <w:spacing w:before="200"/>
        <w:rPr>
          <w:sz w:val="20"/>
          <w:u w:val="single"/>
        </w:rPr>
      </w:pPr>
      <w:r w:rsidRPr="0083433F">
        <w:rPr>
          <w:sz w:val="20"/>
        </w:rPr>
        <w:t>a)</w:t>
      </w:r>
      <w:r w:rsidRPr="0083433F">
        <w:rPr>
          <w:sz w:val="20"/>
        </w:rPr>
        <w:tab/>
      </w:r>
      <w:r w:rsidRPr="0083433F">
        <w:rPr>
          <w:sz w:val="20"/>
          <w:u w:val="single"/>
        </w:rPr>
        <w:t>Moneda funcional y de presentación</w:t>
      </w:r>
    </w:p>
    <w:p w14:paraId="58A67785" w14:textId="77777777" w:rsidR="006220A2" w:rsidRPr="00063EF4" w:rsidRDefault="006220A2" w:rsidP="004A41D6">
      <w:pPr>
        <w:widowControl w:val="0"/>
        <w:spacing w:before="120" w:line="260" w:lineRule="exact"/>
        <w:jc w:val="both"/>
        <w:outlineLvl w:val="9"/>
        <w:rPr>
          <w:snapToGrid w:val="0"/>
          <w:sz w:val="20"/>
          <w:szCs w:val="22"/>
        </w:rPr>
      </w:pPr>
      <w:r w:rsidRPr="00063EF4">
        <w:rPr>
          <w:snapToGrid w:val="0"/>
          <w:sz w:val="20"/>
          <w:szCs w:val="22"/>
        </w:rPr>
        <w:t>Las cuentas anuales de la Sociedad se presentan en euros, que es la moneda de presentac</w:t>
      </w:r>
      <w:r w:rsidR="00F50518" w:rsidRPr="00063EF4">
        <w:rPr>
          <w:snapToGrid w:val="0"/>
          <w:sz w:val="20"/>
          <w:szCs w:val="22"/>
        </w:rPr>
        <w:t>ión y funcional de la Sociedad.</w:t>
      </w:r>
    </w:p>
    <w:p w14:paraId="0543FC1E" w14:textId="77777777" w:rsidR="006220A2" w:rsidRPr="0083433F" w:rsidRDefault="006220A2" w:rsidP="003B2D35">
      <w:pPr>
        <w:keepNext/>
        <w:keepLines/>
        <w:widowControl w:val="0"/>
        <w:tabs>
          <w:tab w:val="left" w:pos="284"/>
        </w:tabs>
        <w:spacing w:before="200" w:after="120" w:line="260" w:lineRule="exact"/>
        <w:rPr>
          <w:sz w:val="20"/>
          <w:u w:val="single"/>
        </w:rPr>
      </w:pPr>
      <w:r w:rsidRPr="0083433F">
        <w:rPr>
          <w:sz w:val="20"/>
        </w:rPr>
        <w:t>b)</w:t>
      </w:r>
      <w:r w:rsidRPr="0083433F">
        <w:rPr>
          <w:sz w:val="20"/>
        </w:rPr>
        <w:tab/>
      </w:r>
      <w:r w:rsidRPr="0083433F">
        <w:rPr>
          <w:sz w:val="20"/>
          <w:u w:val="single"/>
        </w:rPr>
        <w:t>Transacciones y saldos</w:t>
      </w:r>
    </w:p>
    <w:p w14:paraId="1C2BB35D" w14:textId="67F9B175" w:rsidR="004A41D6" w:rsidRDefault="006220A2" w:rsidP="004A41D6">
      <w:pPr>
        <w:widowControl w:val="0"/>
        <w:spacing w:before="120" w:line="260" w:lineRule="exact"/>
        <w:jc w:val="both"/>
        <w:outlineLvl w:val="9"/>
        <w:rPr>
          <w:snapToGrid w:val="0"/>
          <w:sz w:val="20"/>
          <w:szCs w:val="22"/>
        </w:rPr>
      </w:pPr>
      <w:r w:rsidRPr="00063EF4">
        <w:rPr>
          <w:snapToGrid w:val="0"/>
          <w:sz w:val="20"/>
          <w:szCs w:val="22"/>
        </w:rPr>
        <w:t>Las transacciones en moneda extranjera se convierten a la moneda funcional utilizando los tipos de cambio vigentes en la fecha de las transacciones. Las pérdidas y ganancias en moneda extranjera que resultan de la liquidación de estas transacciones y de la conversión a los tipos de cambio de cierre de los activos y pasivos monetarios denominados en moneda extranjera se reconocen en la cuenta de pérdidas y ganancias.</w:t>
      </w:r>
    </w:p>
    <w:p w14:paraId="7119CBBD" w14:textId="77777777" w:rsidR="004A41D6" w:rsidRDefault="004A41D6">
      <w:pPr>
        <w:pBdr>
          <w:top w:val="none" w:sz="0" w:space="0" w:color="auto"/>
          <w:left w:val="none" w:sz="0" w:space="0" w:color="auto"/>
          <w:bottom w:val="none" w:sz="0" w:space="0" w:color="auto"/>
          <w:right w:val="none" w:sz="0" w:space="0" w:color="auto"/>
          <w:between w:val="none" w:sz="0" w:space="0" w:color="auto"/>
          <w:bar w:val="none" w:sz="0" w:color="auto"/>
        </w:pBdr>
        <w:outlineLvl w:val="9"/>
        <w:rPr>
          <w:snapToGrid w:val="0"/>
          <w:sz w:val="20"/>
          <w:szCs w:val="22"/>
        </w:rPr>
      </w:pPr>
      <w:r>
        <w:rPr>
          <w:snapToGrid w:val="0"/>
          <w:sz w:val="20"/>
          <w:szCs w:val="22"/>
        </w:rPr>
        <w:br w:type="page"/>
      </w:r>
    </w:p>
    <w:p w14:paraId="56EB1852" w14:textId="5C37C6D6" w:rsidR="006220A2" w:rsidRPr="00F5041C" w:rsidRDefault="00F5041C" w:rsidP="00052BF5">
      <w:pPr>
        <w:widowControl w:val="0"/>
        <w:numPr>
          <w:ilvl w:val="0"/>
          <w:numId w:val="6"/>
        </w:numPr>
        <w:pBdr>
          <w:top w:val="none" w:sz="0" w:space="0" w:color="auto"/>
          <w:left w:val="none" w:sz="0" w:space="0" w:color="auto"/>
          <w:bottom w:val="none" w:sz="0" w:space="0" w:color="auto"/>
          <w:right w:val="none" w:sz="0" w:space="0" w:color="auto"/>
          <w:between w:val="none" w:sz="0" w:space="0" w:color="auto"/>
          <w:bar w:val="none" w:sz="0" w:color="auto"/>
        </w:pBdr>
        <w:spacing w:after="120" w:line="280" w:lineRule="exact"/>
        <w:ind w:left="284" w:hanging="284"/>
        <w:outlineLvl w:val="9"/>
        <w:rPr>
          <w:b/>
          <w:snapToGrid w:val="0"/>
          <w:sz w:val="22"/>
          <w:szCs w:val="22"/>
        </w:rPr>
      </w:pPr>
      <w:r>
        <w:rPr>
          <w:b/>
          <w:snapToGrid w:val="0"/>
          <w:sz w:val="22"/>
          <w:szCs w:val="22"/>
        </w:rPr>
        <w:lastRenderedPageBreak/>
        <w:t xml:space="preserve"> </w:t>
      </w:r>
      <w:r w:rsidR="006220A2" w:rsidRPr="00F5041C">
        <w:rPr>
          <w:b/>
          <w:snapToGrid w:val="0"/>
          <w:sz w:val="22"/>
          <w:szCs w:val="22"/>
        </w:rPr>
        <w:t>Inmovilizado intangible</w:t>
      </w:r>
    </w:p>
    <w:p w14:paraId="5F894DFA" w14:textId="206C0573" w:rsidR="002926AF" w:rsidRPr="002926AF" w:rsidRDefault="002926AF" w:rsidP="002926AF">
      <w:pPr>
        <w:widowControl w:val="0"/>
        <w:spacing w:before="120" w:after="120" w:line="260" w:lineRule="exact"/>
        <w:jc w:val="both"/>
        <w:rPr>
          <w:snapToGrid w:val="0"/>
          <w:sz w:val="20"/>
          <w:szCs w:val="22"/>
        </w:rPr>
      </w:pPr>
      <w:r w:rsidRPr="002926AF">
        <w:rPr>
          <w:snapToGrid w:val="0"/>
          <w:sz w:val="20"/>
          <w:szCs w:val="22"/>
        </w:rPr>
        <w:t>El detalle y movimiento del “Inmovilizado intangible” en el ejercicio 202</w:t>
      </w:r>
      <w:r>
        <w:rPr>
          <w:snapToGrid w:val="0"/>
          <w:sz w:val="20"/>
          <w:szCs w:val="22"/>
        </w:rPr>
        <w:t>4</w:t>
      </w:r>
      <w:r w:rsidRPr="002926AF">
        <w:rPr>
          <w:snapToGrid w:val="0"/>
          <w:sz w:val="20"/>
          <w:szCs w:val="22"/>
        </w:rPr>
        <w:t xml:space="preserve"> es el siguiente:</w:t>
      </w:r>
    </w:p>
    <w:tbl>
      <w:tblPr>
        <w:tblW w:w="9072" w:type="dxa"/>
        <w:tblCellMar>
          <w:left w:w="70" w:type="dxa"/>
          <w:right w:w="70" w:type="dxa"/>
        </w:tblCellMar>
        <w:tblLook w:val="04A0" w:firstRow="1" w:lastRow="0" w:firstColumn="1" w:lastColumn="0" w:noHBand="0" w:noVBand="1"/>
      </w:tblPr>
      <w:tblGrid>
        <w:gridCol w:w="4012"/>
        <w:gridCol w:w="1265"/>
        <w:gridCol w:w="1265"/>
        <w:gridCol w:w="1265"/>
        <w:gridCol w:w="1265"/>
      </w:tblGrid>
      <w:tr w:rsidR="002926AF" w:rsidRPr="007E7835" w14:paraId="6D40985F" w14:textId="77777777" w:rsidTr="00B1370C">
        <w:trPr>
          <w:trHeight w:val="208"/>
        </w:trPr>
        <w:tc>
          <w:tcPr>
            <w:tcW w:w="2212" w:type="pct"/>
            <w:tcBorders>
              <w:top w:val="single" w:sz="4" w:space="0" w:color="auto"/>
              <w:left w:val="nil"/>
              <w:bottom w:val="nil"/>
              <w:right w:val="nil"/>
            </w:tcBorders>
            <w:shd w:val="clear" w:color="auto" w:fill="auto"/>
            <w:noWrap/>
            <w:vAlign w:val="center"/>
            <w:hideMark/>
          </w:tcPr>
          <w:p w14:paraId="31815DAB" w14:textId="77777777" w:rsidR="002926AF" w:rsidRPr="007E7835" w:rsidRDefault="002926AF" w:rsidP="0098422D">
            <w:pPr>
              <w:pBdr>
                <w:top w:val="none" w:sz="0" w:space="0" w:color="auto"/>
                <w:left w:val="none" w:sz="0" w:space="0" w:color="auto"/>
                <w:bottom w:val="none" w:sz="0" w:space="0" w:color="auto"/>
                <w:right w:val="none" w:sz="0" w:space="0" w:color="auto"/>
                <w:between w:val="none" w:sz="0" w:space="0" w:color="auto"/>
                <w:bar w:val="none" w:sz="0" w:color="auto"/>
              </w:pBdr>
              <w:jc w:val="both"/>
              <w:outlineLvl w:val="9"/>
              <w:rPr>
                <w:rFonts w:eastAsia="Times New Roman"/>
                <w:b/>
                <w:bCs/>
                <w:sz w:val="16"/>
                <w:szCs w:val="16"/>
                <w:bdr w:val="none" w:sz="0" w:space="0" w:color="auto"/>
                <w:lang w:eastAsia="es-ES"/>
              </w:rPr>
            </w:pPr>
            <w:r w:rsidRPr="007E7835">
              <w:rPr>
                <w:rFonts w:eastAsia="Times New Roman"/>
                <w:b/>
                <w:bCs/>
                <w:sz w:val="16"/>
                <w:szCs w:val="16"/>
                <w:bdr w:val="none" w:sz="0" w:space="0" w:color="auto"/>
                <w:lang w:eastAsia="es-ES"/>
              </w:rPr>
              <w:t> </w:t>
            </w:r>
          </w:p>
        </w:tc>
        <w:tc>
          <w:tcPr>
            <w:tcW w:w="2788" w:type="pct"/>
            <w:gridSpan w:val="4"/>
            <w:tcBorders>
              <w:top w:val="single" w:sz="4" w:space="0" w:color="auto"/>
              <w:left w:val="nil"/>
              <w:bottom w:val="nil"/>
              <w:right w:val="nil"/>
            </w:tcBorders>
            <w:shd w:val="clear" w:color="auto" w:fill="auto"/>
            <w:vAlign w:val="bottom"/>
            <w:hideMark/>
          </w:tcPr>
          <w:p w14:paraId="4AF32789" w14:textId="77777777" w:rsidR="002926AF" w:rsidRPr="007E7835" w:rsidRDefault="002926AF" w:rsidP="0098422D">
            <w:pPr>
              <w:pBdr>
                <w:top w:val="none" w:sz="0" w:space="0" w:color="auto"/>
                <w:left w:val="none" w:sz="0" w:space="0" w:color="auto"/>
                <w:bottom w:val="none" w:sz="0" w:space="0" w:color="auto"/>
                <w:right w:val="none" w:sz="0" w:space="0" w:color="auto"/>
                <w:between w:val="none" w:sz="0" w:space="0" w:color="auto"/>
                <w:bar w:val="none" w:sz="0" w:color="auto"/>
              </w:pBdr>
              <w:jc w:val="center"/>
              <w:outlineLvl w:val="9"/>
              <w:rPr>
                <w:rFonts w:eastAsia="Times New Roman"/>
                <w:b/>
                <w:bCs/>
                <w:sz w:val="16"/>
                <w:szCs w:val="16"/>
                <w:bdr w:val="none" w:sz="0" w:space="0" w:color="auto"/>
                <w:lang w:eastAsia="es-ES"/>
              </w:rPr>
            </w:pPr>
            <w:r w:rsidRPr="007E7835">
              <w:rPr>
                <w:rFonts w:eastAsia="Times New Roman"/>
                <w:b/>
                <w:bCs/>
                <w:sz w:val="16"/>
                <w:szCs w:val="16"/>
                <w:bdr w:val="none" w:sz="0" w:space="0" w:color="auto"/>
                <w:lang w:eastAsia="es-ES"/>
              </w:rPr>
              <w:t>Euros</w:t>
            </w:r>
          </w:p>
        </w:tc>
      </w:tr>
      <w:tr w:rsidR="002926AF" w:rsidRPr="007E7835" w14:paraId="28C6331A" w14:textId="77777777" w:rsidTr="00B1370C">
        <w:trPr>
          <w:trHeight w:val="418"/>
        </w:trPr>
        <w:tc>
          <w:tcPr>
            <w:tcW w:w="2212" w:type="pct"/>
            <w:tcBorders>
              <w:top w:val="nil"/>
              <w:left w:val="nil"/>
              <w:bottom w:val="single" w:sz="4" w:space="0" w:color="auto"/>
              <w:right w:val="nil"/>
            </w:tcBorders>
            <w:shd w:val="clear" w:color="auto" w:fill="auto"/>
            <w:noWrap/>
            <w:vAlign w:val="center"/>
            <w:hideMark/>
          </w:tcPr>
          <w:p w14:paraId="62225A0A" w14:textId="77777777" w:rsidR="002926AF" w:rsidRPr="007E7835" w:rsidRDefault="002926AF" w:rsidP="002926AF">
            <w:pPr>
              <w:pBdr>
                <w:top w:val="none" w:sz="0" w:space="0" w:color="auto"/>
                <w:left w:val="none" w:sz="0" w:space="0" w:color="auto"/>
                <w:bottom w:val="none" w:sz="0" w:space="0" w:color="auto"/>
                <w:right w:val="none" w:sz="0" w:space="0" w:color="auto"/>
                <w:between w:val="none" w:sz="0" w:space="0" w:color="auto"/>
                <w:bar w:val="none" w:sz="0" w:color="auto"/>
              </w:pBdr>
              <w:outlineLvl w:val="9"/>
              <w:rPr>
                <w:rFonts w:eastAsia="Times New Roman"/>
                <w:b/>
                <w:bCs/>
                <w:sz w:val="16"/>
                <w:szCs w:val="16"/>
                <w:bdr w:val="none" w:sz="0" w:space="0" w:color="auto"/>
                <w:lang w:eastAsia="es-ES"/>
              </w:rPr>
            </w:pPr>
            <w:r w:rsidRPr="007E7835">
              <w:rPr>
                <w:rFonts w:eastAsia="Times New Roman"/>
                <w:b/>
                <w:bCs/>
                <w:sz w:val="16"/>
                <w:szCs w:val="16"/>
                <w:bdr w:val="none" w:sz="0" w:space="0" w:color="auto"/>
                <w:lang w:eastAsia="es-ES"/>
              </w:rPr>
              <w:t> </w:t>
            </w:r>
          </w:p>
        </w:tc>
        <w:tc>
          <w:tcPr>
            <w:tcW w:w="697" w:type="pct"/>
            <w:tcBorders>
              <w:top w:val="single" w:sz="4" w:space="0" w:color="auto"/>
              <w:left w:val="nil"/>
              <w:bottom w:val="single" w:sz="4" w:space="0" w:color="auto"/>
              <w:right w:val="nil"/>
            </w:tcBorders>
            <w:shd w:val="clear" w:color="auto" w:fill="auto"/>
            <w:vAlign w:val="bottom"/>
            <w:hideMark/>
          </w:tcPr>
          <w:p w14:paraId="5AE51044" w14:textId="31BC77A1" w:rsidR="002926AF" w:rsidRPr="007E7835" w:rsidRDefault="002926AF" w:rsidP="002926AF">
            <w:pPr>
              <w:pBdr>
                <w:top w:val="none" w:sz="0" w:space="0" w:color="auto"/>
                <w:left w:val="none" w:sz="0" w:space="0" w:color="auto"/>
                <w:bottom w:val="none" w:sz="0" w:space="0" w:color="auto"/>
                <w:right w:val="none" w:sz="0" w:space="0" w:color="auto"/>
                <w:between w:val="none" w:sz="0" w:space="0" w:color="auto"/>
                <w:bar w:val="none" w:sz="0" w:color="auto"/>
              </w:pBdr>
              <w:jc w:val="center"/>
              <w:outlineLvl w:val="9"/>
              <w:rPr>
                <w:rFonts w:eastAsia="Times New Roman"/>
                <w:b/>
                <w:bCs/>
                <w:sz w:val="16"/>
                <w:szCs w:val="16"/>
                <w:bdr w:val="none" w:sz="0" w:space="0" w:color="auto"/>
                <w:lang w:eastAsia="es-ES"/>
              </w:rPr>
            </w:pPr>
            <w:r w:rsidRPr="007E7835">
              <w:rPr>
                <w:rFonts w:eastAsia="Times New Roman"/>
                <w:b/>
                <w:bCs/>
                <w:sz w:val="16"/>
                <w:szCs w:val="16"/>
                <w:bdr w:val="none" w:sz="0" w:space="0" w:color="auto"/>
                <w:lang w:eastAsia="es-ES"/>
              </w:rPr>
              <w:t>Saldo al 31/12/202</w:t>
            </w:r>
            <w:r w:rsidR="00234252">
              <w:rPr>
                <w:rFonts w:eastAsia="Times New Roman"/>
                <w:b/>
                <w:bCs/>
                <w:sz w:val="16"/>
                <w:szCs w:val="16"/>
                <w:bdr w:val="none" w:sz="0" w:space="0" w:color="auto"/>
                <w:lang w:eastAsia="es-ES"/>
              </w:rPr>
              <w:t>3</w:t>
            </w:r>
          </w:p>
        </w:tc>
        <w:tc>
          <w:tcPr>
            <w:tcW w:w="697" w:type="pct"/>
            <w:tcBorders>
              <w:top w:val="single" w:sz="4" w:space="0" w:color="auto"/>
              <w:left w:val="nil"/>
              <w:bottom w:val="single" w:sz="4" w:space="0" w:color="auto"/>
              <w:right w:val="nil"/>
            </w:tcBorders>
            <w:shd w:val="clear" w:color="auto" w:fill="auto"/>
            <w:vAlign w:val="bottom"/>
            <w:hideMark/>
          </w:tcPr>
          <w:p w14:paraId="20ADEA5B" w14:textId="77777777" w:rsidR="002926AF" w:rsidRPr="007E7835" w:rsidRDefault="002926AF" w:rsidP="002926AF">
            <w:pPr>
              <w:pBdr>
                <w:top w:val="none" w:sz="0" w:space="0" w:color="auto"/>
                <w:left w:val="none" w:sz="0" w:space="0" w:color="auto"/>
                <w:bottom w:val="none" w:sz="0" w:space="0" w:color="auto"/>
                <w:right w:val="none" w:sz="0" w:space="0" w:color="auto"/>
                <w:between w:val="none" w:sz="0" w:space="0" w:color="auto"/>
                <w:bar w:val="none" w:sz="0" w:color="auto"/>
              </w:pBdr>
              <w:jc w:val="center"/>
              <w:outlineLvl w:val="9"/>
              <w:rPr>
                <w:rFonts w:eastAsia="Times New Roman"/>
                <w:b/>
                <w:bCs/>
                <w:sz w:val="16"/>
                <w:szCs w:val="16"/>
                <w:bdr w:val="none" w:sz="0" w:space="0" w:color="auto"/>
                <w:lang w:eastAsia="es-ES"/>
              </w:rPr>
            </w:pPr>
            <w:r w:rsidRPr="007E7835">
              <w:rPr>
                <w:rFonts w:eastAsia="Times New Roman"/>
                <w:b/>
                <w:bCs/>
                <w:sz w:val="16"/>
                <w:szCs w:val="16"/>
                <w:bdr w:val="none" w:sz="0" w:space="0" w:color="auto"/>
                <w:lang w:eastAsia="es-ES"/>
              </w:rPr>
              <w:t>Altas</w:t>
            </w:r>
          </w:p>
        </w:tc>
        <w:tc>
          <w:tcPr>
            <w:tcW w:w="697" w:type="pct"/>
            <w:tcBorders>
              <w:top w:val="single" w:sz="4" w:space="0" w:color="auto"/>
              <w:left w:val="nil"/>
              <w:bottom w:val="single" w:sz="4" w:space="0" w:color="auto"/>
              <w:right w:val="nil"/>
            </w:tcBorders>
            <w:shd w:val="clear" w:color="auto" w:fill="auto"/>
            <w:vAlign w:val="bottom"/>
            <w:hideMark/>
          </w:tcPr>
          <w:p w14:paraId="4B045CE1" w14:textId="6C41F26C" w:rsidR="002926AF" w:rsidRPr="007E7835" w:rsidRDefault="00104A40" w:rsidP="002926AF">
            <w:pPr>
              <w:pBdr>
                <w:top w:val="none" w:sz="0" w:space="0" w:color="auto"/>
                <w:left w:val="none" w:sz="0" w:space="0" w:color="auto"/>
                <w:bottom w:val="none" w:sz="0" w:space="0" w:color="auto"/>
                <w:right w:val="none" w:sz="0" w:space="0" w:color="auto"/>
                <w:between w:val="none" w:sz="0" w:space="0" w:color="auto"/>
                <w:bar w:val="none" w:sz="0" w:color="auto"/>
              </w:pBdr>
              <w:jc w:val="center"/>
              <w:outlineLvl w:val="9"/>
              <w:rPr>
                <w:rFonts w:eastAsia="Times New Roman"/>
                <w:b/>
                <w:bCs/>
                <w:sz w:val="16"/>
                <w:szCs w:val="16"/>
                <w:bdr w:val="none" w:sz="0" w:space="0" w:color="auto"/>
                <w:lang w:eastAsia="es-ES"/>
              </w:rPr>
            </w:pPr>
            <w:r>
              <w:rPr>
                <w:rFonts w:eastAsia="Times New Roman"/>
                <w:b/>
                <w:bCs/>
                <w:sz w:val="16"/>
                <w:szCs w:val="16"/>
                <w:bdr w:val="none" w:sz="0" w:space="0" w:color="auto"/>
                <w:lang w:eastAsia="es-ES"/>
              </w:rPr>
              <w:t>Bajas</w:t>
            </w:r>
          </w:p>
        </w:tc>
        <w:tc>
          <w:tcPr>
            <w:tcW w:w="697" w:type="pct"/>
            <w:tcBorders>
              <w:top w:val="single" w:sz="4" w:space="0" w:color="auto"/>
              <w:left w:val="nil"/>
              <w:bottom w:val="single" w:sz="4" w:space="0" w:color="auto"/>
              <w:right w:val="nil"/>
            </w:tcBorders>
            <w:shd w:val="clear" w:color="auto" w:fill="auto"/>
            <w:vAlign w:val="bottom"/>
          </w:tcPr>
          <w:p w14:paraId="016C09F2" w14:textId="22FC376D" w:rsidR="002926AF" w:rsidRPr="007E7835" w:rsidRDefault="00234252" w:rsidP="002926AF">
            <w:pPr>
              <w:pBdr>
                <w:top w:val="none" w:sz="0" w:space="0" w:color="auto"/>
                <w:left w:val="none" w:sz="0" w:space="0" w:color="auto"/>
                <w:bottom w:val="none" w:sz="0" w:space="0" w:color="auto"/>
                <w:right w:val="none" w:sz="0" w:space="0" w:color="auto"/>
                <w:between w:val="none" w:sz="0" w:space="0" w:color="auto"/>
                <w:bar w:val="none" w:sz="0" w:color="auto"/>
              </w:pBdr>
              <w:jc w:val="center"/>
              <w:outlineLvl w:val="9"/>
              <w:rPr>
                <w:rFonts w:eastAsia="Times New Roman"/>
                <w:b/>
                <w:bCs/>
                <w:sz w:val="16"/>
                <w:szCs w:val="16"/>
                <w:bdr w:val="none" w:sz="0" w:space="0" w:color="auto"/>
                <w:lang w:eastAsia="es-ES"/>
              </w:rPr>
            </w:pPr>
            <w:r w:rsidRPr="00234252">
              <w:rPr>
                <w:rFonts w:eastAsia="Times New Roman"/>
                <w:b/>
                <w:bCs/>
                <w:sz w:val="16"/>
                <w:szCs w:val="16"/>
                <w:bdr w:val="none" w:sz="0" w:space="0" w:color="auto"/>
                <w:lang w:eastAsia="es-ES"/>
              </w:rPr>
              <w:t>Saldo al 31/12/202</w:t>
            </w:r>
            <w:r>
              <w:rPr>
                <w:rFonts w:eastAsia="Times New Roman"/>
                <w:b/>
                <w:bCs/>
                <w:sz w:val="16"/>
                <w:szCs w:val="16"/>
                <w:bdr w:val="none" w:sz="0" w:space="0" w:color="auto"/>
                <w:lang w:eastAsia="es-ES"/>
              </w:rPr>
              <w:t>4</w:t>
            </w:r>
          </w:p>
        </w:tc>
      </w:tr>
      <w:tr w:rsidR="002926AF" w:rsidRPr="007E7835" w14:paraId="653E6619" w14:textId="77777777" w:rsidTr="00B1370C">
        <w:trPr>
          <w:trHeight w:val="274"/>
        </w:trPr>
        <w:tc>
          <w:tcPr>
            <w:tcW w:w="2212" w:type="pct"/>
            <w:tcBorders>
              <w:top w:val="nil"/>
              <w:left w:val="nil"/>
              <w:bottom w:val="nil"/>
              <w:right w:val="nil"/>
            </w:tcBorders>
            <w:shd w:val="clear" w:color="auto" w:fill="auto"/>
            <w:noWrap/>
            <w:vAlign w:val="center"/>
            <w:hideMark/>
          </w:tcPr>
          <w:p w14:paraId="56A32A09" w14:textId="77777777" w:rsidR="002926AF" w:rsidRPr="007E7835" w:rsidRDefault="002926AF" w:rsidP="002926AF">
            <w:pPr>
              <w:pBdr>
                <w:top w:val="none" w:sz="0" w:space="0" w:color="auto"/>
                <w:left w:val="none" w:sz="0" w:space="0" w:color="auto"/>
                <w:bottom w:val="none" w:sz="0" w:space="0" w:color="auto"/>
                <w:right w:val="none" w:sz="0" w:space="0" w:color="auto"/>
                <w:between w:val="none" w:sz="0" w:space="0" w:color="auto"/>
                <w:bar w:val="none" w:sz="0" w:color="auto"/>
              </w:pBdr>
              <w:outlineLvl w:val="9"/>
              <w:rPr>
                <w:rFonts w:eastAsia="Times New Roman"/>
                <w:b/>
                <w:bCs/>
                <w:sz w:val="16"/>
                <w:szCs w:val="16"/>
                <w:bdr w:val="none" w:sz="0" w:space="0" w:color="auto"/>
                <w:lang w:eastAsia="es-ES"/>
              </w:rPr>
            </w:pPr>
            <w:r w:rsidRPr="007E7835">
              <w:rPr>
                <w:rFonts w:eastAsia="Times New Roman"/>
                <w:b/>
                <w:bCs/>
                <w:sz w:val="16"/>
                <w:szCs w:val="16"/>
                <w:bdr w:val="none" w:sz="0" w:space="0" w:color="auto"/>
                <w:lang w:eastAsia="es-ES"/>
              </w:rPr>
              <w:t>Coste</w:t>
            </w:r>
          </w:p>
        </w:tc>
        <w:tc>
          <w:tcPr>
            <w:tcW w:w="697" w:type="pct"/>
            <w:tcBorders>
              <w:top w:val="nil"/>
              <w:left w:val="nil"/>
              <w:bottom w:val="nil"/>
              <w:right w:val="nil"/>
            </w:tcBorders>
            <w:shd w:val="clear" w:color="auto" w:fill="auto"/>
            <w:vAlign w:val="center"/>
            <w:hideMark/>
          </w:tcPr>
          <w:p w14:paraId="4C908C73" w14:textId="77777777" w:rsidR="002926AF" w:rsidRPr="007E7835" w:rsidRDefault="002926AF" w:rsidP="002926AF">
            <w:pPr>
              <w:pBdr>
                <w:top w:val="none" w:sz="0" w:space="0" w:color="auto"/>
                <w:left w:val="none" w:sz="0" w:space="0" w:color="auto"/>
                <w:bottom w:val="none" w:sz="0" w:space="0" w:color="auto"/>
                <w:right w:val="none" w:sz="0" w:space="0" w:color="auto"/>
                <w:between w:val="none" w:sz="0" w:space="0" w:color="auto"/>
                <w:bar w:val="none" w:sz="0" w:color="auto"/>
              </w:pBdr>
              <w:jc w:val="right"/>
              <w:outlineLvl w:val="9"/>
              <w:rPr>
                <w:rFonts w:eastAsia="Times New Roman"/>
                <w:b/>
                <w:bCs/>
                <w:sz w:val="16"/>
                <w:szCs w:val="16"/>
                <w:bdr w:val="none" w:sz="0" w:space="0" w:color="auto"/>
                <w:lang w:eastAsia="es-ES"/>
              </w:rPr>
            </w:pPr>
          </w:p>
        </w:tc>
        <w:tc>
          <w:tcPr>
            <w:tcW w:w="697" w:type="pct"/>
            <w:tcBorders>
              <w:top w:val="nil"/>
              <w:left w:val="nil"/>
              <w:bottom w:val="nil"/>
              <w:right w:val="nil"/>
            </w:tcBorders>
            <w:shd w:val="clear" w:color="auto" w:fill="auto"/>
            <w:vAlign w:val="center"/>
            <w:hideMark/>
          </w:tcPr>
          <w:p w14:paraId="6068EC98" w14:textId="77777777" w:rsidR="002926AF" w:rsidRPr="007E7835" w:rsidRDefault="002926AF" w:rsidP="002926AF">
            <w:pPr>
              <w:pBdr>
                <w:top w:val="none" w:sz="0" w:space="0" w:color="auto"/>
                <w:left w:val="none" w:sz="0" w:space="0" w:color="auto"/>
                <w:bottom w:val="none" w:sz="0" w:space="0" w:color="auto"/>
                <w:right w:val="none" w:sz="0" w:space="0" w:color="auto"/>
                <w:between w:val="none" w:sz="0" w:space="0" w:color="auto"/>
                <w:bar w:val="none" w:sz="0" w:color="auto"/>
              </w:pBdr>
              <w:jc w:val="right"/>
              <w:outlineLvl w:val="9"/>
              <w:rPr>
                <w:rFonts w:eastAsia="Times New Roman"/>
                <w:color w:val="auto"/>
                <w:sz w:val="16"/>
                <w:szCs w:val="16"/>
                <w:bdr w:val="none" w:sz="0" w:space="0" w:color="auto"/>
                <w:lang w:eastAsia="es-ES"/>
              </w:rPr>
            </w:pPr>
          </w:p>
        </w:tc>
        <w:tc>
          <w:tcPr>
            <w:tcW w:w="697" w:type="pct"/>
            <w:tcBorders>
              <w:top w:val="nil"/>
              <w:left w:val="nil"/>
              <w:bottom w:val="nil"/>
              <w:right w:val="nil"/>
            </w:tcBorders>
            <w:shd w:val="clear" w:color="auto" w:fill="auto"/>
            <w:vAlign w:val="center"/>
            <w:hideMark/>
          </w:tcPr>
          <w:p w14:paraId="344974BC" w14:textId="77777777" w:rsidR="002926AF" w:rsidRPr="007E7835" w:rsidRDefault="002926AF" w:rsidP="002926AF">
            <w:pPr>
              <w:pBdr>
                <w:top w:val="none" w:sz="0" w:space="0" w:color="auto"/>
                <w:left w:val="none" w:sz="0" w:space="0" w:color="auto"/>
                <w:bottom w:val="none" w:sz="0" w:space="0" w:color="auto"/>
                <w:right w:val="none" w:sz="0" w:space="0" w:color="auto"/>
                <w:between w:val="none" w:sz="0" w:space="0" w:color="auto"/>
                <w:bar w:val="none" w:sz="0" w:color="auto"/>
              </w:pBdr>
              <w:jc w:val="right"/>
              <w:outlineLvl w:val="9"/>
              <w:rPr>
                <w:rFonts w:eastAsia="Times New Roman"/>
                <w:color w:val="auto"/>
                <w:sz w:val="16"/>
                <w:szCs w:val="16"/>
                <w:bdr w:val="none" w:sz="0" w:space="0" w:color="auto"/>
                <w:lang w:eastAsia="es-ES"/>
              </w:rPr>
            </w:pPr>
          </w:p>
        </w:tc>
        <w:tc>
          <w:tcPr>
            <w:tcW w:w="697" w:type="pct"/>
            <w:tcBorders>
              <w:top w:val="nil"/>
              <w:left w:val="nil"/>
              <w:bottom w:val="nil"/>
              <w:right w:val="nil"/>
            </w:tcBorders>
            <w:shd w:val="clear" w:color="auto" w:fill="auto"/>
            <w:noWrap/>
            <w:vAlign w:val="center"/>
          </w:tcPr>
          <w:p w14:paraId="01103142" w14:textId="77777777" w:rsidR="002926AF" w:rsidRPr="007E7835" w:rsidRDefault="002926AF" w:rsidP="002926AF">
            <w:pPr>
              <w:pBdr>
                <w:top w:val="none" w:sz="0" w:space="0" w:color="auto"/>
                <w:left w:val="none" w:sz="0" w:space="0" w:color="auto"/>
                <w:bottom w:val="none" w:sz="0" w:space="0" w:color="auto"/>
                <w:right w:val="none" w:sz="0" w:space="0" w:color="auto"/>
                <w:between w:val="none" w:sz="0" w:space="0" w:color="auto"/>
                <w:bar w:val="none" w:sz="0" w:color="auto"/>
              </w:pBdr>
              <w:jc w:val="right"/>
              <w:outlineLvl w:val="9"/>
              <w:rPr>
                <w:rFonts w:eastAsia="Times New Roman"/>
                <w:color w:val="auto"/>
                <w:sz w:val="16"/>
                <w:szCs w:val="16"/>
                <w:bdr w:val="none" w:sz="0" w:space="0" w:color="auto"/>
                <w:lang w:eastAsia="es-ES"/>
              </w:rPr>
            </w:pPr>
          </w:p>
        </w:tc>
      </w:tr>
      <w:tr w:rsidR="00431141" w:rsidRPr="007E7835" w14:paraId="6AB6526D" w14:textId="77777777" w:rsidTr="00B1370C">
        <w:trPr>
          <w:trHeight w:val="283"/>
        </w:trPr>
        <w:tc>
          <w:tcPr>
            <w:tcW w:w="2212" w:type="pct"/>
            <w:tcBorders>
              <w:top w:val="nil"/>
              <w:left w:val="nil"/>
              <w:bottom w:val="nil"/>
              <w:right w:val="nil"/>
            </w:tcBorders>
            <w:shd w:val="clear" w:color="auto" w:fill="auto"/>
            <w:noWrap/>
            <w:vAlign w:val="center"/>
            <w:hideMark/>
          </w:tcPr>
          <w:p w14:paraId="25DFC4F8" w14:textId="77777777" w:rsidR="00431141" w:rsidRPr="007E7835" w:rsidRDefault="00431141" w:rsidP="00431141">
            <w:pPr>
              <w:pBdr>
                <w:top w:val="none" w:sz="0" w:space="0" w:color="auto"/>
                <w:left w:val="none" w:sz="0" w:space="0" w:color="auto"/>
                <w:bottom w:val="none" w:sz="0" w:space="0" w:color="auto"/>
                <w:right w:val="none" w:sz="0" w:space="0" w:color="auto"/>
                <w:between w:val="none" w:sz="0" w:space="0" w:color="auto"/>
                <w:bar w:val="none" w:sz="0" w:color="auto"/>
              </w:pBdr>
              <w:outlineLvl w:val="9"/>
              <w:rPr>
                <w:rFonts w:eastAsia="Times New Roman"/>
                <w:sz w:val="16"/>
                <w:szCs w:val="16"/>
                <w:bdr w:val="none" w:sz="0" w:space="0" w:color="auto"/>
                <w:lang w:eastAsia="es-ES"/>
              </w:rPr>
            </w:pPr>
            <w:r w:rsidRPr="007E7835">
              <w:rPr>
                <w:rFonts w:eastAsia="Times New Roman"/>
                <w:sz w:val="16"/>
                <w:szCs w:val="16"/>
                <w:bdr w:val="none" w:sz="0" w:space="0" w:color="auto"/>
                <w:lang w:eastAsia="es-ES"/>
              </w:rPr>
              <w:t>Concesiones, patentes, licencias, marcas y similares</w:t>
            </w:r>
          </w:p>
        </w:tc>
        <w:tc>
          <w:tcPr>
            <w:tcW w:w="697" w:type="pct"/>
            <w:tcBorders>
              <w:top w:val="nil"/>
              <w:left w:val="nil"/>
              <w:right w:val="nil"/>
            </w:tcBorders>
            <w:shd w:val="clear" w:color="auto" w:fill="auto"/>
            <w:noWrap/>
            <w:vAlign w:val="center"/>
            <w:hideMark/>
          </w:tcPr>
          <w:p w14:paraId="14943503" w14:textId="267C4C9E" w:rsidR="00431141" w:rsidRPr="00585227" w:rsidRDefault="00431141" w:rsidP="00431141">
            <w:pPr>
              <w:pBdr>
                <w:top w:val="none" w:sz="0" w:space="0" w:color="auto"/>
                <w:left w:val="none" w:sz="0" w:space="0" w:color="auto"/>
                <w:bottom w:val="none" w:sz="0" w:space="0" w:color="auto"/>
                <w:right w:val="none" w:sz="0" w:space="0" w:color="auto"/>
                <w:between w:val="none" w:sz="0" w:space="0" w:color="auto"/>
                <w:bar w:val="none" w:sz="0" w:color="auto"/>
              </w:pBdr>
              <w:jc w:val="right"/>
              <w:outlineLvl w:val="9"/>
              <w:rPr>
                <w:rFonts w:eastAsia="Times New Roman"/>
                <w:sz w:val="16"/>
                <w:szCs w:val="16"/>
                <w:bdr w:val="none" w:sz="0" w:space="0" w:color="auto"/>
                <w:lang w:eastAsia="es-ES"/>
              </w:rPr>
            </w:pPr>
            <w:r w:rsidRPr="00585227">
              <w:rPr>
                <w:rFonts w:eastAsia="Times New Roman"/>
                <w:sz w:val="16"/>
                <w:szCs w:val="16"/>
                <w:bdr w:val="none" w:sz="0" w:space="0" w:color="auto"/>
                <w:lang w:eastAsia="es-ES"/>
              </w:rPr>
              <w:t xml:space="preserve">5.742,87   </w:t>
            </w:r>
          </w:p>
        </w:tc>
        <w:tc>
          <w:tcPr>
            <w:tcW w:w="697" w:type="pct"/>
            <w:tcBorders>
              <w:top w:val="nil"/>
              <w:left w:val="nil"/>
              <w:right w:val="nil"/>
            </w:tcBorders>
            <w:shd w:val="clear" w:color="auto" w:fill="auto"/>
            <w:noWrap/>
            <w:vAlign w:val="center"/>
          </w:tcPr>
          <w:p w14:paraId="14C2828B" w14:textId="2ACB59EA" w:rsidR="00431141" w:rsidRPr="00585227" w:rsidRDefault="00431141" w:rsidP="00431141">
            <w:pPr>
              <w:pBdr>
                <w:top w:val="none" w:sz="0" w:space="0" w:color="auto"/>
                <w:left w:val="none" w:sz="0" w:space="0" w:color="auto"/>
                <w:bottom w:val="none" w:sz="0" w:space="0" w:color="auto"/>
                <w:right w:val="none" w:sz="0" w:space="0" w:color="auto"/>
                <w:between w:val="none" w:sz="0" w:space="0" w:color="auto"/>
                <w:bar w:val="none" w:sz="0" w:color="auto"/>
              </w:pBdr>
              <w:jc w:val="right"/>
              <w:outlineLvl w:val="9"/>
              <w:rPr>
                <w:rFonts w:eastAsia="Times New Roman"/>
                <w:sz w:val="16"/>
                <w:szCs w:val="16"/>
                <w:bdr w:val="none" w:sz="0" w:space="0" w:color="auto"/>
                <w:lang w:eastAsia="es-ES"/>
              </w:rPr>
            </w:pPr>
            <w:r>
              <w:rPr>
                <w:sz w:val="16"/>
                <w:szCs w:val="16"/>
              </w:rPr>
              <w:t xml:space="preserve"> -</w:t>
            </w:r>
          </w:p>
        </w:tc>
        <w:tc>
          <w:tcPr>
            <w:tcW w:w="697" w:type="pct"/>
            <w:tcBorders>
              <w:top w:val="nil"/>
              <w:left w:val="nil"/>
              <w:right w:val="nil"/>
            </w:tcBorders>
            <w:shd w:val="clear" w:color="auto" w:fill="auto"/>
            <w:noWrap/>
            <w:vAlign w:val="center"/>
          </w:tcPr>
          <w:p w14:paraId="0516C8CB" w14:textId="38DA8313" w:rsidR="00431141" w:rsidRPr="00585227" w:rsidRDefault="00431141" w:rsidP="00431141">
            <w:pPr>
              <w:pBdr>
                <w:top w:val="none" w:sz="0" w:space="0" w:color="auto"/>
                <w:left w:val="none" w:sz="0" w:space="0" w:color="auto"/>
                <w:bottom w:val="none" w:sz="0" w:space="0" w:color="auto"/>
                <w:right w:val="none" w:sz="0" w:space="0" w:color="auto"/>
                <w:between w:val="none" w:sz="0" w:space="0" w:color="auto"/>
                <w:bar w:val="none" w:sz="0" w:color="auto"/>
              </w:pBdr>
              <w:jc w:val="right"/>
              <w:outlineLvl w:val="9"/>
              <w:rPr>
                <w:rFonts w:eastAsia="Times New Roman"/>
                <w:sz w:val="16"/>
                <w:szCs w:val="16"/>
                <w:bdr w:val="none" w:sz="0" w:space="0" w:color="auto"/>
                <w:lang w:eastAsia="es-ES"/>
              </w:rPr>
            </w:pPr>
            <w:r>
              <w:rPr>
                <w:sz w:val="16"/>
                <w:szCs w:val="16"/>
              </w:rPr>
              <w:t xml:space="preserve"> -</w:t>
            </w:r>
          </w:p>
        </w:tc>
        <w:tc>
          <w:tcPr>
            <w:tcW w:w="697" w:type="pct"/>
            <w:tcBorders>
              <w:top w:val="nil"/>
              <w:left w:val="nil"/>
              <w:bottom w:val="nil"/>
              <w:right w:val="nil"/>
            </w:tcBorders>
            <w:shd w:val="clear" w:color="auto" w:fill="auto"/>
            <w:noWrap/>
            <w:vAlign w:val="center"/>
          </w:tcPr>
          <w:p w14:paraId="5621D35C" w14:textId="31E34758" w:rsidR="00431141" w:rsidRPr="00585227" w:rsidRDefault="00431141" w:rsidP="00431141">
            <w:pPr>
              <w:pBdr>
                <w:top w:val="none" w:sz="0" w:space="0" w:color="auto"/>
                <w:left w:val="none" w:sz="0" w:space="0" w:color="auto"/>
                <w:bottom w:val="none" w:sz="0" w:space="0" w:color="auto"/>
                <w:right w:val="none" w:sz="0" w:space="0" w:color="auto"/>
                <w:between w:val="none" w:sz="0" w:space="0" w:color="auto"/>
                <w:bar w:val="none" w:sz="0" w:color="auto"/>
              </w:pBdr>
              <w:jc w:val="right"/>
              <w:outlineLvl w:val="9"/>
              <w:rPr>
                <w:rFonts w:eastAsia="Times New Roman"/>
                <w:sz w:val="16"/>
                <w:szCs w:val="16"/>
                <w:bdr w:val="none" w:sz="0" w:space="0" w:color="auto"/>
                <w:lang w:eastAsia="es-ES"/>
              </w:rPr>
            </w:pPr>
            <w:r>
              <w:rPr>
                <w:sz w:val="16"/>
                <w:szCs w:val="16"/>
              </w:rPr>
              <w:t>5.742,87</w:t>
            </w:r>
          </w:p>
        </w:tc>
      </w:tr>
      <w:tr w:rsidR="00431141" w:rsidRPr="007E7835" w14:paraId="1B342A08" w14:textId="77777777" w:rsidTr="00B1370C">
        <w:trPr>
          <w:trHeight w:val="283"/>
        </w:trPr>
        <w:tc>
          <w:tcPr>
            <w:tcW w:w="2212" w:type="pct"/>
            <w:tcBorders>
              <w:top w:val="nil"/>
              <w:left w:val="nil"/>
              <w:right w:val="nil"/>
            </w:tcBorders>
            <w:shd w:val="clear" w:color="auto" w:fill="auto"/>
            <w:noWrap/>
            <w:vAlign w:val="center"/>
            <w:hideMark/>
          </w:tcPr>
          <w:p w14:paraId="6F850FEA" w14:textId="77777777" w:rsidR="00431141" w:rsidRPr="007E7835" w:rsidRDefault="00431141" w:rsidP="00431141">
            <w:pPr>
              <w:pBdr>
                <w:top w:val="none" w:sz="0" w:space="0" w:color="auto"/>
                <w:left w:val="none" w:sz="0" w:space="0" w:color="auto"/>
                <w:bottom w:val="none" w:sz="0" w:space="0" w:color="auto"/>
                <w:right w:val="none" w:sz="0" w:space="0" w:color="auto"/>
                <w:between w:val="none" w:sz="0" w:space="0" w:color="auto"/>
                <w:bar w:val="none" w:sz="0" w:color="auto"/>
              </w:pBdr>
              <w:outlineLvl w:val="9"/>
              <w:rPr>
                <w:rFonts w:eastAsia="Times New Roman"/>
                <w:sz w:val="16"/>
                <w:szCs w:val="16"/>
                <w:bdr w:val="none" w:sz="0" w:space="0" w:color="auto"/>
                <w:lang w:eastAsia="es-ES"/>
              </w:rPr>
            </w:pPr>
            <w:r w:rsidRPr="007E7835">
              <w:rPr>
                <w:rFonts w:eastAsia="Times New Roman"/>
                <w:sz w:val="16"/>
                <w:szCs w:val="16"/>
                <w:bdr w:val="none" w:sz="0" w:space="0" w:color="auto"/>
                <w:lang w:eastAsia="es-ES"/>
              </w:rPr>
              <w:t>Aplicaciones informáticas</w:t>
            </w:r>
          </w:p>
        </w:tc>
        <w:tc>
          <w:tcPr>
            <w:tcW w:w="697" w:type="pct"/>
            <w:tcBorders>
              <w:top w:val="nil"/>
              <w:left w:val="nil"/>
              <w:right w:val="nil"/>
            </w:tcBorders>
            <w:shd w:val="clear" w:color="auto" w:fill="auto"/>
            <w:noWrap/>
            <w:vAlign w:val="center"/>
            <w:hideMark/>
          </w:tcPr>
          <w:p w14:paraId="5EC0688F" w14:textId="12D97B2F" w:rsidR="00431141" w:rsidRPr="00585227" w:rsidRDefault="00431141" w:rsidP="00431141">
            <w:pPr>
              <w:pBdr>
                <w:top w:val="none" w:sz="0" w:space="0" w:color="auto"/>
                <w:left w:val="none" w:sz="0" w:space="0" w:color="auto"/>
                <w:bottom w:val="none" w:sz="0" w:space="0" w:color="auto"/>
                <w:right w:val="none" w:sz="0" w:space="0" w:color="auto"/>
                <w:between w:val="none" w:sz="0" w:space="0" w:color="auto"/>
                <w:bar w:val="none" w:sz="0" w:color="auto"/>
              </w:pBdr>
              <w:jc w:val="right"/>
              <w:outlineLvl w:val="9"/>
              <w:rPr>
                <w:rFonts w:eastAsia="Times New Roman"/>
                <w:sz w:val="16"/>
                <w:szCs w:val="16"/>
                <w:bdr w:val="none" w:sz="0" w:space="0" w:color="auto"/>
                <w:lang w:eastAsia="es-ES"/>
              </w:rPr>
            </w:pPr>
            <w:r w:rsidRPr="00585227">
              <w:rPr>
                <w:rFonts w:eastAsia="Times New Roman"/>
                <w:sz w:val="16"/>
                <w:szCs w:val="16"/>
                <w:bdr w:val="none" w:sz="0" w:space="0" w:color="auto"/>
                <w:lang w:eastAsia="es-ES"/>
              </w:rPr>
              <w:t xml:space="preserve">218.238,98   </w:t>
            </w:r>
          </w:p>
        </w:tc>
        <w:tc>
          <w:tcPr>
            <w:tcW w:w="697" w:type="pct"/>
            <w:tcBorders>
              <w:top w:val="nil"/>
              <w:left w:val="nil"/>
              <w:right w:val="nil"/>
            </w:tcBorders>
            <w:shd w:val="clear" w:color="auto" w:fill="auto"/>
            <w:noWrap/>
            <w:vAlign w:val="center"/>
          </w:tcPr>
          <w:p w14:paraId="16782D2A" w14:textId="40AF7C8D" w:rsidR="00431141" w:rsidRPr="00585227" w:rsidRDefault="00431141" w:rsidP="00431141">
            <w:pPr>
              <w:pBdr>
                <w:top w:val="none" w:sz="0" w:space="0" w:color="auto"/>
                <w:left w:val="none" w:sz="0" w:space="0" w:color="auto"/>
                <w:bottom w:val="none" w:sz="0" w:space="0" w:color="auto"/>
                <w:right w:val="none" w:sz="0" w:space="0" w:color="auto"/>
                <w:between w:val="none" w:sz="0" w:space="0" w:color="auto"/>
                <w:bar w:val="none" w:sz="0" w:color="auto"/>
              </w:pBdr>
              <w:jc w:val="right"/>
              <w:outlineLvl w:val="9"/>
              <w:rPr>
                <w:rFonts w:eastAsia="Times New Roman"/>
                <w:sz w:val="16"/>
                <w:szCs w:val="16"/>
                <w:bdr w:val="none" w:sz="0" w:space="0" w:color="auto"/>
                <w:lang w:eastAsia="es-ES"/>
              </w:rPr>
            </w:pPr>
            <w:r>
              <w:rPr>
                <w:sz w:val="16"/>
                <w:szCs w:val="16"/>
              </w:rPr>
              <w:t xml:space="preserve"> -</w:t>
            </w:r>
          </w:p>
        </w:tc>
        <w:tc>
          <w:tcPr>
            <w:tcW w:w="697" w:type="pct"/>
            <w:tcBorders>
              <w:top w:val="nil"/>
              <w:left w:val="nil"/>
              <w:right w:val="nil"/>
            </w:tcBorders>
            <w:shd w:val="clear" w:color="auto" w:fill="auto"/>
            <w:noWrap/>
            <w:vAlign w:val="center"/>
          </w:tcPr>
          <w:p w14:paraId="1B69575D" w14:textId="6036E8E0" w:rsidR="00431141" w:rsidRPr="00585227" w:rsidRDefault="00431141" w:rsidP="00431141">
            <w:pPr>
              <w:pBdr>
                <w:top w:val="none" w:sz="0" w:space="0" w:color="auto"/>
                <w:left w:val="none" w:sz="0" w:space="0" w:color="auto"/>
                <w:bottom w:val="none" w:sz="0" w:space="0" w:color="auto"/>
                <w:right w:val="none" w:sz="0" w:space="0" w:color="auto"/>
                <w:between w:val="none" w:sz="0" w:space="0" w:color="auto"/>
                <w:bar w:val="none" w:sz="0" w:color="auto"/>
              </w:pBdr>
              <w:jc w:val="right"/>
              <w:outlineLvl w:val="9"/>
              <w:rPr>
                <w:rFonts w:eastAsia="Times New Roman"/>
                <w:sz w:val="16"/>
                <w:szCs w:val="16"/>
                <w:bdr w:val="none" w:sz="0" w:space="0" w:color="auto"/>
                <w:lang w:eastAsia="es-ES"/>
              </w:rPr>
            </w:pPr>
            <w:r>
              <w:rPr>
                <w:sz w:val="16"/>
                <w:szCs w:val="16"/>
              </w:rPr>
              <w:t>(107.273,79)</w:t>
            </w:r>
          </w:p>
        </w:tc>
        <w:tc>
          <w:tcPr>
            <w:tcW w:w="697" w:type="pct"/>
            <w:tcBorders>
              <w:top w:val="nil"/>
              <w:left w:val="nil"/>
              <w:right w:val="nil"/>
            </w:tcBorders>
            <w:shd w:val="clear" w:color="auto" w:fill="auto"/>
            <w:noWrap/>
            <w:vAlign w:val="center"/>
          </w:tcPr>
          <w:p w14:paraId="3349399E" w14:textId="3590CECA" w:rsidR="00431141" w:rsidRPr="00585227" w:rsidRDefault="00431141" w:rsidP="00431141">
            <w:pPr>
              <w:pBdr>
                <w:top w:val="none" w:sz="0" w:space="0" w:color="auto"/>
                <w:left w:val="none" w:sz="0" w:space="0" w:color="auto"/>
                <w:bottom w:val="none" w:sz="0" w:space="0" w:color="auto"/>
                <w:right w:val="none" w:sz="0" w:space="0" w:color="auto"/>
                <w:between w:val="none" w:sz="0" w:space="0" w:color="auto"/>
                <w:bar w:val="none" w:sz="0" w:color="auto"/>
              </w:pBdr>
              <w:jc w:val="right"/>
              <w:outlineLvl w:val="9"/>
              <w:rPr>
                <w:rFonts w:eastAsia="Times New Roman"/>
                <w:sz w:val="16"/>
                <w:szCs w:val="16"/>
                <w:bdr w:val="none" w:sz="0" w:space="0" w:color="auto"/>
                <w:lang w:eastAsia="es-ES"/>
              </w:rPr>
            </w:pPr>
            <w:r>
              <w:rPr>
                <w:sz w:val="16"/>
                <w:szCs w:val="16"/>
              </w:rPr>
              <w:t>110.965,19</w:t>
            </w:r>
          </w:p>
        </w:tc>
      </w:tr>
      <w:tr w:rsidR="00431141" w:rsidRPr="007E7835" w14:paraId="4496D8A4" w14:textId="77777777" w:rsidTr="00B1370C">
        <w:trPr>
          <w:trHeight w:val="283"/>
        </w:trPr>
        <w:tc>
          <w:tcPr>
            <w:tcW w:w="2212" w:type="pct"/>
            <w:tcBorders>
              <w:top w:val="nil"/>
              <w:left w:val="nil"/>
              <w:right w:val="nil"/>
            </w:tcBorders>
            <w:shd w:val="clear" w:color="auto" w:fill="auto"/>
            <w:noWrap/>
            <w:vAlign w:val="center"/>
          </w:tcPr>
          <w:p w14:paraId="732B9EB9" w14:textId="6F1AF68B" w:rsidR="00431141" w:rsidRPr="007E7835" w:rsidRDefault="00431141" w:rsidP="00431141">
            <w:pPr>
              <w:pBdr>
                <w:top w:val="none" w:sz="0" w:space="0" w:color="auto"/>
                <w:left w:val="none" w:sz="0" w:space="0" w:color="auto"/>
                <w:bottom w:val="none" w:sz="0" w:space="0" w:color="auto"/>
                <w:right w:val="none" w:sz="0" w:space="0" w:color="auto"/>
                <w:between w:val="none" w:sz="0" w:space="0" w:color="auto"/>
                <w:bar w:val="none" w:sz="0" w:color="auto"/>
              </w:pBdr>
              <w:outlineLvl w:val="9"/>
              <w:rPr>
                <w:rFonts w:eastAsia="Times New Roman"/>
                <w:sz w:val="16"/>
                <w:szCs w:val="16"/>
                <w:bdr w:val="none" w:sz="0" w:space="0" w:color="auto"/>
                <w:lang w:eastAsia="es-ES"/>
              </w:rPr>
            </w:pPr>
            <w:r w:rsidRPr="00431141">
              <w:rPr>
                <w:rFonts w:eastAsia="Times New Roman"/>
                <w:sz w:val="16"/>
                <w:szCs w:val="16"/>
                <w:bdr w:val="none" w:sz="0" w:space="0" w:color="auto"/>
                <w:lang w:eastAsia="es-ES"/>
              </w:rPr>
              <w:t>Anticipos para inmovilizaciones intangibles</w:t>
            </w:r>
          </w:p>
        </w:tc>
        <w:tc>
          <w:tcPr>
            <w:tcW w:w="697" w:type="pct"/>
            <w:tcBorders>
              <w:top w:val="nil"/>
              <w:left w:val="nil"/>
              <w:bottom w:val="single" w:sz="4" w:space="0" w:color="auto"/>
              <w:right w:val="nil"/>
            </w:tcBorders>
            <w:shd w:val="clear" w:color="auto" w:fill="auto"/>
            <w:noWrap/>
            <w:vAlign w:val="center"/>
          </w:tcPr>
          <w:p w14:paraId="6B75137E" w14:textId="2E6244DA" w:rsidR="00431141" w:rsidRPr="00585227" w:rsidRDefault="00431141" w:rsidP="00431141">
            <w:pPr>
              <w:pBdr>
                <w:top w:val="none" w:sz="0" w:space="0" w:color="auto"/>
                <w:left w:val="none" w:sz="0" w:space="0" w:color="auto"/>
                <w:bottom w:val="none" w:sz="0" w:space="0" w:color="auto"/>
                <w:right w:val="none" w:sz="0" w:space="0" w:color="auto"/>
                <w:between w:val="none" w:sz="0" w:space="0" w:color="auto"/>
                <w:bar w:val="none" w:sz="0" w:color="auto"/>
              </w:pBdr>
              <w:jc w:val="right"/>
              <w:outlineLvl w:val="9"/>
              <w:rPr>
                <w:rFonts w:eastAsia="Times New Roman"/>
                <w:sz w:val="16"/>
                <w:szCs w:val="16"/>
                <w:bdr w:val="none" w:sz="0" w:space="0" w:color="auto"/>
                <w:lang w:eastAsia="es-ES"/>
              </w:rPr>
            </w:pPr>
            <w:r>
              <w:rPr>
                <w:rFonts w:eastAsia="Times New Roman"/>
                <w:sz w:val="16"/>
                <w:szCs w:val="16"/>
                <w:bdr w:val="none" w:sz="0" w:space="0" w:color="auto"/>
                <w:lang w:eastAsia="es-ES"/>
              </w:rPr>
              <w:t>-</w:t>
            </w:r>
          </w:p>
        </w:tc>
        <w:tc>
          <w:tcPr>
            <w:tcW w:w="697" w:type="pct"/>
            <w:tcBorders>
              <w:top w:val="nil"/>
              <w:left w:val="nil"/>
              <w:bottom w:val="single" w:sz="4" w:space="0" w:color="auto"/>
              <w:right w:val="nil"/>
            </w:tcBorders>
            <w:shd w:val="clear" w:color="auto" w:fill="auto"/>
            <w:noWrap/>
            <w:vAlign w:val="center"/>
          </w:tcPr>
          <w:p w14:paraId="0579C562" w14:textId="0F59E710" w:rsidR="00431141" w:rsidRDefault="00431141" w:rsidP="00431141">
            <w:pPr>
              <w:pBdr>
                <w:top w:val="none" w:sz="0" w:space="0" w:color="auto"/>
                <w:left w:val="none" w:sz="0" w:space="0" w:color="auto"/>
                <w:bottom w:val="none" w:sz="0" w:space="0" w:color="auto"/>
                <w:right w:val="none" w:sz="0" w:space="0" w:color="auto"/>
                <w:between w:val="none" w:sz="0" w:space="0" w:color="auto"/>
                <w:bar w:val="none" w:sz="0" w:color="auto"/>
              </w:pBdr>
              <w:jc w:val="right"/>
              <w:outlineLvl w:val="9"/>
              <w:rPr>
                <w:rFonts w:eastAsia="Times New Roman"/>
                <w:sz w:val="16"/>
                <w:szCs w:val="16"/>
                <w:bdr w:val="none" w:sz="0" w:space="0" w:color="auto"/>
                <w:lang w:eastAsia="es-ES"/>
              </w:rPr>
            </w:pPr>
            <w:r>
              <w:rPr>
                <w:sz w:val="16"/>
                <w:szCs w:val="16"/>
              </w:rPr>
              <w:t>208.282,66</w:t>
            </w:r>
          </w:p>
        </w:tc>
        <w:tc>
          <w:tcPr>
            <w:tcW w:w="697" w:type="pct"/>
            <w:tcBorders>
              <w:top w:val="nil"/>
              <w:left w:val="nil"/>
              <w:bottom w:val="single" w:sz="4" w:space="0" w:color="auto"/>
              <w:right w:val="nil"/>
            </w:tcBorders>
            <w:shd w:val="clear" w:color="auto" w:fill="auto"/>
            <w:noWrap/>
            <w:vAlign w:val="center"/>
          </w:tcPr>
          <w:p w14:paraId="2B95F6C7" w14:textId="070215D3" w:rsidR="00431141" w:rsidRDefault="00431141" w:rsidP="00431141">
            <w:pPr>
              <w:pBdr>
                <w:top w:val="none" w:sz="0" w:space="0" w:color="auto"/>
                <w:left w:val="none" w:sz="0" w:space="0" w:color="auto"/>
                <w:bottom w:val="none" w:sz="0" w:space="0" w:color="auto"/>
                <w:right w:val="none" w:sz="0" w:space="0" w:color="auto"/>
                <w:between w:val="none" w:sz="0" w:space="0" w:color="auto"/>
                <w:bar w:val="none" w:sz="0" w:color="auto"/>
              </w:pBdr>
              <w:jc w:val="right"/>
              <w:outlineLvl w:val="9"/>
              <w:rPr>
                <w:rFonts w:eastAsia="Times New Roman"/>
                <w:sz w:val="16"/>
                <w:szCs w:val="16"/>
                <w:bdr w:val="none" w:sz="0" w:space="0" w:color="auto"/>
                <w:lang w:eastAsia="es-ES"/>
              </w:rPr>
            </w:pPr>
            <w:r>
              <w:rPr>
                <w:sz w:val="16"/>
                <w:szCs w:val="16"/>
              </w:rPr>
              <w:t xml:space="preserve"> -</w:t>
            </w:r>
          </w:p>
        </w:tc>
        <w:tc>
          <w:tcPr>
            <w:tcW w:w="697" w:type="pct"/>
            <w:tcBorders>
              <w:top w:val="nil"/>
              <w:left w:val="nil"/>
              <w:bottom w:val="single" w:sz="4" w:space="0" w:color="auto"/>
              <w:right w:val="nil"/>
            </w:tcBorders>
            <w:shd w:val="clear" w:color="auto" w:fill="auto"/>
            <w:noWrap/>
            <w:vAlign w:val="center"/>
          </w:tcPr>
          <w:p w14:paraId="3328F048" w14:textId="760BFE4A" w:rsidR="00431141" w:rsidRPr="00585227" w:rsidRDefault="00431141" w:rsidP="00431141">
            <w:pPr>
              <w:pBdr>
                <w:top w:val="none" w:sz="0" w:space="0" w:color="auto"/>
                <w:left w:val="none" w:sz="0" w:space="0" w:color="auto"/>
                <w:bottom w:val="none" w:sz="0" w:space="0" w:color="auto"/>
                <w:right w:val="none" w:sz="0" w:space="0" w:color="auto"/>
                <w:between w:val="none" w:sz="0" w:space="0" w:color="auto"/>
                <w:bar w:val="none" w:sz="0" w:color="auto"/>
              </w:pBdr>
              <w:jc w:val="right"/>
              <w:outlineLvl w:val="9"/>
              <w:rPr>
                <w:rFonts w:eastAsia="Times New Roman"/>
                <w:sz w:val="16"/>
                <w:szCs w:val="16"/>
                <w:bdr w:val="none" w:sz="0" w:space="0" w:color="auto"/>
                <w:lang w:eastAsia="es-ES"/>
              </w:rPr>
            </w:pPr>
            <w:r>
              <w:rPr>
                <w:sz w:val="16"/>
                <w:szCs w:val="16"/>
              </w:rPr>
              <w:t>208.282,66</w:t>
            </w:r>
          </w:p>
        </w:tc>
      </w:tr>
      <w:tr w:rsidR="00431141" w:rsidRPr="007E7835" w14:paraId="57DD14BE" w14:textId="77777777" w:rsidTr="00B1370C">
        <w:trPr>
          <w:trHeight w:val="283"/>
        </w:trPr>
        <w:tc>
          <w:tcPr>
            <w:tcW w:w="2212" w:type="pct"/>
            <w:tcBorders>
              <w:left w:val="nil"/>
              <w:bottom w:val="nil"/>
              <w:right w:val="nil"/>
            </w:tcBorders>
            <w:shd w:val="clear" w:color="auto" w:fill="auto"/>
            <w:noWrap/>
            <w:vAlign w:val="center"/>
            <w:hideMark/>
          </w:tcPr>
          <w:p w14:paraId="3B3D4142" w14:textId="77777777" w:rsidR="00431141" w:rsidRPr="007E7835" w:rsidRDefault="00431141" w:rsidP="00431141">
            <w:pPr>
              <w:pBdr>
                <w:top w:val="none" w:sz="0" w:space="0" w:color="auto"/>
                <w:left w:val="none" w:sz="0" w:space="0" w:color="auto"/>
                <w:bottom w:val="none" w:sz="0" w:space="0" w:color="auto"/>
                <w:right w:val="none" w:sz="0" w:space="0" w:color="auto"/>
                <w:between w:val="none" w:sz="0" w:space="0" w:color="auto"/>
                <w:bar w:val="none" w:sz="0" w:color="auto"/>
              </w:pBdr>
              <w:outlineLvl w:val="9"/>
              <w:rPr>
                <w:rFonts w:eastAsia="Times New Roman"/>
                <w:sz w:val="16"/>
                <w:szCs w:val="16"/>
                <w:bdr w:val="none" w:sz="0" w:space="0" w:color="auto"/>
                <w:lang w:eastAsia="es-ES"/>
              </w:rPr>
            </w:pPr>
          </w:p>
        </w:tc>
        <w:tc>
          <w:tcPr>
            <w:tcW w:w="697" w:type="pct"/>
            <w:tcBorders>
              <w:top w:val="single" w:sz="4" w:space="0" w:color="auto"/>
              <w:left w:val="nil"/>
              <w:bottom w:val="single" w:sz="4" w:space="0" w:color="auto"/>
              <w:right w:val="nil"/>
            </w:tcBorders>
            <w:shd w:val="clear" w:color="auto" w:fill="auto"/>
            <w:noWrap/>
            <w:vAlign w:val="center"/>
            <w:hideMark/>
          </w:tcPr>
          <w:p w14:paraId="37FD5E57" w14:textId="7F8A2D8B" w:rsidR="00431141" w:rsidRPr="00585227" w:rsidRDefault="00431141" w:rsidP="00431141">
            <w:pPr>
              <w:pBdr>
                <w:top w:val="none" w:sz="0" w:space="0" w:color="auto"/>
                <w:left w:val="none" w:sz="0" w:space="0" w:color="auto"/>
                <w:bottom w:val="none" w:sz="0" w:space="0" w:color="auto"/>
                <w:right w:val="none" w:sz="0" w:space="0" w:color="auto"/>
                <w:between w:val="none" w:sz="0" w:space="0" w:color="auto"/>
                <w:bar w:val="none" w:sz="0" w:color="auto"/>
              </w:pBdr>
              <w:jc w:val="right"/>
              <w:outlineLvl w:val="9"/>
              <w:rPr>
                <w:rFonts w:eastAsia="Times New Roman"/>
                <w:b/>
                <w:bCs/>
                <w:sz w:val="16"/>
                <w:szCs w:val="16"/>
                <w:bdr w:val="none" w:sz="0" w:space="0" w:color="auto"/>
                <w:lang w:eastAsia="es-ES"/>
              </w:rPr>
            </w:pPr>
            <w:r w:rsidRPr="00585227">
              <w:rPr>
                <w:rFonts w:eastAsia="Times New Roman"/>
                <w:b/>
                <w:bCs/>
                <w:sz w:val="16"/>
                <w:szCs w:val="16"/>
                <w:bdr w:val="none" w:sz="0" w:space="0" w:color="auto"/>
                <w:lang w:eastAsia="es-ES"/>
              </w:rPr>
              <w:t xml:space="preserve">223.981,85   </w:t>
            </w:r>
          </w:p>
        </w:tc>
        <w:tc>
          <w:tcPr>
            <w:tcW w:w="697" w:type="pct"/>
            <w:tcBorders>
              <w:top w:val="single" w:sz="4" w:space="0" w:color="auto"/>
              <w:left w:val="nil"/>
              <w:bottom w:val="single" w:sz="4" w:space="0" w:color="auto"/>
              <w:right w:val="nil"/>
            </w:tcBorders>
            <w:shd w:val="clear" w:color="auto" w:fill="auto"/>
            <w:noWrap/>
            <w:vAlign w:val="center"/>
          </w:tcPr>
          <w:p w14:paraId="0E18EF86" w14:textId="11507092" w:rsidR="00431141" w:rsidRPr="00585227" w:rsidRDefault="00431141" w:rsidP="00431141">
            <w:pPr>
              <w:pBdr>
                <w:top w:val="none" w:sz="0" w:space="0" w:color="auto"/>
                <w:left w:val="none" w:sz="0" w:space="0" w:color="auto"/>
                <w:bottom w:val="none" w:sz="0" w:space="0" w:color="auto"/>
                <w:right w:val="none" w:sz="0" w:space="0" w:color="auto"/>
                <w:between w:val="none" w:sz="0" w:space="0" w:color="auto"/>
                <w:bar w:val="none" w:sz="0" w:color="auto"/>
              </w:pBdr>
              <w:jc w:val="right"/>
              <w:outlineLvl w:val="9"/>
              <w:rPr>
                <w:rFonts w:eastAsia="Times New Roman"/>
                <w:b/>
                <w:bCs/>
                <w:sz w:val="16"/>
                <w:szCs w:val="16"/>
                <w:bdr w:val="none" w:sz="0" w:space="0" w:color="auto"/>
                <w:lang w:eastAsia="es-ES"/>
              </w:rPr>
            </w:pPr>
            <w:r>
              <w:rPr>
                <w:b/>
                <w:bCs/>
                <w:sz w:val="16"/>
                <w:szCs w:val="16"/>
              </w:rPr>
              <w:t>208.282,66</w:t>
            </w:r>
          </w:p>
        </w:tc>
        <w:tc>
          <w:tcPr>
            <w:tcW w:w="697" w:type="pct"/>
            <w:tcBorders>
              <w:top w:val="single" w:sz="4" w:space="0" w:color="auto"/>
              <w:left w:val="nil"/>
              <w:bottom w:val="single" w:sz="4" w:space="0" w:color="auto"/>
              <w:right w:val="nil"/>
            </w:tcBorders>
            <w:shd w:val="clear" w:color="auto" w:fill="auto"/>
            <w:noWrap/>
            <w:vAlign w:val="center"/>
          </w:tcPr>
          <w:p w14:paraId="6DA998D5" w14:textId="256BD783" w:rsidR="00431141" w:rsidRPr="00585227" w:rsidRDefault="00431141" w:rsidP="00431141">
            <w:pPr>
              <w:pBdr>
                <w:top w:val="none" w:sz="0" w:space="0" w:color="auto"/>
                <w:left w:val="none" w:sz="0" w:space="0" w:color="auto"/>
                <w:bottom w:val="none" w:sz="0" w:space="0" w:color="auto"/>
                <w:right w:val="none" w:sz="0" w:space="0" w:color="auto"/>
                <w:between w:val="none" w:sz="0" w:space="0" w:color="auto"/>
                <w:bar w:val="none" w:sz="0" w:color="auto"/>
              </w:pBdr>
              <w:jc w:val="right"/>
              <w:outlineLvl w:val="9"/>
              <w:rPr>
                <w:rFonts w:eastAsia="Times New Roman"/>
                <w:b/>
                <w:bCs/>
                <w:sz w:val="16"/>
                <w:szCs w:val="16"/>
                <w:bdr w:val="none" w:sz="0" w:space="0" w:color="auto"/>
                <w:lang w:eastAsia="es-ES"/>
              </w:rPr>
            </w:pPr>
            <w:r>
              <w:rPr>
                <w:b/>
                <w:bCs/>
                <w:sz w:val="16"/>
                <w:szCs w:val="16"/>
              </w:rPr>
              <w:t>(107.273,79)</w:t>
            </w:r>
          </w:p>
        </w:tc>
        <w:tc>
          <w:tcPr>
            <w:tcW w:w="697" w:type="pct"/>
            <w:tcBorders>
              <w:top w:val="single" w:sz="4" w:space="0" w:color="auto"/>
              <w:left w:val="nil"/>
              <w:bottom w:val="single" w:sz="4" w:space="0" w:color="auto"/>
              <w:right w:val="nil"/>
            </w:tcBorders>
            <w:shd w:val="clear" w:color="auto" w:fill="auto"/>
            <w:noWrap/>
            <w:vAlign w:val="center"/>
          </w:tcPr>
          <w:p w14:paraId="1E590337" w14:textId="353787D2" w:rsidR="00431141" w:rsidRPr="00585227" w:rsidRDefault="00431141" w:rsidP="00431141">
            <w:pPr>
              <w:pBdr>
                <w:top w:val="none" w:sz="0" w:space="0" w:color="auto"/>
                <w:left w:val="none" w:sz="0" w:space="0" w:color="auto"/>
                <w:bottom w:val="none" w:sz="0" w:space="0" w:color="auto"/>
                <w:right w:val="none" w:sz="0" w:space="0" w:color="auto"/>
                <w:between w:val="none" w:sz="0" w:space="0" w:color="auto"/>
                <w:bar w:val="none" w:sz="0" w:color="auto"/>
              </w:pBdr>
              <w:jc w:val="right"/>
              <w:outlineLvl w:val="9"/>
              <w:rPr>
                <w:rFonts w:eastAsia="Times New Roman"/>
                <w:b/>
                <w:bCs/>
                <w:sz w:val="16"/>
                <w:szCs w:val="16"/>
                <w:bdr w:val="none" w:sz="0" w:space="0" w:color="auto"/>
                <w:lang w:eastAsia="es-ES"/>
              </w:rPr>
            </w:pPr>
            <w:r>
              <w:rPr>
                <w:b/>
                <w:bCs/>
                <w:sz w:val="16"/>
                <w:szCs w:val="16"/>
              </w:rPr>
              <w:t>324.990,72</w:t>
            </w:r>
          </w:p>
        </w:tc>
      </w:tr>
      <w:tr w:rsidR="00234252" w:rsidRPr="007E7835" w14:paraId="515C0500" w14:textId="77777777" w:rsidTr="00B1370C">
        <w:trPr>
          <w:trHeight w:val="138"/>
        </w:trPr>
        <w:tc>
          <w:tcPr>
            <w:tcW w:w="2212" w:type="pct"/>
            <w:tcBorders>
              <w:top w:val="nil"/>
              <w:left w:val="nil"/>
              <w:bottom w:val="nil"/>
              <w:right w:val="nil"/>
            </w:tcBorders>
            <w:shd w:val="clear" w:color="auto" w:fill="auto"/>
            <w:noWrap/>
            <w:vAlign w:val="center"/>
            <w:hideMark/>
          </w:tcPr>
          <w:p w14:paraId="5771ACF7" w14:textId="77777777" w:rsidR="00234252" w:rsidRPr="007E7835" w:rsidRDefault="00234252" w:rsidP="00234252">
            <w:pPr>
              <w:pBdr>
                <w:top w:val="none" w:sz="0" w:space="0" w:color="auto"/>
                <w:left w:val="none" w:sz="0" w:space="0" w:color="auto"/>
                <w:bottom w:val="none" w:sz="0" w:space="0" w:color="auto"/>
                <w:right w:val="none" w:sz="0" w:space="0" w:color="auto"/>
                <w:between w:val="none" w:sz="0" w:space="0" w:color="auto"/>
                <w:bar w:val="none" w:sz="0" w:color="auto"/>
              </w:pBdr>
              <w:outlineLvl w:val="9"/>
              <w:rPr>
                <w:rFonts w:eastAsia="Times New Roman"/>
                <w:b/>
                <w:bCs/>
                <w:sz w:val="16"/>
                <w:szCs w:val="16"/>
                <w:bdr w:val="none" w:sz="0" w:space="0" w:color="auto"/>
                <w:lang w:eastAsia="es-ES"/>
              </w:rPr>
            </w:pPr>
            <w:r w:rsidRPr="007E7835">
              <w:rPr>
                <w:rFonts w:eastAsia="Times New Roman"/>
                <w:b/>
                <w:bCs/>
                <w:sz w:val="16"/>
                <w:szCs w:val="16"/>
                <w:bdr w:val="none" w:sz="0" w:space="0" w:color="auto"/>
                <w:lang w:eastAsia="es-ES"/>
              </w:rPr>
              <w:t>Amortización</w:t>
            </w:r>
          </w:p>
        </w:tc>
        <w:tc>
          <w:tcPr>
            <w:tcW w:w="697" w:type="pct"/>
            <w:tcBorders>
              <w:top w:val="nil"/>
              <w:left w:val="nil"/>
              <w:bottom w:val="nil"/>
              <w:right w:val="nil"/>
            </w:tcBorders>
            <w:shd w:val="clear" w:color="auto" w:fill="auto"/>
            <w:noWrap/>
            <w:vAlign w:val="center"/>
            <w:hideMark/>
          </w:tcPr>
          <w:p w14:paraId="3F0567CE" w14:textId="77777777" w:rsidR="00234252" w:rsidRPr="00585227" w:rsidRDefault="00234252" w:rsidP="00234252">
            <w:pPr>
              <w:pBdr>
                <w:top w:val="none" w:sz="0" w:space="0" w:color="auto"/>
                <w:left w:val="none" w:sz="0" w:space="0" w:color="auto"/>
                <w:bottom w:val="none" w:sz="0" w:space="0" w:color="auto"/>
                <w:right w:val="none" w:sz="0" w:space="0" w:color="auto"/>
                <w:between w:val="none" w:sz="0" w:space="0" w:color="auto"/>
                <w:bar w:val="none" w:sz="0" w:color="auto"/>
              </w:pBdr>
              <w:jc w:val="right"/>
              <w:outlineLvl w:val="9"/>
              <w:rPr>
                <w:rFonts w:eastAsia="Times New Roman"/>
                <w:b/>
                <w:bCs/>
                <w:sz w:val="16"/>
                <w:szCs w:val="16"/>
                <w:bdr w:val="none" w:sz="0" w:space="0" w:color="auto"/>
                <w:lang w:eastAsia="es-ES"/>
              </w:rPr>
            </w:pPr>
          </w:p>
        </w:tc>
        <w:tc>
          <w:tcPr>
            <w:tcW w:w="697" w:type="pct"/>
            <w:tcBorders>
              <w:top w:val="nil"/>
              <w:left w:val="nil"/>
              <w:bottom w:val="nil"/>
              <w:right w:val="nil"/>
            </w:tcBorders>
            <w:shd w:val="clear" w:color="auto" w:fill="auto"/>
            <w:noWrap/>
            <w:vAlign w:val="center"/>
          </w:tcPr>
          <w:p w14:paraId="4D6C2F23" w14:textId="77777777" w:rsidR="00234252" w:rsidRPr="00585227" w:rsidRDefault="00234252" w:rsidP="00234252">
            <w:pPr>
              <w:pBdr>
                <w:top w:val="none" w:sz="0" w:space="0" w:color="auto"/>
                <w:left w:val="none" w:sz="0" w:space="0" w:color="auto"/>
                <w:bottom w:val="none" w:sz="0" w:space="0" w:color="auto"/>
                <w:right w:val="none" w:sz="0" w:space="0" w:color="auto"/>
                <w:between w:val="none" w:sz="0" w:space="0" w:color="auto"/>
                <w:bar w:val="none" w:sz="0" w:color="auto"/>
              </w:pBdr>
              <w:jc w:val="right"/>
              <w:outlineLvl w:val="9"/>
              <w:rPr>
                <w:rFonts w:eastAsia="Times New Roman"/>
                <w:color w:val="auto"/>
                <w:sz w:val="16"/>
                <w:szCs w:val="16"/>
                <w:bdr w:val="none" w:sz="0" w:space="0" w:color="auto"/>
                <w:lang w:eastAsia="es-ES"/>
              </w:rPr>
            </w:pPr>
          </w:p>
        </w:tc>
        <w:tc>
          <w:tcPr>
            <w:tcW w:w="697" w:type="pct"/>
            <w:tcBorders>
              <w:top w:val="nil"/>
              <w:left w:val="nil"/>
              <w:bottom w:val="nil"/>
              <w:right w:val="nil"/>
            </w:tcBorders>
            <w:shd w:val="clear" w:color="auto" w:fill="auto"/>
            <w:noWrap/>
            <w:vAlign w:val="center"/>
          </w:tcPr>
          <w:p w14:paraId="4A5941BB" w14:textId="77777777" w:rsidR="00234252" w:rsidRPr="00585227" w:rsidRDefault="00234252" w:rsidP="00234252">
            <w:pPr>
              <w:pBdr>
                <w:top w:val="none" w:sz="0" w:space="0" w:color="auto"/>
                <w:left w:val="none" w:sz="0" w:space="0" w:color="auto"/>
                <w:bottom w:val="none" w:sz="0" w:space="0" w:color="auto"/>
                <w:right w:val="none" w:sz="0" w:space="0" w:color="auto"/>
                <w:between w:val="none" w:sz="0" w:space="0" w:color="auto"/>
                <w:bar w:val="none" w:sz="0" w:color="auto"/>
              </w:pBdr>
              <w:jc w:val="right"/>
              <w:outlineLvl w:val="9"/>
              <w:rPr>
                <w:rFonts w:eastAsia="Times New Roman"/>
                <w:color w:val="auto"/>
                <w:sz w:val="16"/>
                <w:szCs w:val="16"/>
                <w:bdr w:val="none" w:sz="0" w:space="0" w:color="auto"/>
                <w:lang w:eastAsia="es-ES"/>
              </w:rPr>
            </w:pPr>
          </w:p>
        </w:tc>
        <w:tc>
          <w:tcPr>
            <w:tcW w:w="697" w:type="pct"/>
            <w:tcBorders>
              <w:top w:val="nil"/>
              <w:left w:val="nil"/>
              <w:bottom w:val="nil"/>
              <w:right w:val="nil"/>
            </w:tcBorders>
            <w:shd w:val="clear" w:color="auto" w:fill="auto"/>
            <w:noWrap/>
            <w:vAlign w:val="center"/>
          </w:tcPr>
          <w:p w14:paraId="5D3B91FA" w14:textId="77777777" w:rsidR="00234252" w:rsidRPr="00585227" w:rsidRDefault="00234252" w:rsidP="00234252">
            <w:pPr>
              <w:pBdr>
                <w:top w:val="none" w:sz="0" w:space="0" w:color="auto"/>
                <w:left w:val="none" w:sz="0" w:space="0" w:color="auto"/>
                <w:bottom w:val="none" w:sz="0" w:space="0" w:color="auto"/>
                <w:right w:val="none" w:sz="0" w:space="0" w:color="auto"/>
                <w:between w:val="none" w:sz="0" w:space="0" w:color="auto"/>
                <w:bar w:val="none" w:sz="0" w:color="auto"/>
              </w:pBdr>
              <w:jc w:val="right"/>
              <w:outlineLvl w:val="9"/>
              <w:rPr>
                <w:rFonts w:eastAsia="Times New Roman"/>
                <w:color w:val="auto"/>
                <w:sz w:val="16"/>
                <w:szCs w:val="16"/>
                <w:bdr w:val="none" w:sz="0" w:space="0" w:color="auto"/>
                <w:lang w:eastAsia="es-ES"/>
              </w:rPr>
            </w:pPr>
          </w:p>
        </w:tc>
      </w:tr>
      <w:tr w:rsidR="00431141" w:rsidRPr="007E7835" w14:paraId="6EA6ACE2" w14:textId="77777777" w:rsidTr="00B1370C">
        <w:trPr>
          <w:trHeight w:val="283"/>
        </w:trPr>
        <w:tc>
          <w:tcPr>
            <w:tcW w:w="2212" w:type="pct"/>
            <w:tcBorders>
              <w:top w:val="nil"/>
              <w:left w:val="nil"/>
              <w:bottom w:val="nil"/>
              <w:right w:val="nil"/>
            </w:tcBorders>
            <w:shd w:val="clear" w:color="auto" w:fill="auto"/>
            <w:noWrap/>
            <w:vAlign w:val="center"/>
            <w:hideMark/>
          </w:tcPr>
          <w:p w14:paraId="5238C164" w14:textId="77777777" w:rsidR="00431141" w:rsidRPr="007E7835" w:rsidRDefault="00431141" w:rsidP="00431141">
            <w:pPr>
              <w:pBdr>
                <w:top w:val="none" w:sz="0" w:space="0" w:color="auto"/>
                <w:left w:val="none" w:sz="0" w:space="0" w:color="auto"/>
                <w:bottom w:val="none" w:sz="0" w:space="0" w:color="auto"/>
                <w:right w:val="none" w:sz="0" w:space="0" w:color="auto"/>
                <w:between w:val="none" w:sz="0" w:space="0" w:color="auto"/>
                <w:bar w:val="none" w:sz="0" w:color="auto"/>
              </w:pBdr>
              <w:outlineLvl w:val="9"/>
              <w:rPr>
                <w:rFonts w:eastAsia="Times New Roman"/>
                <w:sz w:val="16"/>
                <w:szCs w:val="16"/>
                <w:bdr w:val="none" w:sz="0" w:space="0" w:color="auto"/>
                <w:lang w:eastAsia="es-ES"/>
              </w:rPr>
            </w:pPr>
            <w:r w:rsidRPr="007E7835">
              <w:rPr>
                <w:rFonts w:eastAsia="Times New Roman"/>
                <w:sz w:val="16"/>
                <w:szCs w:val="16"/>
                <w:bdr w:val="none" w:sz="0" w:space="0" w:color="auto"/>
                <w:lang w:eastAsia="es-ES"/>
              </w:rPr>
              <w:t>Concesiones, patentes, licencias, marcas y similares</w:t>
            </w:r>
          </w:p>
        </w:tc>
        <w:tc>
          <w:tcPr>
            <w:tcW w:w="697" w:type="pct"/>
            <w:tcBorders>
              <w:top w:val="nil"/>
              <w:left w:val="nil"/>
              <w:bottom w:val="nil"/>
              <w:right w:val="nil"/>
            </w:tcBorders>
            <w:shd w:val="clear" w:color="auto" w:fill="auto"/>
            <w:noWrap/>
            <w:vAlign w:val="center"/>
            <w:hideMark/>
          </w:tcPr>
          <w:p w14:paraId="666004D9" w14:textId="367D53BE" w:rsidR="00431141" w:rsidRPr="008E62FF" w:rsidRDefault="00431141" w:rsidP="00431141">
            <w:pPr>
              <w:pBdr>
                <w:top w:val="none" w:sz="0" w:space="0" w:color="auto"/>
                <w:left w:val="none" w:sz="0" w:space="0" w:color="auto"/>
                <w:bottom w:val="none" w:sz="0" w:space="0" w:color="auto"/>
                <w:right w:val="none" w:sz="0" w:space="0" w:color="auto"/>
                <w:between w:val="none" w:sz="0" w:space="0" w:color="auto"/>
                <w:bar w:val="none" w:sz="0" w:color="auto"/>
              </w:pBdr>
              <w:jc w:val="right"/>
              <w:outlineLvl w:val="9"/>
              <w:rPr>
                <w:rFonts w:eastAsia="Times New Roman"/>
                <w:color w:val="auto"/>
                <w:sz w:val="16"/>
                <w:szCs w:val="16"/>
                <w:bdr w:val="none" w:sz="0" w:space="0" w:color="auto"/>
                <w:lang w:eastAsia="es-ES"/>
              </w:rPr>
            </w:pPr>
            <w:r w:rsidRPr="008E62FF">
              <w:rPr>
                <w:rFonts w:eastAsia="Times New Roman"/>
                <w:color w:val="auto"/>
                <w:sz w:val="16"/>
                <w:szCs w:val="16"/>
                <w:bdr w:val="none" w:sz="0" w:space="0" w:color="auto"/>
                <w:lang w:eastAsia="es-ES"/>
              </w:rPr>
              <w:t>(5.742,87)</w:t>
            </w:r>
          </w:p>
        </w:tc>
        <w:tc>
          <w:tcPr>
            <w:tcW w:w="697" w:type="pct"/>
            <w:tcBorders>
              <w:top w:val="nil"/>
              <w:left w:val="nil"/>
              <w:bottom w:val="nil"/>
              <w:right w:val="nil"/>
            </w:tcBorders>
            <w:shd w:val="clear" w:color="auto" w:fill="auto"/>
            <w:noWrap/>
            <w:vAlign w:val="center"/>
          </w:tcPr>
          <w:p w14:paraId="0CA6EBC7" w14:textId="1DE9B243" w:rsidR="00431141" w:rsidRPr="008E62FF" w:rsidRDefault="00431141" w:rsidP="00431141">
            <w:pPr>
              <w:pBdr>
                <w:top w:val="none" w:sz="0" w:space="0" w:color="auto"/>
                <w:left w:val="none" w:sz="0" w:space="0" w:color="auto"/>
                <w:bottom w:val="none" w:sz="0" w:space="0" w:color="auto"/>
                <w:right w:val="none" w:sz="0" w:space="0" w:color="auto"/>
                <w:between w:val="none" w:sz="0" w:space="0" w:color="auto"/>
                <w:bar w:val="none" w:sz="0" w:color="auto"/>
              </w:pBdr>
              <w:jc w:val="right"/>
              <w:outlineLvl w:val="9"/>
              <w:rPr>
                <w:rFonts w:eastAsia="Times New Roman"/>
                <w:sz w:val="16"/>
                <w:szCs w:val="16"/>
                <w:bdr w:val="none" w:sz="0" w:space="0" w:color="auto"/>
                <w:lang w:eastAsia="es-ES"/>
              </w:rPr>
            </w:pPr>
            <w:r>
              <w:rPr>
                <w:sz w:val="16"/>
                <w:szCs w:val="16"/>
              </w:rPr>
              <w:t xml:space="preserve"> -</w:t>
            </w:r>
          </w:p>
        </w:tc>
        <w:tc>
          <w:tcPr>
            <w:tcW w:w="697" w:type="pct"/>
            <w:tcBorders>
              <w:top w:val="nil"/>
              <w:left w:val="nil"/>
              <w:bottom w:val="nil"/>
              <w:right w:val="nil"/>
            </w:tcBorders>
            <w:shd w:val="clear" w:color="auto" w:fill="auto"/>
            <w:noWrap/>
            <w:vAlign w:val="center"/>
          </w:tcPr>
          <w:p w14:paraId="7AAFD6D4" w14:textId="299F3DD8" w:rsidR="00431141" w:rsidRPr="008E62FF" w:rsidRDefault="00431141" w:rsidP="00431141">
            <w:pPr>
              <w:pBdr>
                <w:top w:val="none" w:sz="0" w:space="0" w:color="auto"/>
                <w:left w:val="none" w:sz="0" w:space="0" w:color="auto"/>
                <w:bottom w:val="none" w:sz="0" w:space="0" w:color="auto"/>
                <w:right w:val="none" w:sz="0" w:space="0" w:color="auto"/>
                <w:between w:val="none" w:sz="0" w:space="0" w:color="auto"/>
                <w:bar w:val="none" w:sz="0" w:color="auto"/>
              </w:pBdr>
              <w:jc w:val="right"/>
              <w:outlineLvl w:val="9"/>
              <w:rPr>
                <w:rFonts w:eastAsia="Times New Roman"/>
                <w:sz w:val="16"/>
                <w:szCs w:val="16"/>
                <w:bdr w:val="none" w:sz="0" w:space="0" w:color="auto"/>
                <w:lang w:eastAsia="es-ES"/>
              </w:rPr>
            </w:pPr>
            <w:r>
              <w:rPr>
                <w:sz w:val="16"/>
                <w:szCs w:val="16"/>
              </w:rPr>
              <w:t xml:space="preserve"> -</w:t>
            </w:r>
          </w:p>
        </w:tc>
        <w:tc>
          <w:tcPr>
            <w:tcW w:w="697" w:type="pct"/>
            <w:tcBorders>
              <w:top w:val="nil"/>
              <w:left w:val="nil"/>
              <w:bottom w:val="nil"/>
              <w:right w:val="nil"/>
            </w:tcBorders>
            <w:shd w:val="clear" w:color="auto" w:fill="auto"/>
            <w:noWrap/>
            <w:vAlign w:val="center"/>
          </w:tcPr>
          <w:p w14:paraId="46D1834B" w14:textId="5D144DC0" w:rsidR="00431141" w:rsidRPr="008E62FF" w:rsidRDefault="00431141" w:rsidP="00431141">
            <w:pPr>
              <w:pBdr>
                <w:top w:val="none" w:sz="0" w:space="0" w:color="auto"/>
                <w:left w:val="none" w:sz="0" w:space="0" w:color="auto"/>
                <w:bottom w:val="none" w:sz="0" w:space="0" w:color="auto"/>
                <w:right w:val="none" w:sz="0" w:space="0" w:color="auto"/>
                <w:between w:val="none" w:sz="0" w:space="0" w:color="auto"/>
                <w:bar w:val="none" w:sz="0" w:color="auto"/>
              </w:pBdr>
              <w:jc w:val="right"/>
              <w:outlineLvl w:val="9"/>
              <w:rPr>
                <w:rFonts w:eastAsia="Times New Roman"/>
                <w:color w:val="auto"/>
                <w:sz w:val="16"/>
                <w:szCs w:val="16"/>
                <w:bdr w:val="none" w:sz="0" w:space="0" w:color="auto"/>
                <w:lang w:eastAsia="es-ES"/>
              </w:rPr>
            </w:pPr>
            <w:r>
              <w:rPr>
                <w:sz w:val="16"/>
                <w:szCs w:val="16"/>
              </w:rPr>
              <w:t>(5.742,87)</w:t>
            </w:r>
          </w:p>
        </w:tc>
      </w:tr>
      <w:tr w:rsidR="00431141" w:rsidRPr="007E7835" w14:paraId="3CEF94A9" w14:textId="77777777" w:rsidTr="00B1370C">
        <w:trPr>
          <w:trHeight w:val="283"/>
        </w:trPr>
        <w:tc>
          <w:tcPr>
            <w:tcW w:w="2212" w:type="pct"/>
            <w:tcBorders>
              <w:top w:val="nil"/>
              <w:left w:val="nil"/>
              <w:bottom w:val="nil"/>
              <w:right w:val="nil"/>
            </w:tcBorders>
            <w:shd w:val="clear" w:color="auto" w:fill="auto"/>
            <w:noWrap/>
            <w:vAlign w:val="center"/>
            <w:hideMark/>
          </w:tcPr>
          <w:p w14:paraId="0B4355BD" w14:textId="77777777" w:rsidR="00431141" w:rsidRPr="007E7835" w:rsidRDefault="00431141" w:rsidP="00431141">
            <w:pPr>
              <w:pBdr>
                <w:top w:val="none" w:sz="0" w:space="0" w:color="auto"/>
                <w:left w:val="none" w:sz="0" w:space="0" w:color="auto"/>
                <w:bottom w:val="none" w:sz="0" w:space="0" w:color="auto"/>
                <w:right w:val="none" w:sz="0" w:space="0" w:color="auto"/>
                <w:between w:val="none" w:sz="0" w:space="0" w:color="auto"/>
                <w:bar w:val="none" w:sz="0" w:color="auto"/>
              </w:pBdr>
              <w:outlineLvl w:val="9"/>
              <w:rPr>
                <w:rFonts w:eastAsia="Times New Roman"/>
                <w:sz w:val="16"/>
                <w:szCs w:val="16"/>
                <w:bdr w:val="none" w:sz="0" w:space="0" w:color="auto"/>
                <w:lang w:eastAsia="es-ES"/>
              </w:rPr>
            </w:pPr>
            <w:r w:rsidRPr="007E7835">
              <w:rPr>
                <w:rFonts w:eastAsia="Times New Roman"/>
                <w:sz w:val="16"/>
                <w:szCs w:val="16"/>
                <w:bdr w:val="none" w:sz="0" w:space="0" w:color="auto"/>
                <w:lang w:eastAsia="es-ES"/>
              </w:rPr>
              <w:t>Aplicaciones informáticas</w:t>
            </w:r>
          </w:p>
        </w:tc>
        <w:tc>
          <w:tcPr>
            <w:tcW w:w="697" w:type="pct"/>
            <w:tcBorders>
              <w:top w:val="nil"/>
              <w:left w:val="nil"/>
              <w:bottom w:val="single" w:sz="4" w:space="0" w:color="auto"/>
              <w:right w:val="nil"/>
            </w:tcBorders>
            <w:shd w:val="clear" w:color="auto" w:fill="auto"/>
            <w:noWrap/>
            <w:vAlign w:val="center"/>
            <w:hideMark/>
          </w:tcPr>
          <w:p w14:paraId="313CDC0C" w14:textId="556BF794" w:rsidR="00431141" w:rsidRPr="008E62FF" w:rsidRDefault="00431141" w:rsidP="00431141">
            <w:pPr>
              <w:pBdr>
                <w:top w:val="none" w:sz="0" w:space="0" w:color="auto"/>
                <w:left w:val="none" w:sz="0" w:space="0" w:color="auto"/>
                <w:bottom w:val="none" w:sz="0" w:space="0" w:color="auto"/>
                <w:right w:val="none" w:sz="0" w:space="0" w:color="auto"/>
                <w:between w:val="none" w:sz="0" w:space="0" w:color="auto"/>
                <w:bar w:val="none" w:sz="0" w:color="auto"/>
              </w:pBdr>
              <w:jc w:val="right"/>
              <w:outlineLvl w:val="9"/>
              <w:rPr>
                <w:rFonts w:eastAsia="Times New Roman"/>
                <w:color w:val="auto"/>
                <w:sz w:val="16"/>
                <w:szCs w:val="16"/>
                <w:bdr w:val="none" w:sz="0" w:space="0" w:color="auto"/>
                <w:lang w:eastAsia="es-ES"/>
              </w:rPr>
            </w:pPr>
            <w:r>
              <w:rPr>
                <w:sz w:val="16"/>
                <w:szCs w:val="16"/>
              </w:rPr>
              <w:t>(218.238,97)</w:t>
            </w:r>
          </w:p>
        </w:tc>
        <w:tc>
          <w:tcPr>
            <w:tcW w:w="697" w:type="pct"/>
            <w:tcBorders>
              <w:top w:val="nil"/>
              <w:left w:val="nil"/>
              <w:bottom w:val="single" w:sz="4" w:space="0" w:color="auto"/>
              <w:right w:val="nil"/>
            </w:tcBorders>
            <w:shd w:val="clear" w:color="auto" w:fill="auto"/>
            <w:noWrap/>
            <w:vAlign w:val="center"/>
          </w:tcPr>
          <w:p w14:paraId="06D28E88" w14:textId="446686C9" w:rsidR="00431141" w:rsidRPr="008E62FF" w:rsidRDefault="00431141" w:rsidP="00431141">
            <w:pPr>
              <w:pBdr>
                <w:top w:val="none" w:sz="0" w:space="0" w:color="auto"/>
                <w:left w:val="none" w:sz="0" w:space="0" w:color="auto"/>
                <w:bottom w:val="none" w:sz="0" w:space="0" w:color="auto"/>
                <w:right w:val="none" w:sz="0" w:space="0" w:color="auto"/>
                <w:between w:val="none" w:sz="0" w:space="0" w:color="auto"/>
                <w:bar w:val="none" w:sz="0" w:color="auto"/>
              </w:pBdr>
              <w:jc w:val="right"/>
              <w:outlineLvl w:val="9"/>
              <w:rPr>
                <w:rFonts w:eastAsia="Times New Roman"/>
                <w:color w:val="auto"/>
                <w:sz w:val="16"/>
                <w:szCs w:val="16"/>
                <w:bdr w:val="none" w:sz="0" w:space="0" w:color="auto"/>
                <w:lang w:eastAsia="es-ES"/>
              </w:rPr>
            </w:pPr>
            <w:r>
              <w:rPr>
                <w:sz w:val="16"/>
                <w:szCs w:val="16"/>
              </w:rPr>
              <w:t>(0,01)</w:t>
            </w:r>
          </w:p>
        </w:tc>
        <w:tc>
          <w:tcPr>
            <w:tcW w:w="697" w:type="pct"/>
            <w:tcBorders>
              <w:top w:val="nil"/>
              <w:left w:val="nil"/>
              <w:bottom w:val="single" w:sz="4" w:space="0" w:color="auto"/>
              <w:right w:val="nil"/>
            </w:tcBorders>
            <w:shd w:val="clear" w:color="auto" w:fill="auto"/>
            <w:noWrap/>
            <w:vAlign w:val="center"/>
          </w:tcPr>
          <w:p w14:paraId="56B2A689" w14:textId="3B65C7D1" w:rsidR="00431141" w:rsidRPr="008E62FF" w:rsidRDefault="00431141" w:rsidP="00431141">
            <w:pPr>
              <w:pBdr>
                <w:top w:val="none" w:sz="0" w:space="0" w:color="auto"/>
                <w:left w:val="none" w:sz="0" w:space="0" w:color="auto"/>
                <w:bottom w:val="none" w:sz="0" w:space="0" w:color="auto"/>
                <w:right w:val="none" w:sz="0" w:space="0" w:color="auto"/>
                <w:between w:val="none" w:sz="0" w:space="0" w:color="auto"/>
                <w:bar w:val="none" w:sz="0" w:color="auto"/>
              </w:pBdr>
              <w:jc w:val="right"/>
              <w:outlineLvl w:val="9"/>
              <w:rPr>
                <w:rFonts w:eastAsia="Times New Roman"/>
                <w:sz w:val="16"/>
                <w:szCs w:val="16"/>
                <w:bdr w:val="none" w:sz="0" w:space="0" w:color="auto"/>
                <w:lang w:eastAsia="es-ES"/>
              </w:rPr>
            </w:pPr>
            <w:r>
              <w:rPr>
                <w:sz w:val="16"/>
                <w:szCs w:val="16"/>
              </w:rPr>
              <w:t>107.273,79</w:t>
            </w:r>
          </w:p>
        </w:tc>
        <w:tc>
          <w:tcPr>
            <w:tcW w:w="697" w:type="pct"/>
            <w:tcBorders>
              <w:top w:val="nil"/>
              <w:left w:val="nil"/>
              <w:bottom w:val="single" w:sz="4" w:space="0" w:color="auto"/>
              <w:right w:val="nil"/>
            </w:tcBorders>
            <w:shd w:val="clear" w:color="auto" w:fill="auto"/>
            <w:noWrap/>
            <w:vAlign w:val="center"/>
          </w:tcPr>
          <w:p w14:paraId="1EABB947" w14:textId="7A3F5D50" w:rsidR="00431141" w:rsidRPr="008E62FF" w:rsidRDefault="00431141" w:rsidP="00431141">
            <w:pPr>
              <w:pBdr>
                <w:top w:val="none" w:sz="0" w:space="0" w:color="auto"/>
                <w:left w:val="none" w:sz="0" w:space="0" w:color="auto"/>
                <w:bottom w:val="none" w:sz="0" w:space="0" w:color="auto"/>
                <w:right w:val="none" w:sz="0" w:space="0" w:color="auto"/>
                <w:between w:val="none" w:sz="0" w:space="0" w:color="auto"/>
                <w:bar w:val="none" w:sz="0" w:color="auto"/>
              </w:pBdr>
              <w:jc w:val="right"/>
              <w:outlineLvl w:val="9"/>
              <w:rPr>
                <w:rFonts w:eastAsia="Times New Roman"/>
                <w:sz w:val="16"/>
                <w:szCs w:val="16"/>
                <w:bdr w:val="none" w:sz="0" w:space="0" w:color="auto"/>
                <w:lang w:eastAsia="es-ES"/>
              </w:rPr>
            </w:pPr>
            <w:r>
              <w:rPr>
                <w:sz w:val="16"/>
                <w:szCs w:val="16"/>
              </w:rPr>
              <w:t>(110.965,19)</w:t>
            </w:r>
          </w:p>
        </w:tc>
      </w:tr>
      <w:tr w:rsidR="00431141" w:rsidRPr="007E7835" w14:paraId="761FBC27" w14:textId="77777777" w:rsidTr="00B1370C">
        <w:trPr>
          <w:trHeight w:val="283"/>
        </w:trPr>
        <w:tc>
          <w:tcPr>
            <w:tcW w:w="2212" w:type="pct"/>
            <w:tcBorders>
              <w:top w:val="nil"/>
              <w:left w:val="nil"/>
              <w:bottom w:val="nil"/>
              <w:right w:val="nil"/>
            </w:tcBorders>
            <w:shd w:val="clear" w:color="auto" w:fill="auto"/>
            <w:noWrap/>
            <w:vAlign w:val="center"/>
            <w:hideMark/>
          </w:tcPr>
          <w:p w14:paraId="4E26F641" w14:textId="77777777" w:rsidR="00431141" w:rsidRPr="007E7835" w:rsidRDefault="00431141" w:rsidP="00431141">
            <w:pPr>
              <w:pBdr>
                <w:top w:val="none" w:sz="0" w:space="0" w:color="auto"/>
                <w:left w:val="none" w:sz="0" w:space="0" w:color="auto"/>
                <w:bottom w:val="none" w:sz="0" w:space="0" w:color="auto"/>
                <w:right w:val="none" w:sz="0" w:space="0" w:color="auto"/>
                <w:between w:val="none" w:sz="0" w:space="0" w:color="auto"/>
                <w:bar w:val="none" w:sz="0" w:color="auto"/>
              </w:pBdr>
              <w:outlineLvl w:val="9"/>
              <w:rPr>
                <w:rFonts w:eastAsia="Times New Roman"/>
                <w:color w:val="auto"/>
                <w:sz w:val="16"/>
                <w:szCs w:val="16"/>
                <w:bdr w:val="none" w:sz="0" w:space="0" w:color="auto"/>
                <w:lang w:eastAsia="es-ES"/>
              </w:rPr>
            </w:pPr>
          </w:p>
        </w:tc>
        <w:tc>
          <w:tcPr>
            <w:tcW w:w="697" w:type="pct"/>
            <w:tcBorders>
              <w:top w:val="nil"/>
              <w:left w:val="nil"/>
              <w:bottom w:val="single" w:sz="4" w:space="0" w:color="auto"/>
              <w:right w:val="nil"/>
            </w:tcBorders>
            <w:shd w:val="clear" w:color="auto" w:fill="auto"/>
            <w:noWrap/>
            <w:vAlign w:val="center"/>
            <w:hideMark/>
          </w:tcPr>
          <w:p w14:paraId="47C1F3CE" w14:textId="3CA8332F" w:rsidR="00431141" w:rsidRPr="008E62FF" w:rsidRDefault="00431141" w:rsidP="00431141">
            <w:pPr>
              <w:pBdr>
                <w:top w:val="none" w:sz="0" w:space="0" w:color="auto"/>
                <w:left w:val="none" w:sz="0" w:space="0" w:color="auto"/>
                <w:bottom w:val="none" w:sz="0" w:space="0" w:color="auto"/>
                <w:right w:val="none" w:sz="0" w:space="0" w:color="auto"/>
                <w:between w:val="none" w:sz="0" w:space="0" w:color="auto"/>
                <w:bar w:val="none" w:sz="0" w:color="auto"/>
              </w:pBdr>
              <w:jc w:val="right"/>
              <w:outlineLvl w:val="9"/>
              <w:rPr>
                <w:rFonts w:eastAsia="Times New Roman"/>
                <w:b/>
                <w:bCs/>
                <w:color w:val="auto"/>
                <w:sz w:val="16"/>
                <w:szCs w:val="16"/>
                <w:bdr w:val="none" w:sz="0" w:space="0" w:color="auto"/>
                <w:lang w:eastAsia="es-ES"/>
              </w:rPr>
            </w:pPr>
            <w:r>
              <w:rPr>
                <w:b/>
                <w:bCs/>
                <w:sz w:val="16"/>
                <w:szCs w:val="16"/>
              </w:rPr>
              <w:t>(223.981,84)</w:t>
            </w:r>
          </w:p>
        </w:tc>
        <w:tc>
          <w:tcPr>
            <w:tcW w:w="697" w:type="pct"/>
            <w:tcBorders>
              <w:top w:val="nil"/>
              <w:left w:val="nil"/>
              <w:bottom w:val="single" w:sz="4" w:space="0" w:color="auto"/>
              <w:right w:val="nil"/>
            </w:tcBorders>
            <w:shd w:val="clear" w:color="auto" w:fill="auto"/>
            <w:noWrap/>
            <w:vAlign w:val="center"/>
          </w:tcPr>
          <w:p w14:paraId="76B2F7A8" w14:textId="47BF96A2" w:rsidR="00431141" w:rsidRPr="008E62FF" w:rsidRDefault="00431141" w:rsidP="00431141">
            <w:pPr>
              <w:pBdr>
                <w:top w:val="none" w:sz="0" w:space="0" w:color="auto"/>
                <w:left w:val="none" w:sz="0" w:space="0" w:color="auto"/>
                <w:bottom w:val="none" w:sz="0" w:space="0" w:color="auto"/>
                <w:right w:val="none" w:sz="0" w:space="0" w:color="auto"/>
                <w:between w:val="none" w:sz="0" w:space="0" w:color="auto"/>
                <w:bar w:val="none" w:sz="0" w:color="auto"/>
              </w:pBdr>
              <w:jc w:val="right"/>
              <w:outlineLvl w:val="9"/>
              <w:rPr>
                <w:rFonts w:eastAsia="Times New Roman"/>
                <w:b/>
                <w:bCs/>
                <w:color w:val="auto"/>
                <w:sz w:val="16"/>
                <w:szCs w:val="16"/>
                <w:bdr w:val="none" w:sz="0" w:space="0" w:color="auto"/>
                <w:lang w:eastAsia="es-ES"/>
              </w:rPr>
            </w:pPr>
            <w:r>
              <w:rPr>
                <w:b/>
                <w:bCs/>
                <w:sz w:val="16"/>
                <w:szCs w:val="16"/>
              </w:rPr>
              <w:t>(0,01)</w:t>
            </w:r>
          </w:p>
        </w:tc>
        <w:tc>
          <w:tcPr>
            <w:tcW w:w="697" w:type="pct"/>
            <w:tcBorders>
              <w:top w:val="nil"/>
              <w:left w:val="nil"/>
              <w:bottom w:val="nil"/>
              <w:right w:val="nil"/>
            </w:tcBorders>
            <w:shd w:val="clear" w:color="auto" w:fill="auto"/>
            <w:noWrap/>
            <w:vAlign w:val="center"/>
          </w:tcPr>
          <w:p w14:paraId="4AD3CF5B" w14:textId="2E0CE144" w:rsidR="00431141" w:rsidRPr="008E62FF" w:rsidRDefault="00431141" w:rsidP="00431141">
            <w:pPr>
              <w:pBdr>
                <w:top w:val="none" w:sz="0" w:space="0" w:color="auto"/>
                <w:left w:val="none" w:sz="0" w:space="0" w:color="auto"/>
                <w:bottom w:val="none" w:sz="0" w:space="0" w:color="auto"/>
                <w:right w:val="none" w:sz="0" w:space="0" w:color="auto"/>
                <w:between w:val="none" w:sz="0" w:space="0" w:color="auto"/>
                <w:bar w:val="none" w:sz="0" w:color="auto"/>
              </w:pBdr>
              <w:jc w:val="right"/>
              <w:outlineLvl w:val="9"/>
              <w:rPr>
                <w:rFonts w:eastAsia="Times New Roman"/>
                <w:b/>
                <w:bCs/>
                <w:sz w:val="16"/>
                <w:szCs w:val="16"/>
                <w:bdr w:val="none" w:sz="0" w:space="0" w:color="auto"/>
                <w:lang w:eastAsia="es-ES"/>
              </w:rPr>
            </w:pPr>
            <w:r>
              <w:rPr>
                <w:b/>
                <w:bCs/>
                <w:sz w:val="16"/>
                <w:szCs w:val="16"/>
              </w:rPr>
              <w:t>107.273,79</w:t>
            </w:r>
          </w:p>
        </w:tc>
        <w:tc>
          <w:tcPr>
            <w:tcW w:w="697" w:type="pct"/>
            <w:tcBorders>
              <w:top w:val="nil"/>
              <w:left w:val="nil"/>
              <w:bottom w:val="single" w:sz="4" w:space="0" w:color="auto"/>
              <w:right w:val="nil"/>
            </w:tcBorders>
            <w:shd w:val="clear" w:color="auto" w:fill="auto"/>
            <w:noWrap/>
            <w:vAlign w:val="center"/>
          </w:tcPr>
          <w:p w14:paraId="3AC6C27B" w14:textId="6BEBCAE8" w:rsidR="00431141" w:rsidRPr="008E62FF" w:rsidRDefault="00431141" w:rsidP="00431141">
            <w:pPr>
              <w:pBdr>
                <w:top w:val="none" w:sz="0" w:space="0" w:color="auto"/>
                <w:left w:val="none" w:sz="0" w:space="0" w:color="auto"/>
                <w:bottom w:val="none" w:sz="0" w:space="0" w:color="auto"/>
                <w:right w:val="none" w:sz="0" w:space="0" w:color="auto"/>
                <w:between w:val="none" w:sz="0" w:space="0" w:color="auto"/>
                <w:bar w:val="none" w:sz="0" w:color="auto"/>
              </w:pBdr>
              <w:jc w:val="right"/>
              <w:outlineLvl w:val="9"/>
              <w:rPr>
                <w:rFonts w:eastAsia="Times New Roman"/>
                <w:b/>
                <w:bCs/>
                <w:sz w:val="16"/>
                <w:szCs w:val="16"/>
                <w:bdr w:val="none" w:sz="0" w:space="0" w:color="auto"/>
                <w:lang w:eastAsia="es-ES"/>
              </w:rPr>
            </w:pPr>
            <w:r>
              <w:rPr>
                <w:b/>
                <w:bCs/>
                <w:sz w:val="16"/>
                <w:szCs w:val="16"/>
              </w:rPr>
              <w:t>(116.708,06)</w:t>
            </w:r>
          </w:p>
        </w:tc>
      </w:tr>
      <w:tr w:rsidR="00431141" w:rsidRPr="007E7835" w14:paraId="0357D172" w14:textId="77777777" w:rsidTr="00B1370C">
        <w:trPr>
          <w:trHeight w:val="283"/>
        </w:trPr>
        <w:tc>
          <w:tcPr>
            <w:tcW w:w="2212" w:type="pct"/>
            <w:tcBorders>
              <w:top w:val="single" w:sz="4" w:space="0" w:color="auto"/>
              <w:left w:val="nil"/>
              <w:bottom w:val="single" w:sz="4" w:space="0" w:color="auto"/>
              <w:right w:val="nil"/>
            </w:tcBorders>
            <w:shd w:val="clear" w:color="auto" w:fill="auto"/>
            <w:noWrap/>
            <w:vAlign w:val="center"/>
            <w:hideMark/>
          </w:tcPr>
          <w:p w14:paraId="3A820B58" w14:textId="77777777" w:rsidR="00431141" w:rsidRPr="008C7670" w:rsidRDefault="00431141" w:rsidP="00431141">
            <w:pPr>
              <w:pBdr>
                <w:top w:val="none" w:sz="0" w:space="0" w:color="auto"/>
                <w:left w:val="none" w:sz="0" w:space="0" w:color="auto"/>
                <w:bottom w:val="none" w:sz="0" w:space="0" w:color="auto"/>
                <w:right w:val="none" w:sz="0" w:space="0" w:color="auto"/>
                <w:between w:val="none" w:sz="0" w:space="0" w:color="auto"/>
                <w:bar w:val="none" w:sz="0" w:color="auto"/>
              </w:pBdr>
              <w:outlineLvl w:val="9"/>
              <w:rPr>
                <w:rFonts w:eastAsia="Times New Roman"/>
                <w:b/>
                <w:bCs/>
                <w:sz w:val="16"/>
                <w:szCs w:val="16"/>
                <w:bdr w:val="none" w:sz="0" w:space="0" w:color="auto"/>
                <w:lang w:eastAsia="es-ES"/>
              </w:rPr>
            </w:pPr>
            <w:r w:rsidRPr="008C7670">
              <w:rPr>
                <w:rFonts w:eastAsia="Times New Roman"/>
                <w:b/>
                <w:bCs/>
                <w:sz w:val="16"/>
                <w:szCs w:val="16"/>
                <w:bdr w:val="none" w:sz="0" w:space="0" w:color="auto"/>
                <w:lang w:eastAsia="es-ES"/>
              </w:rPr>
              <w:t>Valor neto contable</w:t>
            </w:r>
          </w:p>
        </w:tc>
        <w:tc>
          <w:tcPr>
            <w:tcW w:w="697" w:type="pct"/>
            <w:tcBorders>
              <w:top w:val="nil"/>
              <w:left w:val="nil"/>
              <w:bottom w:val="single" w:sz="4" w:space="0" w:color="auto"/>
              <w:right w:val="nil"/>
            </w:tcBorders>
            <w:shd w:val="clear" w:color="auto" w:fill="auto"/>
            <w:noWrap/>
            <w:vAlign w:val="center"/>
            <w:hideMark/>
          </w:tcPr>
          <w:p w14:paraId="29FA0D74" w14:textId="3DEAB959" w:rsidR="00431141" w:rsidRPr="008E62FF" w:rsidRDefault="00431141" w:rsidP="00431141">
            <w:pPr>
              <w:pBdr>
                <w:top w:val="none" w:sz="0" w:space="0" w:color="auto"/>
                <w:left w:val="none" w:sz="0" w:space="0" w:color="auto"/>
                <w:bottom w:val="none" w:sz="0" w:space="0" w:color="auto"/>
                <w:right w:val="none" w:sz="0" w:space="0" w:color="auto"/>
                <w:between w:val="none" w:sz="0" w:space="0" w:color="auto"/>
                <w:bar w:val="none" w:sz="0" w:color="auto"/>
              </w:pBdr>
              <w:jc w:val="right"/>
              <w:outlineLvl w:val="9"/>
              <w:rPr>
                <w:rFonts w:eastAsia="Times New Roman"/>
                <w:b/>
                <w:bCs/>
                <w:sz w:val="16"/>
                <w:szCs w:val="16"/>
                <w:bdr w:val="none" w:sz="0" w:space="0" w:color="auto"/>
                <w:lang w:eastAsia="es-ES"/>
              </w:rPr>
            </w:pPr>
            <w:r>
              <w:rPr>
                <w:b/>
                <w:bCs/>
                <w:sz w:val="16"/>
                <w:szCs w:val="16"/>
              </w:rPr>
              <w:t>0,01</w:t>
            </w:r>
          </w:p>
        </w:tc>
        <w:tc>
          <w:tcPr>
            <w:tcW w:w="697" w:type="pct"/>
            <w:tcBorders>
              <w:top w:val="nil"/>
              <w:left w:val="nil"/>
              <w:bottom w:val="single" w:sz="4" w:space="0" w:color="auto"/>
              <w:right w:val="nil"/>
            </w:tcBorders>
            <w:shd w:val="clear" w:color="auto" w:fill="auto"/>
            <w:noWrap/>
            <w:vAlign w:val="center"/>
          </w:tcPr>
          <w:p w14:paraId="78E2F6DA" w14:textId="77777777" w:rsidR="00431141" w:rsidRPr="008E62FF" w:rsidRDefault="00431141" w:rsidP="00431141">
            <w:pPr>
              <w:pBdr>
                <w:top w:val="none" w:sz="0" w:space="0" w:color="auto"/>
                <w:left w:val="none" w:sz="0" w:space="0" w:color="auto"/>
                <w:bottom w:val="none" w:sz="0" w:space="0" w:color="auto"/>
                <w:right w:val="none" w:sz="0" w:space="0" w:color="auto"/>
                <w:between w:val="none" w:sz="0" w:space="0" w:color="auto"/>
                <w:bar w:val="none" w:sz="0" w:color="auto"/>
              </w:pBdr>
              <w:jc w:val="right"/>
              <w:outlineLvl w:val="9"/>
              <w:rPr>
                <w:rFonts w:eastAsia="Times New Roman"/>
                <w:b/>
                <w:bCs/>
                <w:sz w:val="16"/>
                <w:szCs w:val="16"/>
                <w:bdr w:val="none" w:sz="0" w:space="0" w:color="auto"/>
                <w:lang w:eastAsia="es-ES"/>
              </w:rPr>
            </w:pPr>
          </w:p>
        </w:tc>
        <w:tc>
          <w:tcPr>
            <w:tcW w:w="697" w:type="pct"/>
            <w:tcBorders>
              <w:top w:val="single" w:sz="4" w:space="0" w:color="auto"/>
              <w:left w:val="nil"/>
              <w:bottom w:val="single" w:sz="4" w:space="0" w:color="auto"/>
              <w:right w:val="nil"/>
            </w:tcBorders>
            <w:shd w:val="clear" w:color="auto" w:fill="auto"/>
            <w:noWrap/>
            <w:vAlign w:val="center"/>
          </w:tcPr>
          <w:p w14:paraId="3624EFA0" w14:textId="77777777" w:rsidR="00431141" w:rsidRPr="008E62FF" w:rsidRDefault="00431141" w:rsidP="00431141">
            <w:pPr>
              <w:pBdr>
                <w:top w:val="none" w:sz="0" w:space="0" w:color="auto"/>
                <w:left w:val="none" w:sz="0" w:space="0" w:color="auto"/>
                <w:bottom w:val="none" w:sz="0" w:space="0" w:color="auto"/>
                <w:right w:val="none" w:sz="0" w:space="0" w:color="auto"/>
                <w:between w:val="none" w:sz="0" w:space="0" w:color="auto"/>
                <w:bar w:val="none" w:sz="0" w:color="auto"/>
              </w:pBdr>
              <w:jc w:val="right"/>
              <w:outlineLvl w:val="9"/>
              <w:rPr>
                <w:rFonts w:eastAsia="Times New Roman"/>
                <w:b/>
                <w:bCs/>
                <w:sz w:val="16"/>
                <w:szCs w:val="16"/>
                <w:bdr w:val="none" w:sz="0" w:space="0" w:color="auto"/>
                <w:lang w:eastAsia="es-ES"/>
              </w:rPr>
            </w:pPr>
          </w:p>
        </w:tc>
        <w:tc>
          <w:tcPr>
            <w:tcW w:w="697" w:type="pct"/>
            <w:tcBorders>
              <w:top w:val="nil"/>
              <w:left w:val="nil"/>
              <w:bottom w:val="single" w:sz="4" w:space="0" w:color="auto"/>
              <w:right w:val="nil"/>
            </w:tcBorders>
            <w:shd w:val="clear" w:color="auto" w:fill="auto"/>
            <w:noWrap/>
            <w:vAlign w:val="center"/>
          </w:tcPr>
          <w:p w14:paraId="42098C4A" w14:textId="4FD4286E" w:rsidR="00431141" w:rsidRPr="008E62FF" w:rsidRDefault="00431141" w:rsidP="00431141">
            <w:pPr>
              <w:pBdr>
                <w:top w:val="none" w:sz="0" w:space="0" w:color="auto"/>
                <w:left w:val="none" w:sz="0" w:space="0" w:color="auto"/>
                <w:bottom w:val="none" w:sz="0" w:space="0" w:color="auto"/>
                <w:right w:val="none" w:sz="0" w:space="0" w:color="auto"/>
                <w:between w:val="none" w:sz="0" w:space="0" w:color="auto"/>
                <w:bar w:val="none" w:sz="0" w:color="auto"/>
              </w:pBdr>
              <w:jc w:val="right"/>
              <w:outlineLvl w:val="9"/>
              <w:rPr>
                <w:rFonts w:eastAsia="Times New Roman"/>
                <w:b/>
                <w:bCs/>
                <w:sz w:val="16"/>
                <w:szCs w:val="16"/>
                <w:bdr w:val="none" w:sz="0" w:space="0" w:color="auto"/>
                <w:lang w:eastAsia="es-ES"/>
              </w:rPr>
            </w:pPr>
            <w:r>
              <w:rPr>
                <w:b/>
                <w:bCs/>
                <w:sz w:val="16"/>
                <w:szCs w:val="16"/>
              </w:rPr>
              <w:t>208.282,66</w:t>
            </w:r>
          </w:p>
        </w:tc>
      </w:tr>
    </w:tbl>
    <w:p w14:paraId="550B89FF" w14:textId="77777777" w:rsidR="001F0A62" w:rsidRDefault="001F0A62" w:rsidP="001F0A62">
      <w:pPr>
        <w:widowControl w:val="0"/>
        <w:spacing w:before="120" w:after="120" w:line="260" w:lineRule="exact"/>
        <w:jc w:val="both"/>
        <w:outlineLvl w:val="9"/>
        <w:rPr>
          <w:snapToGrid w:val="0"/>
          <w:sz w:val="20"/>
          <w:szCs w:val="22"/>
        </w:rPr>
      </w:pPr>
      <w:r w:rsidRPr="001F0A62">
        <w:rPr>
          <w:snapToGrid w:val="0"/>
          <w:sz w:val="20"/>
          <w:szCs w:val="22"/>
        </w:rPr>
        <w:t>Las altas del ejercicio 2024 corresponden a anticipos de aplicaciones informáticas.</w:t>
      </w:r>
    </w:p>
    <w:p w14:paraId="797DF142" w14:textId="0C6937F9" w:rsidR="00431141" w:rsidRPr="001F0A62" w:rsidRDefault="00431141" w:rsidP="004A41D6">
      <w:pPr>
        <w:widowControl w:val="0"/>
        <w:spacing w:before="120" w:after="120" w:line="260" w:lineRule="exact"/>
        <w:jc w:val="both"/>
        <w:outlineLvl w:val="9"/>
        <w:rPr>
          <w:snapToGrid w:val="0"/>
          <w:sz w:val="20"/>
          <w:szCs w:val="22"/>
        </w:rPr>
      </w:pPr>
      <w:r w:rsidRPr="001F0A62">
        <w:rPr>
          <w:snapToGrid w:val="0"/>
          <w:sz w:val="20"/>
          <w:szCs w:val="22"/>
        </w:rPr>
        <w:t xml:space="preserve">En el ejercicio 2024 se han dado de baja aplicaciones informáticas totalmente amortizados que han quedado </w:t>
      </w:r>
      <w:r w:rsidR="008C5849">
        <w:rPr>
          <w:snapToGrid w:val="0"/>
          <w:sz w:val="20"/>
          <w:szCs w:val="22"/>
        </w:rPr>
        <w:t>obsolet</w:t>
      </w:r>
      <w:r w:rsidR="00C076EE">
        <w:rPr>
          <w:snapToGrid w:val="0"/>
          <w:sz w:val="20"/>
          <w:szCs w:val="22"/>
        </w:rPr>
        <w:t>a</w:t>
      </w:r>
      <w:r w:rsidR="008C5849">
        <w:rPr>
          <w:snapToGrid w:val="0"/>
          <w:sz w:val="20"/>
          <w:szCs w:val="22"/>
        </w:rPr>
        <w:t>s</w:t>
      </w:r>
      <w:r w:rsidR="00C076EE">
        <w:rPr>
          <w:snapToGrid w:val="0"/>
          <w:sz w:val="20"/>
          <w:szCs w:val="22"/>
        </w:rPr>
        <w:t xml:space="preserve"> o en </w:t>
      </w:r>
      <w:proofErr w:type="spellStart"/>
      <w:r w:rsidR="00C076EE">
        <w:rPr>
          <w:snapToGrid w:val="0"/>
          <w:sz w:val="20"/>
          <w:szCs w:val="22"/>
        </w:rPr>
        <w:t>deshuso</w:t>
      </w:r>
      <w:proofErr w:type="spellEnd"/>
      <w:r w:rsidRPr="001F0A62">
        <w:rPr>
          <w:snapToGrid w:val="0"/>
          <w:sz w:val="20"/>
          <w:szCs w:val="22"/>
        </w:rPr>
        <w:t>.</w:t>
      </w:r>
    </w:p>
    <w:p w14:paraId="1410E5AC" w14:textId="191FF16F" w:rsidR="006220A2" w:rsidRPr="005644E5" w:rsidRDefault="006220A2" w:rsidP="004A41D6">
      <w:pPr>
        <w:widowControl w:val="0"/>
        <w:spacing w:before="120" w:after="120" w:line="260" w:lineRule="exact"/>
        <w:jc w:val="both"/>
        <w:outlineLvl w:val="9"/>
        <w:rPr>
          <w:snapToGrid w:val="0"/>
          <w:sz w:val="20"/>
          <w:szCs w:val="22"/>
        </w:rPr>
      </w:pPr>
      <w:r w:rsidRPr="005644E5">
        <w:rPr>
          <w:snapToGrid w:val="0"/>
          <w:sz w:val="20"/>
          <w:szCs w:val="22"/>
        </w:rPr>
        <w:t>El detalle y movimiento de</w:t>
      </w:r>
      <w:r w:rsidR="007E7835" w:rsidRPr="005644E5">
        <w:rPr>
          <w:snapToGrid w:val="0"/>
          <w:sz w:val="20"/>
          <w:szCs w:val="22"/>
        </w:rPr>
        <w:t>l</w:t>
      </w:r>
      <w:r w:rsidRPr="005644E5">
        <w:rPr>
          <w:snapToGrid w:val="0"/>
          <w:sz w:val="20"/>
          <w:szCs w:val="22"/>
        </w:rPr>
        <w:t xml:space="preserve"> “Inmovilizado intangible” en el ejercicio 20</w:t>
      </w:r>
      <w:r w:rsidR="003B6DBC" w:rsidRPr="005644E5">
        <w:rPr>
          <w:snapToGrid w:val="0"/>
          <w:sz w:val="20"/>
          <w:szCs w:val="22"/>
        </w:rPr>
        <w:t>2</w:t>
      </w:r>
      <w:r w:rsidR="00DF0182">
        <w:rPr>
          <w:snapToGrid w:val="0"/>
          <w:sz w:val="20"/>
          <w:szCs w:val="22"/>
        </w:rPr>
        <w:t>3</w:t>
      </w:r>
      <w:r w:rsidR="007F2865" w:rsidRPr="005644E5">
        <w:rPr>
          <w:snapToGrid w:val="0"/>
          <w:sz w:val="20"/>
          <w:szCs w:val="22"/>
        </w:rPr>
        <w:t xml:space="preserve"> </w:t>
      </w:r>
      <w:r w:rsidRPr="005644E5">
        <w:rPr>
          <w:snapToGrid w:val="0"/>
          <w:sz w:val="20"/>
          <w:szCs w:val="22"/>
        </w:rPr>
        <w:t>es el siguiente:</w:t>
      </w:r>
    </w:p>
    <w:tbl>
      <w:tblPr>
        <w:tblW w:w="9072" w:type="dxa"/>
        <w:tblCellMar>
          <w:left w:w="70" w:type="dxa"/>
          <w:right w:w="70" w:type="dxa"/>
        </w:tblCellMar>
        <w:tblLook w:val="04A0" w:firstRow="1" w:lastRow="0" w:firstColumn="1" w:lastColumn="0" w:noHBand="0" w:noVBand="1"/>
      </w:tblPr>
      <w:tblGrid>
        <w:gridCol w:w="4012"/>
        <w:gridCol w:w="1265"/>
        <w:gridCol w:w="1265"/>
        <w:gridCol w:w="1265"/>
        <w:gridCol w:w="1265"/>
      </w:tblGrid>
      <w:tr w:rsidR="003B6DBC" w:rsidRPr="007E7835" w14:paraId="31BC48EB" w14:textId="77777777" w:rsidTr="00B1370C">
        <w:trPr>
          <w:trHeight w:val="208"/>
        </w:trPr>
        <w:tc>
          <w:tcPr>
            <w:tcW w:w="2212" w:type="pct"/>
            <w:tcBorders>
              <w:top w:val="single" w:sz="4" w:space="0" w:color="auto"/>
              <w:left w:val="nil"/>
              <w:bottom w:val="nil"/>
              <w:right w:val="nil"/>
            </w:tcBorders>
            <w:shd w:val="clear" w:color="auto" w:fill="auto"/>
            <w:noWrap/>
            <w:vAlign w:val="center"/>
            <w:hideMark/>
          </w:tcPr>
          <w:p w14:paraId="6747AFD4" w14:textId="77777777" w:rsidR="003B6DBC" w:rsidRPr="007E7835" w:rsidRDefault="003B6DBC" w:rsidP="00807D98">
            <w:pPr>
              <w:pBdr>
                <w:top w:val="none" w:sz="0" w:space="0" w:color="auto"/>
                <w:left w:val="none" w:sz="0" w:space="0" w:color="auto"/>
                <w:bottom w:val="none" w:sz="0" w:space="0" w:color="auto"/>
                <w:right w:val="none" w:sz="0" w:space="0" w:color="auto"/>
                <w:between w:val="none" w:sz="0" w:space="0" w:color="auto"/>
                <w:bar w:val="none" w:sz="0" w:color="auto"/>
              </w:pBdr>
              <w:jc w:val="both"/>
              <w:outlineLvl w:val="9"/>
              <w:rPr>
                <w:rFonts w:eastAsia="Times New Roman"/>
                <w:b/>
                <w:bCs/>
                <w:sz w:val="16"/>
                <w:szCs w:val="16"/>
                <w:bdr w:val="none" w:sz="0" w:space="0" w:color="auto"/>
                <w:lang w:eastAsia="es-ES"/>
              </w:rPr>
            </w:pPr>
            <w:r w:rsidRPr="007E7835">
              <w:rPr>
                <w:rFonts w:eastAsia="Times New Roman"/>
                <w:b/>
                <w:bCs/>
                <w:sz w:val="16"/>
                <w:szCs w:val="16"/>
                <w:bdr w:val="none" w:sz="0" w:space="0" w:color="auto"/>
                <w:lang w:eastAsia="es-ES"/>
              </w:rPr>
              <w:t> </w:t>
            </w:r>
          </w:p>
        </w:tc>
        <w:tc>
          <w:tcPr>
            <w:tcW w:w="2788" w:type="pct"/>
            <w:gridSpan w:val="4"/>
            <w:tcBorders>
              <w:top w:val="single" w:sz="4" w:space="0" w:color="auto"/>
              <w:left w:val="nil"/>
              <w:bottom w:val="nil"/>
              <w:right w:val="nil"/>
            </w:tcBorders>
            <w:shd w:val="clear" w:color="auto" w:fill="auto"/>
            <w:vAlign w:val="bottom"/>
            <w:hideMark/>
          </w:tcPr>
          <w:p w14:paraId="443148A2" w14:textId="77777777" w:rsidR="003B6DBC" w:rsidRPr="007E7835" w:rsidRDefault="003B6DBC" w:rsidP="00F50518">
            <w:pPr>
              <w:pBdr>
                <w:top w:val="none" w:sz="0" w:space="0" w:color="auto"/>
                <w:left w:val="none" w:sz="0" w:space="0" w:color="auto"/>
                <w:bottom w:val="none" w:sz="0" w:space="0" w:color="auto"/>
                <w:right w:val="none" w:sz="0" w:space="0" w:color="auto"/>
                <w:between w:val="none" w:sz="0" w:space="0" w:color="auto"/>
                <w:bar w:val="none" w:sz="0" w:color="auto"/>
              </w:pBdr>
              <w:jc w:val="center"/>
              <w:outlineLvl w:val="9"/>
              <w:rPr>
                <w:rFonts w:eastAsia="Times New Roman"/>
                <w:b/>
                <w:bCs/>
                <w:sz w:val="16"/>
                <w:szCs w:val="16"/>
                <w:bdr w:val="none" w:sz="0" w:space="0" w:color="auto"/>
                <w:lang w:eastAsia="es-ES"/>
              </w:rPr>
            </w:pPr>
            <w:r w:rsidRPr="007E7835">
              <w:rPr>
                <w:rFonts w:eastAsia="Times New Roman"/>
                <w:b/>
                <w:bCs/>
                <w:sz w:val="16"/>
                <w:szCs w:val="16"/>
                <w:bdr w:val="none" w:sz="0" w:space="0" w:color="auto"/>
                <w:lang w:eastAsia="es-ES"/>
              </w:rPr>
              <w:t>Euros</w:t>
            </w:r>
          </w:p>
        </w:tc>
      </w:tr>
      <w:tr w:rsidR="00807D98" w:rsidRPr="007E7835" w14:paraId="437931FF" w14:textId="77777777" w:rsidTr="00B1370C">
        <w:trPr>
          <w:trHeight w:val="418"/>
        </w:trPr>
        <w:tc>
          <w:tcPr>
            <w:tcW w:w="2212" w:type="pct"/>
            <w:tcBorders>
              <w:top w:val="nil"/>
              <w:left w:val="nil"/>
              <w:bottom w:val="single" w:sz="4" w:space="0" w:color="auto"/>
              <w:right w:val="nil"/>
            </w:tcBorders>
            <w:shd w:val="clear" w:color="auto" w:fill="auto"/>
            <w:noWrap/>
            <w:vAlign w:val="center"/>
            <w:hideMark/>
          </w:tcPr>
          <w:p w14:paraId="1F461F96" w14:textId="77777777" w:rsidR="003B6DBC" w:rsidRPr="007E7835" w:rsidRDefault="003B6DBC" w:rsidP="00807D98">
            <w:pPr>
              <w:pBdr>
                <w:top w:val="none" w:sz="0" w:space="0" w:color="auto"/>
                <w:left w:val="none" w:sz="0" w:space="0" w:color="auto"/>
                <w:bottom w:val="none" w:sz="0" w:space="0" w:color="auto"/>
                <w:right w:val="none" w:sz="0" w:space="0" w:color="auto"/>
                <w:between w:val="none" w:sz="0" w:space="0" w:color="auto"/>
                <w:bar w:val="none" w:sz="0" w:color="auto"/>
              </w:pBdr>
              <w:outlineLvl w:val="9"/>
              <w:rPr>
                <w:rFonts w:eastAsia="Times New Roman"/>
                <w:b/>
                <w:bCs/>
                <w:sz w:val="16"/>
                <w:szCs w:val="16"/>
                <w:bdr w:val="none" w:sz="0" w:space="0" w:color="auto"/>
                <w:lang w:eastAsia="es-ES"/>
              </w:rPr>
            </w:pPr>
            <w:r w:rsidRPr="007E7835">
              <w:rPr>
                <w:rFonts w:eastAsia="Times New Roman"/>
                <w:b/>
                <w:bCs/>
                <w:sz w:val="16"/>
                <w:szCs w:val="16"/>
                <w:bdr w:val="none" w:sz="0" w:space="0" w:color="auto"/>
                <w:lang w:eastAsia="es-ES"/>
              </w:rPr>
              <w:t> </w:t>
            </w:r>
          </w:p>
        </w:tc>
        <w:tc>
          <w:tcPr>
            <w:tcW w:w="697" w:type="pct"/>
            <w:tcBorders>
              <w:top w:val="single" w:sz="4" w:space="0" w:color="auto"/>
              <w:left w:val="nil"/>
              <w:bottom w:val="single" w:sz="4" w:space="0" w:color="auto"/>
              <w:right w:val="nil"/>
            </w:tcBorders>
            <w:shd w:val="clear" w:color="auto" w:fill="auto"/>
            <w:vAlign w:val="bottom"/>
            <w:hideMark/>
          </w:tcPr>
          <w:p w14:paraId="60368A84" w14:textId="1B48DBA3" w:rsidR="003B6DBC" w:rsidRPr="007E7835" w:rsidRDefault="003B6DBC" w:rsidP="00F50518">
            <w:pPr>
              <w:pBdr>
                <w:top w:val="none" w:sz="0" w:space="0" w:color="auto"/>
                <w:left w:val="none" w:sz="0" w:space="0" w:color="auto"/>
                <w:bottom w:val="none" w:sz="0" w:space="0" w:color="auto"/>
                <w:right w:val="none" w:sz="0" w:space="0" w:color="auto"/>
                <w:between w:val="none" w:sz="0" w:space="0" w:color="auto"/>
                <w:bar w:val="none" w:sz="0" w:color="auto"/>
              </w:pBdr>
              <w:jc w:val="center"/>
              <w:outlineLvl w:val="9"/>
              <w:rPr>
                <w:rFonts w:eastAsia="Times New Roman"/>
                <w:b/>
                <w:bCs/>
                <w:sz w:val="16"/>
                <w:szCs w:val="16"/>
                <w:bdr w:val="none" w:sz="0" w:space="0" w:color="auto"/>
                <w:lang w:eastAsia="es-ES"/>
              </w:rPr>
            </w:pPr>
            <w:r w:rsidRPr="007E7835">
              <w:rPr>
                <w:rFonts w:eastAsia="Times New Roman"/>
                <w:b/>
                <w:bCs/>
                <w:sz w:val="16"/>
                <w:szCs w:val="16"/>
                <w:bdr w:val="none" w:sz="0" w:space="0" w:color="auto"/>
                <w:lang w:eastAsia="es-ES"/>
              </w:rPr>
              <w:t xml:space="preserve">Saldo al </w:t>
            </w:r>
            <w:r w:rsidR="00431141">
              <w:rPr>
                <w:rFonts w:eastAsia="Times New Roman"/>
                <w:b/>
                <w:bCs/>
                <w:sz w:val="16"/>
                <w:szCs w:val="16"/>
                <w:bdr w:val="none" w:sz="0" w:space="0" w:color="auto"/>
                <w:lang w:eastAsia="es-ES"/>
              </w:rPr>
              <w:t>01/01/2023</w:t>
            </w:r>
          </w:p>
        </w:tc>
        <w:tc>
          <w:tcPr>
            <w:tcW w:w="697" w:type="pct"/>
            <w:tcBorders>
              <w:top w:val="single" w:sz="4" w:space="0" w:color="auto"/>
              <w:left w:val="nil"/>
              <w:bottom w:val="single" w:sz="4" w:space="0" w:color="auto"/>
              <w:right w:val="nil"/>
            </w:tcBorders>
            <w:shd w:val="clear" w:color="auto" w:fill="auto"/>
            <w:vAlign w:val="bottom"/>
            <w:hideMark/>
          </w:tcPr>
          <w:p w14:paraId="276CDFAB" w14:textId="77777777" w:rsidR="003B6DBC" w:rsidRPr="007E7835" w:rsidRDefault="003B6DBC" w:rsidP="00F50518">
            <w:pPr>
              <w:pBdr>
                <w:top w:val="none" w:sz="0" w:space="0" w:color="auto"/>
                <w:left w:val="none" w:sz="0" w:space="0" w:color="auto"/>
                <w:bottom w:val="none" w:sz="0" w:space="0" w:color="auto"/>
                <w:right w:val="none" w:sz="0" w:space="0" w:color="auto"/>
                <w:between w:val="none" w:sz="0" w:space="0" w:color="auto"/>
                <w:bar w:val="none" w:sz="0" w:color="auto"/>
              </w:pBdr>
              <w:jc w:val="center"/>
              <w:outlineLvl w:val="9"/>
              <w:rPr>
                <w:rFonts w:eastAsia="Times New Roman"/>
                <w:b/>
                <w:bCs/>
                <w:sz w:val="16"/>
                <w:szCs w:val="16"/>
                <w:bdr w:val="none" w:sz="0" w:space="0" w:color="auto"/>
                <w:lang w:eastAsia="es-ES"/>
              </w:rPr>
            </w:pPr>
            <w:r w:rsidRPr="007E7835">
              <w:rPr>
                <w:rFonts w:eastAsia="Times New Roman"/>
                <w:b/>
                <w:bCs/>
                <w:sz w:val="16"/>
                <w:szCs w:val="16"/>
                <w:bdr w:val="none" w:sz="0" w:space="0" w:color="auto"/>
                <w:lang w:eastAsia="es-ES"/>
              </w:rPr>
              <w:t>Altas</w:t>
            </w:r>
          </w:p>
        </w:tc>
        <w:tc>
          <w:tcPr>
            <w:tcW w:w="697" w:type="pct"/>
            <w:tcBorders>
              <w:top w:val="single" w:sz="4" w:space="0" w:color="auto"/>
              <w:left w:val="nil"/>
              <w:bottom w:val="single" w:sz="4" w:space="0" w:color="auto"/>
              <w:right w:val="nil"/>
            </w:tcBorders>
            <w:shd w:val="clear" w:color="auto" w:fill="auto"/>
            <w:vAlign w:val="bottom"/>
            <w:hideMark/>
          </w:tcPr>
          <w:p w14:paraId="16CD6450" w14:textId="376307BE" w:rsidR="003B6DBC" w:rsidRPr="007E7835" w:rsidRDefault="00104A40" w:rsidP="00F50518">
            <w:pPr>
              <w:pBdr>
                <w:top w:val="none" w:sz="0" w:space="0" w:color="auto"/>
                <w:left w:val="none" w:sz="0" w:space="0" w:color="auto"/>
                <w:bottom w:val="none" w:sz="0" w:space="0" w:color="auto"/>
                <w:right w:val="none" w:sz="0" w:space="0" w:color="auto"/>
                <w:between w:val="none" w:sz="0" w:space="0" w:color="auto"/>
                <w:bar w:val="none" w:sz="0" w:color="auto"/>
              </w:pBdr>
              <w:jc w:val="center"/>
              <w:outlineLvl w:val="9"/>
              <w:rPr>
                <w:rFonts w:eastAsia="Times New Roman"/>
                <w:b/>
                <w:bCs/>
                <w:sz w:val="16"/>
                <w:szCs w:val="16"/>
                <w:bdr w:val="none" w:sz="0" w:space="0" w:color="auto"/>
                <w:lang w:eastAsia="es-ES"/>
              </w:rPr>
            </w:pPr>
            <w:r>
              <w:rPr>
                <w:rFonts w:eastAsia="Times New Roman"/>
                <w:b/>
                <w:bCs/>
                <w:sz w:val="16"/>
                <w:szCs w:val="16"/>
                <w:bdr w:val="none" w:sz="0" w:space="0" w:color="auto"/>
                <w:lang w:eastAsia="es-ES"/>
              </w:rPr>
              <w:t>Bajas</w:t>
            </w:r>
          </w:p>
        </w:tc>
        <w:tc>
          <w:tcPr>
            <w:tcW w:w="697" w:type="pct"/>
            <w:tcBorders>
              <w:top w:val="single" w:sz="4" w:space="0" w:color="auto"/>
              <w:left w:val="nil"/>
              <w:bottom w:val="single" w:sz="4" w:space="0" w:color="auto"/>
              <w:right w:val="nil"/>
            </w:tcBorders>
            <w:shd w:val="clear" w:color="auto" w:fill="auto"/>
            <w:vAlign w:val="bottom"/>
            <w:hideMark/>
          </w:tcPr>
          <w:p w14:paraId="608E0596" w14:textId="75884984" w:rsidR="003B6DBC" w:rsidRPr="007E7835" w:rsidRDefault="003B6DBC" w:rsidP="00F50518">
            <w:pPr>
              <w:pBdr>
                <w:top w:val="none" w:sz="0" w:space="0" w:color="auto"/>
                <w:left w:val="none" w:sz="0" w:space="0" w:color="auto"/>
                <w:bottom w:val="none" w:sz="0" w:space="0" w:color="auto"/>
                <w:right w:val="none" w:sz="0" w:space="0" w:color="auto"/>
                <w:between w:val="none" w:sz="0" w:space="0" w:color="auto"/>
                <w:bar w:val="none" w:sz="0" w:color="auto"/>
              </w:pBdr>
              <w:jc w:val="center"/>
              <w:outlineLvl w:val="9"/>
              <w:rPr>
                <w:rFonts w:eastAsia="Times New Roman"/>
                <w:b/>
                <w:bCs/>
                <w:sz w:val="16"/>
                <w:szCs w:val="16"/>
                <w:bdr w:val="none" w:sz="0" w:space="0" w:color="auto"/>
                <w:lang w:eastAsia="es-ES"/>
              </w:rPr>
            </w:pPr>
            <w:r w:rsidRPr="007E7835">
              <w:rPr>
                <w:rFonts w:eastAsia="Times New Roman"/>
                <w:b/>
                <w:bCs/>
                <w:sz w:val="16"/>
                <w:szCs w:val="16"/>
                <w:bdr w:val="none" w:sz="0" w:space="0" w:color="auto"/>
                <w:lang w:eastAsia="es-ES"/>
              </w:rPr>
              <w:t>Saldo al 31/12/202</w:t>
            </w:r>
            <w:r w:rsidR="00DF0182">
              <w:rPr>
                <w:rFonts w:eastAsia="Times New Roman"/>
                <w:b/>
                <w:bCs/>
                <w:sz w:val="16"/>
                <w:szCs w:val="16"/>
                <w:bdr w:val="none" w:sz="0" w:space="0" w:color="auto"/>
                <w:lang w:eastAsia="es-ES"/>
              </w:rPr>
              <w:t>3</w:t>
            </w:r>
          </w:p>
        </w:tc>
      </w:tr>
      <w:tr w:rsidR="00807D98" w:rsidRPr="007E7835" w14:paraId="12D897A7" w14:textId="77777777" w:rsidTr="00B1370C">
        <w:trPr>
          <w:trHeight w:val="274"/>
        </w:trPr>
        <w:tc>
          <w:tcPr>
            <w:tcW w:w="2212" w:type="pct"/>
            <w:tcBorders>
              <w:top w:val="nil"/>
              <w:left w:val="nil"/>
              <w:bottom w:val="nil"/>
              <w:right w:val="nil"/>
            </w:tcBorders>
            <w:shd w:val="clear" w:color="auto" w:fill="auto"/>
            <w:noWrap/>
            <w:vAlign w:val="center"/>
            <w:hideMark/>
          </w:tcPr>
          <w:p w14:paraId="1B7FC9B2" w14:textId="77777777" w:rsidR="003B6DBC" w:rsidRPr="007E7835" w:rsidRDefault="003B6DBC" w:rsidP="00F50518">
            <w:pPr>
              <w:pBdr>
                <w:top w:val="none" w:sz="0" w:space="0" w:color="auto"/>
                <w:left w:val="none" w:sz="0" w:space="0" w:color="auto"/>
                <w:bottom w:val="none" w:sz="0" w:space="0" w:color="auto"/>
                <w:right w:val="none" w:sz="0" w:space="0" w:color="auto"/>
                <w:between w:val="none" w:sz="0" w:space="0" w:color="auto"/>
                <w:bar w:val="none" w:sz="0" w:color="auto"/>
              </w:pBdr>
              <w:outlineLvl w:val="9"/>
              <w:rPr>
                <w:rFonts w:eastAsia="Times New Roman"/>
                <w:b/>
                <w:bCs/>
                <w:sz w:val="16"/>
                <w:szCs w:val="16"/>
                <w:bdr w:val="none" w:sz="0" w:space="0" w:color="auto"/>
                <w:lang w:eastAsia="es-ES"/>
              </w:rPr>
            </w:pPr>
            <w:r w:rsidRPr="007E7835">
              <w:rPr>
                <w:rFonts w:eastAsia="Times New Roman"/>
                <w:b/>
                <w:bCs/>
                <w:sz w:val="16"/>
                <w:szCs w:val="16"/>
                <w:bdr w:val="none" w:sz="0" w:space="0" w:color="auto"/>
                <w:lang w:eastAsia="es-ES"/>
              </w:rPr>
              <w:t>Coste</w:t>
            </w:r>
          </w:p>
        </w:tc>
        <w:tc>
          <w:tcPr>
            <w:tcW w:w="697" w:type="pct"/>
            <w:tcBorders>
              <w:top w:val="nil"/>
              <w:left w:val="nil"/>
              <w:bottom w:val="nil"/>
              <w:right w:val="nil"/>
            </w:tcBorders>
            <w:shd w:val="clear" w:color="auto" w:fill="auto"/>
            <w:vAlign w:val="center"/>
            <w:hideMark/>
          </w:tcPr>
          <w:p w14:paraId="10698523" w14:textId="77777777" w:rsidR="003B6DBC" w:rsidRPr="007E7835" w:rsidRDefault="003B6DBC" w:rsidP="00F50518">
            <w:pPr>
              <w:pBdr>
                <w:top w:val="none" w:sz="0" w:space="0" w:color="auto"/>
                <w:left w:val="none" w:sz="0" w:space="0" w:color="auto"/>
                <w:bottom w:val="none" w:sz="0" w:space="0" w:color="auto"/>
                <w:right w:val="none" w:sz="0" w:space="0" w:color="auto"/>
                <w:between w:val="none" w:sz="0" w:space="0" w:color="auto"/>
                <w:bar w:val="none" w:sz="0" w:color="auto"/>
              </w:pBdr>
              <w:jc w:val="right"/>
              <w:outlineLvl w:val="9"/>
              <w:rPr>
                <w:rFonts w:eastAsia="Times New Roman"/>
                <w:b/>
                <w:bCs/>
                <w:sz w:val="16"/>
                <w:szCs w:val="16"/>
                <w:bdr w:val="none" w:sz="0" w:space="0" w:color="auto"/>
                <w:lang w:eastAsia="es-ES"/>
              </w:rPr>
            </w:pPr>
          </w:p>
        </w:tc>
        <w:tc>
          <w:tcPr>
            <w:tcW w:w="697" w:type="pct"/>
            <w:tcBorders>
              <w:top w:val="nil"/>
              <w:left w:val="nil"/>
              <w:bottom w:val="nil"/>
              <w:right w:val="nil"/>
            </w:tcBorders>
            <w:shd w:val="clear" w:color="auto" w:fill="auto"/>
            <w:vAlign w:val="center"/>
            <w:hideMark/>
          </w:tcPr>
          <w:p w14:paraId="3B255087" w14:textId="77777777" w:rsidR="003B6DBC" w:rsidRPr="007E7835" w:rsidRDefault="003B6DBC" w:rsidP="00F50518">
            <w:pPr>
              <w:pBdr>
                <w:top w:val="none" w:sz="0" w:space="0" w:color="auto"/>
                <w:left w:val="none" w:sz="0" w:space="0" w:color="auto"/>
                <w:bottom w:val="none" w:sz="0" w:space="0" w:color="auto"/>
                <w:right w:val="none" w:sz="0" w:space="0" w:color="auto"/>
                <w:between w:val="none" w:sz="0" w:space="0" w:color="auto"/>
                <w:bar w:val="none" w:sz="0" w:color="auto"/>
              </w:pBdr>
              <w:jc w:val="right"/>
              <w:outlineLvl w:val="9"/>
              <w:rPr>
                <w:rFonts w:eastAsia="Times New Roman"/>
                <w:color w:val="auto"/>
                <w:sz w:val="16"/>
                <w:szCs w:val="16"/>
                <w:bdr w:val="none" w:sz="0" w:space="0" w:color="auto"/>
                <w:lang w:eastAsia="es-ES"/>
              </w:rPr>
            </w:pPr>
          </w:p>
        </w:tc>
        <w:tc>
          <w:tcPr>
            <w:tcW w:w="697" w:type="pct"/>
            <w:tcBorders>
              <w:top w:val="nil"/>
              <w:left w:val="nil"/>
              <w:bottom w:val="nil"/>
              <w:right w:val="nil"/>
            </w:tcBorders>
            <w:shd w:val="clear" w:color="auto" w:fill="auto"/>
            <w:vAlign w:val="center"/>
            <w:hideMark/>
          </w:tcPr>
          <w:p w14:paraId="218F2974" w14:textId="77777777" w:rsidR="003B6DBC" w:rsidRPr="007E7835" w:rsidRDefault="003B6DBC" w:rsidP="00F50518">
            <w:pPr>
              <w:pBdr>
                <w:top w:val="none" w:sz="0" w:space="0" w:color="auto"/>
                <w:left w:val="none" w:sz="0" w:space="0" w:color="auto"/>
                <w:bottom w:val="none" w:sz="0" w:space="0" w:color="auto"/>
                <w:right w:val="none" w:sz="0" w:space="0" w:color="auto"/>
                <w:between w:val="none" w:sz="0" w:space="0" w:color="auto"/>
                <w:bar w:val="none" w:sz="0" w:color="auto"/>
              </w:pBdr>
              <w:jc w:val="right"/>
              <w:outlineLvl w:val="9"/>
              <w:rPr>
                <w:rFonts w:eastAsia="Times New Roman"/>
                <w:color w:val="auto"/>
                <w:sz w:val="16"/>
                <w:szCs w:val="16"/>
                <w:bdr w:val="none" w:sz="0" w:space="0" w:color="auto"/>
                <w:lang w:eastAsia="es-ES"/>
              </w:rPr>
            </w:pPr>
          </w:p>
        </w:tc>
        <w:tc>
          <w:tcPr>
            <w:tcW w:w="697" w:type="pct"/>
            <w:tcBorders>
              <w:top w:val="nil"/>
              <w:left w:val="nil"/>
              <w:bottom w:val="nil"/>
              <w:right w:val="nil"/>
            </w:tcBorders>
            <w:shd w:val="clear" w:color="auto" w:fill="auto"/>
            <w:noWrap/>
            <w:vAlign w:val="center"/>
            <w:hideMark/>
          </w:tcPr>
          <w:p w14:paraId="0C361BE3" w14:textId="77777777" w:rsidR="003B6DBC" w:rsidRPr="007E7835" w:rsidRDefault="003B6DBC" w:rsidP="00F50518">
            <w:pPr>
              <w:pBdr>
                <w:top w:val="none" w:sz="0" w:space="0" w:color="auto"/>
                <w:left w:val="none" w:sz="0" w:space="0" w:color="auto"/>
                <w:bottom w:val="none" w:sz="0" w:space="0" w:color="auto"/>
                <w:right w:val="none" w:sz="0" w:space="0" w:color="auto"/>
                <w:between w:val="none" w:sz="0" w:space="0" w:color="auto"/>
                <w:bar w:val="none" w:sz="0" w:color="auto"/>
              </w:pBdr>
              <w:jc w:val="right"/>
              <w:outlineLvl w:val="9"/>
              <w:rPr>
                <w:rFonts w:eastAsia="Times New Roman"/>
                <w:color w:val="auto"/>
                <w:sz w:val="16"/>
                <w:szCs w:val="16"/>
                <w:bdr w:val="none" w:sz="0" w:space="0" w:color="auto"/>
                <w:lang w:eastAsia="es-ES"/>
              </w:rPr>
            </w:pPr>
          </w:p>
        </w:tc>
      </w:tr>
      <w:tr w:rsidR="00585227" w:rsidRPr="007E7835" w14:paraId="3D2AD21E" w14:textId="77777777" w:rsidTr="00B1370C">
        <w:trPr>
          <w:trHeight w:val="283"/>
        </w:trPr>
        <w:tc>
          <w:tcPr>
            <w:tcW w:w="2212" w:type="pct"/>
            <w:tcBorders>
              <w:top w:val="nil"/>
              <w:left w:val="nil"/>
              <w:bottom w:val="nil"/>
              <w:right w:val="nil"/>
            </w:tcBorders>
            <w:shd w:val="clear" w:color="auto" w:fill="auto"/>
            <w:noWrap/>
            <w:vAlign w:val="center"/>
            <w:hideMark/>
          </w:tcPr>
          <w:p w14:paraId="1A3EA063" w14:textId="77777777" w:rsidR="00585227" w:rsidRPr="007E7835" w:rsidRDefault="00585227" w:rsidP="00585227">
            <w:pPr>
              <w:pBdr>
                <w:top w:val="none" w:sz="0" w:space="0" w:color="auto"/>
                <w:left w:val="none" w:sz="0" w:space="0" w:color="auto"/>
                <w:bottom w:val="none" w:sz="0" w:space="0" w:color="auto"/>
                <w:right w:val="none" w:sz="0" w:space="0" w:color="auto"/>
                <w:between w:val="none" w:sz="0" w:space="0" w:color="auto"/>
                <w:bar w:val="none" w:sz="0" w:color="auto"/>
              </w:pBdr>
              <w:outlineLvl w:val="9"/>
              <w:rPr>
                <w:rFonts w:eastAsia="Times New Roman"/>
                <w:sz w:val="16"/>
                <w:szCs w:val="16"/>
                <w:bdr w:val="none" w:sz="0" w:space="0" w:color="auto"/>
                <w:lang w:eastAsia="es-ES"/>
              </w:rPr>
            </w:pPr>
            <w:r w:rsidRPr="007E7835">
              <w:rPr>
                <w:rFonts w:eastAsia="Times New Roman"/>
                <w:sz w:val="16"/>
                <w:szCs w:val="16"/>
                <w:bdr w:val="none" w:sz="0" w:space="0" w:color="auto"/>
                <w:lang w:eastAsia="es-ES"/>
              </w:rPr>
              <w:t>Concesiones, patentes, licencias, marcas y similares</w:t>
            </w:r>
          </w:p>
        </w:tc>
        <w:tc>
          <w:tcPr>
            <w:tcW w:w="697" w:type="pct"/>
            <w:tcBorders>
              <w:top w:val="nil"/>
              <w:left w:val="nil"/>
              <w:right w:val="nil"/>
            </w:tcBorders>
            <w:shd w:val="clear" w:color="auto" w:fill="auto"/>
            <w:noWrap/>
            <w:vAlign w:val="center"/>
            <w:hideMark/>
          </w:tcPr>
          <w:p w14:paraId="6F9BAAB6" w14:textId="3900C8D2" w:rsidR="00585227" w:rsidRPr="00585227" w:rsidRDefault="00585227" w:rsidP="00585227">
            <w:pPr>
              <w:pBdr>
                <w:top w:val="none" w:sz="0" w:space="0" w:color="auto"/>
                <w:left w:val="none" w:sz="0" w:space="0" w:color="auto"/>
                <w:bottom w:val="none" w:sz="0" w:space="0" w:color="auto"/>
                <w:right w:val="none" w:sz="0" w:space="0" w:color="auto"/>
                <w:between w:val="none" w:sz="0" w:space="0" w:color="auto"/>
                <w:bar w:val="none" w:sz="0" w:color="auto"/>
              </w:pBdr>
              <w:jc w:val="right"/>
              <w:outlineLvl w:val="9"/>
              <w:rPr>
                <w:rFonts w:eastAsia="Times New Roman"/>
                <w:sz w:val="16"/>
                <w:szCs w:val="16"/>
                <w:bdr w:val="none" w:sz="0" w:space="0" w:color="auto"/>
                <w:lang w:eastAsia="es-ES"/>
              </w:rPr>
            </w:pPr>
            <w:r w:rsidRPr="00585227">
              <w:rPr>
                <w:rFonts w:eastAsia="Times New Roman"/>
                <w:sz w:val="16"/>
                <w:szCs w:val="16"/>
                <w:bdr w:val="none" w:sz="0" w:space="0" w:color="auto"/>
                <w:lang w:eastAsia="es-ES"/>
              </w:rPr>
              <w:t xml:space="preserve">5.742,87   </w:t>
            </w:r>
          </w:p>
        </w:tc>
        <w:tc>
          <w:tcPr>
            <w:tcW w:w="697" w:type="pct"/>
            <w:tcBorders>
              <w:top w:val="nil"/>
              <w:left w:val="nil"/>
              <w:right w:val="nil"/>
            </w:tcBorders>
            <w:shd w:val="clear" w:color="auto" w:fill="auto"/>
            <w:noWrap/>
            <w:vAlign w:val="center"/>
          </w:tcPr>
          <w:p w14:paraId="41F10386" w14:textId="7E0FB524" w:rsidR="00585227" w:rsidRPr="00585227" w:rsidRDefault="00EC15AF" w:rsidP="00585227">
            <w:pPr>
              <w:pBdr>
                <w:top w:val="none" w:sz="0" w:space="0" w:color="auto"/>
                <w:left w:val="none" w:sz="0" w:space="0" w:color="auto"/>
                <w:bottom w:val="none" w:sz="0" w:space="0" w:color="auto"/>
                <w:right w:val="none" w:sz="0" w:space="0" w:color="auto"/>
                <w:between w:val="none" w:sz="0" w:space="0" w:color="auto"/>
                <w:bar w:val="none" w:sz="0" w:color="auto"/>
              </w:pBdr>
              <w:jc w:val="right"/>
              <w:outlineLvl w:val="9"/>
              <w:rPr>
                <w:rFonts w:eastAsia="Times New Roman"/>
                <w:sz w:val="16"/>
                <w:szCs w:val="16"/>
                <w:bdr w:val="none" w:sz="0" w:space="0" w:color="auto"/>
                <w:lang w:eastAsia="es-ES"/>
              </w:rPr>
            </w:pPr>
            <w:r>
              <w:rPr>
                <w:rFonts w:eastAsia="Times New Roman"/>
                <w:sz w:val="16"/>
                <w:szCs w:val="16"/>
                <w:bdr w:val="none" w:sz="0" w:space="0" w:color="auto"/>
                <w:lang w:eastAsia="es-ES"/>
              </w:rPr>
              <w:t>-</w:t>
            </w:r>
          </w:p>
        </w:tc>
        <w:tc>
          <w:tcPr>
            <w:tcW w:w="697" w:type="pct"/>
            <w:tcBorders>
              <w:top w:val="nil"/>
              <w:left w:val="nil"/>
              <w:right w:val="nil"/>
            </w:tcBorders>
            <w:shd w:val="clear" w:color="auto" w:fill="auto"/>
            <w:noWrap/>
            <w:vAlign w:val="center"/>
          </w:tcPr>
          <w:p w14:paraId="56210BD0" w14:textId="7E21647C" w:rsidR="00585227" w:rsidRPr="00585227" w:rsidRDefault="00EC15AF" w:rsidP="00585227">
            <w:pPr>
              <w:pBdr>
                <w:top w:val="none" w:sz="0" w:space="0" w:color="auto"/>
                <w:left w:val="none" w:sz="0" w:space="0" w:color="auto"/>
                <w:bottom w:val="none" w:sz="0" w:space="0" w:color="auto"/>
                <w:right w:val="none" w:sz="0" w:space="0" w:color="auto"/>
                <w:between w:val="none" w:sz="0" w:space="0" w:color="auto"/>
                <w:bar w:val="none" w:sz="0" w:color="auto"/>
              </w:pBdr>
              <w:jc w:val="right"/>
              <w:outlineLvl w:val="9"/>
              <w:rPr>
                <w:rFonts w:eastAsia="Times New Roman"/>
                <w:sz w:val="16"/>
                <w:szCs w:val="16"/>
                <w:bdr w:val="none" w:sz="0" w:space="0" w:color="auto"/>
                <w:lang w:eastAsia="es-ES"/>
              </w:rPr>
            </w:pPr>
            <w:r>
              <w:rPr>
                <w:rFonts w:eastAsia="Times New Roman"/>
                <w:sz w:val="16"/>
                <w:szCs w:val="16"/>
                <w:bdr w:val="none" w:sz="0" w:space="0" w:color="auto"/>
                <w:lang w:eastAsia="es-ES"/>
              </w:rPr>
              <w:t>-</w:t>
            </w:r>
          </w:p>
        </w:tc>
        <w:tc>
          <w:tcPr>
            <w:tcW w:w="697" w:type="pct"/>
            <w:tcBorders>
              <w:top w:val="nil"/>
              <w:left w:val="nil"/>
              <w:bottom w:val="nil"/>
              <w:right w:val="nil"/>
            </w:tcBorders>
            <w:shd w:val="clear" w:color="auto" w:fill="auto"/>
            <w:noWrap/>
            <w:vAlign w:val="center"/>
          </w:tcPr>
          <w:p w14:paraId="4CCF0620" w14:textId="1113770E" w:rsidR="00585227" w:rsidRPr="00585227" w:rsidRDefault="00585227" w:rsidP="00585227">
            <w:pPr>
              <w:pBdr>
                <w:top w:val="none" w:sz="0" w:space="0" w:color="auto"/>
                <w:left w:val="none" w:sz="0" w:space="0" w:color="auto"/>
                <w:bottom w:val="none" w:sz="0" w:space="0" w:color="auto"/>
                <w:right w:val="none" w:sz="0" w:space="0" w:color="auto"/>
                <w:between w:val="none" w:sz="0" w:space="0" w:color="auto"/>
                <w:bar w:val="none" w:sz="0" w:color="auto"/>
              </w:pBdr>
              <w:jc w:val="right"/>
              <w:outlineLvl w:val="9"/>
              <w:rPr>
                <w:rFonts w:eastAsia="Times New Roman"/>
                <w:sz w:val="16"/>
                <w:szCs w:val="16"/>
                <w:bdr w:val="none" w:sz="0" w:space="0" w:color="auto"/>
                <w:lang w:eastAsia="es-ES"/>
              </w:rPr>
            </w:pPr>
            <w:r w:rsidRPr="00585227">
              <w:rPr>
                <w:rFonts w:eastAsia="Times New Roman"/>
                <w:sz w:val="16"/>
                <w:szCs w:val="16"/>
                <w:bdr w:val="none" w:sz="0" w:space="0" w:color="auto"/>
                <w:lang w:eastAsia="es-ES"/>
              </w:rPr>
              <w:t xml:space="preserve">5.742,87   </w:t>
            </w:r>
          </w:p>
        </w:tc>
      </w:tr>
      <w:tr w:rsidR="00585227" w:rsidRPr="007E7835" w14:paraId="7A2FDC15" w14:textId="77777777" w:rsidTr="00B1370C">
        <w:trPr>
          <w:trHeight w:val="283"/>
        </w:trPr>
        <w:tc>
          <w:tcPr>
            <w:tcW w:w="2212" w:type="pct"/>
            <w:tcBorders>
              <w:top w:val="nil"/>
              <w:left w:val="nil"/>
              <w:bottom w:val="nil"/>
              <w:right w:val="nil"/>
            </w:tcBorders>
            <w:shd w:val="clear" w:color="auto" w:fill="auto"/>
            <w:noWrap/>
            <w:vAlign w:val="center"/>
            <w:hideMark/>
          </w:tcPr>
          <w:p w14:paraId="2ECB903B" w14:textId="77777777" w:rsidR="00585227" w:rsidRPr="007E7835" w:rsidRDefault="00585227" w:rsidP="00585227">
            <w:pPr>
              <w:pBdr>
                <w:top w:val="none" w:sz="0" w:space="0" w:color="auto"/>
                <w:left w:val="none" w:sz="0" w:space="0" w:color="auto"/>
                <w:bottom w:val="none" w:sz="0" w:space="0" w:color="auto"/>
                <w:right w:val="none" w:sz="0" w:space="0" w:color="auto"/>
                <w:between w:val="none" w:sz="0" w:space="0" w:color="auto"/>
                <w:bar w:val="none" w:sz="0" w:color="auto"/>
              </w:pBdr>
              <w:outlineLvl w:val="9"/>
              <w:rPr>
                <w:rFonts w:eastAsia="Times New Roman"/>
                <w:sz w:val="16"/>
                <w:szCs w:val="16"/>
                <w:bdr w:val="none" w:sz="0" w:space="0" w:color="auto"/>
                <w:lang w:eastAsia="es-ES"/>
              </w:rPr>
            </w:pPr>
            <w:r w:rsidRPr="007E7835">
              <w:rPr>
                <w:rFonts w:eastAsia="Times New Roman"/>
                <w:sz w:val="16"/>
                <w:szCs w:val="16"/>
                <w:bdr w:val="none" w:sz="0" w:space="0" w:color="auto"/>
                <w:lang w:eastAsia="es-ES"/>
              </w:rPr>
              <w:t>Aplicaciones informáticas</w:t>
            </w:r>
          </w:p>
        </w:tc>
        <w:tc>
          <w:tcPr>
            <w:tcW w:w="697" w:type="pct"/>
            <w:tcBorders>
              <w:top w:val="nil"/>
              <w:left w:val="nil"/>
              <w:bottom w:val="single" w:sz="4" w:space="0" w:color="auto"/>
              <w:right w:val="nil"/>
            </w:tcBorders>
            <w:shd w:val="clear" w:color="auto" w:fill="auto"/>
            <w:noWrap/>
            <w:vAlign w:val="center"/>
            <w:hideMark/>
          </w:tcPr>
          <w:p w14:paraId="5268FE46" w14:textId="18639AC8" w:rsidR="00585227" w:rsidRPr="00585227" w:rsidRDefault="00585227" w:rsidP="00585227">
            <w:pPr>
              <w:pBdr>
                <w:top w:val="none" w:sz="0" w:space="0" w:color="auto"/>
                <w:left w:val="none" w:sz="0" w:space="0" w:color="auto"/>
                <w:bottom w:val="none" w:sz="0" w:space="0" w:color="auto"/>
                <w:right w:val="none" w:sz="0" w:space="0" w:color="auto"/>
                <w:between w:val="none" w:sz="0" w:space="0" w:color="auto"/>
                <w:bar w:val="none" w:sz="0" w:color="auto"/>
              </w:pBdr>
              <w:jc w:val="right"/>
              <w:outlineLvl w:val="9"/>
              <w:rPr>
                <w:rFonts w:eastAsia="Times New Roman"/>
                <w:sz w:val="16"/>
                <w:szCs w:val="16"/>
                <w:bdr w:val="none" w:sz="0" w:space="0" w:color="auto"/>
                <w:lang w:eastAsia="es-ES"/>
              </w:rPr>
            </w:pPr>
            <w:r w:rsidRPr="00585227">
              <w:rPr>
                <w:rFonts w:eastAsia="Times New Roman"/>
                <w:sz w:val="16"/>
                <w:szCs w:val="16"/>
                <w:bdr w:val="none" w:sz="0" w:space="0" w:color="auto"/>
                <w:lang w:eastAsia="es-ES"/>
              </w:rPr>
              <w:t xml:space="preserve">218.238,98   </w:t>
            </w:r>
          </w:p>
        </w:tc>
        <w:tc>
          <w:tcPr>
            <w:tcW w:w="697" w:type="pct"/>
            <w:tcBorders>
              <w:top w:val="nil"/>
              <w:left w:val="nil"/>
              <w:bottom w:val="single" w:sz="4" w:space="0" w:color="auto"/>
              <w:right w:val="nil"/>
            </w:tcBorders>
            <w:shd w:val="clear" w:color="auto" w:fill="auto"/>
            <w:noWrap/>
            <w:vAlign w:val="center"/>
          </w:tcPr>
          <w:p w14:paraId="20EFB147" w14:textId="3BA517BF" w:rsidR="00585227" w:rsidRPr="00585227" w:rsidRDefault="00EC15AF" w:rsidP="00585227">
            <w:pPr>
              <w:pBdr>
                <w:top w:val="none" w:sz="0" w:space="0" w:color="auto"/>
                <w:left w:val="none" w:sz="0" w:space="0" w:color="auto"/>
                <w:bottom w:val="none" w:sz="0" w:space="0" w:color="auto"/>
                <w:right w:val="none" w:sz="0" w:space="0" w:color="auto"/>
                <w:between w:val="none" w:sz="0" w:space="0" w:color="auto"/>
                <w:bar w:val="none" w:sz="0" w:color="auto"/>
              </w:pBdr>
              <w:jc w:val="right"/>
              <w:outlineLvl w:val="9"/>
              <w:rPr>
                <w:rFonts w:eastAsia="Times New Roman"/>
                <w:sz w:val="16"/>
                <w:szCs w:val="16"/>
                <w:bdr w:val="none" w:sz="0" w:space="0" w:color="auto"/>
                <w:lang w:eastAsia="es-ES"/>
              </w:rPr>
            </w:pPr>
            <w:r>
              <w:rPr>
                <w:rFonts w:eastAsia="Times New Roman"/>
                <w:sz w:val="16"/>
                <w:szCs w:val="16"/>
                <w:bdr w:val="none" w:sz="0" w:space="0" w:color="auto"/>
                <w:lang w:eastAsia="es-ES"/>
              </w:rPr>
              <w:t>-</w:t>
            </w:r>
          </w:p>
        </w:tc>
        <w:tc>
          <w:tcPr>
            <w:tcW w:w="697" w:type="pct"/>
            <w:tcBorders>
              <w:top w:val="nil"/>
              <w:left w:val="nil"/>
              <w:bottom w:val="single" w:sz="4" w:space="0" w:color="auto"/>
              <w:right w:val="nil"/>
            </w:tcBorders>
            <w:shd w:val="clear" w:color="auto" w:fill="auto"/>
            <w:noWrap/>
            <w:vAlign w:val="center"/>
          </w:tcPr>
          <w:p w14:paraId="2670AF36" w14:textId="6218DD8F" w:rsidR="00585227" w:rsidRPr="00585227" w:rsidRDefault="00EC15AF" w:rsidP="00585227">
            <w:pPr>
              <w:pBdr>
                <w:top w:val="none" w:sz="0" w:space="0" w:color="auto"/>
                <w:left w:val="none" w:sz="0" w:space="0" w:color="auto"/>
                <w:bottom w:val="none" w:sz="0" w:space="0" w:color="auto"/>
                <w:right w:val="none" w:sz="0" w:space="0" w:color="auto"/>
                <w:between w:val="none" w:sz="0" w:space="0" w:color="auto"/>
                <w:bar w:val="none" w:sz="0" w:color="auto"/>
              </w:pBdr>
              <w:jc w:val="right"/>
              <w:outlineLvl w:val="9"/>
              <w:rPr>
                <w:rFonts w:eastAsia="Times New Roman"/>
                <w:sz w:val="16"/>
                <w:szCs w:val="16"/>
                <w:bdr w:val="none" w:sz="0" w:space="0" w:color="auto"/>
                <w:lang w:eastAsia="es-ES"/>
              </w:rPr>
            </w:pPr>
            <w:r>
              <w:rPr>
                <w:rFonts w:eastAsia="Times New Roman"/>
                <w:sz w:val="16"/>
                <w:szCs w:val="16"/>
                <w:bdr w:val="none" w:sz="0" w:space="0" w:color="auto"/>
                <w:lang w:eastAsia="es-ES"/>
              </w:rPr>
              <w:t>-</w:t>
            </w:r>
          </w:p>
        </w:tc>
        <w:tc>
          <w:tcPr>
            <w:tcW w:w="697" w:type="pct"/>
            <w:tcBorders>
              <w:top w:val="nil"/>
              <w:left w:val="nil"/>
              <w:bottom w:val="nil"/>
              <w:right w:val="nil"/>
            </w:tcBorders>
            <w:shd w:val="clear" w:color="auto" w:fill="auto"/>
            <w:noWrap/>
            <w:vAlign w:val="center"/>
          </w:tcPr>
          <w:p w14:paraId="4BFE69DB" w14:textId="34523570" w:rsidR="00585227" w:rsidRPr="00585227" w:rsidRDefault="00585227" w:rsidP="00585227">
            <w:pPr>
              <w:pBdr>
                <w:top w:val="none" w:sz="0" w:space="0" w:color="auto"/>
                <w:left w:val="none" w:sz="0" w:space="0" w:color="auto"/>
                <w:bottom w:val="none" w:sz="0" w:space="0" w:color="auto"/>
                <w:right w:val="none" w:sz="0" w:space="0" w:color="auto"/>
                <w:between w:val="none" w:sz="0" w:space="0" w:color="auto"/>
                <w:bar w:val="none" w:sz="0" w:color="auto"/>
              </w:pBdr>
              <w:jc w:val="right"/>
              <w:outlineLvl w:val="9"/>
              <w:rPr>
                <w:rFonts w:eastAsia="Times New Roman"/>
                <w:sz w:val="16"/>
                <w:szCs w:val="16"/>
                <w:bdr w:val="none" w:sz="0" w:space="0" w:color="auto"/>
                <w:lang w:eastAsia="es-ES"/>
              </w:rPr>
            </w:pPr>
            <w:r w:rsidRPr="00585227">
              <w:rPr>
                <w:rFonts w:eastAsia="Times New Roman"/>
                <w:sz w:val="16"/>
                <w:szCs w:val="16"/>
                <w:bdr w:val="none" w:sz="0" w:space="0" w:color="auto"/>
                <w:lang w:eastAsia="es-ES"/>
              </w:rPr>
              <w:t xml:space="preserve">218.238,98   </w:t>
            </w:r>
          </w:p>
        </w:tc>
      </w:tr>
      <w:tr w:rsidR="00585227" w:rsidRPr="007E7835" w14:paraId="0EB6090B" w14:textId="77777777" w:rsidTr="00B1370C">
        <w:trPr>
          <w:trHeight w:val="283"/>
        </w:trPr>
        <w:tc>
          <w:tcPr>
            <w:tcW w:w="2212" w:type="pct"/>
            <w:tcBorders>
              <w:top w:val="nil"/>
              <w:left w:val="nil"/>
              <w:bottom w:val="nil"/>
              <w:right w:val="nil"/>
            </w:tcBorders>
            <w:shd w:val="clear" w:color="auto" w:fill="auto"/>
            <w:noWrap/>
            <w:vAlign w:val="center"/>
            <w:hideMark/>
          </w:tcPr>
          <w:p w14:paraId="191B168E" w14:textId="77777777" w:rsidR="00585227" w:rsidRPr="007E7835" w:rsidRDefault="00585227" w:rsidP="00585227">
            <w:pPr>
              <w:pBdr>
                <w:top w:val="none" w:sz="0" w:space="0" w:color="auto"/>
                <w:left w:val="none" w:sz="0" w:space="0" w:color="auto"/>
                <w:bottom w:val="none" w:sz="0" w:space="0" w:color="auto"/>
                <w:right w:val="none" w:sz="0" w:space="0" w:color="auto"/>
                <w:between w:val="none" w:sz="0" w:space="0" w:color="auto"/>
                <w:bar w:val="none" w:sz="0" w:color="auto"/>
              </w:pBdr>
              <w:outlineLvl w:val="9"/>
              <w:rPr>
                <w:rFonts w:eastAsia="Times New Roman"/>
                <w:sz w:val="16"/>
                <w:szCs w:val="16"/>
                <w:bdr w:val="none" w:sz="0" w:space="0" w:color="auto"/>
                <w:lang w:eastAsia="es-ES"/>
              </w:rPr>
            </w:pPr>
          </w:p>
        </w:tc>
        <w:tc>
          <w:tcPr>
            <w:tcW w:w="697" w:type="pct"/>
            <w:tcBorders>
              <w:top w:val="single" w:sz="4" w:space="0" w:color="auto"/>
              <w:left w:val="nil"/>
              <w:bottom w:val="single" w:sz="4" w:space="0" w:color="auto"/>
              <w:right w:val="nil"/>
            </w:tcBorders>
            <w:shd w:val="clear" w:color="auto" w:fill="auto"/>
            <w:noWrap/>
            <w:vAlign w:val="center"/>
            <w:hideMark/>
          </w:tcPr>
          <w:p w14:paraId="3F3D020E" w14:textId="62F7DBEB" w:rsidR="00585227" w:rsidRPr="00585227" w:rsidRDefault="00585227" w:rsidP="00585227">
            <w:pPr>
              <w:pBdr>
                <w:top w:val="none" w:sz="0" w:space="0" w:color="auto"/>
                <w:left w:val="none" w:sz="0" w:space="0" w:color="auto"/>
                <w:bottom w:val="none" w:sz="0" w:space="0" w:color="auto"/>
                <w:right w:val="none" w:sz="0" w:space="0" w:color="auto"/>
                <w:between w:val="none" w:sz="0" w:space="0" w:color="auto"/>
                <w:bar w:val="none" w:sz="0" w:color="auto"/>
              </w:pBdr>
              <w:jc w:val="right"/>
              <w:outlineLvl w:val="9"/>
              <w:rPr>
                <w:rFonts w:eastAsia="Times New Roman"/>
                <w:b/>
                <w:bCs/>
                <w:sz w:val="16"/>
                <w:szCs w:val="16"/>
                <w:bdr w:val="none" w:sz="0" w:space="0" w:color="auto"/>
                <w:lang w:eastAsia="es-ES"/>
              </w:rPr>
            </w:pPr>
            <w:r w:rsidRPr="00585227">
              <w:rPr>
                <w:rFonts w:eastAsia="Times New Roman"/>
                <w:b/>
                <w:bCs/>
                <w:sz w:val="16"/>
                <w:szCs w:val="16"/>
                <w:bdr w:val="none" w:sz="0" w:space="0" w:color="auto"/>
                <w:lang w:eastAsia="es-ES"/>
              </w:rPr>
              <w:t xml:space="preserve">223.981,85   </w:t>
            </w:r>
          </w:p>
        </w:tc>
        <w:tc>
          <w:tcPr>
            <w:tcW w:w="697" w:type="pct"/>
            <w:tcBorders>
              <w:top w:val="single" w:sz="4" w:space="0" w:color="auto"/>
              <w:left w:val="nil"/>
              <w:bottom w:val="single" w:sz="4" w:space="0" w:color="auto"/>
              <w:right w:val="nil"/>
            </w:tcBorders>
            <w:shd w:val="clear" w:color="auto" w:fill="auto"/>
            <w:noWrap/>
            <w:vAlign w:val="center"/>
          </w:tcPr>
          <w:p w14:paraId="22849CF8" w14:textId="478CC2FE" w:rsidR="00585227" w:rsidRPr="00585227" w:rsidRDefault="00EC15AF" w:rsidP="00585227">
            <w:pPr>
              <w:pBdr>
                <w:top w:val="none" w:sz="0" w:space="0" w:color="auto"/>
                <w:left w:val="none" w:sz="0" w:space="0" w:color="auto"/>
                <w:bottom w:val="none" w:sz="0" w:space="0" w:color="auto"/>
                <w:right w:val="none" w:sz="0" w:space="0" w:color="auto"/>
                <w:between w:val="none" w:sz="0" w:space="0" w:color="auto"/>
                <w:bar w:val="none" w:sz="0" w:color="auto"/>
              </w:pBdr>
              <w:jc w:val="right"/>
              <w:outlineLvl w:val="9"/>
              <w:rPr>
                <w:rFonts w:eastAsia="Times New Roman"/>
                <w:b/>
                <w:bCs/>
                <w:sz w:val="16"/>
                <w:szCs w:val="16"/>
                <w:bdr w:val="none" w:sz="0" w:space="0" w:color="auto"/>
                <w:lang w:eastAsia="es-ES"/>
              </w:rPr>
            </w:pPr>
            <w:r>
              <w:rPr>
                <w:rFonts w:eastAsia="Times New Roman"/>
                <w:b/>
                <w:bCs/>
                <w:sz w:val="16"/>
                <w:szCs w:val="16"/>
                <w:bdr w:val="none" w:sz="0" w:space="0" w:color="auto"/>
                <w:lang w:eastAsia="es-ES"/>
              </w:rPr>
              <w:t>-</w:t>
            </w:r>
          </w:p>
        </w:tc>
        <w:tc>
          <w:tcPr>
            <w:tcW w:w="697" w:type="pct"/>
            <w:tcBorders>
              <w:top w:val="single" w:sz="4" w:space="0" w:color="auto"/>
              <w:left w:val="nil"/>
              <w:bottom w:val="single" w:sz="4" w:space="0" w:color="auto"/>
              <w:right w:val="nil"/>
            </w:tcBorders>
            <w:shd w:val="clear" w:color="auto" w:fill="auto"/>
            <w:noWrap/>
            <w:vAlign w:val="center"/>
          </w:tcPr>
          <w:p w14:paraId="54868D51" w14:textId="6EF8A22B" w:rsidR="00585227" w:rsidRPr="00585227" w:rsidRDefault="00EC15AF" w:rsidP="00585227">
            <w:pPr>
              <w:pBdr>
                <w:top w:val="none" w:sz="0" w:space="0" w:color="auto"/>
                <w:left w:val="none" w:sz="0" w:space="0" w:color="auto"/>
                <w:bottom w:val="none" w:sz="0" w:space="0" w:color="auto"/>
                <w:right w:val="none" w:sz="0" w:space="0" w:color="auto"/>
                <w:between w:val="none" w:sz="0" w:space="0" w:color="auto"/>
                <w:bar w:val="none" w:sz="0" w:color="auto"/>
              </w:pBdr>
              <w:jc w:val="right"/>
              <w:outlineLvl w:val="9"/>
              <w:rPr>
                <w:rFonts w:eastAsia="Times New Roman"/>
                <w:b/>
                <w:bCs/>
                <w:sz w:val="16"/>
                <w:szCs w:val="16"/>
                <w:bdr w:val="none" w:sz="0" w:space="0" w:color="auto"/>
                <w:lang w:eastAsia="es-ES"/>
              </w:rPr>
            </w:pPr>
            <w:r>
              <w:rPr>
                <w:rFonts w:eastAsia="Times New Roman"/>
                <w:b/>
                <w:bCs/>
                <w:sz w:val="16"/>
                <w:szCs w:val="16"/>
                <w:bdr w:val="none" w:sz="0" w:space="0" w:color="auto"/>
                <w:lang w:eastAsia="es-ES"/>
              </w:rPr>
              <w:t>-</w:t>
            </w:r>
          </w:p>
        </w:tc>
        <w:tc>
          <w:tcPr>
            <w:tcW w:w="697" w:type="pct"/>
            <w:tcBorders>
              <w:top w:val="single" w:sz="4" w:space="0" w:color="auto"/>
              <w:left w:val="nil"/>
              <w:bottom w:val="single" w:sz="4" w:space="0" w:color="auto"/>
              <w:right w:val="nil"/>
            </w:tcBorders>
            <w:shd w:val="clear" w:color="auto" w:fill="auto"/>
            <w:noWrap/>
            <w:vAlign w:val="center"/>
          </w:tcPr>
          <w:p w14:paraId="48E8313F" w14:textId="50D8E7A6" w:rsidR="00585227" w:rsidRPr="00585227" w:rsidRDefault="00585227" w:rsidP="00585227">
            <w:pPr>
              <w:pBdr>
                <w:top w:val="none" w:sz="0" w:space="0" w:color="auto"/>
                <w:left w:val="none" w:sz="0" w:space="0" w:color="auto"/>
                <w:bottom w:val="none" w:sz="0" w:space="0" w:color="auto"/>
                <w:right w:val="none" w:sz="0" w:space="0" w:color="auto"/>
                <w:between w:val="none" w:sz="0" w:space="0" w:color="auto"/>
                <w:bar w:val="none" w:sz="0" w:color="auto"/>
              </w:pBdr>
              <w:jc w:val="right"/>
              <w:outlineLvl w:val="9"/>
              <w:rPr>
                <w:rFonts w:eastAsia="Times New Roman"/>
                <w:b/>
                <w:bCs/>
                <w:sz w:val="16"/>
                <w:szCs w:val="16"/>
                <w:bdr w:val="none" w:sz="0" w:space="0" w:color="auto"/>
                <w:lang w:eastAsia="es-ES"/>
              </w:rPr>
            </w:pPr>
            <w:r w:rsidRPr="00585227">
              <w:rPr>
                <w:rFonts w:eastAsia="Times New Roman"/>
                <w:b/>
                <w:bCs/>
                <w:sz w:val="16"/>
                <w:szCs w:val="16"/>
                <w:bdr w:val="none" w:sz="0" w:space="0" w:color="auto"/>
                <w:lang w:eastAsia="es-ES"/>
              </w:rPr>
              <w:t xml:space="preserve">223.981,85   </w:t>
            </w:r>
          </w:p>
        </w:tc>
      </w:tr>
      <w:tr w:rsidR="006E5A24" w:rsidRPr="007E7835" w14:paraId="61EDAB56" w14:textId="77777777" w:rsidTr="00B1370C">
        <w:trPr>
          <w:trHeight w:val="138"/>
        </w:trPr>
        <w:tc>
          <w:tcPr>
            <w:tcW w:w="2212" w:type="pct"/>
            <w:tcBorders>
              <w:top w:val="nil"/>
              <w:left w:val="nil"/>
              <w:bottom w:val="nil"/>
              <w:right w:val="nil"/>
            </w:tcBorders>
            <w:shd w:val="clear" w:color="auto" w:fill="auto"/>
            <w:noWrap/>
            <w:vAlign w:val="center"/>
            <w:hideMark/>
          </w:tcPr>
          <w:p w14:paraId="7885A596" w14:textId="77777777" w:rsidR="006E5A24" w:rsidRPr="007E7835" w:rsidRDefault="006E5A24" w:rsidP="006E5A24">
            <w:pPr>
              <w:pBdr>
                <w:top w:val="none" w:sz="0" w:space="0" w:color="auto"/>
                <w:left w:val="none" w:sz="0" w:space="0" w:color="auto"/>
                <w:bottom w:val="none" w:sz="0" w:space="0" w:color="auto"/>
                <w:right w:val="none" w:sz="0" w:space="0" w:color="auto"/>
                <w:between w:val="none" w:sz="0" w:space="0" w:color="auto"/>
                <w:bar w:val="none" w:sz="0" w:color="auto"/>
              </w:pBdr>
              <w:outlineLvl w:val="9"/>
              <w:rPr>
                <w:rFonts w:eastAsia="Times New Roman"/>
                <w:b/>
                <w:bCs/>
                <w:sz w:val="16"/>
                <w:szCs w:val="16"/>
                <w:bdr w:val="none" w:sz="0" w:space="0" w:color="auto"/>
                <w:lang w:eastAsia="es-ES"/>
              </w:rPr>
            </w:pPr>
            <w:r w:rsidRPr="007E7835">
              <w:rPr>
                <w:rFonts w:eastAsia="Times New Roman"/>
                <w:b/>
                <w:bCs/>
                <w:sz w:val="16"/>
                <w:szCs w:val="16"/>
                <w:bdr w:val="none" w:sz="0" w:space="0" w:color="auto"/>
                <w:lang w:eastAsia="es-ES"/>
              </w:rPr>
              <w:t>Amortización</w:t>
            </w:r>
          </w:p>
        </w:tc>
        <w:tc>
          <w:tcPr>
            <w:tcW w:w="697" w:type="pct"/>
            <w:tcBorders>
              <w:top w:val="nil"/>
              <w:left w:val="nil"/>
              <w:bottom w:val="nil"/>
              <w:right w:val="nil"/>
            </w:tcBorders>
            <w:shd w:val="clear" w:color="auto" w:fill="auto"/>
            <w:noWrap/>
            <w:vAlign w:val="center"/>
            <w:hideMark/>
          </w:tcPr>
          <w:p w14:paraId="3A2E6D58" w14:textId="77777777" w:rsidR="006E5A24" w:rsidRPr="00585227" w:rsidRDefault="006E5A24" w:rsidP="006E5A24">
            <w:pPr>
              <w:pBdr>
                <w:top w:val="none" w:sz="0" w:space="0" w:color="auto"/>
                <w:left w:val="none" w:sz="0" w:space="0" w:color="auto"/>
                <w:bottom w:val="none" w:sz="0" w:space="0" w:color="auto"/>
                <w:right w:val="none" w:sz="0" w:space="0" w:color="auto"/>
                <w:between w:val="none" w:sz="0" w:space="0" w:color="auto"/>
                <w:bar w:val="none" w:sz="0" w:color="auto"/>
              </w:pBdr>
              <w:jc w:val="right"/>
              <w:outlineLvl w:val="9"/>
              <w:rPr>
                <w:rFonts w:eastAsia="Times New Roman"/>
                <w:b/>
                <w:bCs/>
                <w:sz w:val="16"/>
                <w:szCs w:val="16"/>
                <w:bdr w:val="none" w:sz="0" w:space="0" w:color="auto"/>
                <w:lang w:eastAsia="es-ES"/>
              </w:rPr>
            </w:pPr>
          </w:p>
        </w:tc>
        <w:tc>
          <w:tcPr>
            <w:tcW w:w="697" w:type="pct"/>
            <w:tcBorders>
              <w:top w:val="nil"/>
              <w:left w:val="nil"/>
              <w:bottom w:val="nil"/>
              <w:right w:val="nil"/>
            </w:tcBorders>
            <w:shd w:val="clear" w:color="auto" w:fill="auto"/>
            <w:noWrap/>
            <w:vAlign w:val="center"/>
          </w:tcPr>
          <w:p w14:paraId="22259A91" w14:textId="77777777" w:rsidR="006E5A24" w:rsidRPr="00585227" w:rsidRDefault="006E5A24" w:rsidP="006E5A24">
            <w:pPr>
              <w:pBdr>
                <w:top w:val="none" w:sz="0" w:space="0" w:color="auto"/>
                <w:left w:val="none" w:sz="0" w:space="0" w:color="auto"/>
                <w:bottom w:val="none" w:sz="0" w:space="0" w:color="auto"/>
                <w:right w:val="none" w:sz="0" w:space="0" w:color="auto"/>
                <w:between w:val="none" w:sz="0" w:space="0" w:color="auto"/>
                <w:bar w:val="none" w:sz="0" w:color="auto"/>
              </w:pBdr>
              <w:jc w:val="right"/>
              <w:outlineLvl w:val="9"/>
              <w:rPr>
                <w:rFonts w:eastAsia="Times New Roman"/>
                <w:color w:val="auto"/>
                <w:sz w:val="16"/>
                <w:szCs w:val="16"/>
                <w:bdr w:val="none" w:sz="0" w:space="0" w:color="auto"/>
                <w:lang w:eastAsia="es-ES"/>
              </w:rPr>
            </w:pPr>
          </w:p>
        </w:tc>
        <w:tc>
          <w:tcPr>
            <w:tcW w:w="697" w:type="pct"/>
            <w:tcBorders>
              <w:top w:val="nil"/>
              <w:left w:val="nil"/>
              <w:bottom w:val="nil"/>
              <w:right w:val="nil"/>
            </w:tcBorders>
            <w:shd w:val="clear" w:color="auto" w:fill="auto"/>
            <w:noWrap/>
            <w:vAlign w:val="center"/>
          </w:tcPr>
          <w:p w14:paraId="17A77F1A" w14:textId="77777777" w:rsidR="006E5A24" w:rsidRPr="00585227" w:rsidRDefault="006E5A24" w:rsidP="006E5A24">
            <w:pPr>
              <w:pBdr>
                <w:top w:val="none" w:sz="0" w:space="0" w:color="auto"/>
                <w:left w:val="none" w:sz="0" w:space="0" w:color="auto"/>
                <w:bottom w:val="none" w:sz="0" w:space="0" w:color="auto"/>
                <w:right w:val="none" w:sz="0" w:space="0" w:color="auto"/>
                <w:between w:val="none" w:sz="0" w:space="0" w:color="auto"/>
                <w:bar w:val="none" w:sz="0" w:color="auto"/>
              </w:pBdr>
              <w:jc w:val="right"/>
              <w:outlineLvl w:val="9"/>
              <w:rPr>
                <w:rFonts w:eastAsia="Times New Roman"/>
                <w:color w:val="auto"/>
                <w:sz w:val="16"/>
                <w:szCs w:val="16"/>
                <w:bdr w:val="none" w:sz="0" w:space="0" w:color="auto"/>
                <w:lang w:eastAsia="es-ES"/>
              </w:rPr>
            </w:pPr>
          </w:p>
        </w:tc>
        <w:tc>
          <w:tcPr>
            <w:tcW w:w="697" w:type="pct"/>
            <w:tcBorders>
              <w:top w:val="nil"/>
              <w:left w:val="nil"/>
              <w:bottom w:val="nil"/>
              <w:right w:val="nil"/>
            </w:tcBorders>
            <w:shd w:val="clear" w:color="auto" w:fill="auto"/>
            <w:noWrap/>
            <w:vAlign w:val="center"/>
          </w:tcPr>
          <w:p w14:paraId="0FC3B46E" w14:textId="77777777" w:rsidR="006E5A24" w:rsidRPr="00585227" w:rsidRDefault="006E5A24" w:rsidP="006E5A24">
            <w:pPr>
              <w:pBdr>
                <w:top w:val="none" w:sz="0" w:space="0" w:color="auto"/>
                <w:left w:val="none" w:sz="0" w:space="0" w:color="auto"/>
                <w:bottom w:val="none" w:sz="0" w:space="0" w:color="auto"/>
                <w:right w:val="none" w:sz="0" w:space="0" w:color="auto"/>
                <w:between w:val="none" w:sz="0" w:space="0" w:color="auto"/>
                <w:bar w:val="none" w:sz="0" w:color="auto"/>
              </w:pBdr>
              <w:jc w:val="right"/>
              <w:outlineLvl w:val="9"/>
              <w:rPr>
                <w:rFonts w:eastAsia="Times New Roman"/>
                <w:color w:val="auto"/>
                <w:sz w:val="16"/>
                <w:szCs w:val="16"/>
                <w:bdr w:val="none" w:sz="0" w:space="0" w:color="auto"/>
                <w:lang w:eastAsia="es-ES"/>
              </w:rPr>
            </w:pPr>
          </w:p>
        </w:tc>
      </w:tr>
      <w:tr w:rsidR="00DF0182" w:rsidRPr="007E7835" w14:paraId="7BDCDF74" w14:textId="77777777" w:rsidTr="00B1370C">
        <w:trPr>
          <w:trHeight w:val="283"/>
        </w:trPr>
        <w:tc>
          <w:tcPr>
            <w:tcW w:w="2212" w:type="pct"/>
            <w:tcBorders>
              <w:top w:val="nil"/>
              <w:left w:val="nil"/>
              <w:bottom w:val="nil"/>
              <w:right w:val="nil"/>
            </w:tcBorders>
            <w:shd w:val="clear" w:color="auto" w:fill="auto"/>
            <w:noWrap/>
            <w:vAlign w:val="center"/>
            <w:hideMark/>
          </w:tcPr>
          <w:p w14:paraId="75D2F81A" w14:textId="77777777" w:rsidR="00DF0182" w:rsidRPr="007E7835" w:rsidRDefault="00DF0182" w:rsidP="00DF0182">
            <w:pPr>
              <w:pBdr>
                <w:top w:val="none" w:sz="0" w:space="0" w:color="auto"/>
                <w:left w:val="none" w:sz="0" w:space="0" w:color="auto"/>
                <w:bottom w:val="none" w:sz="0" w:space="0" w:color="auto"/>
                <w:right w:val="none" w:sz="0" w:space="0" w:color="auto"/>
                <w:between w:val="none" w:sz="0" w:space="0" w:color="auto"/>
                <w:bar w:val="none" w:sz="0" w:color="auto"/>
              </w:pBdr>
              <w:outlineLvl w:val="9"/>
              <w:rPr>
                <w:rFonts w:eastAsia="Times New Roman"/>
                <w:sz w:val="16"/>
                <w:szCs w:val="16"/>
                <w:bdr w:val="none" w:sz="0" w:space="0" w:color="auto"/>
                <w:lang w:eastAsia="es-ES"/>
              </w:rPr>
            </w:pPr>
            <w:r w:rsidRPr="007E7835">
              <w:rPr>
                <w:rFonts w:eastAsia="Times New Roman"/>
                <w:sz w:val="16"/>
                <w:szCs w:val="16"/>
                <w:bdr w:val="none" w:sz="0" w:space="0" w:color="auto"/>
                <w:lang w:eastAsia="es-ES"/>
              </w:rPr>
              <w:t>Concesiones, patentes, licencias, marcas y similares</w:t>
            </w:r>
          </w:p>
        </w:tc>
        <w:tc>
          <w:tcPr>
            <w:tcW w:w="697" w:type="pct"/>
            <w:tcBorders>
              <w:top w:val="nil"/>
              <w:left w:val="nil"/>
              <w:bottom w:val="nil"/>
              <w:right w:val="nil"/>
            </w:tcBorders>
            <w:shd w:val="clear" w:color="auto" w:fill="auto"/>
            <w:noWrap/>
            <w:vAlign w:val="center"/>
            <w:hideMark/>
          </w:tcPr>
          <w:p w14:paraId="3984F2EF" w14:textId="70B6604F" w:rsidR="00DF0182" w:rsidRPr="008E62FF" w:rsidRDefault="00DF0182" w:rsidP="00DF0182">
            <w:pPr>
              <w:pBdr>
                <w:top w:val="none" w:sz="0" w:space="0" w:color="auto"/>
                <w:left w:val="none" w:sz="0" w:space="0" w:color="auto"/>
                <w:bottom w:val="none" w:sz="0" w:space="0" w:color="auto"/>
                <w:right w:val="none" w:sz="0" w:space="0" w:color="auto"/>
                <w:between w:val="none" w:sz="0" w:space="0" w:color="auto"/>
                <w:bar w:val="none" w:sz="0" w:color="auto"/>
              </w:pBdr>
              <w:jc w:val="right"/>
              <w:outlineLvl w:val="9"/>
              <w:rPr>
                <w:rFonts w:eastAsia="Times New Roman"/>
                <w:color w:val="auto"/>
                <w:sz w:val="16"/>
                <w:szCs w:val="16"/>
                <w:bdr w:val="none" w:sz="0" w:space="0" w:color="auto"/>
                <w:lang w:eastAsia="es-ES"/>
              </w:rPr>
            </w:pPr>
            <w:r w:rsidRPr="008E62FF">
              <w:rPr>
                <w:rFonts w:eastAsia="Times New Roman"/>
                <w:color w:val="auto"/>
                <w:sz w:val="16"/>
                <w:szCs w:val="16"/>
                <w:bdr w:val="none" w:sz="0" w:space="0" w:color="auto"/>
                <w:lang w:eastAsia="es-ES"/>
              </w:rPr>
              <w:t>(5.742,87)</w:t>
            </w:r>
          </w:p>
        </w:tc>
        <w:tc>
          <w:tcPr>
            <w:tcW w:w="697" w:type="pct"/>
            <w:tcBorders>
              <w:top w:val="nil"/>
              <w:left w:val="nil"/>
              <w:bottom w:val="nil"/>
              <w:right w:val="nil"/>
            </w:tcBorders>
            <w:shd w:val="clear" w:color="auto" w:fill="auto"/>
            <w:noWrap/>
            <w:vAlign w:val="center"/>
          </w:tcPr>
          <w:p w14:paraId="3C688D78" w14:textId="0813CB01" w:rsidR="00DF0182" w:rsidRPr="008E62FF" w:rsidRDefault="00DF0182" w:rsidP="00DF0182">
            <w:pPr>
              <w:pBdr>
                <w:top w:val="none" w:sz="0" w:space="0" w:color="auto"/>
                <w:left w:val="none" w:sz="0" w:space="0" w:color="auto"/>
                <w:bottom w:val="none" w:sz="0" w:space="0" w:color="auto"/>
                <w:right w:val="none" w:sz="0" w:space="0" w:color="auto"/>
                <w:between w:val="none" w:sz="0" w:space="0" w:color="auto"/>
                <w:bar w:val="none" w:sz="0" w:color="auto"/>
              </w:pBdr>
              <w:jc w:val="right"/>
              <w:outlineLvl w:val="9"/>
              <w:rPr>
                <w:rFonts w:eastAsia="Times New Roman"/>
                <w:sz w:val="16"/>
                <w:szCs w:val="16"/>
                <w:bdr w:val="none" w:sz="0" w:space="0" w:color="auto"/>
                <w:lang w:eastAsia="es-ES"/>
              </w:rPr>
            </w:pPr>
            <w:r w:rsidRPr="008E62FF">
              <w:rPr>
                <w:rFonts w:eastAsia="Times New Roman"/>
                <w:sz w:val="16"/>
                <w:szCs w:val="16"/>
                <w:bdr w:val="none" w:sz="0" w:space="0" w:color="auto"/>
                <w:lang w:eastAsia="es-ES"/>
              </w:rPr>
              <w:t>-</w:t>
            </w:r>
          </w:p>
        </w:tc>
        <w:tc>
          <w:tcPr>
            <w:tcW w:w="697" w:type="pct"/>
            <w:tcBorders>
              <w:top w:val="nil"/>
              <w:left w:val="nil"/>
              <w:bottom w:val="nil"/>
              <w:right w:val="nil"/>
            </w:tcBorders>
            <w:shd w:val="clear" w:color="auto" w:fill="auto"/>
            <w:noWrap/>
            <w:vAlign w:val="center"/>
          </w:tcPr>
          <w:p w14:paraId="12081BD9" w14:textId="5372490D" w:rsidR="00DF0182" w:rsidRPr="008E62FF" w:rsidRDefault="00DF0182" w:rsidP="00DF0182">
            <w:pPr>
              <w:pBdr>
                <w:top w:val="none" w:sz="0" w:space="0" w:color="auto"/>
                <w:left w:val="none" w:sz="0" w:space="0" w:color="auto"/>
                <w:bottom w:val="none" w:sz="0" w:space="0" w:color="auto"/>
                <w:right w:val="none" w:sz="0" w:space="0" w:color="auto"/>
                <w:between w:val="none" w:sz="0" w:space="0" w:color="auto"/>
                <w:bar w:val="none" w:sz="0" w:color="auto"/>
              </w:pBdr>
              <w:jc w:val="right"/>
              <w:outlineLvl w:val="9"/>
              <w:rPr>
                <w:rFonts w:eastAsia="Times New Roman"/>
                <w:sz w:val="16"/>
                <w:szCs w:val="16"/>
                <w:bdr w:val="none" w:sz="0" w:space="0" w:color="auto"/>
                <w:lang w:eastAsia="es-ES"/>
              </w:rPr>
            </w:pPr>
            <w:r w:rsidRPr="008E62FF">
              <w:rPr>
                <w:rFonts w:eastAsia="Times New Roman"/>
                <w:sz w:val="16"/>
                <w:szCs w:val="16"/>
                <w:bdr w:val="none" w:sz="0" w:space="0" w:color="auto"/>
                <w:lang w:eastAsia="es-ES"/>
              </w:rPr>
              <w:t>-</w:t>
            </w:r>
          </w:p>
        </w:tc>
        <w:tc>
          <w:tcPr>
            <w:tcW w:w="697" w:type="pct"/>
            <w:tcBorders>
              <w:top w:val="nil"/>
              <w:left w:val="nil"/>
              <w:bottom w:val="nil"/>
              <w:right w:val="nil"/>
            </w:tcBorders>
            <w:shd w:val="clear" w:color="auto" w:fill="auto"/>
            <w:noWrap/>
            <w:vAlign w:val="center"/>
          </w:tcPr>
          <w:p w14:paraId="5C2112D8" w14:textId="7BEE835A" w:rsidR="00DF0182" w:rsidRPr="008E62FF" w:rsidRDefault="00DF0182" w:rsidP="00DF0182">
            <w:pPr>
              <w:pBdr>
                <w:top w:val="none" w:sz="0" w:space="0" w:color="auto"/>
                <w:left w:val="none" w:sz="0" w:space="0" w:color="auto"/>
                <w:bottom w:val="none" w:sz="0" w:space="0" w:color="auto"/>
                <w:right w:val="none" w:sz="0" w:space="0" w:color="auto"/>
                <w:between w:val="none" w:sz="0" w:space="0" w:color="auto"/>
                <w:bar w:val="none" w:sz="0" w:color="auto"/>
              </w:pBdr>
              <w:jc w:val="right"/>
              <w:outlineLvl w:val="9"/>
              <w:rPr>
                <w:rFonts w:eastAsia="Times New Roman"/>
                <w:color w:val="auto"/>
                <w:sz w:val="16"/>
                <w:szCs w:val="16"/>
                <w:bdr w:val="none" w:sz="0" w:space="0" w:color="auto"/>
                <w:lang w:eastAsia="es-ES"/>
              </w:rPr>
            </w:pPr>
            <w:r w:rsidRPr="008E62FF">
              <w:rPr>
                <w:rFonts w:eastAsia="Times New Roman"/>
                <w:color w:val="auto"/>
                <w:sz w:val="16"/>
                <w:szCs w:val="16"/>
                <w:bdr w:val="none" w:sz="0" w:space="0" w:color="auto"/>
                <w:lang w:eastAsia="es-ES"/>
              </w:rPr>
              <w:t>(5.742,87)</w:t>
            </w:r>
          </w:p>
        </w:tc>
      </w:tr>
      <w:tr w:rsidR="00DF0182" w:rsidRPr="007E7835" w14:paraId="1676056B" w14:textId="77777777" w:rsidTr="00B1370C">
        <w:trPr>
          <w:trHeight w:val="283"/>
        </w:trPr>
        <w:tc>
          <w:tcPr>
            <w:tcW w:w="2212" w:type="pct"/>
            <w:tcBorders>
              <w:top w:val="nil"/>
              <w:left w:val="nil"/>
              <w:bottom w:val="nil"/>
              <w:right w:val="nil"/>
            </w:tcBorders>
            <w:shd w:val="clear" w:color="auto" w:fill="auto"/>
            <w:noWrap/>
            <w:vAlign w:val="center"/>
            <w:hideMark/>
          </w:tcPr>
          <w:p w14:paraId="63755010" w14:textId="77777777" w:rsidR="00DF0182" w:rsidRPr="007E7835" w:rsidRDefault="00DF0182" w:rsidP="00DF0182">
            <w:pPr>
              <w:pBdr>
                <w:top w:val="none" w:sz="0" w:space="0" w:color="auto"/>
                <w:left w:val="none" w:sz="0" w:space="0" w:color="auto"/>
                <w:bottom w:val="none" w:sz="0" w:space="0" w:color="auto"/>
                <w:right w:val="none" w:sz="0" w:space="0" w:color="auto"/>
                <w:between w:val="none" w:sz="0" w:space="0" w:color="auto"/>
                <w:bar w:val="none" w:sz="0" w:color="auto"/>
              </w:pBdr>
              <w:outlineLvl w:val="9"/>
              <w:rPr>
                <w:rFonts w:eastAsia="Times New Roman"/>
                <w:sz w:val="16"/>
                <w:szCs w:val="16"/>
                <w:bdr w:val="none" w:sz="0" w:space="0" w:color="auto"/>
                <w:lang w:eastAsia="es-ES"/>
              </w:rPr>
            </w:pPr>
            <w:r w:rsidRPr="007E7835">
              <w:rPr>
                <w:rFonts w:eastAsia="Times New Roman"/>
                <w:sz w:val="16"/>
                <w:szCs w:val="16"/>
                <w:bdr w:val="none" w:sz="0" w:space="0" w:color="auto"/>
                <w:lang w:eastAsia="es-ES"/>
              </w:rPr>
              <w:t>Aplicaciones informáticas</w:t>
            </w:r>
          </w:p>
        </w:tc>
        <w:tc>
          <w:tcPr>
            <w:tcW w:w="697" w:type="pct"/>
            <w:tcBorders>
              <w:top w:val="nil"/>
              <w:left w:val="nil"/>
              <w:bottom w:val="single" w:sz="4" w:space="0" w:color="auto"/>
              <w:right w:val="nil"/>
            </w:tcBorders>
            <w:shd w:val="clear" w:color="auto" w:fill="auto"/>
            <w:noWrap/>
            <w:vAlign w:val="center"/>
            <w:hideMark/>
          </w:tcPr>
          <w:p w14:paraId="268D5772" w14:textId="66E80F37" w:rsidR="00DF0182" w:rsidRPr="008E62FF" w:rsidRDefault="00DF0182" w:rsidP="00DF0182">
            <w:pPr>
              <w:pBdr>
                <w:top w:val="none" w:sz="0" w:space="0" w:color="auto"/>
                <w:left w:val="none" w:sz="0" w:space="0" w:color="auto"/>
                <w:bottom w:val="none" w:sz="0" w:space="0" w:color="auto"/>
                <w:right w:val="none" w:sz="0" w:space="0" w:color="auto"/>
                <w:between w:val="none" w:sz="0" w:space="0" w:color="auto"/>
                <w:bar w:val="none" w:sz="0" w:color="auto"/>
              </w:pBdr>
              <w:jc w:val="right"/>
              <w:outlineLvl w:val="9"/>
              <w:rPr>
                <w:rFonts w:eastAsia="Times New Roman"/>
                <w:color w:val="auto"/>
                <w:sz w:val="16"/>
                <w:szCs w:val="16"/>
                <w:bdr w:val="none" w:sz="0" w:space="0" w:color="auto"/>
                <w:lang w:eastAsia="es-ES"/>
              </w:rPr>
            </w:pPr>
            <w:r>
              <w:rPr>
                <w:sz w:val="16"/>
                <w:szCs w:val="16"/>
              </w:rPr>
              <w:t>(218.238,97)</w:t>
            </w:r>
          </w:p>
        </w:tc>
        <w:tc>
          <w:tcPr>
            <w:tcW w:w="697" w:type="pct"/>
            <w:tcBorders>
              <w:top w:val="nil"/>
              <w:left w:val="nil"/>
              <w:bottom w:val="single" w:sz="4" w:space="0" w:color="auto"/>
              <w:right w:val="nil"/>
            </w:tcBorders>
            <w:shd w:val="clear" w:color="auto" w:fill="auto"/>
            <w:noWrap/>
            <w:vAlign w:val="center"/>
          </w:tcPr>
          <w:p w14:paraId="17607DE5" w14:textId="3A662637" w:rsidR="00DF0182" w:rsidRPr="008E62FF" w:rsidRDefault="00DF0182" w:rsidP="00DF0182">
            <w:pPr>
              <w:pBdr>
                <w:top w:val="none" w:sz="0" w:space="0" w:color="auto"/>
                <w:left w:val="none" w:sz="0" w:space="0" w:color="auto"/>
                <w:bottom w:val="none" w:sz="0" w:space="0" w:color="auto"/>
                <w:right w:val="none" w:sz="0" w:space="0" w:color="auto"/>
                <w:between w:val="none" w:sz="0" w:space="0" w:color="auto"/>
                <w:bar w:val="none" w:sz="0" w:color="auto"/>
              </w:pBdr>
              <w:jc w:val="right"/>
              <w:outlineLvl w:val="9"/>
              <w:rPr>
                <w:rFonts w:eastAsia="Times New Roman"/>
                <w:color w:val="auto"/>
                <w:sz w:val="16"/>
                <w:szCs w:val="16"/>
                <w:bdr w:val="none" w:sz="0" w:space="0" w:color="auto"/>
                <w:lang w:eastAsia="es-ES"/>
              </w:rPr>
            </w:pPr>
            <w:r w:rsidRPr="008E62FF">
              <w:rPr>
                <w:rFonts w:eastAsia="Times New Roman"/>
                <w:sz w:val="16"/>
                <w:szCs w:val="16"/>
                <w:bdr w:val="none" w:sz="0" w:space="0" w:color="auto"/>
                <w:lang w:eastAsia="es-ES"/>
              </w:rPr>
              <w:t>-</w:t>
            </w:r>
          </w:p>
        </w:tc>
        <w:tc>
          <w:tcPr>
            <w:tcW w:w="697" w:type="pct"/>
            <w:tcBorders>
              <w:top w:val="nil"/>
              <w:left w:val="nil"/>
              <w:bottom w:val="single" w:sz="4" w:space="0" w:color="auto"/>
              <w:right w:val="nil"/>
            </w:tcBorders>
            <w:shd w:val="clear" w:color="auto" w:fill="auto"/>
            <w:noWrap/>
            <w:vAlign w:val="center"/>
          </w:tcPr>
          <w:p w14:paraId="6BCA669F" w14:textId="38E2F412" w:rsidR="00DF0182" w:rsidRPr="008E62FF" w:rsidRDefault="00DF0182" w:rsidP="00DF0182">
            <w:pPr>
              <w:pBdr>
                <w:top w:val="none" w:sz="0" w:space="0" w:color="auto"/>
                <w:left w:val="none" w:sz="0" w:space="0" w:color="auto"/>
                <w:bottom w:val="none" w:sz="0" w:space="0" w:color="auto"/>
                <w:right w:val="none" w:sz="0" w:space="0" w:color="auto"/>
                <w:between w:val="none" w:sz="0" w:space="0" w:color="auto"/>
                <w:bar w:val="none" w:sz="0" w:color="auto"/>
              </w:pBdr>
              <w:jc w:val="right"/>
              <w:outlineLvl w:val="9"/>
              <w:rPr>
                <w:rFonts w:eastAsia="Times New Roman"/>
                <w:sz w:val="16"/>
                <w:szCs w:val="16"/>
                <w:bdr w:val="none" w:sz="0" w:space="0" w:color="auto"/>
                <w:lang w:eastAsia="es-ES"/>
              </w:rPr>
            </w:pPr>
            <w:r>
              <w:rPr>
                <w:sz w:val="16"/>
                <w:szCs w:val="16"/>
              </w:rPr>
              <w:t xml:space="preserve"> -</w:t>
            </w:r>
          </w:p>
        </w:tc>
        <w:tc>
          <w:tcPr>
            <w:tcW w:w="697" w:type="pct"/>
            <w:tcBorders>
              <w:top w:val="nil"/>
              <w:left w:val="nil"/>
              <w:bottom w:val="single" w:sz="4" w:space="0" w:color="auto"/>
              <w:right w:val="nil"/>
            </w:tcBorders>
            <w:shd w:val="clear" w:color="auto" w:fill="auto"/>
            <w:noWrap/>
            <w:vAlign w:val="center"/>
          </w:tcPr>
          <w:p w14:paraId="4ECFD6F3" w14:textId="7F2D1574" w:rsidR="00DF0182" w:rsidRPr="008E62FF" w:rsidRDefault="00DF0182" w:rsidP="00DF0182">
            <w:pPr>
              <w:pBdr>
                <w:top w:val="none" w:sz="0" w:space="0" w:color="auto"/>
                <w:left w:val="none" w:sz="0" w:space="0" w:color="auto"/>
                <w:bottom w:val="none" w:sz="0" w:space="0" w:color="auto"/>
                <w:right w:val="none" w:sz="0" w:space="0" w:color="auto"/>
                <w:between w:val="none" w:sz="0" w:space="0" w:color="auto"/>
                <w:bar w:val="none" w:sz="0" w:color="auto"/>
              </w:pBdr>
              <w:jc w:val="right"/>
              <w:outlineLvl w:val="9"/>
              <w:rPr>
                <w:rFonts w:eastAsia="Times New Roman"/>
                <w:sz w:val="16"/>
                <w:szCs w:val="16"/>
                <w:bdr w:val="none" w:sz="0" w:space="0" w:color="auto"/>
                <w:lang w:eastAsia="es-ES"/>
              </w:rPr>
            </w:pPr>
            <w:r>
              <w:rPr>
                <w:sz w:val="16"/>
                <w:szCs w:val="16"/>
              </w:rPr>
              <w:t>(218.238,97)</w:t>
            </w:r>
          </w:p>
        </w:tc>
      </w:tr>
      <w:tr w:rsidR="00DF0182" w:rsidRPr="007E7835" w14:paraId="6838A3F8" w14:textId="77777777" w:rsidTr="00B1370C">
        <w:trPr>
          <w:trHeight w:val="283"/>
        </w:trPr>
        <w:tc>
          <w:tcPr>
            <w:tcW w:w="2212" w:type="pct"/>
            <w:tcBorders>
              <w:top w:val="nil"/>
              <w:left w:val="nil"/>
              <w:bottom w:val="nil"/>
              <w:right w:val="nil"/>
            </w:tcBorders>
            <w:shd w:val="clear" w:color="auto" w:fill="auto"/>
            <w:noWrap/>
            <w:vAlign w:val="center"/>
            <w:hideMark/>
          </w:tcPr>
          <w:p w14:paraId="48BA84E1" w14:textId="77777777" w:rsidR="00DF0182" w:rsidRPr="007E7835" w:rsidRDefault="00DF0182" w:rsidP="00DF0182">
            <w:pPr>
              <w:pBdr>
                <w:top w:val="none" w:sz="0" w:space="0" w:color="auto"/>
                <w:left w:val="none" w:sz="0" w:space="0" w:color="auto"/>
                <w:bottom w:val="none" w:sz="0" w:space="0" w:color="auto"/>
                <w:right w:val="none" w:sz="0" w:space="0" w:color="auto"/>
                <w:between w:val="none" w:sz="0" w:space="0" w:color="auto"/>
                <w:bar w:val="none" w:sz="0" w:color="auto"/>
              </w:pBdr>
              <w:outlineLvl w:val="9"/>
              <w:rPr>
                <w:rFonts w:eastAsia="Times New Roman"/>
                <w:color w:val="auto"/>
                <w:sz w:val="16"/>
                <w:szCs w:val="16"/>
                <w:bdr w:val="none" w:sz="0" w:space="0" w:color="auto"/>
                <w:lang w:eastAsia="es-ES"/>
              </w:rPr>
            </w:pPr>
          </w:p>
        </w:tc>
        <w:tc>
          <w:tcPr>
            <w:tcW w:w="697" w:type="pct"/>
            <w:tcBorders>
              <w:top w:val="nil"/>
              <w:left w:val="nil"/>
              <w:bottom w:val="single" w:sz="4" w:space="0" w:color="auto"/>
              <w:right w:val="nil"/>
            </w:tcBorders>
            <w:shd w:val="clear" w:color="auto" w:fill="auto"/>
            <w:noWrap/>
            <w:vAlign w:val="center"/>
            <w:hideMark/>
          </w:tcPr>
          <w:p w14:paraId="36888F9E" w14:textId="6629ED91" w:rsidR="00DF0182" w:rsidRPr="008E62FF" w:rsidRDefault="00DF0182" w:rsidP="00DF0182">
            <w:pPr>
              <w:pBdr>
                <w:top w:val="none" w:sz="0" w:space="0" w:color="auto"/>
                <w:left w:val="none" w:sz="0" w:space="0" w:color="auto"/>
                <w:bottom w:val="none" w:sz="0" w:space="0" w:color="auto"/>
                <w:right w:val="none" w:sz="0" w:space="0" w:color="auto"/>
                <w:between w:val="none" w:sz="0" w:space="0" w:color="auto"/>
                <w:bar w:val="none" w:sz="0" w:color="auto"/>
              </w:pBdr>
              <w:jc w:val="right"/>
              <w:outlineLvl w:val="9"/>
              <w:rPr>
                <w:rFonts w:eastAsia="Times New Roman"/>
                <w:b/>
                <w:bCs/>
                <w:color w:val="auto"/>
                <w:sz w:val="16"/>
                <w:szCs w:val="16"/>
                <w:bdr w:val="none" w:sz="0" w:space="0" w:color="auto"/>
                <w:lang w:eastAsia="es-ES"/>
              </w:rPr>
            </w:pPr>
            <w:r>
              <w:rPr>
                <w:b/>
                <w:bCs/>
                <w:sz w:val="16"/>
                <w:szCs w:val="16"/>
              </w:rPr>
              <w:t>(223.981,84)</w:t>
            </w:r>
          </w:p>
        </w:tc>
        <w:tc>
          <w:tcPr>
            <w:tcW w:w="697" w:type="pct"/>
            <w:tcBorders>
              <w:top w:val="nil"/>
              <w:left w:val="nil"/>
              <w:bottom w:val="single" w:sz="4" w:space="0" w:color="auto"/>
              <w:right w:val="nil"/>
            </w:tcBorders>
            <w:shd w:val="clear" w:color="auto" w:fill="auto"/>
            <w:noWrap/>
            <w:vAlign w:val="center"/>
          </w:tcPr>
          <w:p w14:paraId="2FFA7F1C" w14:textId="7BD4E9F0" w:rsidR="00DF0182" w:rsidRPr="008E62FF" w:rsidRDefault="00DF0182" w:rsidP="00DF0182">
            <w:pPr>
              <w:pBdr>
                <w:top w:val="none" w:sz="0" w:space="0" w:color="auto"/>
                <w:left w:val="none" w:sz="0" w:space="0" w:color="auto"/>
                <w:bottom w:val="none" w:sz="0" w:space="0" w:color="auto"/>
                <w:right w:val="none" w:sz="0" w:space="0" w:color="auto"/>
                <w:between w:val="none" w:sz="0" w:space="0" w:color="auto"/>
                <w:bar w:val="none" w:sz="0" w:color="auto"/>
              </w:pBdr>
              <w:jc w:val="right"/>
              <w:outlineLvl w:val="9"/>
              <w:rPr>
                <w:rFonts w:eastAsia="Times New Roman"/>
                <w:b/>
                <w:bCs/>
                <w:color w:val="auto"/>
                <w:sz w:val="16"/>
                <w:szCs w:val="16"/>
                <w:bdr w:val="none" w:sz="0" w:space="0" w:color="auto"/>
                <w:lang w:eastAsia="es-ES"/>
              </w:rPr>
            </w:pPr>
            <w:r>
              <w:rPr>
                <w:sz w:val="16"/>
                <w:szCs w:val="16"/>
              </w:rPr>
              <w:t xml:space="preserve"> -</w:t>
            </w:r>
          </w:p>
        </w:tc>
        <w:tc>
          <w:tcPr>
            <w:tcW w:w="697" w:type="pct"/>
            <w:tcBorders>
              <w:top w:val="nil"/>
              <w:left w:val="nil"/>
              <w:bottom w:val="nil"/>
              <w:right w:val="nil"/>
            </w:tcBorders>
            <w:shd w:val="clear" w:color="auto" w:fill="auto"/>
            <w:noWrap/>
            <w:vAlign w:val="center"/>
          </w:tcPr>
          <w:p w14:paraId="37EB1F6D" w14:textId="7F59988C" w:rsidR="00DF0182" w:rsidRPr="008E62FF" w:rsidRDefault="00DF0182" w:rsidP="00DF0182">
            <w:pPr>
              <w:pBdr>
                <w:top w:val="none" w:sz="0" w:space="0" w:color="auto"/>
                <w:left w:val="none" w:sz="0" w:space="0" w:color="auto"/>
                <w:bottom w:val="none" w:sz="0" w:space="0" w:color="auto"/>
                <w:right w:val="none" w:sz="0" w:space="0" w:color="auto"/>
                <w:between w:val="none" w:sz="0" w:space="0" w:color="auto"/>
                <w:bar w:val="none" w:sz="0" w:color="auto"/>
              </w:pBdr>
              <w:jc w:val="right"/>
              <w:outlineLvl w:val="9"/>
              <w:rPr>
                <w:rFonts w:eastAsia="Times New Roman"/>
                <w:b/>
                <w:bCs/>
                <w:sz w:val="16"/>
                <w:szCs w:val="16"/>
                <w:bdr w:val="none" w:sz="0" w:space="0" w:color="auto"/>
                <w:lang w:eastAsia="es-ES"/>
              </w:rPr>
            </w:pPr>
            <w:r>
              <w:rPr>
                <w:b/>
                <w:bCs/>
                <w:sz w:val="16"/>
                <w:szCs w:val="16"/>
              </w:rPr>
              <w:t xml:space="preserve"> -</w:t>
            </w:r>
          </w:p>
        </w:tc>
        <w:tc>
          <w:tcPr>
            <w:tcW w:w="697" w:type="pct"/>
            <w:tcBorders>
              <w:top w:val="nil"/>
              <w:left w:val="nil"/>
              <w:bottom w:val="single" w:sz="4" w:space="0" w:color="auto"/>
              <w:right w:val="nil"/>
            </w:tcBorders>
            <w:shd w:val="clear" w:color="auto" w:fill="auto"/>
            <w:noWrap/>
            <w:vAlign w:val="center"/>
          </w:tcPr>
          <w:p w14:paraId="522172A9" w14:textId="0BD24338" w:rsidR="00DF0182" w:rsidRPr="008E62FF" w:rsidRDefault="00DF0182" w:rsidP="00DF0182">
            <w:pPr>
              <w:pBdr>
                <w:top w:val="none" w:sz="0" w:space="0" w:color="auto"/>
                <w:left w:val="none" w:sz="0" w:space="0" w:color="auto"/>
                <w:bottom w:val="none" w:sz="0" w:space="0" w:color="auto"/>
                <w:right w:val="none" w:sz="0" w:space="0" w:color="auto"/>
                <w:between w:val="none" w:sz="0" w:space="0" w:color="auto"/>
                <w:bar w:val="none" w:sz="0" w:color="auto"/>
              </w:pBdr>
              <w:jc w:val="right"/>
              <w:outlineLvl w:val="9"/>
              <w:rPr>
                <w:rFonts w:eastAsia="Times New Roman"/>
                <w:b/>
                <w:bCs/>
                <w:sz w:val="16"/>
                <w:szCs w:val="16"/>
                <w:bdr w:val="none" w:sz="0" w:space="0" w:color="auto"/>
                <w:lang w:eastAsia="es-ES"/>
              </w:rPr>
            </w:pPr>
            <w:r>
              <w:rPr>
                <w:b/>
                <w:bCs/>
                <w:sz w:val="16"/>
                <w:szCs w:val="16"/>
              </w:rPr>
              <w:t>(223.981,84)</w:t>
            </w:r>
          </w:p>
        </w:tc>
      </w:tr>
      <w:tr w:rsidR="00DF0182" w:rsidRPr="007E7835" w14:paraId="722E275C" w14:textId="77777777" w:rsidTr="00B1370C">
        <w:trPr>
          <w:trHeight w:val="283"/>
        </w:trPr>
        <w:tc>
          <w:tcPr>
            <w:tcW w:w="2212" w:type="pct"/>
            <w:tcBorders>
              <w:top w:val="single" w:sz="4" w:space="0" w:color="auto"/>
              <w:left w:val="nil"/>
              <w:bottom w:val="single" w:sz="4" w:space="0" w:color="auto"/>
              <w:right w:val="nil"/>
            </w:tcBorders>
            <w:shd w:val="clear" w:color="auto" w:fill="auto"/>
            <w:noWrap/>
            <w:vAlign w:val="center"/>
            <w:hideMark/>
          </w:tcPr>
          <w:p w14:paraId="5FF7547B" w14:textId="77777777" w:rsidR="00DF0182" w:rsidRPr="008C7670" w:rsidRDefault="00DF0182" w:rsidP="00DF0182">
            <w:pPr>
              <w:pBdr>
                <w:top w:val="none" w:sz="0" w:space="0" w:color="auto"/>
                <w:left w:val="none" w:sz="0" w:space="0" w:color="auto"/>
                <w:bottom w:val="none" w:sz="0" w:space="0" w:color="auto"/>
                <w:right w:val="none" w:sz="0" w:space="0" w:color="auto"/>
                <w:between w:val="none" w:sz="0" w:space="0" w:color="auto"/>
                <w:bar w:val="none" w:sz="0" w:color="auto"/>
              </w:pBdr>
              <w:outlineLvl w:val="9"/>
              <w:rPr>
                <w:rFonts w:eastAsia="Times New Roman"/>
                <w:b/>
                <w:bCs/>
                <w:sz w:val="16"/>
                <w:szCs w:val="16"/>
                <w:bdr w:val="none" w:sz="0" w:space="0" w:color="auto"/>
                <w:lang w:eastAsia="es-ES"/>
              </w:rPr>
            </w:pPr>
            <w:r w:rsidRPr="008C7670">
              <w:rPr>
                <w:rFonts w:eastAsia="Times New Roman"/>
                <w:b/>
                <w:bCs/>
                <w:sz w:val="16"/>
                <w:szCs w:val="16"/>
                <w:bdr w:val="none" w:sz="0" w:space="0" w:color="auto"/>
                <w:lang w:eastAsia="es-ES"/>
              </w:rPr>
              <w:t>Valor neto contable</w:t>
            </w:r>
          </w:p>
        </w:tc>
        <w:tc>
          <w:tcPr>
            <w:tcW w:w="697" w:type="pct"/>
            <w:tcBorders>
              <w:top w:val="nil"/>
              <w:left w:val="nil"/>
              <w:bottom w:val="single" w:sz="4" w:space="0" w:color="auto"/>
              <w:right w:val="nil"/>
            </w:tcBorders>
            <w:shd w:val="clear" w:color="auto" w:fill="auto"/>
            <w:noWrap/>
            <w:vAlign w:val="center"/>
            <w:hideMark/>
          </w:tcPr>
          <w:p w14:paraId="2E70E866" w14:textId="1AD6813A" w:rsidR="00DF0182" w:rsidRPr="008E62FF" w:rsidRDefault="00DF0182" w:rsidP="00DF0182">
            <w:pPr>
              <w:pBdr>
                <w:top w:val="none" w:sz="0" w:space="0" w:color="auto"/>
                <w:left w:val="none" w:sz="0" w:space="0" w:color="auto"/>
                <w:bottom w:val="none" w:sz="0" w:space="0" w:color="auto"/>
                <w:right w:val="none" w:sz="0" w:space="0" w:color="auto"/>
                <w:between w:val="none" w:sz="0" w:space="0" w:color="auto"/>
                <w:bar w:val="none" w:sz="0" w:color="auto"/>
              </w:pBdr>
              <w:jc w:val="right"/>
              <w:outlineLvl w:val="9"/>
              <w:rPr>
                <w:rFonts w:eastAsia="Times New Roman"/>
                <w:b/>
                <w:bCs/>
                <w:sz w:val="16"/>
                <w:szCs w:val="16"/>
                <w:bdr w:val="none" w:sz="0" w:space="0" w:color="auto"/>
                <w:lang w:eastAsia="es-ES"/>
              </w:rPr>
            </w:pPr>
            <w:r>
              <w:rPr>
                <w:b/>
                <w:bCs/>
                <w:sz w:val="16"/>
                <w:szCs w:val="16"/>
              </w:rPr>
              <w:t>0,01</w:t>
            </w:r>
          </w:p>
        </w:tc>
        <w:tc>
          <w:tcPr>
            <w:tcW w:w="697" w:type="pct"/>
            <w:tcBorders>
              <w:top w:val="nil"/>
              <w:left w:val="nil"/>
              <w:bottom w:val="single" w:sz="4" w:space="0" w:color="auto"/>
              <w:right w:val="nil"/>
            </w:tcBorders>
            <w:shd w:val="clear" w:color="auto" w:fill="auto"/>
            <w:noWrap/>
            <w:vAlign w:val="center"/>
          </w:tcPr>
          <w:p w14:paraId="3C90523E" w14:textId="77777777" w:rsidR="00DF0182" w:rsidRPr="008E62FF" w:rsidRDefault="00DF0182" w:rsidP="00DF0182">
            <w:pPr>
              <w:pBdr>
                <w:top w:val="none" w:sz="0" w:space="0" w:color="auto"/>
                <w:left w:val="none" w:sz="0" w:space="0" w:color="auto"/>
                <w:bottom w:val="none" w:sz="0" w:space="0" w:color="auto"/>
                <w:right w:val="none" w:sz="0" w:space="0" w:color="auto"/>
                <w:between w:val="none" w:sz="0" w:space="0" w:color="auto"/>
                <w:bar w:val="none" w:sz="0" w:color="auto"/>
              </w:pBdr>
              <w:jc w:val="right"/>
              <w:outlineLvl w:val="9"/>
              <w:rPr>
                <w:rFonts w:eastAsia="Times New Roman"/>
                <w:b/>
                <w:bCs/>
                <w:sz w:val="16"/>
                <w:szCs w:val="16"/>
                <w:bdr w:val="none" w:sz="0" w:space="0" w:color="auto"/>
                <w:lang w:eastAsia="es-ES"/>
              </w:rPr>
            </w:pPr>
          </w:p>
        </w:tc>
        <w:tc>
          <w:tcPr>
            <w:tcW w:w="697" w:type="pct"/>
            <w:tcBorders>
              <w:top w:val="single" w:sz="4" w:space="0" w:color="auto"/>
              <w:left w:val="nil"/>
              <w:bottom w:val="single" w:sz="4" w:space="0" w:color="auto"/>
              <w:right w:val="nil"/>
            </w:tcBorders>
            <w:shd w:val="clear" w:color="auto" w:fill="auto"/>
            <w:noWrap/>
            <w:vAlign w:val="center"/>
          </w:tcPr>
          <w:p w14:paraId="07AFEF6A" w14:textId="77777777" w:rsidR="00DF0182" w:rsidRPr="008E62FF" w:rsidRDefault="00DF0182" w:rsidP="00DF0182">
            <w:pPr>
              <w:pBdr>
                <w:top w:val="none" w:sz="0" w:space="0" w:color="auto"/>
                <w:left w:val="none" w:sz="0" w:space="0" w:color="auto"/>
                <w:bottom w:val="none" w:sz="0" w:space="0" w:color="auto"/>
                <w:right w:val="none" w:sz="0" w:space="0" w:color="auto"/>
                <w:between w:val="none" w:sz="0" w:space="0" w:color="auto"/>
                <w:bar w:val="none" w:sz="0" w:color="auto"/>
              </w:pBdr>
              <w:jc w:val="right"/>
              <w:outlineLvl w:val="9"/>
              <w:rPr>
                <w:rFonts w:eastAsia="Times New Roman"/>
                <w:b/>
                <w:bCs/>
                <w:sz w:val="16"/>
                <w:szCs w:val="16"/>
                <w:bdr w:val="none" w:sz="0" w:space="0" w:color="auto"/>
                <w:lang w:eastAsia="es-ES"/>
              </w:rPr>
            </w:pPr>
          </w:p>
        </w:tc>
        <w:tc>
          <w:tcPr>
            <w:tcW w:w="697" w:type="pct"/>
            <w:tcBorders>
              <w:top w:val="nil"/>
              <w:left w:val="nil"/>
              <w:bottom w:val="single" w:sz="4" w:space="0" w:color="auto"/>
              <w:right w:val="nil"/>
            </w:tcBorders>
            <w:shd w:val="clear" w:color="auto" w:fill="auto"/>
            <w:noWrap/>
            <w:vAlign w:val="center"/>
          </w:tcPr>
          <w:p w14:paraId="038075A7" w14:textId="1E74F83A" w:rsidR="00DF0182" w:rsidRPr="008E62FF" w:rsidRDefault="00DF0182" w:rsidP="00DF0182">
            <w:pPr>
              <w:pBdr>
                <w:top w:val="none" w:sz="0" w:space="0" w:color="auto"/>
                <w:left w:val="none" w:sz="0" w:space="0" w:color="auto"/>
                <w:bottom w:val="none" w:sz="0" w:space="0" w:color="auto"/>
                <w:right w:val="none" w:sz="0" w:space="0" w:color="auto"/>
                <w:between w:val="none" w:sz="0" w:space="0" w:color="auto"/>
                <w:bar w:val="none" w:sz="0" w:color="auto"/>
              </w:pBdr>
              <w:jc w:val="right"/>
              <w:outlineLvl w:val="9"/>
              <w:rPr>
                <w:rFonts w:eastAsia="Times New Roman"/>
                <w:b/>
                <w:bCs/>
                <w:sz w:val="16"/>
                <w:szCs w:val="16"/>
                <w:bdr w:val="none" w:sz="0" w:space="0" w:color="auto"/>
                <w:lang w:eastAsia="es-ES"/>
              </w:rPr>
            </w:pPr>
            <w:r>
              <w:rPr>
                <w:b/>
                <w:bCs/>
                <w:sz w:val="16"/>
                <w:szCs w:val="16"/>
              </w:rPr>
              <w:t>0,01</w:t>
            </w:r>
          </w:p>
        </w:tc>
      </w:tr>
    </w:tbl>
    <w:p w14:paraId="2616242E" w14:textId="70D5579B" w:rsidR="006220A2" w:rsidRPr="0083433F" w:rsidRDefault="008B575B" w:rsidP="002926AF">
      <w:pPr>
        <w:widowControl w:val="0"/>
        <w:spacing w:before="240" w:after="120" w:line="260" w:lineRule="exact"/>
        <w:jc w:val="both"/>
        <w:outlineLvl w:val="9"/>
        <w:rPr>
          <w:sz w:val="20"/>
          <w:szCs w:val="22"/>
        </w:rPr>
      </w:pPr>
      <w:r>
        <w:rPr>
          <w:snapToGrid w:val="0"/>
          <w:sz w:val="20"/>
          <w:szCs w:val="22"/>
        </w:rPr>
        <w:t>a)</w:t>
      </w:r>
      <w:r w:rsidR="00234252">
        <w:rPr>
          <w:snapToGrid w:val="0"/>
          <w:sz w:val="20"/>
          <w:szCs w:val="22"/>
        </w:rPr>
        <w:t xml:space="preserve"> </w:t>
      </w:r>
      <w:r w:rsidR="006220A2" w:rsidRPr="0083433F">
        <w:rPr>
          <w:snapToGrid w:val="0"/>
          <w:sz w:val="20"/>
          <w:szCs w:val="22"/>
        </w:rPr>
        <w:tab/>
      </w:r>
      <w:r w:rsidR="006220A2" w:rsidRPr="0083433F">
        <w:rPr>
          <w:snapToGrid w:val="0"/>
          <w:sz w:val="20"/>
          <w:szCs w:val="22"/>
          <w:u w:val="single"/>
        </w:rPr>
        <w:t>Inmovilizado intangible totalmente amortizado</w:t>
      </w:r>
    </w:p>
    <w:p w14:paraId="3A76CF8E" w14:textId="6D122847" w:rsidR="006220A2" w:rsidRDefault="006220A2" w:rsidP="004A41D6">
      <w:pPr>
        <w:widowControl w:val="0"/>
        <w:spacing w:before="120" w:after="120" w:line="260" w:lineRule="exact"/>
        <w:jc w:val="both"/>
        <w:outlineLvl w:val="9"/>
        <w:rPr>
          <w:snapToGrid w:val="0"/>
          <w:sz w:val="20"/>
          <w:szCs w:val="22"/>
        </w:rPr>
      </w:pPr>
      <w:r w:rsidRPr="0083433F">
        <w:rPr>
          <w:snapToGrid w:val="0"/>
          <w:sz w:val="20"/>
          <w:szCs w:val="22"/>
        </w:rPr>
        <w:t>A 31 de diciembre de 20</w:t>
      </w:r>
      <w:r w:rsidR="007F2865">
        <w:rPr>
          <w:snapToGrid w:val="0"/>
          <w:sz w:val="20"/>
          <w:szCs w:val="22"/>
        </w:rPr>
        <w:t>2</w:t>
      </w:r>
      <w:r w:rsidR="00234252">
        <w:rPr>
          <w:snapToGrid w:val="0"/>
          <w:sz w:val="20"/>
          <w:szCs w:val="22"/>
        </w:rPr>
        <w:t>4</w:t>
      </w:r>
      <w:r w:rsidR="002427AC">
        <w:rPr>
          <w:snapToGrid w:val="0"/>
          <w:sz w:val="20"/>
          <w:szCs w:val="22"/>
        </w:rPr>
        <w:t xml:space="preserve"> </w:t>
      </w:r>
      <w:r w:rsidRPr="0083433F">
        <w:rPr>
          <w:snapToGrid w:val="0"/>
          <w:sz w:val="20"/>
          <w:szCs w:val="22"/>
        </w:rPr>
        <w:t xml:space="preserve">dentro del epígrafe de aplicaciones informáticas existen con un coste </w:t>
      </w:r>
      <w:r w:rsidRPr="00A76DB8">
        <w:rPr>
          <w:snapToGrid w:val="0"/>
          <w:sz w:val="20"/>
          <w:szCs w:val="22"/>
        </w:rPr>
        <w:t>original de</w:t>
      </w:r>
      <w:r w:rsidR="00D57DCF" w:rsidRPr="005644E5">
        <w:rPr>
          <w:snapToGrid w:val="0"/>
          <w:sz w:val="20"/>
          <w:szCs w:val="22"/>
        </w:rPr>
        <w:t xml:space="preserve"> </w:t>
      </w:r>
      <w:r w:rsidR="00431141" w:rsidRPr="00431141">
        <w:rPr>
          <w:snapToGrid w:val="0"/>
          <w:sz w:val="20"/>
          <w:szCs w:val="22"/>
        </w:rPr>
        <w:t>110.965,19</w:t>
      </w:r>
      <w:r w:rsidR="00431141">
        <w:rPr>
          <w:snapToGrid w:val="0"/>
          <w:sz w:val="20"/>
          <w:szCs w:val="22"/>
        </w:rPr>
        <w:t xml:space="preserve"> </w:t>
      </w:r>
      <w:r w:rsidRPr="0083433F">
        <w:rPr>
          <w:snapToGrid w:val="0"/>
          <w:sz w:val="20"/>
          <w:szCs w:val="22"/>
        </w:rPr>
        <w:t>euros</w:t>
      </w:r>
      <w:r w:rsidRPr="005644E5">
        <w:rPr>
          <w:snapToGrid w:val="0"/>
          <w:sz w:val="20"/>
          <w:szCs w:val="22"/>
        </w:rPr>
        <w:t xml:space="preserve"> elementos </w:t>
      </w:r>
      <w:r w:rsidRPr="0083433F">
        <w:rPr>
          <w:snapToGrid w:val="0"/>
          <w:sz w:val="20"/>
          <w:szCs w:val="22"/>
        </w:rPr>
        <w:t xml:space="preserve">que están totalmente amortizados y que todavía están en uso </w:t>
      </w:r>
      <w:r w:rsidR="00431141">
        <w:rPr>
          <w:snapToGrid w:val="0"/>
          <w:sz w:val="20"/>
          <w:szCs w:val="22"/>
        </w:rPr>
        <w:t xml:space="preserve">(218.238,97 euros en el ejercicio anterior) </w:t>
      </w:r>
      <w:r w:rsidRPr="0083433F">
        <w:rPr>
          <w:snapToGrid w:val="0"/>
          <w:sz w:val="20"/>
          <w:szCs w:val="22"/>
        </w:rPr>
        <w:t>y en propiedad industrial 5.742,87 euros</w:t>
      </w:r>
      <w:r w:rsidR="00431141">
        <w:rPr>
          <w:snapToGrid w:val="0"/>
          <w:sz w:val="20"/>
          <w:szCs w:val="22"/>
        </w:rPr>
        <w:t xml:space="preserve"> (mismo importe en el ejercicio anterior)</w:t>
      </w:r>
      <w:r w:rsidRPr="0083433F">
        <w:rPr>
          <w:snapToGrid w:val="0"/>
          <w:sz w:val="20"/>
          <w:szCs w:val="22"/>
        </w:rPr>
        <w:t xml:space="preserve">. </w:t>
      </w:r>
    </w:p>
    <w:p w14:paraId="7B054210" w14:textId="77777777" w:rsidR="006220A2" w:rsidRPr="0083433F" w:rsidRDefault="006220A2" w:rsidP="00F5041C">
      <w:pPr>
        <w:widowControl w:val="0"/>
        <w:tabs>
          <w:tab w:val="left" w:pos="284"/>
        </w:tabs>
        <w:spacing w:before="200" w:line="276" w:lineRule="auto"/>
        <w:rPr>
          <w:sz w:val="20"/>
          <w:szCs w:val="22"/>
        </w:rPr>
      </w:pPr>
      <w:r w:rsidRPr="0083433F">
        <w:rPr>
          <w:snapToGrid w:val="0"/>
          <w:sz w:val="20"/>
          <w:szCs w:val="22"/>
        </w:rPr>
        <w:t>b)</w:t>
      </w:r>
      <w:r w:rsidRPr="0083433F">
        <w:rPr>
          <w:snapToGrid w:val="0"/>
          <w:sz w:val="20"/>
          <w:szCs w:val="22"/>
        </w:rPr>
        <w:tab/>
      </w:r>
      <w:r w:rsidRPr="0083433F">
        <w:rPr>
          <w:snapToGrid w:val="0"/>
          <w:sz w:val="20"/>
          <w:szCs w:val="22"/>
          <w:u w:val="single"/>
        </w:rPr>
        <w:t>Seguros</w:t>
      </w:r>
    </w:p>
    <w:p w14:paraId="13C46AF5" w14:textId="5F706D9A" w:rsidR="005644E5" w:rsidRDefault="006220A2" w:rsidP="004A41D6">
      <w:pPr>
        <w:widowControl w:val="0"/>
        <w:spacing w:before="120" w:after="120" w:line="260" w:lineRule="exact"/>
        <w:jc w:val="both"/>
        <w:outlineLvl w:val="9"/>
        <w:rPr>
          <w:snapToGrid w:val="0"/>
          <w:sz w:val="20"/>
          <w:szCs w:val="22"/>
        </w:rPr>
      </w:pPr>
      <w:r w:rsidRPr="0083433F">
        <w:rPr>
          <w:snapToGrid w:val="0"/>
          <w:sz w:val="20"/>
          <w:szCs w:val="22"/>
        </w:rPr>
        <w:t>La Sociedad tiene contratadas varias pólizas de seguro para cubrir los riesgos a que están sujetos los bienes del inmovilizado intangible. La cobertura de estas pólizas se considera suficiente.</w:t>
      </w:r>
    </w:p>
    <w:p w14:paraId="7729855C" w14:textId="77777777" w:rsidR="005644E5" w:rsidRDefault="005644E5">
      <w:pPr>
        <w:pBdr>
          <w:top w:val="none" w:sz="0" w:space="0" w:color="auto"/>
          <w:left w:val="none" w:sz="0" w:space="0" w:color="auto"/>
          <w:bottom w:val="none" w:sz="0" w:space="0" w:color="auto"/>
          <w:right w:val="none" w:sz="0" w:space="0" w:color="auto"/>
          <w:between w:val="none" w:sz="0" w:space="0" w:color="auto"/>
          <w:bar w:val="none" w:sz="0" w:color="auto"/>
        </w:pBdr>
        <w:outlineLvl w:val="9"/>
        <w:rPr>
          <w:snapToGrid w:val="0"/>
          <w:sz w:val="20"/>
          <w:szCs w:val="22"/>
        </w:rPr>
      </w:pPr>
      <w:r>
        <w:rPr>
          <w:snapToGrid w:val="0"/>
          <w:sz w:val="20"/>
          <w:szCs w:val="22"/>
        </w:rPr>
        <w:br w:type="page"/>
      </w:r>
    </w:p>
    <w:p w14:paraId="710E27EB" w14:textId="01C364EC" w:rsidR="006220A2" w:rsidRPr="00F5041C" w:rsidRDefault="00F5041C" w:rsidP="00052BF5">
      <w:pPr>
        <w:widowControl w:val="0"/>
        <w:numPr>
          <w:ilvl w:val="0"/>
          <w:numId w:val="6"/>
        </w:numPr>
        <w:pBdr>
          <w:top w:val="none" w:sz="0" w:space="0" w:color="auto"/>
          <w:left w:val="none" w:sz="0" w:space="0" w:color="auto"/>
          <w:bottom w:val="none" w:sz="0" w:space="0" w:color="auto"/>
          <w:right w:val="none" w:sz="0" w:space="0" w:color="auto"/>
          <w:between w:val="none" w:sz="0" w:space="0" w:color="auto"/>
          <w:bar w:val="none" w:sz="0" w:color="auto"/>
        </w:pBdr>
        <w:spacing w:after="120" w:line="280" w:lineRule="exact"/>
        <w:ind w:left="284" w:hanging="284"/>
        <w:outlineLvl w:val="9"/>
        <w:rPr>
          <w:b/>
          <w:snapToGrid w:val="0"/>
          <w:sz w:val="22"/>
          <w:szCs w:val="22"/>
        </w:rPr>
      </w:pPr>
      <w:r>
        <w:rPr>
          <w:b/>
          <w:snapToGrid w:val="0"/>
          <w:sz w:val="22"/>
          <w:szCs w:val="22"/>
        </w:rPr>
        <w:lastRenderedPageBreak/>
        <w:t xml:space="preserve"> </w:t>
      </w:r>
      <w:r w:rsidR="006220A2" w:rsidRPr="00F5041C">
        <w:rPr>
          <w:b/>
          <w:snapToGrid w:val="0"/>
          <w:sz w:val="22"/>
          <w:szCs w:val="22"/>
        </w:rPr>
        <w:t>Inmovilizado material</w:t>
      </w:r>
    </w:p>
    <w:p w14:paraId="471E632C" w14:textId="3B834A7F" w:rsidR="006220A2" w:rsidRPr="005644E5" w:rsidRDefault="006220A2" w:rsidP="004A41D6">
      <w:pPr>
        <w:widowControl w:val="0"/>
        <w:spacing w:before="120" w:after="120" w:line="260" w:lineRule="exact"/>
        <w:jc w:val="both"/>
        <w:outlineLvl w:val="9"/>
        <w:rPr>
          <w:snapToGrid w:val="0"/>
          <w:sz w:val="20"/>
          <w:szCs w:val="22"/>
        </w:rPr>
      </w:pPr>
      <w:r w:rsidRPr="005644E5">
        <w:rPr>
          <w:snapToGrid w:val="0"/>
          <w:sz w:val="20"/>
          <w:szCs w:val="22"/>
        </w:rPr>
        <w:t>El detalle y movimiento de</w:t>
      </w:r>
      <w:r w:rsidR="005644E5">
        <w:rPr>
          <w:snapToGrid w:val="0"/>
          <w:sz w:val="20"/>
          <w:szCs w:val="22"/>
        </w:rPr>
        <w:t>l</w:t>
      </w:r>
      <w:r w:rsidRPr="005644E5">
        <w:rPr>
          <w:snapToGrid w:val="0"/>
          <w:sz w:val="20"/>
          <w:szCs w:val="22"/>
        </w:rPr>
        <w:t xml:space="preserve"> “Inmovilizado material” </w:t>
      </w:r>
      <w:r w:rsidR="00AD73A0" w:rsidRPr="005644E5">
        <w:rPr>
          <w:snapToGrid w:val="0"/>
          <w:sz w:val="20"/>
          <w:szCs w:val="22"/>
        </w:rPr>
        <w:t>en el ejercicio 20</w:t>
      </w:r>
      <w:r w:rsidR="008B575B" w:rsidRPr="005644E5">
        <w:rPr>
          <w:snapToGrid w:val="0"/>
          <w:sz w:val="20"/>
          <w:szCs w:val="22"/>
        </w:rPr>
        <w:t>2</w:t>
      </w:r>
      <w:r w:rsidR="00612A4D">
        <w:rPr>
          <w:snapToGrid w:val="0"/>
          <w:sz w:val="20"/>
          <w:szCs w:val="22"/>
        </w:rPr>
        <w:t>4</w:t>
      </w:r>
      <w:r w:rsidRPr="005644E5">
        <w:rPr>
          <w:snapToGrid w:val="0"/>
          <w:sz w:val="20"/>
          <w:szCs w:val="22"/>
        </w:rPr>
        <w:t xml:space="preserve"> es el siguiente:</w:t>
      </w:r>
    </w:p>
    <w:tbl>
      <w:tblPr>
        <w:tblW w:w="9072" w:type="dxa"/>
        <w:tblCellMar>
          <w:left w:w="70" w:type="dxa"/>
          <w:right w:w="70" w:type="dxa"/>
        </w:tblCellMar>
        <w:tblLook w:val="04A0" w:firstRow="1" w:lastRow="0" w:firstColumn="1" w:lastColumn="0" w:noHBand="0" w:noVBand="1"/>
      </w:tblPr>
      <w:tblGrid>
        <w:gridCol w:w="2534"/>
        <w:gridCol w:w="1330"/>
        <w:gridCol w:w="1296"/>
        <w:gridCol w:w="1287"/>
        <w:gridCol w:w="1293"/>
        <w:gridCol w:w="1332"/>
      </w:tblGrid>
      <w:tr w:rsidR="00D57DCF" w:rsidRPr="007E7835" w14:paraId="2299EC23" w14:textId="77777777" w:rsidTr="00B1370C">
        <w:trPr>
          <w:trHeight w:val="195"/>
        </w:trPr>
        <w:tc>
          <w:tcPr>
            <w:tcW w:w="2436" w:type="dxa"/>
            <w:tcBorders>
              <w:top w:val="single" w:sz="4" w:space="0" w:color="auto"/>
              <w:left w:val="nil"/>
              <w:bottom w:val="nil"/>
              <w:right w:val="nil"/>
            </w:tcBorders>
            <w:shd w:val="clear" w:color="auto" w:fill="auto"/>
            <w:vAlign w:val="center"/>
            <w:hideMark/>
          </w:tcPr>
          <w:p w14:paraId="73CF721D" w14:textId="77777777" w:rsidR="00D57DCF" w:rsidRPr="007E7835" w:rsidRDefault="00D57DCF" w:rsidP="00352C5B">
            <w:pPr>
              <w:keepNext/>
              <w:keepLines/>
              <w:widowControl w:val="0"/>
              <w:pBdr>
                <w:top w:val="none" w:sz="0" w:space="0" w:color="auto"/>
                <w:left w:val="none" w:sz="0" w:space="0" w:color="auto"/>
                <w:bottom w:val="none" w:sz="0" w:space="0" w:color="auto"/>
                <w:right w:val="none" w:sz="0" w:space="0" w:color="auto"/>
                <w:between w:val="none" w:sz="0" w:space="0" w:color="auto"/>
                <w:bar w:val="none" w:sz="0" w:color="auto"/>
              </w:pBdr>
              <w:jc w:val="center"/>
              <w:outlineLvl w:val="9"/>
              <w:rPr>
                <w:rFonts w:eastAsia="Times New Roman"/>
                <w:sz w:val="16"/>
                <w:szCs w:val="16"/>
                <w:bdr w:val="none" w:sz="0" w:space="0" w:color="auto"/>
                <w:lang w:eastAsia="es-ES"/>
              </w:rPr>
            </w:pPr>
            <w:r w:rsidRPr="007E7835">
              <w:rPr>
                <w:rFonts w:eastAsia="Times New Roman"/>
                <w:sz w:val="16"/>
                <w:szCs w:val="16"/>
                <w:bdr w:val="none" w:sz="0" w:space="0" w:color="auto"/>
                <w:lang w:eastAsia="es-ES"/>
              </w:rPr>
              <w:t> </w:t>
            </w:r>
          </w:p>
        </w:tc>
        <w:tc>
          <w:tcPr>
            <w:tcW w:w="6286" w:type="dxa"/>
            <w:gridSpan w:val="5"/>
            <w:tcBorders>
              <w:top w:val="single" w:sz="4" w:space="0" w:color="auto"/>
              <w:left w:val="nil"/>
              <w:bottom w:val="single" w:sz="4" w:space="0" w:color="auto"/>
              <w:right w:val="nil"/>
            </w:tcBorders>
            <w:shd w:val="clear" w:color="auto" w:fill="auto"/>
            <w:vAlign w:val="center"/>
            <w:hideMark/>
          </w:tcPr>
          <w:p w14:paraId="7859A849" w14:textId="77777777" w:rsidR="00D57DCF" w:rsidRPr="007E7835" w:rsidRDefault="00D57DCF" w:rsidP="00352C5B">
            <w:pPr>
              <w:keepNext/>
              <w:keepLines/>
              <w:widowControl w:val="0"/>
              <w:pBdr>
                <w:top w:val="none" w:sz="0" w:space="0" w:color="auto"/>
                <w:left w:val="none" w:sz="0" w:space="0" w:color="auto"/>
                <w:bottom w:val="none" w:sz="0" w:space="0" w:color="auto"/>
                <w:right w:val="none" w:sz="0" w:space="0" w:color="auto"/>
                <w:between w:val="none" w:sz="0" w:space="0" w:color="auto"/>
                <w:bar w:val="none" w:sz="0" w:color="auto"/>
              </w:pBdr>
              <w:jc w:val="center"/>
              <w:outlineLvl w:val="9"/>
              <w:rPr>
                <w:rFonts w:eastAsia="Times New Roman"/>
                <w:b/>
                <w:bCs/>
                <w:sz w:val="16"/>
                <w:szCs w:val="16"/>
                <w:bdr w:val="none" w:sz="0" w:space="0" w:color="auto"/>
                <w:lang w:eastAsia="es-ES"/>
              </w:rPr>
            </w:pPr>
            <w:r w:rsidRPr="007E7835">
              <w:rPr>
                <w:rFonts w:eastAsia="Times New Roman"/>
                <w:b/>
                <w:bCs/>
                <w:sz w:val="16"/>
                <w:szCs w:val="16"/>
                <w:bdr w:val="none" w:sz="0" w:space="0" w:color="auto"/>
                <w:lang w:eastAsia="es-ES"/>
              </w:rPr>
              <w:t>Euros</w:t>
            </w:r>
          </w:p>
        </w:tc>
      </w:tr>
      <w:tr w:rsidR="00612A4D" w:rsidRPr="007E7835" w14:paraId="6DEA40DB" w14:textId="77777777" w:rsidTr="00B1370C">
        <w:trPr>
          <w:trHeight w:val="390"/>
        </w:trPr>
        <w:tc>
          <w:tcPr>
            <w:tcW w:w="2436" w:type="dxa"/>
            <w:tcBorders>
              <w:top w:val="nil"/>
              <w:left w:val="nil"/>
              <w:bottom w:val="single" w:sz="4" w:space="0" w:color="auto"/>
              <w:right w:val="nil"/>
            </w:tcBorders>
            <w:shd w:val="clear" w:color="auto" w:fill="auto"/>
            <w:vAlign w:val="center"/>
            <w:hideMark/>
          </w:tcPr>
          <w:p w14:paraId="0604B8AF" w14:textId="77777777" w:rsidR="00612A4D" w:rsidRPr="007E7835" w:rsidRDefault="00612A4D" w:rsidP="00612A4D">
            <w:pPr>
              <w:keepNext/>
              <w:keepLines/>
              <w:widowControl w:val="0"/>
              <w:pBdr>
                <w:top w:val="none" w:sz="0" w:space="0" w:color="auto"/>
                <w:left w:val="none" w:sz="0" w:space="0" w:color="auto"/>
                <w:bottom w:val="none" w:sz="0" w:space="0" w:color="auto"/>
                <w:right w:val="none" w:sz="0" w:space="0" w:color="auto"/>
                <w:between w:val="none" w:sz="0" w:space="0" w:color="auto"/>
                <w:bar w:val="none" w:sz="0" w:color="auto"/>
              </w:pBdr>
              <w:jc w:val="center"/>
              <w:outlineLvl w:val="9"/>
              <w:rPr>
                <w:rFonts w:eastAsia="Times New Roman"/>
                <w:sz w:val="16"/>
                <w:szCs w:val="16"/>
                <w:bdr w:val="none" w:sz="0" w:space="0" w:color="auto"/>
                <w:lang w:eastAsia="es-ES"/>
              </w:rPr>
            </w:pPr>
            <w:r w:rsidRPr="007E7835">
              <w:rPr>
                <w:rFonts w:eastAsia="Times New Roman"/>
                <w:sz w:val="16"/>
                <w:szCs w:val="16"/>
                <w:bdr w:val="none" w:sz="0" w:space="0" w:color="auto"/>
                <w:lang w:eastAsia="es-ES"/>
              </w:rPr>
              <w:t> </w:t>
            </w:r>
          </w:p>
        </w:tc>
        <w:tc>
          <w:tcPr>
            <w:tcW w:w="1279" w:type="dxa"/>
            <w:tcBorders>
              <w:top w:val="nil"/>
              <w:left w:val="nil"/>
              <w:bottom w:val="single" w:sz="4" w:space="0" w:color="auto"/>
              <w:right w:val="nil"/>
            </w:tcBorders>
            <w:shd w:val="clear" w:color="auto" w:fill="auto"/>
            <w:vAlign w:val="bottom"/>
            <w:hideMark/>
          </w:tcPr>
          <w:p w14:paraId="7E2DCD5D" w14:textId="38167FBF" w:rsidR="00612A4D" w:rsidRPr="007639B1" w:rsidRDefault="00612A4D" w:rsidP="00612A4D">
            <w:pPr>
              <w:keepNext/>
              <w:keepLines/>
              <w:widowControl w:val="0"/>
              <w:pBdr>
                <w:top w:val="none" w:sz="0" w:space="0" w:color="auto"/>
                <w:left w:val="none" w:sz="0" w:space="0" w:color="auto"/>
                <w:bottom w:val="none" w:sz="0" w:space="0" w:color="auto"/>
                <w:right w:val="none" w:sz="0" w:space="0" w:color="auto"/>
                <w:between w:val="none" w:sz="0" w:space="0" w:color="auto"/>
                <w:bar w:val="none" w:sz="0" w:color="auto"/>
              </w:pBdr>
              <w:jc w:val="center"/>
              <w:outlineLvl w:val="9"/>
              <w:rPr>
                <w:rFonts w:eastAsia="Times New Roman"/>
                <w:b/>
                <w:bCs/>
                <w:sz w:val="16"/>
                <w:szCs w:val="16"/>
                <w:bdr w:val="none" w:sz="0" w:space="0" w:color="auto"/>
                <w:lang w:eastAsia="es-ES"/>
              </w:rPr>
            </w:pPr>
            <w:r w:rsidRPr="007639B1">
              <w:rPr>
                <w:rFonts w:eastAsia="Times New Roman"/>
                <w:b/>
                <w:bCs/>
                <w:sz w:val="16"/>
                <w:szCs w:val="16"/>
                <w:bdr w:val="none" w:sz="0" w:space="0" w:color="auto"/>
                <w:lang w:eastAsia="es-ES"/>
              </w:rPr>
              <w:t>Saldo al 31/12/202</w:t>
            </w:r>
            <w:r>
              <w:rPr>
                <w:rFonts w:eastAsia="Times New Roman"/>
                <w:b/>
                <w:bCs/>
                <w:sz w:val="16"/>
                <w:szCs w:val="16"/>
                <w:bdr w:val="none" w:sz="0" w:space="0" w:color="auto"/>
                <w:lang w:eastAsia="es-ES"/>
              </w:rPr>
              <w:t>3</w:t>
            </w:r>
          </w:p>
        </w:tc>
        <w:tc>
          <w:tcPr>
            <w:tcW w:w="1246" w:type="dxa"/>
            <w:tcBorders>
              <w:top w:val="nil"/>
              <w:left w:val="nil"/>
              <w:bottom w:val="single" w:sz="4" w:space="0" w:color="auto"/>
              <w:right w:val="nil"/>
            </w:tcBorders>
            <w:shd w:val="clear" w:color="auto" w:fill="auto"/>
            <w:vAlign w:val="bottom"/>
            <w:hideMark/>
          </w:tcPr>
          <w:p w14:paraId="3E2C670A" w14:textId="77777777" w:rsidR="00612A4D" w:rsidRPr="007639B1" w:rsidRDefault="00612A4D" w:rsidP="00612A4D">
            <w:pPr>
              <w:keepNext/>
              <w:keepLines/>
              <w:widowControl w:val="0"/>
              <w:pBdr>
                <w:top w:val="none" w:sz="0" w:space="0" w:color="auto"/>
                <w:left w:val="none" w:sz="0" w:space="0" w:color="auto"/>
                <w:bottom w:val="none" w:sz="0" w:space="0" w:color="auto"/>
                <w:right w:val="none" w:sz="0" w:space="0" w:color="auto"/>
                <w:between w:val="none" w:sz="0" w:space="0" w:color="auto"/>
                <w:bar w:val="none" w:sz="0" w:color="auto"/>
              </w:pBdr>
              <w:jc w:val="center"/>
              <w:outlineLvl w:val="9"/>
              <w:rPr>
                <w:rFonts w:eastAsia="Times New Roman"/>
                <w:b/>
                <w:bCs/>
                <w:sz w:val="16"/>
                <w:szCs w:val="16"/>
                <w:bdr w:val="none" w:sz="0" w:space="0" w:color="auto"/>
                <w:lang w:eastAsia="es-ES"/>
              </w:rPr>
            </w:pPr>
            <w:r w:rsidRPr="007639B1">
              <w:rPr>
                <w:rFonts w:eastAsia="Times New Roman"/>
                <w:b/>
                <w:bCs/>
                <w:sz w:val="16"/>
                <w:szCs w:val="16"/>
                <w:bdr w:val="none" w:sz="0" w:space="0" w:color="auto"/>
                <w:lang w:eastAsia="es-ES"/>
              </w:rPr>
              <w:t>Altas</w:t>
            </w:r>
          </w:p>
        </w:tc>
        <w:tc>
          <w:tcPr>
            <w:tcW w:w="1237" w:type="dxa"/>
            <w:tcBorders>
              <w:top w:val="nil"/>
              <w:left w:val="nil"/>
              <w:bottom w:val="single" w:sz="4" w:space="0" w:color="auto"/>
              <w:right w:val="nil"/>
            </w:tcBorders>
            <w:shd w:val="clear" w:color="auto" w:fill="auto"/>
            <w:vAlign w:val="bottom"/>
            <w:hideMark/>
          </w:tcPr>
          <w:p w14:paraId="4879C705" w14:textId="77777777" w:rsidR="00612A4D" w:rsidRPr="007639B1" w:rsidRDefault="00612A4D" w:rsidP="00612A4D">
            <w:pPr>
              <w:keepNext/>
              <w:keepLines/>
              <w:widowControl w:val="0"/>
              <w:pBdr>
                <w:top w:val="none" w:sz="0" w:space="0" w:color="auto"/>
                <w:left w:val="none" w:sz="0" w:space="0" w:color="auto"/>
                <w:bottom w:val="none" w:sz="0" w:space="0" w:color="auto"/>
                <w:right w:val="none" w:sz="0" w:space="0" w:color="auto"/>
                <w:between w:val="none" w:sz="0" w:space="0" w:color="auto"/>
                <w:bar w:val="none" w:sz="0" w:color="auto"/>
              </w:pBdr>
              <w:jc w:val="center"/>
              <w:outlineLvl w:val="9"/>
              <w:rPr>
                <w:rFonts w:eastAsia="Times New Roman"/>
                <w:b/>
                <w:bCs/>
                <w:sz w:val="16"/>
                <w:szCs w:val="16"/>
                <w:bdr w:val="none" w:sz="0" w:space="0" w:color="auto"/>
                <w:lang w:eastAsia="es-ES"/>
              </w:rPr>
            </w:pPr>
            <w:r w:rsidRPr="007639B1">
              <w:rPr>
                <w:rFonts w:eastAsia="Times New Roman"/>
                <w:b/>
                <w:bCs/>
                <w:sz w:val="16"/>
                <w:szCs w:val="16"/>
                <w:bdr w:val="none" w:sz="0" w:space="0" w:color="auto"/>
                <w:lang w:eastAsia="es-ES"/>
              </w:rPr>
              <w:t>Bajas</w:t>
            </w:r>
          </w:p>
        </w:tc>
        <w:tc>
          <w:tcPr>
            <w:tcW w:w="1243" w:type="dxa"/>
            <w:tcBorders>
              <w:top w:val="nil"/>
              <w:left w:val="nil"/>
              <w:bottom w:val="single" w:sz="4" w:space="0" w:color="auto"/>
              <w:right w:val="nil"/>
            </w:tcBorders>
            <w:shd w:val="clear" w:color="auto" w:fill="auto"/>
            <w:vAlign w:val="bottom"/>
            <w:hideMark/>
          </w:tcPr>
          <w:p w14:paraId="02D4E33C" w14:textId="77777777" w:rsidR="00612A4D" w:rsidRPr="007639B1" w:rsidRDefault="00612A4D" w:rsidP="00612A4D">
            <w:pPr>
              <w:keepNext/>
              <w:keepLines/>
              <w:widowControl w:val="0"/>
              <w:pBdr>
                <w:top w:val="none" w:sz="0" w:space="0" w:color="auto"/>
                <w:left w:val="none" w:sz="0" w:space="0" w:color="auto"/>
                <w:bottom w:val="none" w:sz="0" w:space="0" w:color="auto"/>
                <w:right w:val="none" w:sz="0" w:space="0" w:color="auto"/>
                <w:between w:val="none" w:sz="0" w:space="0" w:color="auto"/>
                <w:bar w:val="none" w:sz="0" w:color="auto"/>
              </w:pBdr>
              <w:jc w:val="center"/>
              <w:outlineLvl w:val="9"/>
              <w:rPr>
                <w:rFonts w:eastAsia="Times New Roman"/>
                <w:b/>
                <w:bCs/>
                <w:sz w:val="16"/>
                <w:szCs w:val="16"/>
                <w:bdr w:val="none" w:sz="0" w:space="0" w:color="auto"/>
                <w:lang w:eastAsia="es-ES"/>
              </w:rPr>
            </w:pPr>
            <w:r w:rsidRPr="007639B1">
              <w:rPr>
                <w:rFonts w:eastAsia="Times New Roman"/>
                <w:b/>
                <w:bCs/>
                <w:sz w:val="16"/>
                <w:szCs w:val="16"/>
                <w:bdr w:val="none" w:sz="0" w:space="0" w:color="auto"/>
                <w:lang w:eastAsia="es-ES"/>
              </w:rPr>
              <w:t>Traspasos</w:t>
            </w:r>
          </w:p>
        </w:tc>
        <w:tc>
          <w:tcPr>
            <w:tcW w:w="1281" w:type="dxa"/>
            <w:tcBorders>
              <w:top w:val="nil"/>
              <w:left w:val="nil"/>
              <w:bottom w:val="single" w:sz="4" w:space="0" w:color="auto"/>
              <w:right w:val="nil"/>
            </w:tcBorders>
            <w:shd w:val="clear" w:color="auto" w:fill="auto"/>
            <w:vAlign w:val="bottom"/>
            <w:hideMark/>
          </w:tcPr>
          <w:p w14:paraId="3C1E3529" w14:textId="55BF6147" w:rsidR="00612A4D" w:rsidRPr="007639B1" w:rsidRDefault="00612A4D" w:rsidP="00612A4D">
            <w:pPr>
              <w:keepNext/>
              <w:keepLines/>
              <w:widowControl w:val="0"/>
              <w:pBdr>
                <w:top w:val="none" w:sz="0" w:space="0" w:color="auto"/>
                <w:left w:val="none" w:sz="0" w:space="0" w:color="auto"/>
                <w:bottom w:val="none" w:sz="0" w:space="0" w:color="auto"/>
                <w:right w:val="none" w:sz="0" w:space="0" w:color="auto"/>
                <w:between w:val="none" w:sz="0" w:space="0" w:color="auto"/>
                <w:bar w:val="none" w:sz="0" w:color="auto"/>
              </w:pBdr>
              <w:jc w:val="center"/>
              <w:outlineLvl w:val="9"/>
              <w:rPr>
                <w:rFonts w:eastAsia="Times New Roman"/>
                <w:b/>
                <w:bCs/>
                <w:sz w:val="16"/>
                <w:szCs w:val="16"/>
                <w:bdr w:val="none" w:sz="0" w:space="0" w:color="auto"/>
                <w:lang w:eastAsia="es-ES"/>
              </w:rPr>
            </w:pPr>
            <w:r w:rsidRPr="007639B1">
              <w:rPr>
                <w:rFonts w:eastAsia="Times New Roman"/>
                <w:b/>
                <w:bCs/>
                <w:sz w:val="16"/>
                <w:szCs w:val="16"/>
                <w:bdr w:val="none" w:sz="0" w:space="0" w:color="auto"/>
                <w:lang w:eastAsia="es-ES"/>
              </w:rPr>
              <w:t>Saldo al 31/12/202</w:t>
            </w:r>
            <w:r>
              <w:rPr>
                <w:rFonts w:eastAsia="Times New Roman"/>
                <w:b/>
                <w:bCs/>
                <w:sz w:val="16"/>
                <w:szCs w:val="16"/>
                <w:bdr w:val="none" w:sz="0" w:space="0" w:color="auto"/>
                <w:lang w:eastAsia="es-ES"/>
              </w:rPr>
              <w:t>4</w:t>
            </w:r>
          </w:p>
        </w:tc>
      </w:tr>
      <w:tr w:rsidR="00612A4D" w:rsidRPr="007E7835" w14:paraId="219FFD18" w14:textId="77777777" w:rsidTr="00B1370C">
        <w:trPr>
          <w:trHeight w:val="255"/>
        </w:trPr>
        <w:tc>
          <w:tcPr>
            <w:tcW w:w="2436" w:type="dxa"/>
            <w:tcBorders>
              <w:top w:val="nil"/>
              <w:left w:val="nil"/>
              <w:bottom w:val="nil"/>
              <w:right w:val="nil"/>
            </w:tcBorders>
            <w:shd w:val="clear" w:color="auto" w:fill="auto"/>
            <w:vAlign w:val="center"/>
            <w:hideMark/>
          </w:tcPr>
          <w:p w14:paraId="4EC71608" w14:textId="77777777" w:rsidR="00612A4D" w:rsidRPr="007E7835" w:rsidRDefault="00612A4D" w:rsidP="00612A4D">
            <w:pPr>
              <w:keepNext/>
              <w:keepLines/>
              <w:widowControl w:val="0"/>
              <w:pBdr>
                <w:top w:val="none" w:sz="0" w:space="0" w:color="auto"/>
                <w:left w:val="none" w:sz="0" w:space="0" w:color="auto"/>
                <w:bottom w:val="none" w:sz="0" w:space="0" w:color="auto"/>
                <w:right w:val="none" w:sz="0" w:space="0" w:color="auto"/>
                <w:between w:val="none" w:sz="0" w:space="0" w:color="auto"/>
                <w:bar w:val="none" w:sz="0" w:color="auto"/>
              </w:pBdr>
              <w:outlineLvl w:val="9"/>
              <w:rPr>
                <w:rFonts w:eastAsia="Times New Roman"/>
                <w:b/>
                <w:bCs/>
                <w:sz w:val="16"/>
                <w:szCs w:val="16"/>
                <w:bdr w:val="none" w:sz="0" w:space="0" w:color="auto"/>
                <w:lang w:eastAsia="es-ES"/>
              </w:rPr>
            </w:pPr>
            <w:r w:rsidRPr="007E7835">
              <w:rPr>
                <w:rFonts w:eastAsia="Times New Roman"/>
                <w:b/>
                <w:bCs/>
                <w:sz w:val="16"/>
                <w:szCs w:val="16"/>
                <w:bdr w:val="none" w:sz="0" w:space="0" w:color="auto"/>
                <w:lang w:eastAsia="es-ES"/>
              </w:rPr>
              <w:t>Coste</w:t>
            </w:r>
          </w:p>
        </w:tc>
        <w:tc>
          <w:tcPr>
            <w:tcW w:w="1279" w:type="dxa"/>
            <w:tcBorders>
              <w:top w:val="nil"/>
              <w:left w:val="nil"/>
              <w:bottom w:val="nil"/>
              <w:right w:val="nil"/>
            </w:tcBorders>
            <w:shd w:val="clear" w:color="auto" w:fill="auto"/>
            <w:vAlign w:val="center"/>
            <w:hideMark/>
          </w:tcPr>
          <w:p w14:paraId="46A51024" w14:textId="77777777" w:rsidR="00612A4D" w:rsidRPr="007639B1" w:rsidRDefault="00612A4D" w:rsidP="00612A4D">
            <w:pPr>
              <w:keepNext/>
              <w:keepLines/>
              <w:widowControl w:val="0"/>
              <w:pBdr>
                <w:top w:val="none" w:sz="0" w:space="0" w:color="auto"/>
                <w:left w:val="none" w:sz="0" w:space="0" w:color="auto"/>
                <w:bottom w:val="none" w:sz="0" w:space="0" w:color="auto"/>
                <w:right w:val="none" w:sz="0" w:space="0" w:color="auto"/>
                <w:between w:val="none" w:sz="0" w:space="0" w:color="auto"/>
                <w:bar w:val="none" w:sz="0" w:color="auto"/>
              </w:pBdr>
              <w:outlineLvl w:val="9"/>
              <w:rPr>
                <w:rFonts w:eastAsia="Times New Roman"/>
                <w:b/>
                <w:bCs/>
                <w:sz w:val="16"/>
                <w:szCs w:val="16"/>
                <w:bdr w:val="none" w:sz="0" w:space="0" w:color="auto"/>
                <w:lang w:eastAsia="es-ES"/>
              </w:rPr>
            </w:pPr>
          </w:p>
        </w:tc>
        <w:tc>
          <w:tcPr>
            <w:tcW w:w="1246" w:type="dxa"/>
            <w:tcBorders>
              <w:top w:val="nil"/>
              <w:left w:val="nil"/>
              <w:bottom w:val="nil"/>
              <w:right w:val="nil"/>
            </w:tcBorders>
            <w:shd w:val="clear" w:color="auto" w:fill="auto"/>
            <w:vAlign w:val="center"/>
          </w:tcPr>
          <w:p w14:paraId="456909BF" w14:textId="77777777" w:rsidR="00612A4D" w:rsidRPr="007639B1" w:rsidRDefault="00612A4D" w:rsidP="00612A4D">
            <w:pPr>
              <w:keepNext/>
              <w:keepLines/>
              <w:widowControl w:val="0"/>
              <w:pBdr>
                <w:top w:val="none" w:sz="0" w:space="0" w:color="auto"/>
                <w:left w:val="none" w:sz="0" w:space="0" w:color="auto"/>
                <w:bottom w:val="none" w:sz="0" w:space="0" w:color="auto"/>
                <w:right w:val="none" w:sz="0" w:space="0" w:color="auto"/>
                <w:between w:val="none" w:sz="0" w:space="0" w:color="auto"/>
                <w:bar w:val="none" w:sz="0" w:color="auto"/>
              </w:pBdr>
              <w:outlineLvl w:val="9"/>
              <w:rPr>
                <w:rFonts w:eastAsia="Times New Roman"/>
                <w:color w:val="auto"/>
                <w:sz w:val="16"/>
                <w:szCs w:val="16"/>
                <w:bdr w:val="none" w:sz="0" w:space="0" w:color="auto"/>
                <w:lang w:eastAsia="es-ES"/>
              </w:rPr>
            </w:pPr>
          </w:p>
        </w:tc>
        <w:tc>
          <w:tcPr>
            <w:tcW w:w="1237" w:type="dxa"/>
            <w:tcBorders>
              <w:top w:val="nil"/>
              <w:left w:val="nil"/>
              <w:bottom w:val="nil"/>
              <w:right w:val="nil"/>
            </w:tcBorders>
            <w:shd w:val="clear" w:color="auto" w:fill="auto"/>
            <w:vAlign w:val="center"/>
          </w:tcPr>
          <w:p w14:paraId="69A7C7F7" w14:textId="77777777" w:rsidR="00612A4D" w:rsidRPr="007639B1" w:rsidRDefault="00612A4D" w:rsidP="00612A4D">
            <w:pPr>
              <w:keepNext/>
              <w:keepLines/>
              <w:widowControl w:val="0"/>
              <w:pBdr>
                <w:top w:val="none" w:sz="0" w:space="0" w:color="auto"/>
                <w:left w:val="none" w:sz="0" w:space="0" w:color="auto"/>
                <w:bottom w:val="none" w:sz="0" w:space="0" w:color="auto"/>
                <w:right w:val="none" w:sz="0" w:space="0" w:color="auto"/>
                <w:between w:val="none" w:sz="0" w:space="0" w:color="auto"/>
                <w:bar w:val="none" w:sz="0" w:color="auto"/>
              </w:pBdr>
              <w:outlineLvl w:val="9"/>
              <w:rPr>
                <w:rFonts w:eastAsia="Times New Roman"/>
                <w:color w:val="auto"/>
                <w:sz w:val="16"/>
                <w:szCs w:val="16"/>
                <w:bdr w:val="none" w:sz="0" w:space="0" w:color="auto"/>
                <w:lang w:eastAsia="es-ES"/>
              </w:rPr>
            </w:pPr>
          </w:p>
        </w:tc>
        <w:tc>
          <w:tcPr>
            <w:tcW w:w="1243" w:type="dxa"/>
            <w:tcBorders>
              <w:top w:val="nil"/>
              <w:left w:val="nil"/>
              <w:bottom w:val="nil"/>
              <w:right w:val="nil"/>
            </w:tcBorders>
            <w:shd w:val="clear" w:color="auto" w:fill="auto"/>
            <w:vAlign w:val="center"/>
          </w:tcPr>
          <w:p w14:paraId="64AF37EE" w14:textId="77777777" w:rsidR="00612A4D" w:rsidRPr="007639B1" w:rsidRDefault="00612A4D" w:rsidP="00612A4D">
            <w:pPr>
              <w:keepNext/>
              <w:keepLines/>
              <w:widowControl w:val="0"/>
              <w:pBdr>
                <w:top w:val="none" w:sz="0" w:space="0" w:color="auto"/>
                <w:left w:val="none" w:sz="0" w:space="0" w:color="auto"/>
                <w:bottom w:val="none" w:sz="0" w:space="0" w:color="auto"/>
                <w:right w:val="none" w:sz="0" w:space="0" w:color="auto"/>
                <w:between w:val="none" w:sz="0" w:space="0" w:color="auto"/>
                <w:bar w:val="none" w:sz="0" w:color="auto"/>
              </w:pBdr>
              <w:outlineLvl w:val="9"/>
              <w:rPr>
                <w:rFonts w:eastAsia="Times New Roman"/>
                <w:color w:val="auto"/>
                <w:sz w:val="16"/>
                <w:szCs w:val="16"/>
                <w:bdr w:val="none" w:sz="0" w:space="0" w:color="auto"/>
                <w:lang w:eastAsia="es-ES"/>
              </w:rPr>
            </w:pPr>
          </w:p>
        </w:tc>
        <w:tc>
          <w:tcPr>
            <w:tcW w:w="1281" w:type="dxa"/>
            <w:tcBorders>
              <w:top w:val="nil"/>
              <w:left w:val="nil"/>
              <w:bottom w:val="nil"/>
              <w:right w:val="nil"/>
            </w:tcBorders>
            <w:shd w:val="clear" w:color="auto" w:fill="auto"/>
            <w:vAlign w:val="center"/>
            <w:hideMark/>
          </w:tcPr>
          <w:p w14:paraId="31018033" w14:textId="77777777" w:rsidR="00612A4D" w:rsidRPr="007639B1" w:rsidRDefault="00612A4D" w:rsidP="00612A4D">
            <w:pPr>
              <w:keepNext/>
              <w:keepLines/>
              <w:widowControl w:val="0"/>
              <w:pBdr>
                <w:top w:val="none" w:sz="0" w:space="0" w:color="auto"/>
                <w:left w:val="none" w:sz="0" w:space="0" w:color="auto"/>
                <w:bottom w:val="none" w:sz="0" w:space="0" w:color="auto"/>
                <w:right w:val="none" w:sz="0" w:space="0" w:color="auto"/>
                <w:between w:val="none" w:sz="0" w:space="0" w:color="auto"/>
                <w:bar w:val="none" w:sz="0" w:color="auto"/>
              </w:pBdr>
              <w:outlineLvl w:val="9"/>
              <w:rPr>
                <w:rFonts w:eastAsia="Times New Roman"/>
                <w:color w:val="auto"/>
                <w:sz w:val="16"/>
                <w:szCs w:val="16"/>
                <w:bdr w:val="none" w:sz="0" w:space="0" w:color="auto"/>
                <w:lang w:eastAsia="es-ES"/>
              </w:rPr>
            </w:pPr>
          </w:p>
        </w:tc>
      </w:tr>
      <w:tr w:rsidR="000D30D5" w:rsidRPr="007E7835" w14:paraId="3C84916D" w14:textId="77777777" w:rsidTr="00B1370C">
        <w:trPr>
          <w:trHeight w:val="283"/>
        </w:trPr>
        <w:tc>
          <w:tcPr>
            <w:tcW w:w="2436" w:type="dxa"/>
            <w:tcBorders>
              <w:top w:val="nil"/>
              <w:left w:val="nil"/>
              <w:bottom w:val="nil"/>
              <w:right w:val="nil"/>
            </w:tcBorders>
            <w:shd w:val="clear" w:color="auto" w:fill="auto"/>
            <w:vAlign w:val="center"/>
            <w:hideMark/>
          </w:tcPr>
          <w:p w14:paraId="11BD5006" w14:textId="77777777" w:rsidR="000D30D5" w:rsidRPr="007E7835" w:rsidRDefault="000D30D5" w:rsidP="000D30D5">
            <w:pPr>
              <w:keepNext/>
              <w:keepLines/>
              <w:widowControl w:val="0"/>
              <w:pBdr>
                <w:top w:val="none" w:sz="0" w:space="0" w:color="auto"/>
                <w:left w:val="none" w:sz="0" w:space="0" w:color="auto"/>
                <w:bottom w:val="none" w:sz="0" w:space="0" w:color="auto"/>
                <w:right w:val="none" w:sz="0" w:space="0" w:color="auto"/>
                <w:between w:val="none" w:sz="0" w:space="0" w:color="auto"/>
                <w:bar w:val="none" w:sz="0" w:color="auto"/>
              </w:pBdr>
              <w:outlineLvl w:val="9"/>
              <w:rPr>
                <w:rFonts w:eastAsia="Times New Roman"/>
                <w:sz w:val="16"/>
                <w:szCs w:val="16"/>
                <w:bdr w:val="none" w:sz="0" w:space="0" w:color="auto"/>
                <w:lang w:eastAsia="es-ES"/>
              </w:rPr>
            </w:pPr>
            <w:r w:rsidRPr="007E7835">
              <w:rPr>
                <w:rFonts w:eastAsia="Times New Roman"/>
                <w:sz w:val="16"/>
                <w:szCs w:val="16"/>
                <w:bdr w:val="none" w:sz="0" w:space="0" w:color="auto"/>
                <w:lang w:eastAsia="es-ES"/>
              </w:rPr>
              <w:t>Construcciones</w:t>
            </w:r>
          </w:p>
        </w:tc>
        <w:tc>
          <w:tcPr>
            <w:tcW w:w="1279" w:type="dxa"/>
            <w:tcBorders>
              <w:top w:val="nil"/>
              <w:left w:val="nil"/>
              <w:bottom w:val="nil"/>
              <w:right w:val="nil"/>
            </w:tcBorders>
            <w:shd w:val="clear" w:color="auto" w:fill="auto"/>
            <w:vAlign w:val="center"/>
          </w:tcPr>
          <w:p w14:paraId="26B3A28A" w14:textId="05BD4370" w:rsidR="000D30D5" w:rsidRPr="00470F32" w:rsidRDefault="000D30D5" w:rsidP="000D30D5">
            <w:pPr>
              <w:keepNext/>
              <w:keepLines/>
              <w:widowControl w:val="0"/>
              <w:pBdr>
                <w:top w:val="none" w:sz="0" w:space="0" w:color="auto"/>
                <w:left w:val="none" w:sz="0" w:space="0" w:color="auto"/>
                <w:bottom w:val="none" w:sz="0" w:space="0" w:color="auto"/>
                <w:right w:val="none" w:sz="0" w:space="0" w:color="auto"/>
                <w:between w:val="none" w:sz="0" w:space="0" w:color="auto"/>
                <w:bar w:val="none" w:sz="0" w:color="auto"/>
              </w:pBdr>
              <w:jc w:val="right"/>
              <w:outlineLvl w:val="9"/>
              <w:rPr>
                <w:rFonts w:eastAsia="Times New Roman"/>
                <w:sz w:val="16"/>
                <w:szCs w:val="16"/>
                <w:bdr w:val="none" w:sz="0" w:space="0" w:color="auto"/>
                <w:lang w:eastAsia="es-ES"/>
              </w:rPr>
            </w:pPr>
            <w:r w:rsidRPr="00470F32">
              <w:rPr>
                <w:sz w:val="16"/>
                <w:szCs w:val="16"/>
              </w:rPr>
              <w:t>439.024,59</w:t>
            </w:r>
          </w:p>
        </w:tc>
        <w:tc>
          <w:tcPr>
            <w:tcW w:w="1246" w:type="dxa"/>
            <w:tcBorders>
              <w:top w:val="nil"/>
              <w:left w:val="nil"/>
              <w:bottom w:val="nil"/>
              <w:right w:val="nil"/>
            </w:tcBorders>
            <w:shd w:val="clear" w:color="auto" w:fill="auto"/>
            <w:vAlign w:val="center"/>
          </w:tcPr>
          <w:p w14:paraId="546F4FFD" w14:textId="2728F49B" w:rsidR="000D30D5" w:rsidRPr="00470F32" w:rsidRDefault="000D30D5" w:rsidP="000D30D5">
            <w:pPr>
              <w:keepNext/>
              <w:keepLines/>
              <w:widowControl w:val="0"/>
              <w:pBdr>
                <w:top w:val="none" w:sz="0" w:space="0" w:color="auto"/>
                <w:left w:val="none" w:sz="0" w:space="0" w:color="auto"/>
                <w:bottom w:val="none" w:sz="0" w:space="0" w:color="auto"/>
                <w:right w:val="none" w:sz="0" w:space="0" w:color="auto"/>
                <w:between w:val="none" w:sz="0" w:space="0" w:color="auto"/>
                <w:bar w:val="none" w:sz="0" w:color="auto"/>
              </w:pBdr>
              <w:jc w:val="right"/>
              <w:outlineLvl w:val="9"/>
              <w:rPr>
                <w:rFonts w:eastAsia="Times New Roman"/>
                <w:sz w:val="16"/>
                <w:szCs w:val="16"/>
                <w:bdr w:val="none" w:sz="0" w:space="0" w:color="auto"/>
                <w:lang w:eastAsia="es-ES"/>
              </w:rPr>
            </w:pPr>
            <w:r>
              <w:rPr>
                <w:sz w:val="16"/>
                <w:szCs w:val="16"/>
              </w:rPr>
              <w:t xml:space="preserve"> -</w:t>
            </w:r>
          </w:p>
        </w:tc>
        <w:tc>
          <w:tcPr>
            <w:tcW w:w="1237" w:type="dxa"/>
            <w:tcBorders>
              <w:top w:val="nil"/>
              <w:left w:val="nil"/>
              <w:bottom w:val="nil"/>
              <w:right w:val="nil"/>
            </w:tcBorders>
            <w:shd w:val="clear" w:color="auto" w:fill="auto"/>
            <w:vAlign w:val="center"/>
          </w:tcPr>
          <w:p w14:paraId="4D5C7E2B" w14:textId="693CA21E" w:rsidR="000D30D5" w:rsidRPr="00470F32" w:rsidRDefault="000D30D5" w:rsidP="000D30D5">
            <w:pPr>
              <w:keepNext/>
              <w:keepLines/>
              <w:widowControl w:val="0"/>
              <w:pBdr>
                <w:top w:val="none" w:sz="0" w:space="0" w:color="auto"/>
                <w:left w:val="none" w:sz="0" w:space="0" w:color="auto"/>
                <w:bottom w:val="none" w:sz="0" w:space="0" w:color="auto"/>
                <w:right w:val="none" w:sz="0" w:space="0" w:color="auto"/>
                <w:between w:val="none" w:sz="0" w:space="0" w:color="auto"/>
                <w:bar w:val="none" w:sz="0" w:color="auto"/>
              </w:pBdr>
              <w:jc w:val="right"/>
              <w:outlineLvl w:val="9"/>
              <w:rPr>
                <w:rFonts w:eastAsia="Times New Roman"/>
                <w:sz w:val="16"/>
                <w:szCs w:val="16"/>
                <w:bdr w:val="none" w:sz="0" w:space="0" w:color="auto"/>
                <w:lang w:eastAsia="es-ES"/>
              </w:rPr>
            </w:pPr>
            <w:r>
              <w:rPr>
                <w:sz w:val="16"/>
                <w:szCs w:val="16"/>
              </w:rPr>
              <w:t xml:space="preserve"> -</w:t>
            </w:r>
          </w:p>
        </w:tc>
        <w:tc>
          <w:tcPr>
            <w:tcW w:w="1243" w:type="dxa"/>
            <w:tcBorders>
              <w:top w:val="nil"/>
              <w:left w:val="nil"/>
              <w:bottom w:val="nil"/>
              <w:right w:val="nil"/>
            </w:tcBorders>
            <w:shd w:val="clear" w:color="auto" w:fill="auto"/>
            <w:vAlign w:val="center"/>
          </w:tcPr>
          <w:p w14:paraId="7061089E" w14:textId="56245880" w:rsidR="000D30D5" w:rsidRPr="00470F32" w:rsidRDefault="000D30D5" w:rsidP="000D30D5">
            <w:pPr>
              <w:keepNext/>
              <w:keepLines/>
              <w:widowControl w:val="0"/>
              <w:pBdr>
                <w:top w:val="none" w:sz="0" w:space="0" w:color="auto"/>
                <w:left w:val="none" w:sz="0" w:space="0" w:color="auto"/>
                <w:bottom w:val="none" w:sz="0" w:space="0" w:color="auto"/>
                <w:right w:val="none" w:sz="0" w:space="0" w:color="auto"/>
                <w:between w:val="none" w:sz="0" w:space="0" w:color="auto"/>
                <w:bar w:val="none" w:sz="0" w:color="auto"/>
              </w:pBdr>
              <w:jc w:val="right"/>
              <w:outlineLvl w:val="9"/>
              <w:rPr>
                <w:rFonts w:eastAsia="Times New Roman"/>
                <w:sz w:val="16"/>
                <w:szCs w:val="16"/>
                <w:bdr w:val="none" w:sz="0" w:space="0" w:color="auto"/>
                <w:lang w:eastAsia="es-ES"/>
              </w:rPr>
            </w:pPr>
            <w:r>
              <w:rPr>
                <w:sz w:val="16"/>
                <w:szCs w:val="16"/>
              </w:rPr>
              <w:t xml:space="preserve"> -</w:t>
            </w:r>
          </w:p>
        </w:tc>
        <w:tc>
          <w:tcPr>
            <w:tcW w:w="1281" w:type="dxa"/>
            <w:tcBorders>
              <w:top w:val="nil"/>
              <w:left w:val="nil"/>
              <w:bottom w:val="nil"/>
              <w:right w:val="nil"/>
            </w:tcBorders>
            <w:shd w:val="clear" w:color="auto" w:fill="auto"/>
            <w:vAlign w:val="center"/>
          </w:tcPr>
          <w:p w14:paraId="55947CCC" w14:textId="4B640D27" w:rsidR="000D30D5" w:rsidRPr="00470F32" w:rsidRDefault="000D30D5" w:rsidP="000D30D5">
            <w:pPr>
              <w:keepNext/>
              <w:keepLines/>
              <w:widowControl w:val="0"/>
              <w:pBdr>
                <w:top w:val="none" w:sz="0" w:space="0" w:color="auto"/>
                <w:left w:val="none" w:sz="0" w:space="0" w:color="auto"/>
                <w:bottom w:val="none" w:sz="0" w:space="0" w:color="auto"/>
                <w:right w:val="none" w:sz="0" w:space="0" w:color="auto"/>
                <w:between w:val="none" w:sz="0" w:space="0" w:color="auto"/>
                <w:bar w:val="none" w:sz="0" w:color="auto"/>
              </w:pBdr>
              <w:jc w:val="right"/>
              <w:outlineLvl w:val="9"/>
              <w:rPr>
                <w:rFonts w:eastAsia="Times New Roman"/>
                <w:sz w:val="16"/>
                <w:szCs w:val="16"/>
                <w:bdr w:val="none" w:sz="0" w:space="0" w:color="auto"/>
                <w:lang w:eastAsia="es-ES"/>
              </w:rPr>
            </w:pPr>
            <w:r>
              <w:rPr>
                <w:sz w:val="16"/>
                <w:szCs w:val="16"/>
              </w:rPr>
              <w:t>439.024,59</w:t>
            </w:r>
          </w:p>
        </w:tc>
      </w:tr>
      <w:tr w:rsidR="000D30D5" w:rsidRPr="007E7835" w14:paraId="4723AB32" w14:textId="77777777" w:rsidTr="00B1370C">
        <w:trPr>
          <w:trHeight w:val="283"/>
        </w:trPr>
        <w:tc>
          <w:tcPr>
            <w:tcW w:w="2436" w:type="dxa"/>
            <w:tcBorders>
              <w:top w:val="nil"/>
              <w:left w:val="nil"/>
              <w:bottom w:val="nil"/>
              <w:right w:val="nil"/>
            </w:tcBorders>
            <w:shd w:val="clear" w:color="auto" w:fill="auto"/>
            <w:vAlign w:val="center"/>
            <w:hideMark/>
          </w:tcPr>
          <w:p w14:paraId="44CBCAFA" w14:textId="77777777" w:rsidR="000D30D5" w:rsidRPr="007E7835" w:rsidRDefault="000D30D5" w:rsidP="000D30D5">
            <w:pPr>
              <w:keepNext/>
              <w:keepLines/>
              <w:widowControl w:val="0"/>
              <w:pBdr>
                <w:top w:val="none" w:sz="0" w:space="0" w:color="auto"/>
                <w:left w:val="none" w:sz="0" w:space="0" w:color="auto"/>
                <w:bottom w:val="none" w:sz="0" w:space="0" w:color="auto"/>
                <w:right w:val="none" w:sz="0" w:space="0" w:color="auto"/>
                <w:between w:val="none" w:sz="0" w:space="0" w:color="auto"/>
                <w:bar w:val="none" w:sz="0" w:color="auto"/>
              </w:pBdr>
              <w:outlineLvl w:val="9"/>
              <w:rPr>
                <w:rFonts w:eastAsia="Times New Roman"/>
                <w:sz w:val="16"/>
                <w:szCs w:val="16"/>
                <w:bdr w:val="none" w:sz="0" w:space="0" w:color="auto"/>
                <w:lang w:eastAsia="es-ES"/>
              </w:rPr>
            </w:pPr>
            <w:r w:rsidRPr="007E7835">
              <w:rPr>
                <w:rFonts w:eastAsia="Times New Roman"/>
                <w:sz w:val="16"/>
                <w:szCs w:val="16"/>
                <w:bdr w:val="none" w:sz="0" w:space="0" w:color="auto"/>
                <w:lang w:eastAsia="es-ES"/>
              </w:rPr>
              <w:t>Instalaciones técnicas</w:t>
            </w:r>
          </w:p>
        </w:tc>
        <w:tc>
          <w:tcPr>
            <w:tcW w:w="1279" w:type="dxa"/>
            <w:tcBorders>
              <w:top w:val="nil"/>
              <w:left w:val="nil"/>
              <w:bottom w:val="nil"/>
              <w:right w:val="nil"/>
            </w:tcBorders>
            <w:shd w:val="clear" w:color="auto" w:fill="auto"/>
            <w:vAlign w:val="center"/>
          </w:tcPr>
          <w:p w14:paraId="5936C47E" w14:textId="0F44784B" w:rsidR="000D30D5" w:rsidRPr="00470F32" w:rsidRDefault="000D30D5" w:rsidP="000D30D5">
            <w:pPr>
              <w:keepNext/>
              <w:keepLines/>
              <w:widowControl w:val="0"/>
              <w:pBdr>
                <w:top w:val="none" w:sz="0" w:space="0" w:color="auto"/>
                <w:left w:val="none" w:sz="0" w:space="0" w:color="auto"/>
                <w:bottom w:val="none" w:sz="0" w:space="0" w:color="auto"/>
                <w:right w:val="none" w:sz="0" w:space="0" w:color="auto"/>
                <w:between w:val="none" w:sz="0" w:space="0" w:color="auto"/>
                <w:bar w:val="none" w:sz="0" w:color="auto"/>
              </w:pBdr>
              <w:jc w:val="right"/>
              <w:outlineLvl w:val="9"/>
              <w:rPr>
                <w:rFonts w:eastAsia="Times New Roman"/>
                <w:sz w:val="16"/>
                <w:szCs w:val="16"/>
                <w:bdr w:val="none" w:sz="0" w:space="0" w:color="auto"/>
                <w:lang w:eastAsia="es-ES"/>
              </w:rPr>
            </w:pPr>
            <w:r w:rsidRPr="00470F32">
              <w:rPr>
                <w:sz w:val="16"/>
                <w:szCs w:val="16"/>
              </w:rPr>
              <w:t>31.551,32</w:t>
            </w:r>
          </w:p>
        </w:tc>
        <w:tc>
          <w:tcPr>
            <w:tcW w:w="1246" w:type="dxa"/>
            <w:tcBorders>
              <w:top w:val="nil"/>
              <w:left w:val="nil"/>
              <w:bottom w:val="nil"/>
              <w:right w:val="nil"/>
            </w:tcBorders>
            <w:shd w:val="clear" w:color="auto" w:fill="auto"/>
            <w:vAlign w:val="center"/>
          </w:tcPr>
          <w:p w14:paraId="251CF04A" w14:textId="58596529" w:rsidR="000D30D5" w:rsidRPr="00470F32" w:rsidRDefault="000D30D5" w:rsidP="000D30D5">
            <w:pPr>
              <w:keepNext/>
              <w:keepLines/>
              <w:widowControl w:val="0"/>
              <w:pBdr>
                <w:top w:val="none" w:sz="0" w:space="0" w:color="auto"/>
                <w:left w:val="none" w:sz="0" w:space="0" w:color="auto"/>
                <w:bottom w:val="none" w:sz="0" w:space="0" w:color="auto"/>
                <w:right w:val="none" w:sz="0" w:space="0" w:color="auto"/>
                <w:between w:val="none" w:sz="0" w:space="0" w:color="auto"/>
                <w:bar w:val="none" w:sz="0" w:color="auto"/>
              </w:pBdr>
              <w:jc w:val="right"/>
              <w:outlineLvl w:val="9"/>
              <w:rPr>
                <w:rFonts w:eastAsia="Times New Roman"/>
                <w:sz w:val="16"/>
                <w:szCs w:val="16"/>
                <w:bdr w:val="none" w:sz="0" w:space="0" w:color="auto"/>
                <w:lang w:eastAsia="es-ES"/>
              </w:rPr>
            </w:pPr>
            <w:r>
              <w:rPr>
                <w:sz w:val="16"/>
                <w:szCs w:val="16"/>
              </w:rPr>
              <w:t xml:space="preserve"> -</w:t>
            </w:r>
          </w:p>
        </w:tc>
        <w:tc>
          <w:tcPr>
            <w:tcW w:w="1237" w:type="dxa"/>
            <w:tcBorders>
              <w:top w:val="nil"/>
              <w:left w:val="nil"/>
              <w:bottom w:val="nil"/>
              <w:right w:val="nil"/>
            </w:tcBorders>
            <w:shd w:val="clear" w:color="auto" w:fill="auto"/>
            <w:vAlign w:val="center"/>
          </w:tcPr>
          <w:p w14:paraId="623B0A8B" w14:textId="788AC77C" w:rsidR="000D30D5" w:rsidRPr="00470F32" w:rsidRDefault="000D30D5" w:rsidP="000D30D5">
            <w:pPr>
              <w:keepNext/>
              <w:keepLines/>
              <w:widowControl w:val="0"/>
              <w:pBdr>
                <w:top w:val="none" w:sz="0" w:space="0" w:color="auto"/>
                <w:left w:val="none" w:sz="0" w:space="0" w:color="auto"/>
                <w:bottom w:val="none" w:sz="0" w:space="0" w:color="auto"/>
                <w:right w:val="none" w:sz="0" w:space="0" w:color="auto"/>
                <w:between w:val="none" w:sz="0" w:space="0" w:color="auto"/>
                <w:bar w:val="none" w:sz="0" w:color="auto"/>
              </w:pBdr>
              <w:jc w:val="right"/>
              <w:outlineLvl w:val="9"/>
              <w:rPr>
                <w:rFonts w:eastAsia="Times New Roman"/>
                <w:sz w:val="16"/>
                <w:szCs w:val="16"/>
                <w:bdr w:val="none" w:sz="0" w:space="0" w:color="auto"/>
                <w:lang w:eastAsia="es-ES"/>
              </w:rPr>
            </w:pPr>
            <w:r>
              <w:rPr>
                <w:sz w:val="16"/>
                <w:szCs w:val="16"/>
              </w:rPr>
              <w:t>(31.551,32)</w:t>
            </w:r>
          </w:p>
        </w:tc>
        <w:tc>
          <w:tcPr>
            <w:tcW w:w="1243" w:type="dxa"/>
            <w:tcBorders>
              <w:top w:val="nil"/>
              <w:left w:val="nil"/>
              <w:bottom w:val="nil"/>
              <w:right w:val="nil"/>
            </w:tcBorders>
            <w:shd w:val="clear" w:color="auto" w:fill="auto"/>
            <w:vAlign w:val="center"/>
          </w:tcPr>
          <w:p w14:paraId="0E10512A" w14:textId="7F13C7F8" w:rsidR="000D30D5" w:rsidRPr="00470F32" w:rsidRDefault="000D30D5" w:rsidP="000D30D5">
            <w:pPr>
              <w:keepNext/>
              <w:keepLines/>
              <w:widowControl w:val="0"/>
              <w:pBdr>
                <w:top w:val="none" w:sz="0" w:space="0" w:color="auto"/>
                <w:left w:val="none" w:sz="0" w:space="0" w:color="auto"/>
                <w:bottom w:val="none" w:sz="0" w:space="0" w:color="auto"/>
                <w:right w:val="none" w:sz="0" w:space="0" w:color="auto"/>
                <w:between w:val="none" w:sz="0" w:space="0" w:color="auto"/>
                <w:bar w:val="none" w:sz="0" w:color="auto"/>
              </w:pBdr>
              <w:jc w:val="right"/>
              <w:outlineLvl w:val="9"/>
              <w:rPr>
                <w:rFonts w:eastAsia="Times New Roman"/>
                <w:sz w:val="16"/>
                <w:szCs w:val="16"/>
                <w:bdr w:val="none" w:sz="0" w:space="0" w:color="auto"/>
                <w:lang w:eastAsia="es-ES"/>
              </w:rPr>
            </w:pPr>
            <w:r>
              <w:rPr>
                <w:sz w:val="16"/>
                <w:szCs w:val="16"/>
              </w:rPr>
              <w:t xml:space="preserve"> -</w:t>
            </w:r>
          </w:p>
        </w:tc>
        <w:tc>
          <w:tcPr>
            <w:tcW w:w="1281" w:type="dxa"/>
            <w:tcBorders>
              <w:top w:val="nil"/>
              <w:left w:val="nil"/>
              <w:bottom w:val="nil"/>
              <w:right w:val="nil"/>
            </w:tcBorders>
            <w:shd w:val="clear" w:color="auto" w:fill="auto"/>
            <w:vAlign w:val="center"/>
          </w:tcPr>
          <w:p w14:paraId="2306637E" w14:textId="34EB72E6" w:rsidR="000D30D5" w:rsidRPr="00470F32" w:rsidRDefault="000D30D5" w:rsidP="000D30D5">
            <w:pPr>
              <w:keepNext/>
              <w:keepLines/>
              <w:widowControl w:val="0"/>
              <w:pBdr>
                <w:top w:val="none" w:sz="0" w:space="0" w:color="auto"/>
                <w:left w:val="none" w:sz="0" w:space="0" w:color="auto"/>
                <w:bottom w:val="none" w:sz="0" w:space="0" w:color="auto"/>
                <w:right w:val="none" w:sz="0" w:space="0" w:color="auto"/>
                <w:between w:val="none" w:sz="0" w:space="0" w:color="auto"/>
                <w:bar w:val="none" w:sz="0" w:color="auto"/>
              </w:pBdr>
              <w:jc w:val="right"/>
              <w:outlineLvl w:val="9"/>
              <w:rPr>
                <w:rFonts w:eastAsia="Times New Roman"/>
                <w:sz w:val="16"/>
                <w:szCs w:val="16"/>
                <w:bdr w:val="none" w:sz="0" w:space="0" w:color="auto"/>
                <w:lang w:eastAsia="es-ES"/>
              </w:rPr>
            </w:pPr>
            <w:r>
              <w:rPr>
                <w:sz w:val="16"/>
                <w:szCs w:val="16"/>
              </w:rPr>
              <w:t xml:space="preserve"> -</w:t>
            </w:r>
          </w:p>
        </w:tc>
      </w:tr>
      <w:tr w:rsidR="000D30D5" w:rsidRPr="007E7835" w14:paraId="206C67E6" w14:textId="77777777" w:rsidTr="00B1370C">
        <w:trPr>
          <w:trHeight w:val="283"/>
        </w:trPr>
        <w:tc>
          <w:tcPr>
            <w:tcW w:w="2436" w:type="dxa"/>
            <w:tcBorders>
              <w:top w:val="nil"/>
              <w:left w:val="nil"/>
              <w:bottom w:val="nil"/>
              <w:right w:val="nil"/>
            </w:tcBorders>
            <w:shd w:val="clear" w:color="auto" w:fill="auto"/>
            <w:vAlign w:val="center"/>
            <w:hideMark/>
          </w:tcPr>
          <w:p w14:paraId="3E6B6F83" w14:textId="77777777" w:rsidR="000D30D5" w:rsidRPr="007E7835" w:rsidRDefault="000D30D5" w:rsidP="000D30D5">
            <w:pPr>
              <w:keepNext/>
              <w:keepLines/>
              <w:widowControl w:val="0"/>
              <w:pBdr>
                <w:top w:val="none" w:sz="0" w:space="0" w:color="auto"/>
                <w:left w:val="none" w:sz="0" w:space="0" w:color="auto"/>
                <w:bottom w:val="none" w:sz="0" w:space="0" w:color="auto"/>
                <w:right w:val="none" w:sz="0" w:space="0" w:color="auto"/>
                <w:between w:val="none" w:sz="0" w:space="0" w:color="auto"/>
                <w:bar w:val="none" w:sz="0" w:color="auto"/>
              </w:pBdr>
              <w:outlineLvl w:val="9"/>
              <w:rPr>
                <w:rFonts w:eastAsia="Times New Roman"/>
                <w:sz w:val="16"/>
                <w:szCs w:val="16"/>
                <w:bdr w:val="none" w:sz="0" w:space="0" w:color="auto"/>
                <w:lang w:eastAsia="es-ES"/>
              </w:rPr>
            </w:pPr>
            <w:r w:rsidRPr="007E7835">
              <w:rPr>
                <w:rFonts w:eastAsia="Times New Roman"/>
                <w:sz w:val="16"/>
                <w:szCs w:val="16"/>
                <w:bdr w:val="none" w:sz="0" w:space="0" w:color="auto"/>
                <w:lang w:eastAsia="es-ES"/>
              </w:rPr>
              <w:t>Mobiliario</w:t>
            </w:r>
          </w:p>
        </w:tc>
        <w:tc>
          <w:tcPr>
            <w:tcW w:w="1279" w:type="dxa"/>
            <w:tcBorders>
              <w:top w:val="nil"/>
              <w:left w:val="nil"/>
              <w:bottom w:val="nil"/>
              <w:right w:val="nil"/>
            </w:tcBorders>
            <w:shd w:val="clear" w:color="auto" w:fill="auto"/>
            <w:vAlign w:val="center"/>
          </w:tcPr>
          <w:p w14:paraId="3AA1BFF8" w14:textId="13AC5DAC" w:rsidR="000D30D5" w:rsidRPr="00470F32" w:rsidRDefault="000D30D5" w:rsidP="000D30D5">
            <w:pPr>
              <w:keepNext/>
              <w:keepLines/>
              <w:widowControl w:val="0"/>
              <w:pBdr>
                <w:top w:val="none" w:sz="0" w:space="0" w:color="auto"/>
                <w:left w:val="none" w:sz="0" w:space="0" w:color="auto"/>
                <w:bottom w:val="none" w:sz="0" w:space="0" w:color="auto"/>
                <w:right w:val="none" w:sz="0" w:space="0" w:color="auto"/>
                <w:between w:val="none" w:sz="0" w:space="0" w:color="auto"/>
                <w:bar w:val="none" w:sz="0" w:color="auto"/>
              </w:pBdr>
              <w:jc w:val="right"/>
              <w:outlineLvl w:val="9"/>
              <w:rPr>
                <w:rFonts w:eastAsia="Times New Roman"/>
                <w:sz w:val="16"/>
                <w:szCs w:val="16"/>
                <w:bdr w:val="none" w:sz="0" w:space="0" w:color="auto"/>
                <w:lang w:eastAsia="es-ES"/>
              </w:rPr>
            </w:pPr>
            <w:r w:rsidRPr="00470F32">
              <w:rPr>
                <w:sz w:val="16"/>
                <w:szCs w:val="16"/>
              </w:rPr>
              <w:t>448.301,85</w:t>
            </w:r>
          </w:p>
        </w:tc>
        <w:tc>
          <w:tcPr>
            <w:tcW w:w="1246" w:type="dxa"/>
            <w:tcBorders>
              <w:top w:val="nil"/>
              <w:left w:val="nil"/>
              <w:bottom w:val="nil"/>
              <w:right w:val="nil"/>
            </w:tcBorders>
            <w:shd w:val="clear" w:color="auto" w:fill="auto"/>
            <w:vAlign w:val="center"/>
          </w:tcPr>
          <w:p w14:paraId="6A4E5C97" w14:textId="47A3BA7F" w:rsidR="000D30D5" w:rsidRPr="00470F32" w:rsidRDefault="000D30D5" w:rsidP="000D30D5">
            <w:pPr>
              <w:keepNext/>
              <w:keepLines/>
              <w:widowControl w:val="0"/>
              <w:pBdr>
                <w:top w:val="none" w:sz="0" w:space="0" w:color="auto"/>
                <w:left w:val="none" w:sz="0" w:space="0" w:color="auto"/>
                <w:bottom w:val="none" w:sz="0" w:space="0" w:color="auto"/>
                <w:right w:val="none" w:sz="0" w:space="0" w:color="auto"/>
                <w:between w:val="none" w:sz="0" w:space="0" w:color="auto"/>
                <w:bar w:val="none" w:sz="0" w:color="auto"/>
              </w:pBdr>
              <w:jc w:val="right"/>
              <w:outlineLvl w:val="9"/>
              <w:rPr>
                <w:rFonts w:eastAsia="Times New Roman"/>
                <w:sz w:val="16"/>
                <w:szCs w:val="16"/>
                <w:bdr w:val="none" w:sz="0" w:space="0" w:color="auto"/>
                <w:lang w:eastAsia="es-ES"/>
              </w:rPr>
            </w:pPr>
            <w:r>
              <w:rPr>
                <w:sz w:val="16"/>
                <w:szCs w:val="16"/>
              </w:rPr>
              <w:t>26.536,48</w:t>
            </w:r>
          </w:p>
        </w:tc>
        <w:tc>
          <w:tcPr>
            <w:tcW w:w="1237" w:type="dxa"/>
            <w:tcBorders>
              <w:top w:val="nil"/>
              <w:left w:val="nil"/>
              <w:bottom w:val="nil"/>
              <w:right w:val="nil"/>
            </w:tcBorders>
            <w:shd w:val="clear" w:color="auto" w:fill="auto"/>
            <w:vAlign w:val="center"/>
          </w:tcPr>
          <w:p w14:paraId="5B430257" w14:textId="6F3664EA" w:rsidR="000D30D5" w:rsidRPr="00470F32" w:rsidRDefault="000D30D5" w:rsidP="000D30D5">
            <w:pPr>
              <w:keepNext/>
              <w:keepLines/>
              <w:widowControl w:val="0"/>
              <w:pBdr>
                <w:top w:val="none" w:sz="0" w:space="0" w:color="auto"/>
                <w:left w:val="none" w:sz="0" w:space="0" w:color="auto"/>
                <w:bottom w:val="none" w:sz="0" w:space="0" w:color="auto"/>
                <w:right w:val="none" w:sz="0" w:space="0" w:color="auto"/>
                <w:between w:val="none" w:sz="0" w:space="0" w:color="auto"/>
                <w:bar w:val="none" w:sz="0" w:color="auto"/>
              </w:pBdr>
              <w:jc w:val="right"/>
              <w:outlineLvl w:val="9"/>
              <w:rPr>
                <w:rFonts w:eastAsia="Times New Roman"/>
                <w:sz w:val="16"/>
                <w:szCs w:val="16"/>
                <w:bdr w:val="none" w:sz="0" w:space="0" w:color="auto"/>
                <w:lang w:eastAsia="es-ES"/>
              </w:rPr>
            </w:pPr>
            <w:r>
              <w:rPr>
                <w:sz w:val="16"/>
                <w:szCs w:val="16"/>
              </w:rPr>
              <w:t>(231.713,46)</w:t>
            </w:r>
          </w:p>
        </w:tc>
        <w:tc>
          <w:tcPr>
            <w:tcW w:w="1243" w:type="dxa"/>
            <w:tcBorders>
              <w:top w:val="nil"/>
              <w:left w:val="nil"/>
              <w:bottom w:val="nil"/>
              <w:right w:val="nil"/>
            </w:tcBorders>
            <w:shd w:val="clear" w:color="auto" w:fill="auto"/>
            <w:vAlign w:val="center"/>
          </w:tcPr>
          <w:p w14:paraId="34BDBC9E" w14:textId="14CA497D" w:rsidR="000D30D5" w:rsidRPr="00470F32" w:rsidRDefault="000D30D5" w:rsidP="000D30D5">
            <w:pPr>
              <w:keepNext/>
              <w:keepLines/>
              <w:widowControl w:val="0"/>
              <w:pBdr>
                <w:top w:val="none" w:sz="0" w:space="0" w:color="auto"/>
                <w:left w:val="none" w:sz="0" w:space="0" w:color="auto"/>
                <w:bottom w:val="none" w:sz="0" w:space="0" w:color="auto"/>
                <w:right w:val="none" w:sz="0" w:space="0" w:color="auto"/>
                <w:between w:val="none" w:sz="0" w:space="0" w:color="auto"/>
                <w:bar w:val="none" w:sz="0" w:color="auto"/>
              </w:pBdr>
              <w:jc w:val="right"/>
              <w:outlineLvl w:val="9"/>
              <w:rPr>
                <w:rFonts w:eastAsia="Times New Roman"/>
                <w:sz w:val="16"/>
                <w:szCs w:val="16"/>
                <w:bdr w:val="none" w:sz="0" w:space="0" w:color="auto"/>
                <w:lang w:eastAsia="es-ES"/>
              </w:rPr>
            </w:pPr>
            <w:r>
              <w:rPr>
                <w:sz w:val="16"/>
                <w:szCs w:val="16"/>
              </w:rPr>
              <w:t>3.638,94</w:t>
            </w:r>
          </w:p>
        </w:tc>
        <w:tc>
          <w:tcPr>
            <w:tcW w:w="1281" w:type="dxa"/>
            <w:tcBorders>
              <w:top w:val="nil"/>
              <w:left w:val="nil"/>
              <w:bottom w:val="nil"/>
              <w:right w:val="nil"/>
            </w:tcBorders>
            <w:shd w:val="clear" w:color="auto" w:fill="auto"/>
            <w:vAlign w:val="center"/>
          </w:tcPr>
          <w:p w14:paraId="6DF9BA49" w14:textId="2F720A37" w:rsidR="000D30D5" w:rsidRPr="00470F32" w:rsidRDefault="000D30D5" w:rsidP="000D30D5">
            <w:pPr>
              <w:keepNext/>
              <w:keepLines/>
              <w:widowControl w:val="0"/>
              <w:pBdr>
                <w:top w:val="none" w:sz="0" w:space="0" w:color="auto"/>
                <w:left w:val="none" w:sz="0" w:space="0" w:color="auto"/>
                <w:bottom w:val="none" w:sz="0" w:space="0" w:color="auto"/>
                <w:right w:val="none" w:sz="0" w:space="0" w:color="auto"/>
                <w:between w:val="none" w:sz="0" w:space="0" w:color="auto"/>
                <w:bar w:val="none" w:sz="0" w:color="auto"/>
              </w:pBdr>
              <w:jc w:val="right"/>
              <w:outlineLvl w:val="9"/>
              <w:rPr>
                <w:rFonts w:eastAsia="Times New Roman"/>
                <w:sz w:val="16"/>
                <w:szCs w:val="16"/>
                <w:bdr w:val="none" w:sz="0" w:space="0" w:color="auto"/>
                <w:lang w:eastAsia="es-ES"/>
              </w:rPr>
            </w:pPr>
            <w:r>
              <w:rPr>
                <w:sz w:val="16"/>
                <w:szCs w:val="16"/>
              </w:rPr>
              <w:t>246.763,81</w:t>
            </w:r>
          </w:p>
        </w:tc>
      </w:tr>
      <w:tr w:rsidR="000D30D5" w:rsidRPr="007E7835" w14:paraId="5C63BF0C" w14:textId="77777777" w:rsidTr="00B1370C">
        <w:trPr>
          <w:trHeight w:val="283"/>
        </w:trPr>
        <w:tc>
          <w:tcPr>
            <w:tcW w:w="2436" w:type="dxa"/>
            <w:tcBorders>
              <w:top w:val="nil"/>
              <w:left w:val="nil"/>
              <w:bottom w:val="nil"/>
              <w:right w:val="nil"/>
            </w:tcBorders>
            <w:shd w:val="clear" w:color="auto" w:fill="auto"/>
            <w:vAlign w:val="center"/>
            <w:hideMark/>
          </w:tcPr>
          <w:p w14:paraId="79DAB340" w14:textId="77777777" w:rsidR="000D30D5" w:rsidRPr="007E7835" w:rsidRDefault="000D30D5" w:rsidP="000D30D5">
            <w:pPr>
              <w:keepNext/>
              <w:keepLines/>
              <w:widowControl w:val="0"/>
              <w:pBdr>
                <w:top w:val="none" w:sz="0" w:space="0" w:color="auto"/>
                <w:left w:val="none" w:sz="0" w:space="0" w:color="auto"/>
                <w:bottom w:val="none" w:sz="0" w:space="0" w:color="auto"/>
                <w:right w:val="none" w:sz="0" w:space="0" w:color="auto"/>
                <w:between w:val="none" w:sz="0" w:space="0" w:color="auto"/>
                <w:bar w:val="none" w:sz="0" w:color="auto"/>
              </w:pBdr>
              <w:outlineLvl w:val="9"/>
              <w:rPr>
                <w:rFonts w:eastAsia="Times New Roman"/>
                <w:sz w:val="16"/>
                <w:szCs w:val="16"/>
                <w:bdr w:val="none" w:sz="0" w:space="0" w:color="auto"/>
                <w:lang w:eastAsia="es-ES"/>
              </w:rPr>
            </w:pPr>
            <w:r w:rsidRPr="007E7835">
              <w:rPr>
                <w:rFonts w:eastAsia="Times New Roman"/>
                <w:sz w:val="16"/>
                <w:szCs w:val="16"/>
                <w:bdr w:val="none" w:sz="0" w:space="0" w:color="auto"/>
                <w:lang w:eastAsia="es-ES"/>
              </w:rPr>
              <w:t>Otro inmovilizado</w:t>
            </w:r>
          </w:p>
        </w:tc>
        <w:tc>
          <w:tcPr>
            <w:tcW w:w="1279" w:type="dxa"/>
            <w:tcBorders>
              <w:top w:val="nil"/>
              <w:left w:val="nil"/>
              <w:bottom w:val="nil"/>
              <w:right w:val="nil"/>
            </w:tcBorders>
            <w:shd w:val="clear" w:color="auto" w:fill="auto"/>
            <w:vAlign w:val="center"/>
          </w:tcPr>
          <w:p w14:paraId="561B9024" w14:textId="4641D078" w:rsidR="000D30D5" w:rsidRPr="00470F32" w:rsidRDefault="000D30D5" w:rsidP="000D30D5">
            <w:pPr>
              <w:keepNext/>
              <w:keepLines/>
              <w:widowControl w:val="0"/>
              <w:pBdr>
                <w:top w:val="none" w:sz="0" w:space="0" w:color="auto"/>
                <w:left w:val="none" w:sz="0" w:space="0" w:color="auto"/>
                <w:bottom w:val="none" w:sz="0" w:space="0" w:color="auto"/>
                <w:right w:val="none" w:sz="0" w:space="0" w:color="auto"/>
                <w:between w:val="none" w:sz="0" w:space="0" w:color="auto"/>
                <w:bar w:val="none" w:sz="0" w:color="auto"/>
              </w:pBdr>
              <w:jc w:val="right"/>
              <w:outlineLvl w:val="9"/>
              <w:rPr>
                <w:rFonts w:eastAsia="Times New Roman"/>
                <w:sz w:val="16"/>
                <w:szCs w:val="16"/>
                <w:bdr w:val="none" w:sz="0" w:space="0" w:color="auto"/>
                <w:lang w:eastAsia="es-ES"/>
              </w:rPr>
            </w:pPr>
            <w:r w:rsidRPr="00470F32">
              <w:rPr>
                <w:sz w:val="16"/>
                <w:szCs w:val="16"/>
              </w:rPr>
              <w:t>367.766,64</w:t>
            </w:r>
          </w:p>
        </w:tc>
        <w:tc>
          <w:tcPr>
            <w:tcW w:w="1246" w:type="dxa"/>
            <w:tcBorders>
              <w:top w:val="nil"/>
              <w:left w:val="nil"/>
              <w:bottom w:val="nil"/>
              <w:right w:val="nil"/>
            </w:tcBorders>
            <w:shd w:val="clear" w:color="auto" w:fill="auto"/>
            <w:vAlign w:val="center"/>
          </w:tcPr>
          <w:p w14:paraId="7A759283" w14:textId="44FEB699" w:rsidR="000D30D5" w:rsidRPr="00470F32" w:rsidRDefault="000D30D5" w:rsidP="000D30D5">
            <w:pPr>
              <w:keepNext/>
              <w:keepLines/>
              <w:widowControl w:val="0"/>
              <w:pBdr>
                <w:top w:val="none" w:sz="0" w:space="0" w:color="auto"/>
                <w:left w:val="none" w:sz="0" w:space="0" w:color="auto"/>
                <w:bottom w:val="none" w:sz="0" w:space="0" w:color="auto"/>
                <w:right w:val="none" w:sz="0" w:space="0" w:color="auto"/>
                <w:between w:val="none" w:sz="0" w:space="0" w:color="auto"/>
                <w:bar w:val="none" w:sz="0" w:color="auto"/>
              </w:pBdr>
              <w:jc w:val="right"/>
              <w:outlineLvl w:val="9"/>
              <w:rPr>
                <w:rFonts w:eastAsia="Times New Roman"/>
                <w:sz w:val="16"/>
                <w:szCs w:val="16"/>
                <w:bdr w:val="none" w:sz="0" w:space="0" w:color="auto"/>
                <w:lang w:eastAsia="es-ES"/>
              </w:rPr>
            </w:pPr>
            <w:r>
              <w:rPr>
                <w:sz w:val="16"/>
                <w:szCs w:val="16"/>
              </w:rPr>
              <w:t>3.739,90</w:t>
            </w:r>
          </w:p>
        </w:tc>
        <w:tc>
          <w:tcPr>
            <w:tcW w:w="1237" w:type="dxa"/>
            <w:tcBorders>
              <w:top w:val="nil"/>
              <w:left w:val="nil"/>
              <w:bottom w:val="nil"/>
              <w:right w:val="nil"/>
            </w:tcBorders>
            <w:shd w:val="clear" w:color="auto" w:fill="auto"/>
            <w:vAlign w:val="center"/>
          </w:tcPr>
          <w:p w14:paraId="0B8298D7" w14:textId="7AAFE485" w:rsidR="000D30D5" w:rsidRPr="00470F32" w:rsidRDefault="000D30D5" w:rsidP="000D30D5">
            <w:pPr>
              <w:pBdr>
                <w:top w:val="none" w:sz="0" w:space="0" w:color="auto"/>
                <w:left w:val="none" w:sz="0" w:space="0" w:color="auto"/>
                <w:bottom w:val="none" w:sz="0" w:space="0" w:color="auto"/>
                <w:right w:val="none" w:sz="0" w:space="0" w:color="auto"/>
                <w:between w:val="none" w:sz="0" w:space="0" w:color="auto"/>
                <w:bar w:val="none" w:sz="0" w:color="auto"/>
              </w:pBdr>
              <w:jc w:val="right"/>
              <w:outlineLvl w:val="9"/>
              <w:rPr>
                <w:rFonts w:eastAsia="Times New Roman"/>
                <w:sz w:val="16"/>
                <w:szCs w:val="16"/>
                <w:bdr w:val="none" w:sz="0" w:space="0" w:color="auto"/>
                <w:lang w:eastAsia="es-ES"/>
              </w:rPr>
            </w:pPr>
            <w:r>
              <w:rPr>
                <w:sz w:val="16"/>
                <w:szCs w:val="16"/>
              </w:rPr>
              <w:t>(178.753,45)</w:t>
            </w:r>
          </w:p>
        </w:tc>
        <w:tc>
          <w:tcPr>
            <w:tcW w:w="1243" w:type="dxa"/>
            <w:tcBorders>
              <w:top w:val="nil"/>
              <w:left w:val="nil"/>
              <w:bottom w:val="nil"/>
              <w:right w:val="nil"/>
            </w:tcBorders>
            <w:shd w:val="clear" w:color="auto" w:fill="auto"/>
            <w:vAlign w:val="center"/>
          </w:tcPr>
          <w:p w14:paraId="2C2E1D4A" w14:textId="48DEB375" w:rsidR="000D30D5" w:rsidRPr="00470F32" w:rsidRDefault="000D30D5" w:rsidP="000D30D5">
            <w:pPr>
              <w:keepNext/>
              <w:keepLines/>
              <w:widowControl w:val="0"/>
              <w:pBdr>
                <w:top w:val="none" w:sz="0" w:space="0" w:color="auto"/>
                <w:left w:val="none" w:sz="0" w:space="0" w:color="auto"/>
                <w:bottom w:val="none" w:sz="0" w:space="0" w:color="auto"/>
                <w:right w:val="none" w:sz="0" w:space="0" w:color="auto"/>
                <w:between w:val="none" w:sz="0" w:space="0" w:color="auto"/>
                <w:bar w:val="none" w:sz="0" w:color="auto"/>
              </w:pBdr>
              <w:jc w:val="right"/>
              <w:outlineLvl w:val="9"/>
              <w:rPr>
                <w:rFonts w:eastAsia="Times New Roman"/>
                <w:sz w:val="16"/>
                <w:szCs w:val="16"/>
                <w:bdr w:val="none" w:sz="0" w:space="0" w:color="auto"/>
                <w:lang w:eastAsia="es-ES"/>
              </w:rPr>
            </w:pPr>
            <w:r>
              <w:rPr>
                <w:sz w:val="16"/>
                <w:szCs w:val="16"/>
              </w:rPr>
              <w:t xml:space="preserve"> -</w:t>
            </w:r>
          </w:p>
        </w:tc>
        <w:tc>
          <w:tcPr>
            <w:tcW w:w="1281" w:type="dxa"/>
            <w:tcBorders>
              <w:top w:val="nil"/>
              <w:left w:val="nil"/>
              <w:bottom w:val="nil"/>
              <w:right w:val="nil"/>
            </w:tcBorders>
            <w:shd w:val="clear" w:color="auto" w:fill="auto"/>
            <w:vAlign w:val="center"/>
          </w:tcPr>
          <w:p w14:paraId="002667AB" w14:textId="22977422" w:rsidR="000D30D5" w:rsidRPr="00470F32" w:rsidRDefault="000D30D5" w:rsidP="000D30D5">
            <w:pPr>
              <w:keepNext/>
              <w:keepLines/>
              <w:widowControl w:val="0"/>
              <w:pBdr>
                <w:top w:val="none" w:sz="0" w:space="0" w:color="auto"/>
                <w:left w:val="none" w:sz="0" w:space="0" w:color="auto"/>
                <w:bottom w:val="none" w:sz="0" w:space="0" w:color="auto"/>
                <w:right w:val="none" w:sz="0" w:space="0" w:color="auto"/>
                <w:between w:val="none" w:sz="0" w:space="0" w:color="auto"/>
                <w:bar w:val="none" w:sz="0" w:color="auto"/>
              </w:pBdr>
              <w:jc w:val="right"/>
              <w:outlineLvl w:val="9"/>
              <w:rPr>
                <w:rFonts w:eastAsia="Times New Roman"/>
                <w:sz w:val="16"/>
                <w:szCs w:val="16"/>
                <w:bdr w:val="none" w:sz="0" w:space="0" w:color="auto"/>
                <w:lang w:eastAsia="es-ES"/>
              </w:rPr>
            </w:pPr>
            <w:r>
              <w:rPr>
                <w:sz w:val="16"/>
                <w:szCs w:val="16"/>
              </w:rPr>
              <w:t>192.753,09</w:t>
            </w:r>
          </w:p>
        </w:tc>
      </w:tr>
      <w:tr w:rsidR="000D30D5" w:rsidRPr="007E7835" w14:paraId="45366F15" w14:textId="77777777" w:rsidTr="00B1370C">
        <w:trPr>
          <w:trHeight w:val="283"/>
        </w:trPr>
        <w:tc>
          <w:tcPr>
            <w:tcW w:w="2436" w:type="dxa"/>
            <w:tcBorders>
              <w:top w:val="nil"/>
              <w:left w:val="nil"/>
              <w:bottom w:val="nil"/>
              <w:right w:val="nil"/>
            </w:tcBorders>
            <w:shd w:val="clear" w:color="auto" w:fill="auto"/>
            <w:vAlign w:val="center"/>
          </w:tcPr>
          <w:p w14:paraId="042190CE" w14:textId="47102293" w:rsidR="000D30D5" w:rsidRPr="007E7835" w:rsidRDefault="000D30D5" w:rsidP="000D30D5">
            <w:pPr>
              <w:keepNext/>
              <w:keepLines/>
              <w:widowControl w:val="0"/>
              <w:pBdr>
                <w:top w:val="none" w:sz="0" w:space="0" w:color="auto"/>
                <w:left w:val="none" w:sz="0" w:space="0" w:color="auto"/>
                <w:bottom w:val="none" w:sz="0" w:space="0" w:color="auto"/>
                <w:right w:val="none" w:sz="0" w:space="0" w:color="auto"/>
                <w:between w:val="none" w:sz="0" w:space="0" w:color="auto"/>
                <w:bar w:val="none" w:sz="0" w:color="auto"/>
              </w:pBdr>
              <w:outlineLvl w:val="9"/>
              <w:rPr>
                <w:rFonts w:eastAsia="Times New Roman"/>
                <w:sz w:val="16"/>
                <w:szCs w:val="16"/>
                <w:bdr w:val="none" w:sz="0" w:space="0" w:color="auto"/>
                <w:lang w:eastAsia="es-ES"/>
              </w:rPr>
            </w:pPr>
            <w:r>
              <w:rPr>
                <w:rFonts w:eastAsia="Times New Roman"/>
                <w:sz w:val="16"/>
                <w:szCs w:val="16"/>
                <w:bdr w:val="none" w:sz="0" w:space="0" w:color="auto"/>
                <w:lang w:eastAsia="es-ES"/>
              </w:rPr>
              <w:t xml:space="preserve">Anticipos </w:t>
            </w:r>
            <w:proofErr w:type="spellStart"/>
            <w:r>
              <w:rPr>
                <w:rFonts w:eastAsia="Times New Roman"/>
                <w:sz w:val="16"/>
                <w:szCs w:val="16"/>
                <w:bdr w:val="none" w:sz="0" w:space="0" w:color="auto"/>
                <w:lang w:eastAsia="es-ES"/>
              </w:rPr>
              <w:t>inmov</w:t>
            </w:r>
            <w:proofErr w:type="spellEnd"/>
            <w:r>
              <w:rPr>
                <w:rFonts w:eastAsia="Times New Roman"/>
                <w:sz w:val="16"/>
                <w:szCs w:val="16"/>
                <w:bdr w:val="none" w:sz="0" w:space="0" w:color="auto"/>
                <w:lang w:eastAsia="es-ES"/>
              </w:rPr>
              <w:t xml:space="preserve"> materiales</w:t>
            </w:r>
          </w:p>
        </w:tc>
        <w:tc>
          <w:tcPr>
            <w:tcW w:w="1279" w:type="dxa"/>
            <w:tcBorders>
              <w:top w:val="nil"/>
              <w:left w:val="nil"/>
              <w:bottom w:val="nil"/>
              <w:right w:val="nil"/>
            </w:tcBorders>
            <w:shd w:val="clear" w:color="auto" w:fill="auto"/>
            <w:vAlign w:val="center"/>
          </w:tcPr>
          <w:p w14:paraId="16BCE0F8" w14:textId="76BE40ED" w:rsidR="000D30D5" w:rsidRPr="00470F32" w:rsidRDefault="000D30D5" w:rsidP="000D30D5">
            <w:pPr>
              <w:pBdr>
                <w:top w:val="none" w:sz="0" w:space="0" w:color="auto"/>
                <w:left w:val="none" w:sz="0" w:space="0" w:color="auto"/>
                <w:bottom w:val="none" w:sz="0" w:space="0" w:color="auto"/>
                <w:right w:val="none" w:sz="0" w:space="0" w:color="auto"/>
                <w:between w:val="none" w:sz="0" w:space="0" w:color="auto"/>
                <w:bar w:val="none" w:sz="0" w:color="auto"/>
              </w:pBdr>
              <w:jc w:val="right"/>
              <w:outlineLvl w:val="9"/>
              <w:rPr>
                <w:rFonts w:eastAsia="Times New Roman"/>
                <w:sz w:val="16"/>
                <w:szCs w:val="16"/>
                <w:bdr w:val="none" w:sz="0" w:space="0" w:color="auto"/>
                <w:lang w:eastAsia="es-ES"/>
              </w:rPr>
            </w:pPr>
            <w:r w:rsidRPr="00470F32">
              <w:rPr>
                <w:sz w:val="16"/>
                <w:szCs w:val="16"/>
              </w:rPr>
              <w:t>3.638,94</w:t>
            </w:r>
          </w:p>
        </w:tc>
        <w:tc>
          <w:tcPr>
            <w:tcW w:w="1246" w:type="dxa"/>
            <w:tcBorders>
              <w:top w:val="nil"/>
              <w:left w:val="nil"/>
              <w:bottom w:val="nil"/>
              <w:right w:val="nil"/>
            </w:tcBorders>
            <w:shd w:val="clear" w:color="auto" w:fill="auto"/>
            <w:vAlign w:val="center"/>
          </w:tcPr>
          <w:p w14:paraId="670F420E" w14:textId="274F1405" w:rsidR="000D30D5" w:rsidRPr="00470F32" w:rsidRDefault="000D30D5" w:rsidP="000D30D5">
            <w:pPr>
              <w:pBdr>
                <w:top w:val="none" w:sz="0" w:space="0" w:color="auto"/>
                <w:left w:val="none" w:sz="0" w:space="0" w:color="auto"/>
                <w:bottom w:val="none" w:sz="0" w:space="0" w:color="auto"/>
                <w:right w:val="none" w:sz="0" w:space="0" w:color="auto"/>
                <w:between w:val="none" w:sz="0" w:space="0" w:color="auto"/>
                <w:bar w:val="none" w:sz="0" w:color="auto"/>
              </w:pBdr>
              <w:jc w:val="right"/>
              <w:outlineLvl w:val="9"/>
              <w:rPr>
                <w:rFonts w:eastAsia="Times New Roman"/>
                <w:sz w:val="16"/>
                <w:szCs w:val="16"/>
                <w:bdr w:val="none" w:sz="0" w:space="0" w:color="auto"/>
                <w:lang w:eastAsia="es-ES"/>
              </w:rPr>
            </w:pPr>
            <w:r>
              <w:rPr>
                <w:sz w:val="16"/>
                <w:szCs w:val="16"/>
              </w:rPr>
              <w:t xml:space="preserve"> -</w:t>
            </w:r>
          </w:p>
        </w:tc>
        <w:tc>
          <w:tcPr>
            <w:tcW w:w="1237" w:type="dxa"/>
            <w:tcBorders>
              <w:top w:val="nil"/>
              <w:left w:val="nil"/>
              <w:bottom w:val="nil"/>
              <w:right w:val="nil"/>
            </w:tcBorders>
            <w:shd w:val="clear" w:color="auto" w:fill="auto"/>
            <w:vAlign w:val="center"/>
          </w:tcPr>
          <w:p w14:paraId="4F65F7FA" w14:textId="1FBFCB3A" w:rsidR="000D30D5" w:rsidRPr="00470F32" w:rsidRDefault="000D30D5" w:rsidP="000D30D5">
            <w:pPr>
              <w:keepNext/>
              <w:keepLines/>
              <w:widowControl w:val="0"/>
              <w:pBdr>
                <w:top w:val="none" w:sz="0" w:space="0" w:color="auto"/>
                <w:left w:val="none" w:sz="0" w:space="0" w:color="auto"/>
                <w:bottom w:val="none" w:sz="0" w:space="0" w:color="auto"/>
                <w:right w:val="none" w:sz="0" w:space="0" w:color="auto"/>
                <w:between w:val="none" w:sz="0" w:space="0" w:color="auto"/>
                <w:bar w:val="none" w:sz="0" w:color="auto"/>
              </w:pBdr>
              <w:jc w:val="right"/>
              <w:outlineLvl w:val="9"/>
              <w:rPr>
                <w:rFonts w:eastAsia="Times New Roman"/>
                <w:sz w:val="16"/>
                <w:szCs w:val="16"/>
                <w:bdr w:val="none" w:sz="0" w:space="0" w:color="auto"/>
                <w:lang w:eastAsia="es-ES"/>
              </w:rPr>
            </w:pPr>
            <w:r>
              <w:rPr>
                <w:sz w:val="16"/>
                <w:szCs w:val="16"/>
              </w:rPr>
              <w:t xml:space="preserve"> -</w:t>
            </w:r>
          </w:p>
        </w:tc>
        <w:tc>
          <w:tcPr>
            <w:tcW w:w="1243" w:type="dxa"/>
            <w:tcBorders>
              <w:top w:val="nil"/>
              <w:left w:val="nil"/>
              <w:bottom w:val="nil"/>
              <w:right w:val="nil"/>
            </w:tcBorders>
            <w:shd w:val="clear" w:color="auto" w:fill="auto"/>
            <w:vAlign w:val="center"/>
          </w:tcPr>
          <w:p w14:paraId="15E70EBC" w14:textId="1BE42785" w:rsidR="000D30D5" w:rsidRPr="00470F32" w:rsidRDefault="000D30D5" w:rsidP="000D30D5">
            <w:pPr>
              <w:keepNext/>
              <w:keepLines/>
              <w:widowControl w:val="0"/>
              <w:pBdr>
                <w:top w:val="none" w:sz="0" w:space="0" w:color="auto"/>
                <w:left w:val="none" w:sz="0" w:space="0" w:color="auto"/>
                <w:bottom w:val="none" w:sz="0" w:space="0" w:color="auto"/>
                <w:right w:val="none" w:sz="0" w:space="0" w:color="auto"/>
                <w:between w:val="none" w:sz="0" w:space="0" w:color="auto"/>
                <w:bar w:val="none" w:sz="0" w:color="auto"/>
              </w:pBdr>
              <w:jc w:val="right"/>
              <w:outlineLvl w:val="9"/>
              <w:rPr>
                <w:rFonts w:eastAsia="Times New Roman"/>
                <w:sz w:val="16"/>
                <w:szCs w:val="16"/>
                <w:bdr w:val="none" w:sz="0" w:space="0" w:color="auto"/>
                <w:lang w:eastAsia="es-ES"/>
              </w:rPr>
            </w:pPr>
            <w:r>
              <w:rPr>
                <w:sz w:val="16"/>
                <w:szCs w:val="16"/>
              </w:rPr>
              <w:t>(3.638,94)</w:t>
            </w:r>
          </w:p>
        </w:tc>
        <w:tc>
          <w:tcPr>
            <w:tcW w:w="1281" w:type="dxa"/>
            <w:tcBorders>
              <w:top w:val="nil"/>
              <w:left w:val="nil"/>
              <w:bottom w:val="nil"/>
              <w:right w:val="nil"/>
            </w:tcBorders>
            <w:shd w:val="clear" w:color="auto" w:fill="auto"/>
            <w:vAlign w:val="center"/>
          </w:tcPr>
          <w:p w14:paraId="5C2CFEC3" w14:textId="1ACCDCAE" w:rsidR="000D30D5" w:rsidRPr="00470F32" w:rsidRDefault="000D30D5" w:rsidP="000D30D5">
            <w:pPr>
              <w:pBdr>
                <w:top w:val="none" w:sz="0" w:space="0" w:color="auto"/>
                <w:left w:val="none" w:sz="0" w:space="0" w:color="auto"/>
                <w:bottom w:val="none" w:sz="0" w:space="0" w:color="auto"/>
                <w:right w:val="none" w:sz="0" w:space="0" w:color="auto"/>
                <w:between w:val="none" w:sz="0" w:space="0" w:color="auto"/>
                <w:bar w:val="none" w:sz="0" w:color="auto"/>
              </w:pBdr>
              <w:jc w:val="right"/>
              <w:outlineLvl w:val="9"/>
              <w:rPr>
                <w:rFonts w:eastAsia="Times New Roman"/>
                <w:sz w:val="16"/>
                <w:szCs w:val="16"/>
                <w:bdr w:val="none" w:sz="0" w:space="0" w:color="auto"/>
                <w:lang w:eastAsia="es-ES"/>
              </w:rPr>
            </w:pPr>
            <w:r>
              <w:rPr>
                <w:sz w:val="16"/>
                <w:szCs w:val="16"/>
              </w:rPr>
              <w:t xml:space="preserve"> -</w:t>
            </w:r>
          </w:p>
        </w:tc>
      </w:tr>
      <w:tr w:rsidR="000D30D5" w:rsidRPr="007E7835" w14:paraId="75ADEDAE" w14:textId="77777777" w:rsidTr="00B1370C">
        <w:trPr>
          <w:trHeight w:val="283"/>
        </w:trPr>
        <w:tc>
          <w:tcPr>
            <w:tcW w:w="2436" w:type="dxa"/>
            <w:tcBorders>
              <w:top w:val="nil"/>
              <w:left w:val="nil"/>
              <w:bottom w:val="nil"/>
              <w:right w:val="nil"/>
            </w:tcBorders>
            <w:shd w:val="clear" w:color="auto" w:fill="auto"/>
            <w:vAlign w:val="center"/>
            <w:hideMark/>
          </w:tcPr>
          <w:p w14:paraId="79A5047A" w14:textId="77777777" w:rsidR="000D30D5" w:rsidRPr="007E7835" w:rsidRDefault="000D30D5" w:rsidP="000D30D5">
            <w:pPr>
              <w:pBdr>
                <w:top w:val="none" w:sz="0" w:space="0" w:color="auto"/>
                <w:left w:val="none" w:sz="0" w:space="0" w:color="auto"/>
                <w:bottom w:val="none" w:sz="0" w:space="0" w:color="auto"/>
                <w:right w:val="none" w:sz="0" w:space="0" w:color="auto"/>
                <w:between w:val="none" w:sz="0" w:space="0" w:color="auto"/>
                <w:bar w:val="none" w:sz="0" w:color="auto"/>
              </w:pBdr>
              <w:jc w:val="right"/>
              <w:outlineLvl w:val="9"/>
              <w:rPr>
                <w:rFonts w:eastAsia="Times New Roman"/>
                <w:sz w:val="16"/>
                <w:szCs w:val="16"/>
                <w:bdr w:val="none" w:sz="0" w:space="0" w:color="auto"/>
                <w:lang w:eastAsia="es-ES"/>
              </w:rPr>
            </w:pPr>
          </w:p>
        </w:tc>
        <w:tc>
          <w:tcPr>
            <w:tcW w:w="1279" w:type="dxa"/>
            <w:tcBorders>
              <w:top w:val="single" w:sz="4" w:space="0" w:color="auto"/>
              <w:left w:val="nil"/>
              <w:bottom w:val="single" w:sz="4" w:space="0" w:color="auto"/>
              <w:right w:val="nil"/>
            </w:tcBorders>
            <w:shd w:val="clear" w:color="auto" w:fill="auto"/>
            <w:vAlign w:val="center"/>
          </w:tcPr>
          <w:p w14:paraId="4AA9B1BC" w14:textId="210A430C" w:rsidR="000D30D5" w:rsidRPr="00470F32" w:rsidRDefault="000D30D5" w:rsidP="000D30D5">
            <w:pPr>
              <w:pBdr>
                <w:top w:val="none" w:sz="0" w:space="0" w:color="auto"/>
                <w:left w:val="none" w:sz="0" w:space="0" w:color="auto"/>
                <w:bottom w:val="none" w:sz="0" w:space="0" w:color="auto"/>
                <w:right w:val="none" w:sz="0" w:space="0" w:color="auto"/>
                <w:between w:val="none" w:sz="0" w:space="0" w:color="auto"/>
                <w:bar w:val="none" w:sz="0" w:color="auto"/>
              </w:pBdr>
              <w:jc w:val="right"/>
              <w:outlineLvl w:val="9"/>
              <w:rPr>
                <w:rFonts w:eastAsia="Times New Roman"/>
                <w:b/>
                <w:bCs/>
                <w:sz w:val="16"/>
                <w:szCs w:val="16"/>
                <w:bdr w:val="none" w:sz="0" w:space="0" w:color="auto"/>
                <w:lang w:eastAsia="es-ES"/>
              </w:rPr>
            </w:pPr>
            <w:r w:rsidRPr="00470F32">
              <w:rPr>
                <w:b/>
                <w:bCs/>
                <w:sz w:val="16"/>
                <w:szCs w:val="16"/>
              </w:rPr>
              <w:t>1.290.283,34</w:t>
            </w:r>
          </w:p>
        </w:tc>
        <w:tc>
          <w:tcPr>
            <w:tcW w:w="1246" w:type="dxa"/>
            <w:tcBorders>
              <w:top w:val="single" w:sz="4" w:space="0" w:color="auto"/>
              <w:left w:val="nil"/>
              <w:bottom w:val="single" w:sz="4" w:space="0" w:color="auto"/>
              <w:right w:val="nil"/>
            </w:tcBorders>
            <w:shd w:val="clear" w:color="auto" w:fill="auto"/>
            <w:vAlign w:val="center"/>
          </w:tcPr>
          <w:p w14:paraId="6B14450C" w14:textId="403ABE00" w:rsidR="000D30D5" w:rsidRPr="00470F32" w:rsidRDefault="000D30D5" w:rsidP="000D30D5">
            <w:pPr>
              <w:pBdr>
                <w:top w:val="none" w:sz="0" w:space="0" w:color="auto"/>
                <w:left w:val="none" w:sz="0" w:space="0" w:color="auto"/>
                <w:bottom w:val="none" w:sz="0" w:space="0" w:color="auto"/>
                <w:right w:val="none" w:sz="0" w:space="0" w:color="auto"/>
                <w:between w:val="none" w:sz="0" w:space="0" w:color="auto"/>
                <w:bar w:val="none" w:sz="0" w:color="auto"/>
              </w:pBdr>
              <w:jc w:val="right"/>
              <w:outlineLvl w:val="9"/>
              <w:rPr>
                <w:rFonts w:eastAsia="Times New Roman"/>
                <w:b/>
                <w:bCs/>
                <w:sz w:val="16"/>
                <w:szCs w:val="16"/>
                <w:bdr w:val="none" w:sz="0" w:space="0" w:color="auto"/>
                <w:lang w:eastAsia="es-ES"/>
              </w:rPr>
            </w:pPr>
            <w:r>
              <w:rPr>
                <w:b/>
                <w:bCs/>
                <w:sz w:val="16"/>
                <w:szCs w:val="16"/>
              </w:rPr>
              <w:t>30.276,38</w:t>
            </w:r>
          </w:p>
        </w:tc>
        <w:tc>
          <w:tcPr>
            <w:tcW w:w="1237" w:type="dxa"/>
            <w:tcBorders>
              <w:top w:val="single" w:sz="4" w:space="0" w:color="auto"/>
              <w:left w:val="nil"/>
              <w:bottom w:val="single" w:sz="4" w:space="0" w:color="auto"/>
              <w:right w:val="nil"/>
            </w:tcBorders>
            <w:shd w:val="clear" w:color="auto" w:fill="auto"/>
            <w:vAlign w:val="center"/>
          </w:tcPr>
          <w:p w14:paraId="03A9CFB4" w14:textId="2897E815" w:rsidR="000D30D5" w:rsidRPr="00470F32" w:rsidRDefault="000D30D5" w:rsidP="000D30D5">
            <w:pPr>
              <w:pBdr>
                <w:top w:val="none" w:sz="0" w:space="0" w:color="auto"/>
                <w:left w:val="none" w:sz="0" w:space="0" w:color="auto"/>
                <w:bottom w:val="none" w:sz="0" w:space="0" w:color="auto"/>
                <w:right w:val="none" w:sz="0" w:space="0" w:color="auto"/>
                <w:between w:val="none" w:sz="0" w:space="0" w:color="auto"/>
                <w:bar w:val="none" w:sz="0" w:color="auto"/>
              </w:pBdr>
              <w:jc w:val="right"/>
              <w:outlineLvl w:val="9"/>
              <w:rPr>
                <w:rFonts w:eastAsia="Times New Roman"/>
                <w:b/>
                <w:bCs/>
                <w:sz w:val="16"/>
                <w:szCs w:val="16"/>
                <w:bdr w:val="none" w:sz="0" w:space="0" w:color="auto"/>
                <w:lang w:eastAsia="es-ES"/>
              </w:rPr>
            </w:pPr>
            <w:r>
              <w:rPr>
                <w:b/>
                <w:bCs/>
                <w:sz w:val="16"/>
                <w:szCs w:val="16"/>
              </w:rPr>
              <w:t>(442.018,23)</w:t>
            </w:r>
          </w:p>
        </w:tc>
        <w:tc>
          <w:tcPr>
            <w:tcW w:w="1243" w:type="dxa"/>
            <w:tcBorders>
              <w:top w:val="single" w:sz="4" w:space="0" w:color="auto"/>
              <w:left w:val="nil"/>
              <w:bottom w:val="single" w:sz="4" w:space="0" w:color="auto"/>
              <w:right w:val="nil"/>
            </w:tcBorders>
            <w:shd w:val="clear" w:color="auto" w:fill="auto"/>
            <w:vAlign w:val="center"/>
          </w:tcPr>
          <w:p w14:paraId="2491E710" w14:textId="66AF3E8D" w:rsidR="000D30D5" w:rsidRPr="00470F32" w:rsidRDefault="000D30D5" w:rsidP="000D30D5">
            <w:pPr>
              <w:pBdr>
                <w:top w:val="none" w:sz="0" w:space="0" w:color="auto"/>
                <w:left w:val="none" w:sz="0" w:space="0" w:color="auto"/>
                <w:bottom w:val="none" w:sz="0" w:space="0" w:color="auto"/>
                <w:right w:val="none" w:sz="0" w:space="0" w:color="auto"/>
                <w:between w:val="none" w:sz="0" w:space="0" w:color="auto"/>
                <w:bar w:val="none" w:sz="0" w:color="auto"/>
              </w:pBdr>
              <w:jc w:val="right"/>
              <w:outlineLvl w:val="9"/>
              <w:rPr>
                <w:rFonts w:eastAsia="Times New Roman"/>
                <w:b/>
                <w:bCs/>
                <w:sz w:val="16"/>
                <w:szCs w:val="16"/>
                <w:bdr w:val="none" w:sz="0" w:space="0" w:color="auto"/>
                <w:lang w:eastAsia="es-ES"/>
              </w:rPr>
            </w:pPr>
            <w:r>
              <w:rPr>
                <w:b/>
                <w:bCs/>
                <w:sz w:val="16"/>
                <w:szCs w:val="16"/>
              </w:rPr>
              <w:t xml:space="preserve"> -</w:t>
            </w:r>
          </w:p>
        </w:tc>
        <w:tc>
          <w:tcPr>
            <w:tcW w:w="1281" w:type="dxa"/>
            <w:tcBorders>
              <w:top w:val="single" w:sz="4" w:space="0" w:color="auto"/>
              <w:left w:val="nil"/>
              <w:bottom w:val="single" w:sz="4" w:space="0" w:color="auto"/>
              <w:right w:val="nil"/>
            </w:tcBorders>
            <w:shd w:val="clear" w:color="auto" w:fill="auto"/>
            <w:vAlign w:val="center"/>
          </w:tcPr>
          <w:p w14:paraId="0C5A0CE9" w14:textId="6BFF87A7" w:rsidR="000D30D5" w:rsidRPr="00470F32" w:rsidRDefault="000D30D5" w:rsidP="000D30D5">
            <w:pPr>
              <w:pBdr>
                <w:top w:val="none" w:sz="0" w:space="0" w:color="auto"/>
                <w:left w:val="none" w:sz="0" w:space="0" w:color="auto"/>
                <w:bottom w:val="none" w:sz="0" w:space="0" w:color="auto"/>
                <w:right w:val="none" w:sz="0" w:space="0" w:color="auto"/>
                <w:between w:val="none" w:sz="0" w:space="0" w:color="auto"/>
                <w:bar w:val="none" w:sz="0" w:color="auto"/>
              </w:pBdr>
              <w:jc w:val="right"/>
              <w:outlineLvl w:val="9"/>
              <w:rPr>
                <w:rFonts w:eastAsia="Times New Roman"/>
                <w:b/>
                <w:bCs/>
                <w:sz w:val="16"/>
                <w:szCs w:val="16"/>
                <w:bdr w:val="none" w:sz="0" w:space="0" w:color="auto"/>
                <w:lang w:eastAsia="es-ES"/>
              </w:rPr>
            </w:pPr>
            <w:r>
              <w:rPr>
                <w:b/>
                <w:bCs/>
                <w:sz w:val="16"/>
                <w:szCs w:val="16"/>
              </w:rPr>
              <w:t>878.541,49</w:t>
            </w:r>
          </w:p>
        </w:tc>
      </w:tr>
      <w:tr w:rsidR="000D30D5" w:rsidRPr="007E7835" w14:paraId="0BBB21B8" w14:textId="77777777" w:rsidTr="00B1370C">
        <w:trPr>
          <w:trHeight w:val="108"/>
        </w:trPr>
        <w:tc>
          <w:tcPr>
            <w:tcW w:w="2436" w:type="dxa"/>
            <w:tcBorders>
              <w:top w:val="nil"/>
              <w:left w:val="nil"/>
              <w:bottom w:val="nil"/>
              <w:right w:val="nil"/>
            </w:tcBorders>
            <w:shd w:val="clear" w:color="auto" w:fill="auto"/>
            <w:vAlign w:val="center"/>
            <w:hideMark/>
          </w:tcPr>
          <w:p w14:paraId="2C841E67" w14:textId="77777777" w:rsidR="000D30D5" w:rsidRPr="007E7835" w:rsidRDefault="000D30D5" w:rsidP="000D30D5">
            <w:pPr>
              <w:pBdr>
                <w:top w:val="none" w:sz="0" w:space="0" w:color="auto"/>
                <w:left w:val="none" w:sz="0" w:space="0" w:color="auto"/>
                <w:bottom w:val="none" w:sz="0" w:space="0" w:color="auto"/>
                <w:right w:val="none" w:sz="0" w:space="0" w:color="auto"/>
                <w:between w:val="none" w:sz="0" w:space="0" w:color="auto"/>
                <w:bar w:val="none" w:sz="0" w:color="auto"/>
              </w:pBdr>
              <w:outlineLvl w:val="9"/>
              <w:rPr>
                <w:rFonts w:eastAsia="Times New Roman"/>
                <w:b/>
                <w:bCs/>
                <w:sz w:val="16"/>
                <w:szCs w:val="16"/>
                <w:bdr w:val="none" w:sz="0" w:space="0" w:color="auto"/>
                <w:lang w:eastAsia="es-ES"/>
              </w:rPr>
            </w:pPr>
            <w:r w:rsidRPr="007E7835">
              <w:rPr>
                <w:rFonts w:eastAsia="Times New Roman"/>
                <w:b/>
                <w:bCs/>
                <w:sz w:val="16"/>
                <w:szCs w:val="16"/>
                <w:bdr w:val="none" w:sz="0" w:space="0" w:color="auto"/>
                <w:lang w:eastAsia="es-ES"/>
              </w:rPr>
              <w:t>Amortización</w:t>
            </w:r>
          </w:p>
        </w:tc>
        <w:tc>
          <w:tcPr>
            <w:tcW w:w="1279" w:type="dxa"/>
            <w:tcBorders>
              <w:top w:val="nil"/>
              <w:left w:val="nil"/>
              <w:bottom w:val="nil"/>
              <w:right w:val="nil"/>
            </w:tcBorders>
            <w:shd w:val="clear" w:color="auto" w:fill="auto"/>
            <w:vAlign w:val="center"/>
          </w:tcPr>
          <w:p w14:paraId="638F285D" w14:textId="77777777" w:rsidR="000D30D5" w:rsidRPr="00470F32" w:rsidRDefault="000D30D5" w:rsidP="000D30D5">
            <w:pPr>
              <w:pBdr>
                <w:top w:val="none" w:sz="0" w:space="0" w:color="auto"/>
                <w:left w:val="none" w:sz="0" w:space="0" w:color="auto"/>
                <w:bottom w:val="none" w:sz="0" w:space="0" w:color="auto"/>
                <w:right w:val="none" w:sz="0" w:space="0" w:color="auto"/>
                <w:between w:val="none" w:sz="0" w:space="0" w:color="auto"/>
                <w:bar w:val="none" w:sz="0" w:color="auto"/>
              </w:pBdr>
              <w:jc w:val="right"/>
              <w:outlineLvl w:val="9"/>
              <w:rPr>
                <w:rFonts w:eastAsia="Times New Roman"/>
                <w:b/>
                <w:bCs/>
                <w:sz w:val="16"/>
                <w:szCs w:val="16"/>
                <w:bdr w:val="none" w:sz="0" w:space="0" w:color="auto"/>
                <w:lang w:eastAsia="es-ES"/>
              </w:rPr>
            </w:pPr>
          </w:p>
        </w:tc>
        <w:tc>
          <w:tcPr>
            <w:tcW w:w="1246" w:type="dxa"/>
            <w:tcBorders>
              <w:top w:val="nil"/>
              <w:left w:val="nil"/>
              <w:bottom w:val="nil"/>
              <w:right w:val="nil"/>
            </w:tcBorders>
            <w:shd w:val="clear" w:color="auto" w:fill="auto"/>
            <w:vAlign w:val="center"/>
          </w:tcPr>
          <w:p w14:paraId="060C548D" w14:textId="1348EE28" w:rsidR="000D30D5" w:rsidRPr="00470F32" w:rsidRDefault="000D30D5" w:rsidP="000D30D5">
            <w:pPr>
              <w:pBdr>
                <w:top w:val="none" w:sz="0" w:space="0" w:color="auto"/>
                <w:left w:val="none" w:sz="0" w:space="0" w:color="auto"/>
                <w:bottom w:val="none" w:sz="0" w:space="0" w:color="auto"/>
                <w:right w:val="none" w:sz="0" w:space="0" w:color="auto"/>
                <w:between w:val="none" w:sz="0" w:space="0" w:color="auto"/>
                <w:bar w:val="none" w:sz="0" w:color="auto"/>
              </w:pBdr>
              <w:jc w:val="right"/>
              <w:outlineLvl w:val="9"/>
              <w:rPr>
                <w:rFonts w:eastAsia="Times New Roman"/>
                <w:color w:val="auto"/>
                <w:sz w:val="16"/>
                <w:szCs w:val="16"/>
                <w:bdr w:val="none" w:sz="0" w:space="0" w:color="auto"/>
                <w:lang w:eastAsia="es-ES"/>
              </w:rPr>
            </w:pPr>
          </w:p>
        </w:tc>
        <w:tc>
          <w:tcPr>
            <w:tcW w:w="1237" w:type="dxa"/>
            <w:tcBorders>
              <w:top w:val="nil"/>
              <w:left w:val="nil"/>
              <w:bottom w:val="nil"/>
              <w:right w:val="nil"/>
            </w:tcBorders>
            <w:shd w:val="clear" w:color="auto" w:fill="auto"/>
            <w:vAlign w:val="center"/>
          </w:tcPr>
          <w:p w14:paraId="221453C1" w14:textId="04E9AAC5" w:rsidR="000D30D5" w:rsidRPr="00470F32" w:rsidRDefault="000D30D5" w:rsidP="000D30D5">
            <w:pPr>
              <w:pBdr>
                <w:top w:val="none" w:sz="0" w:space="0" w:color="auto"/>
                <w:left w:val="none" w:sz="0" w:space="0" w:color="auto"/>
                <w:bottom w:val="none" w:sz="0" w:space="0" w:color="auto"/>
                <w:right w:val="none" w:sz="0" w:space="0" w:color="auto"/>
                <w:between w:val="none" w:sz="0" w:space="0" w:color="auto"/>
                <w:bar w:val="none" w:sz="0" w:color="auto"/>
              </w:pBdr>
              <w:jc w:val="right"/>
              <w:outlineLvl w:val="9"/>
              <w:rPr>
                <w:rFonts w:eastAsia="Times New Roman"/>
                <w:color w:val="auto"/>
                <w:sz w:val="16"/>
                <w:szCs w:val="16"/>
                <w:bdr w:val="none" w:sz="0" w:space="0" w:color="auto"/>
                <w:lang w:eastAsia="es-ES"/>
              </w:rPr>
            </w:pPr>
          </w:p>
        </w:tc>
        <w:tc>
          <w:tcPr>
            <w:tcW w:w="1243" w:type="dxa"/>
            <w:tcBorders>
              <w:top w:val="nil"/>
              <w:left w:val="nil"/>
              <w:bottom w:val="nil"/>
              <w:right w:val="nil"/>
            </w:tcBorders>
            <w:shd w:val="clear" w:color="auto" w:fill="auto"/>
            <w:vAlign w:val="center"/>
          </w:tcPr>
          <w:p w14:paraId="00DDE53D" w14:textId="7A575F23" w:rsidR="000D30D5" w:rsidRPr="00470F32" w:rsidRDefault="000D30D5" w:rsidP="000D30D5">
            <w:pPr>
              <w:pBdr>
                <w:top w:val="none" w:sz="0" w:space="0" w:color="auto"/>
                <w:left w:val="none" w:sz="0" w:space="0" w:color="auto"/>
                <w:bottom w:val="none" w:sz="0" w:space="0" w:color="auto"/>
                <w:right w:val="none" w:sz="0" w:space="0" w:color="auto"/>
                <w:between w:val="none" w:sz="0" w:space="0" w:color="auto"/>
                <w:bar w:val="none" w:sz="0" w:color="auto"/>
              </w:pBdr>
              <w:jc w:val="right"/>
              <w:outlineLvl w:val="9"/>
              <w:rPr>
                <w:rFonts w:eastAsia="Times New Roman"/>
                <w:color w:val="auto"/>
                <w:sz w:val="16"/>
                <w:szCs w:val="16"/>
                <w:bdr w:val="none" w:sz="0" w:space="0" w:color="auto"/>
                <w:lang w:eastAsia="es-ES"/>
              </w:rPr>
            </w:pPr>
          </w:p>
        </w:tc>
        <w:tc>
          <w:tcPr>
            <w:tcW w:w="1281" w:type="dxa"/>
            <w:tcBorders>
              <w:top w:val="nil"/>
              <w:left w:val="nil"/>
              <w:bottom w:val="nil"/>
              <w:right w:val="nil"/>
            </w:tcBorders>
            <w:shd w:val="clear" w:color="auto" w:fill="auto"/>
            <w:vAlign w:val="center"/>
          </w:tcPr>
          <w:p w14:paraId="5BB00BA2" w14:textId="2E4DD0FE" w:rsidR="000D30D5" w:rsidRPr="00470F32" w:rsidRDefault="000D30D5" w:rsidP="000D30D5">
            <w:pPr>
              <w:pBdr>
                <w:top w:val="none" w:sz="0" w:space="0" w:color="auto"/>
                <w:left w:val="none" w:sz="0" w:space="0" w:color="auto"/>
                <w:bottom w:val="none" w:sz="0" w:space="0" w:color="auto"/>
                <w:right w:val="none" w:sz="0" w:space="0" w:color="auto"/>
                <w:between w:val="none" w:sz="0" w:space="0" w:color="auto"/>
                <w:bar w:val="none" w:sz="0" w:color="auto"/>
              </w:pBdr>
              <w:jc w:val="right"/>
              <w:outlineLvl w:val="9"/>
              <w:rPr>
                <w:rFonts w:eastAsia="Times New Roman"/>
                <w:color w:val="auto"/>
                <w:sz w:val="16"/>
                <w:szCs w:val="16"/>
                <w:bdr w:val="none" w:sz="0" w:space="0" w:color="auto"/>
                <w:lang w:eastAsia="es-ES"/>
              </w:rPr>
            </w:pPr>
          </w:p>
        </w:tc>
      </w:tr>
      <w:tr w:rsidR="000D30D5" w:rsidRPr="007E7835" w14:paraId="28E5E460" w14:textId="77777777" w:rsidTr="00B1370C">
        <w:trPr>
          <w:trHeight w:val="283"/>
        </w:trPr>
        <w:tc>
          <w:tcPr>
            <w:tcW w:w="2436" w:type="dxa"/>
            <w:tcBorders>
              <w:top w:val="nil"/>
              <w:left w:val="nil"/>
              <w:bottom w:val="nil"/>
              <w:right w:val="nil"/>
            </w:tcBorders>
            <w:shd w:val="clear" w:color="auto" w:fill="auto"/>
            <w:vAlign w:val="center"/>
            <w:hideMark/>
          </w:tcPr>
          <w:p w14:paraId="250942F2" w14:textId="77777777" w:rsidR="000D30D5" w:rsidRPr="007E7835" w:rsidRDefault="000D30D5" w:rsidP="000D30D5">
            <w:pPr>
              <w:pBdr>
                <w:top w:val="none" w:sz="0" w:space="0" w:color="auto"/>
                <w:left w:val="none" w:sz="0" w:space="0" w:color="auto"/>
                <w:bottom w:val="none" w:sz="0" w:space="0" w:color="auto"/>
                <w:right w:val="none" w:sz="0" w:space="0" w:color="auto"/>
                <w:between w:val="none" w:sz="0" w:space="0" w:color="auto"/>
                <w:bar w:val="none" w:sz="0" w:color="auto"/>
              </w:pBdr>
              <w:outlineLvl w:val="9"/>
              <w:rPr>
                <w:rFonts w:eastAsia="Times New Roman"/>
                <w:sz w:val="16"/>
                <w:szCs w:val="16"/>
                <w:bdr w:val="none" w:sz="0" w:space="0" w:color="auto"/>
                <w:lang w:eastAsia="es-ES"/>
              </w:rPr>
            </w:pPr>
            <w:r w:rsidRPr="007E7835">
              <w:rPr>
                <w:rFonts w:eastAsia="Times New Roman"/>
                <w:sz w:val="16"/>
                <w:szCs w:val="16"/>
                <w:bdr w:val="none" w:sz="0" w:space="0" w:color="auto"/>
                <w:lang w:eastAsia="es-ES"/>
              </w:rPr>
              <w:t>Construcciones</w:t>
            </w:r>
          </w:p>
        </w:tc>
        <w:tc>
          <w:tcPr>
            <w:tcW w:w="1279" w:type="dxa"/>
            <w:tcBorders>
              <w:top w:val="nil"/>
              <w:left w:val="nil"/>
              <w:bottom w:val="nil"/>
              <w:right w:val="nil"/>
            </w:tcBorders>
            <w:shd w:val="clear" w:color="auto" w:fill="auto"/>
            <w:noWrap/>
            <w:vAlign w:val="center"/>
          </w:tcPr>
          <w:p w14:paraId="6F5A131B" w14:textId="1B8536BD" w:rsidR="000D30D5" w:rsidRPr="00470F32" w:rsidRDefault="000D30D5" w:rsidP="000D30D5">
            <w:pPr>
              <w:pBdr>
                <w:top w:val="none" w:sz="0" w:space="0" w:color="auto"/>
                <w:left w:val="none" w:sz="0" w:space="0" w:color="auto"/>
                <w:bottom w:val="none" w:sz="0" w:space="0" w:color="auto"/>
                <w:right w:val="none" w:sz="0" w:space="0" w:color="auto"/>
                <w:between w:val="none" w:sz="0" w:space="0" w:color="auto"/>
                <w:bar w:val="none" w:sz="0" w:color="auto"/>
              </w:pBdr>
              <w:jc w:val="right"/>
              <w:outlineLvl w:val="9"/>
              <w:rPr>
                <w:rFonts w:eastAsia="Times New Roman"/>
                <w:color w:val="auto"/>
                <w:sz w:val="16"/>
                <w:szCs w:val="16"/>
                <w:bdr w:val="none" w:sz="0" w:space="0" w:color="auto"/>
                <w:lang w:eastAsia="es-ES"/>
              </w:rPr>
            </w:pPr>
            <w:r w:rsidRPr="00470F32">
              <w:rPr>
                <w:sz w:val="16"/>
                <w:szCs w:val="16"/>
              </w:rPr>
              <w:t>(328.721,04)</w:t>
            </w:r>
          </w:p>
        </w:tc>
        <w:tc>
          <w:tcPr>
            <w:tcW w:w="1246" w:type="dxa"/>
            <w:tcBorders>
              <w:top w:val="nil"/>
              <w:left w:val="nil"/>
              <w:bottom w:val="nil"/>
              <w:right w:val="nil"/>
            </w:tcBorders>
            <w:shd w:val="clear" w:color="auto" w:fill="auto"/>
            <w:noWrap/>
            <w:vAlign w:val="center"/>
          </w:tcPr>
          <w:p w14:paraId="6D9BE0CD" w14:textId="52111222" w:rsidR="000D30D5" w:rsidRPr="00470F32" w:rsidRDefault="000D30D5" w:rsidP="000D30D5">
            <w:pPr>
              <w:pBdr>
                <w:top w:val="none" w:sz="0" w:space="0" w:color="auto"/>
                <w:left w:val="none" w:sz="0" w:space="0" w:color="auto"/>
                <w:bottom w:val="none" w:sz="0" w:space="0" w:color="auto"/>
                <w:right w:val="none" w:sz="0" w:space="0" w:color="auto"/>
                <w:between w:val="none" w:sz="0" w:space="0" w:color="auto"/>
                <w:bar w:val="none" w:sz="0" w:color="auto"/>
              </w:pBdr>
              <w:jc w:val="right"/>
              <w:outlineLvl w:val="9"/>
              <w:rPr>
                <w:rFonts w:eastAsia="Times New Roman"/>
                <w:sz w:val="16"/>
                <w:szCs w:val="16"/>
                <w:bdr w:val="none" w:sz="0" w:space="0" w:color="auto"/>
                <w:lang w:eastAsia="es-ES"/>
              </w:rPr>
            </w:pPr>
            <w:r>
              <w:rPr>
                <w:sz w:val="16"/>
                <w:szCs w:val="16"/>
              </w:rPr>
              <w:t>(60.429,23)</w:t>
            </w:r>
          </w:p>
        </w:tc>
        <w:tc>
          <w:tcPr>
            <w:tcW w:w="1237" w:type="dxa"/>
            <w:tcBorders>
              <w:top w:val="nil"/>
              <w:left w:val="nil"/>
              <w:bottom w:val="nil"/>
              <w:right w:val="nil"/>
            </w:tcBorders>
            <w:shd w:val="clear" w:color="auto" w:fill="auto"/>
            <w:vAlign w:val="center"/>
          </w:tcPr>
          <w:p w14:paraId="100C0B31" w14:textId="73F18FAB" w:rsidR="000D30D5" w:rsidRPr="00470F32" w:rsidRDefault="000D30D5" w:rsidP="000D30D5">
            <w:pPr>
              <w:pBdr>
                <w:top w:val="none" w:sz="0" w:space="0" w:color="auto"/>
                <w:left w:val="none" w:sz="0" w:space="0" w:color="auto"/>
                <w:bottom w:val="none" w:sz="0" w:space="0" w:color="auto"/>
                <w:right w:val="none" w:sz="0" w:space="0" w:color="auto"/>
                <w:between w:val="none" w:sz="0" w:space="0" w:color="auto"/>
                <w:bar w:val="none" w:sz="0" w:color="auto"/>
              </w:pBdr>
              <w:jc w:val="right"/>
              <w:outlineLvl w:val="9"/>
              <w:rPr>
                <w:rFonts w:eastAsia="Times New Roman"/>
                <w:sz w:val="16"/>
                <w:szCs w:val="16"/>
                <w:bdr w:val="none" w:sz="0" w:space="0" w:color="auto"/>
                <w:lang w:eastAsia="es-ES"/>
              </w:rPr>
            </w:pPr>
            <w:r>
              <w:rPr>
                <w:sz w:val="16"/>
                <w:szCs w:val="16"/>
              </w:rPr>
              <w:t xml:space="preserve"> -</w:t>
            </w:r>
          </w:p>
        </w:tc>
        <w:tc>
          <w:tcPr>
            <w:tcW w:w="1243" w:type="dxa"/>
            <w:tcBorders>
              <w:top w:val="nil"/>
              <w:left w:val="nil"/>
              <w:bottom w:val="nil"/>
              <w:right w:val="nil"/>
            </w:tcBorders>
            <w:shd w:val="clear" w:color="auto" w:fill="auto"/>
            <w:vAlign w:val="center"/>
          </w:tcPr>
          <w:p w14:paraId="39160DE0" w14:textId="152193DA" w:rsidR="000D30D5" w:rsidRPr="00470F32" w:rsidRDefault="000D30D5" w:rsidP="000D30D5">
            <w:pPr>
              <w:pBdr>
                <w:top w:val="none" w:sz="0" w:space="0" w:color="auto"/>
                <w:left w:val="none" w:sz="0" w:space="0" w:color="auto"/>
                <w:bottom w:val="none" w:sz="0" w:space="0" w:color="auto"/>
                <w:right w:val="none" w:sz="0" w:space="0" w:color="auto"/>
                <w:between w:val="none" w:sz="0" w:space="0" w:color="auto"/>
                <w:bar w:val="none" w:sz="0" w:color="auto"/>
              </w:pBdr>
              <w:jc w:val="right"/>
              <w:outlineLvl w:val="9"/>
              <w:rPr>
                <w:rFonts w:eastAsia="Times New Roman"/>
                <w:sz w:val="16"/>
                <w:szCs w:val="16"/>
                <w:bdr w:val="none" w:sz="0" w:space="0" w:color="auto"/>
                <w:lang w:eastAsia="es-ES"/>
              </w:rPr>
            </w:pPr>
            <w:r>
              <w:rPr>
                <w:sz w:val="16"/>
                <w:szCs w:val="16"/>
              </w:rPr>
              <w:t xml:space="preserve"> -</w:t>
            </w:r>
          </w:p>
        </w:tc>
        <w:tc>
          <w:tcPr>
            <w:tcW w:w="1281" w:type="dxa"/>
            <w:tcBorders>
              <w:top w:val="nil"/>
              <w:left w:val="nil"/>
              <w:bottom w:val="nil"/>
              <w:right w:val="nil"/>
            </w:tcBorders>
            <w:shd w:val="clear" w:color="auto" w:fill="auto"/>
            <w:noWrap/>
            <w:vAlign w:val="center"/>
          </w:tcPr>
          <w:p w14:paraId="1E1F1142" w14:textId="4431C812" w:rsidR="000D30D5" w:rsidRPr="00470F32" w:rsidRDefault="000D30D5" w:rsidP="000D30D5">
            <w:pPr>
              <w:pBdr>
                <w:top w:val="none" w:sz="0" w:space="0" w:color="auto"/>
                <w:left w:val="none" w:sz="0" w:space="0" w:color="auto"/>
                <w:bottom w:val="none" w:sz="0" w:space="0" w:color="auto"/>
                <w:right w:val="none" w:sz="0" w:space="0" w:color="auto"/>
                <w:between w:val="none" w:sz="0" w:space="0" w:color="auto"/>
                <w:bar w:val="none" w:sz="0" w:color="auto"/>
              </w:pBdr>
              <w:jc w:val="right"/>
              <w:outlineLvl w:val="9"/>
              <w:rPr>
                <w:rFonts w:eastAsia="Times New Roman"/>
                <w:color w:val="auto"/>
                <w:sz w:val="16"/>
                <w:szCs w:val="16"/>
                <w:bdr w:val="none" w:sz="0" w:space="0" w:color="auto"/>
                <w:lang w:eastAsia="es-ES"/>
              </w:rPr>
            </w:pPr>
            <w:r>
              <w:rPr>
                <w:sz w:val="16"/>
                <w:szCs w:val="16"/>
              </w:rPr>
              <w:t>(389.150,27)</w:t>
            </w:r>
          </w:p>
        </w:tc>
      </w:tr>
      <w:tr w:rsidR="000D30D5" w:rsidRPr="007E7835" w14:paraId="475DE29C" w14:textId="77777777" w:rsidTr="00B1370C">
        <w:trPr>
          <w:trHeight w:val="283"/>
        </w:trPr>
        <w:tc>
          <w:tcPr>
            <w:tcW w:w="2436" w:type="dxa"/>
            <w:tcBorders>
              <w:top w:val="nil"/>
              <w:left w:val="nil"/>
              <w:bottom w:val="nil"/>
              <w:right w:val="nil"/>
            </w:tcBorders>
            <w:shd w:val="clear" w:color="auto" w:fill="auto"/>
            <w:vAlign w:val="center"/>
            <w:hideMark/>
          </w:tcPr>
          <w:p w14:paraId="1676F0B9" w14:textId="77777777" w:rsidR="000D30D5" w:rsidRPr="007E7835" w:rsidRDefault="000D30D5" w:rsidP="000D30D5">
            <w:pPr>
              <w:pBdr>
                <w:top w:val="none" w:sz="0" w:space="0" w:color="auto"/>
                <w:left w:val="none" w:sz="0" w:space="0" w:color="auto"/>
                <w:bottom w:val="none" w:sz="0" w:space="0" w:color="auto"/>
                <w:right w:val="none" w:sz="0" w:space="0" w:color="auto"/>
                <w:between w:val="none" w:sz="0" w:space="0" w:color="auto"/>
                <w:bar w:val="none" w:sz="0" w:color="auto"/>
              </w:pBdr>
              <w:outlineLvl w:val="9"/>
              <w:rPr>
                <w:rFonts w:eastAsia="Times New Roman"/>
                <w:sz w:val="16"/>
                <w:szCs w:val="16"/>
                <w:bdr w:val="none" w:sz="0" w:space="0" w:color="auto"/>
                <w:lang w:eastAsia="es-ES"/>
              </w:rPr>
            </w:pPr>
            <w:r w:rsidRPr="007E7835">
              <w:rPr>
                <w:rFonts w:eastAsia="Times New Roman"/>
                <w:sz w:val="16"/>
                <w:szCs w:val="16"/>
                <w:bdr w:val="none" w:sz="0" w:space="0" w:color="auto"/>
                <w:lang w:eastAsia="es-ES"/>
              </w:rPr>
              <w:t>Instalaciones técnicas</w:t>
            </w:r>
          </w:p>
        </w:tc>
        <w:tc>
          <w:tcPr>
            <w:tcW w:w="1279" w:type="dxa"/>
            <w:tcBorders>
              <w:top w:val="nil"/>
              <w:left w:val="nil"/>
              <w:bottom w:val="nil"/>
              <w:right w:val="nil"/>
            </w:tcBorders>
            <w:shd w:val="clear" w:color="auto" w:fill="auto"/>
            <w:noWrap/>
            <w:vAlign w:val="center"/>
          </w:tcPr>
          <w:p w14:paraId="6BFDA55F" w14:textId="516C00B1" w:rsidR="000D30D5" w:rsidRPr="00470F32" w:rsidRDefault="000D30D5" w:rsidP="000D30D5">
            <w:pPr>
              <w:pBdr>
                <w:top w:val="none" w:sz="0" w:space="0" w:color="auto"/>
                <w:left w:val="none" w:sz="0" w:space="0" w:color="auto"/>
                <w:bottom w:val="none" w:sz="0" w:space="0" w:color="auto"/>
                <w:right w:val="none" w:sz="0" w:space="0" w:color="auto"/>
                <w:between w:val="none" w:sz="0" w:space="0" w:color="auto"/>
                <w:bar w:val="none" w:sz="0" w:color="auto"/>
              </w:pBdr>
              <w:jc w:val="right"/>
              <w:outlineLvl w:val="9"/>
              <w:rPr>
                <w:rFonts w:eastAsia="Times New Roman"/>
                <w:color w:val="auto"/>
                <w:sz w:val="16"/>
                <w:szCs w:val="16"/>
                <w:bdr w:val="none" w:sz="0" w:space="0" w:color="auto"/>
                <w:lang w:eastAsia="es-ES"/>
              </w:rPr>
            </w:pPr>
            <w:r w:rsidRPr="00470F32">
              <w:rPr>
                <w:sz w:val="16"/>
                <w:szCs w:val="16"/>
              </w:rPr>
              <w:t>(31.551,32)</w:t>
            </w:r>
          </w:p>
        </w:tc>
        <w:tc>
          <w:tcPr>
            <w:tcW w:w="1246" w:type="dxa"/>
            <w:tcBorders>
              <w:top w:val="nil"/>
              <w:left w:val="nil"/>
              <w:bottom w:val="nil"/>
              <w:right w:val="nil"/>
            </w:tcBorders>
            <w:shd w:val="clear" w:color="auto" w:fill="auto"/>
            <w:noWrap/>
            <w:vAlign w:val="center"/>
          </w:tcPr>
          <w:p w14:paraId="7CBE283E" w14:textId="44D52505" w:rsidR="000D30D5" w:rsidRPr="00470F32" w:rsidRDefault="000D30D5" w:rsidP="000D30D5">
            <w:pPr>
              <w:pBdr>
                <w:top w:val="none" w:sz="0" w:space="0" w:color="auto"/>
                <w:left w:val="none" w:sz="0" w:space="0" w:color="auto"/>
                <w:bottom w:val="none" w:sz="0" w:space="0" w:color="auto"/>
                <w:right w:val="none" w:sz="0" w:space="0" w:color="auto"/>
                <w:between w:val="none" w:sz="0" w:space="0" w:color="auto"/>
                <w:bar w:val="none" w:sz="0" w:color="auto"/>
              </w:pBdr>
              <w:jc w:val="right"/>
              <w:outlineLvl w:val="9"/>
              <w:rPr>
                <w:rFonts w:eastAsia="Times New Roman"/>
                <w:color w:val="auto"/>
                <w:sz w:val="16"/>
                <w:szCs w:val="16"/>
                <w:bdr w:val="none" w:sz="0" w:space="0" w:color="auto"/>
                <w:lang w:eastAsia="es-ES"/>
              </w:rPr>
            </w:pPr>
            <w:r>
              <w:rPr>
                <w:sz w:val="16"/>
                <w:szCs w:val="16"/>
              </w:rPr>
              <w:t>(3.268,65)</w:t>
            </w:r>
          </w:p>
        </w:tc>
        <w:tc>
          <w:tcPr>
            <w:tcW w:w="1237" w:type="dxa"/>
            <w:tcBorders>
              <w:top w:val="nil"/>
              <w:left w:val="nil"/>
              <w:bottom w:val="nil"/>
              <w:right w:val="nil"/>
            </w:tcBorders>
            <w:shd w:val="clear" w:color="auto" w:fill="auto"/>
            <w:vAlign w:val="center"/>
          </w:tcPr>
          <w:p w14:paraId="261AC0BF" w14:textId="3FF9F96C" w:rsidR="000D30D5" w:rsidRPr="00470F32" w:rsidRDefault="000D30D5" w:rsidP="000D30D5">
            <w:pPr>
              <w:pBdr>
                <w:top w:val="none" w:sz="0" w:space="0" w:color="auto"/>
                <w:left w:val="none" w:sz="0" w:space="0" w:color="auto"/>
                <w:bottom w:val="none" w:sz="0" w:space="0" w:color="auto"/>
                <w:right w:val="none" w:sz="0" w:space="0" w:color="auto"/>
                <w:between w:val="none" w:sz="0" w:space="0" w:color="auto"/>
                <w:bar w:val="none" w:sz="0" w:color="auto"/>
              </w:pBdr>
              <w:jc w:val="right"/>
              <w:outlineLvl w:val="9"/>
              <w:rPr>
                <w:rFonts w:eastAsia="Times New Roman"/>
                <w:sz w:val="16"/>
                <w:szCs w:val="16"/>
                <w:bdr w:val="none" w:sz="0" w:space="0" w:color="auto"/>
                <w:lang w:eastAsia="es-ES"/>
              </w:rPr>
            </w:pPr>
            <w:r>
              <w:rPr>
                <w:sz w:val="16"/>
                <w:szCs w:val="16"/>
              </w:rPr>
              <w:t>31.551,32</w:t>
            </w:r>
          </w:p>
        </w:tc>
        <w:tc>
          <w:tcPr>
            <w:tcW w:w="1243" w:type="dxa"/>
            <w:tcBorders>
              <w:top w:val="nil"/>
              <w:left w:val="nil"/>
              <w:bottom w:val="nil"/>
              <w:right w:val="nil"/>
            </w:tcBorders>
            <w:shd w:val="clear" w:color="auto" w:fill="auto"/>
            <w:vAlign w:val="center"/>
          </w:tcPr>
          <w:p w14:paraId="6B611A5A" w14:textId="73E27E72" w:rsidR="000D30D5" w:rsidRPr="00470F32" w:rsidRDefault="000D30D5" w:rsidP="000D30D5">
            <w:pPr>
              <w:pBdr>
                <w:top w:val="none" w:sz="0" w:space="0" w:color="auto"/>
                <w:left w:val="none" w:sz="0" w:space="0" w:color="auto"/>
                <w:bottom w:val="none" w:sz="0" w:space="0" w:color="auto"/>
                <w:right w:val="none" w:sz="0" w:space="0" w:color="auto"/>
                <w:between w:val="none" w:sz="0" w:space="0" w:color="auto"/>
                <w:bar w:val="none" w:sz="0" w:color="auto"/>
              </w:pBdr>
              <w:jc w:val="right"/>
              <w:outlineLvl w:val="9"/>
              <w:rPr>
                <w:rFonts w:eastAsia="Times New Roman"/>
                <w:sz w:val="16"/>
                <w:szCs w:val="16"/>
                <w:bdr w:val="none" w:sz="0" w:space="0" w:color="auto"/>
                <w:lang w:eastAsia="es-ES"/>
              </w:rPr>
            </w:pPr>
            <w:r>
              <w:rPr>
                <w:sz w:val="16"/>
                <w:szCs w:val="16"/>
              </w:rPr>
              <w:t xml:space="preserve"> -</w:t>
            </w:r>
          </w:p>
        </w:tc>
        <w:tc>
          <w:tcPr>
            <w:tcW w:w="1281" w:type="dxa"/>
            <w:tcBorders>
              <w:top w:val="nil"/>
              <w:left w:val="nil"/>
              <w:bottom w:val="nil"/>
              <w:right w:val="nil"/>
            </w:tcBorders>
            <w:shd w:val="clear" w:color="auto" w:fill="auto"/>
            <w:noWrap/>
            <w:vAlign w:val="center"/>
          </w:tcPr>
          <w:p w14:paraId="073CED07" w14:textId="5319CFED" w:rsidR="000D30D5" w:rsidRPr="00470F32" w:rsidRDefault="000D30D5" w:rsidP="000D30D5">
            <w:pPr>
              <w:pBdr>
                <w:top w:val="none" w:sz="0" w:space="0" w:color="auto"/>
                <w:left w:val="none" w:sz="0" w:space="0" w:color="auto"/>
                <w:bottom w:val="none" w:sz="0" w:space="0" w:color="auto"/>
                <w:right w:val="none" w:sz="0" w:space="0" w:color="auto"/>
                <w:between w:val="none" w:sz="0" w:space="0" w:color="auto"/>
                <w:bar w:val="none" w:sz="0" w:color="auto"/>
              </w:pBdr>
              <w:jc w:val="right"/>
              <w:outlineLvl w:val="9"/>
              <w:rPr>
                <w:rFonts w:eastAsia="Times New Roman"/>
                <w:color w:val="auto"/>
                <w:sz w:val="16"/>
                <w:szCs w:val="16"/>
                <w:bdr w:val="none" w:sz="0" w:space="0" w:color="auto"/>
                <w:lang w:eastAsia="es-ES"/>
              </w:rPr>
            </w:pPr>
            <w:r>
              <w:rPr>
                <w:sz w:val="16"/>
                <w:szCs w:val="16"/>
              </w:rPr>
              <w:t>(3.268,65)</w:t>
            </w:r>
          </w:p>
        </w:tc>
      </w:tr>
      <w:tr w:rsidR="000D30D5" w:rsidRPr="007E7835" w14:paraId="0892D359" w14:textId="77777777" w:rsidTr="00B1370C">
        <w:trPr>
          <w:trHeight w:val="283"/>
        </w:trPr>
        <w:tc>
          <w:tcPr>
            <w:tcW w:w="2436" w:type="dxa"/>
            <w:tcBorders>
              <w:top w:val="nil"/>
              <w:left w:val="nil"/>
              <w:bottom w:val="nil"/>
              <w:right w:val="nil"/>
            </w:tcBorders>
            <w:shd w:val="clear" w:color="auto" w:fill="auto"/>
            <w:vAlign w:val="center"/>
            <w:hideMark/>
          </w:tcPr>
          <w:p w14:paraId="77CB55EE" w14:textId="77777777" w:rsidR="000D30D5" w:rsidRPr="007E7835" w:rsidRDefault="000D30D5" w:rsidP="000D30D5">
            <w:pPr>
              <w:pBdr>
                <w:top w:val="none" w:sz="0" w:space="0" w:color="auto"/>
                <w:left w:val="none" w:sz="0" w:space="0" w:color="auto"/>
                <w:bottom w:val="none" w:sz="0" w:space="0" w:color="auto"/>
                <w:right w:val="none" w:sz="0" w:space="0" w:color="auto"/>
                <w:between w:val="none" w:sz="0" w:space="0" w:color="auto"/>
                <w:bar w:val="none" w:sz="0" w:color="auto"/>
              </w:pBdr>
              <w:outlineLvl w:val="9"/>
              <w:rPr>
                <w:rFonts w:eastAsia="Times New Roman"/>
                <w:sz w:val="16"/>
                <w:szCs w:val="16"/>
                <w:bdr w:val="none" w:sz="0" w:space="0" w:color="auto"/>
                <w:lang w:eastAsia="es-ES"/>
              </w:rPr>
            </w:pPr>
            <w:r w:rsidRPr="007E7835">
              <w:rPr>
                <w:rFonts w:eastAsia="Times New Roman"/>
                <w:sz w:val="16"/>
                <w:szCs w:val="16"/>
                <w:bdr w:val="none" w:sz="0" w:space="0" w:color="auto"/>
                <w:lang w:eastAsia="es-ES"/>
              </w:rPr>
              <w:t>Mobiliario</w:t>
            </w:r>
          </w:p>
        </w:tc>
        <w:tc>
          <w:tcPr>
            <w:tcW w:w="1279" w:type="dxa"/>
            <w:tcBorders>
              <w:top w:val="nil"/>
              <w:left w:val="nil"/>
              <w:bottom w:val="nil"/>
              <w:right w:val="nil"/>
            </w:tcBorders>
            <w:shd w:val="clear" w:color="auto" w:fill="auto"/>
            <w:noWrap/>
            <w:vAlign w:val="center"/>
          </w:tcPr>
          <w:p w14:paraId="4EAC94CE" w14:textId="7C60403E" w:rsidR="000D30D5" w:rsidRPr="00470F32" w:rsidRDefault="000D30D5" w:rsidP="000D30D5">
            <w:pPr>
              <w:pBdr>
                <w:top w:val="none" w:sz="0" w:space="0" w:color="auto"/>
                <w:left w:val="none" w:sz="0" w:space="0" w:color="auto"/>
                <w:bottom w:val="none" w:sz="0" w:space="0" w:color="auto"/>
                <w:right w:val="none" w:sz="0" w:space="0" w:color="auto"/>
                <w:between w:val="none" w:sz="0" w:space="0" w:color="auto"/>
                <w:bar w:val="none" w:sz="0" w:color="auto"/>
              </w:pBdr>
              <w:jc w:val="right"/>
              <w:outlineLvl w:val="9"/>
              <w:rPr>
                <w:rFonts w:eastAsia="Times New Roman"/>
                <w:color w:val="auto"/>
                <w:sz w:val="16"/>
                <w:szCs w:val="16"/>
                <w:bdr w:val="none" w:sz="0" w:space="0" w:color="auto"/>
                <w:lang w:eastAsia="es-ES"/>
              </w:rPr>
            </w:pPr>
            <w:r w:rsidRPr="00470F32">
              <w:rPr>
                <w:sz w:val="16"/>
                <w:szCs w:val="16"/>
              </w:rPr>
              <w:t>(367.876,61)</w:t>
            </w:r>
          </w:p>
        </w:tc>
        <w:tc>
          <w:tcPr>
            <w:tcW w:w="1246" w:type="dxa"/>
            <w:tcBorders>
              <w:top w:val="nil"/>
              <w:left w:val="nil"/>
              <w:bottom w:val="nil"/>
              <w:right w:val="nil"/>
            </w:tcBorders>
            <w:shd w:val="clear" w:color="auto" w:fill="auto"/>
            <w:noWrap/>
            <w:vAlign w:val="center"/>
          </w:tcPr>
          <w:p w14:paraId="4DD57ABA" w14:textId="204AA253" w:rsidR="000D30D5" w:rsidRPr="00470F32" w:rsidRDefault="000D30D5" w:rsidP="000D30D5">
            <w:pPr>
              <w:pBdr>
                <w:top w:val="none" w:sz="0" w:space="0" w:color="auto"/>
                <w:left w:val="none" w:sz="0" w:space="0" w:color="auto"/>
                <w:bottom w:val="none" w:sz="0" w:space="0" w:color="auto"/>
                <w:right w:val="none" w:sz="0" w:space="0" w:color="auto"/>
                <w:between w:val="none" w:sz="0" w:space="0" w:color="auto"/>
                <w:bar w:val="none" w:sz="0" w:color="auto"/>
              </w:pBdr>
              <w:jc w:val="right"/>
              <w:outlineLvl w:val="9"/>
              <w:rPr>
                <w:rFonts w:eastAsia="Times New Roman"/>
                <w:color w:val="auto"/>
                <w:sz w:val="16"/>
                <w:szCs w:val="16"/>
                <w:bdr w:val="none" w:sz="0" w:space="0" w:color="auto"/>
                <w:lang w:eastAsia="es-ES"/>
              </w:rPr>
            </w:pPr>
            <w:r>
              <w:rPr>
                <w:sz w:val="16"/>
                <w:szCs w:val="16"/>
              </w:rPr>
              <w:t>(21.425,93)</w:t>
            </w:r>
          </w:p>
        </w:tc>
        <w:tc>
          <w:tcPr>
            <w:tcW w:w="1237" w:type="dxa"/>
            <w:tcBorders>
              <w:top w:val="nil"/>
              <w:left w:val="nil"/>
              <w:bottom w:val="nil"/>
              <w:right w:val="nil"/>
            </w:tcBorders>
            <w:shd w:val="clear" w:color="auto" w:fill="auto"/>
            <w:vAlign w:val="center"/>
          </w:tcPr>
          <w:p w14:paraId="11D20DE3" w14:textId="6A41FADA" w:rsidR="000D30D5" w:rsidRPr="00470F32" w:rsidRDefault="000D30D5" w:rsidP="000D30D5">
            <w:pPr>
              <w:pBdr>
                <w:top w:val="none" w:sz="0" w:space="0" w:color="auto"/>
                <w:left w:val="none" w:sz="0" w:space="0" w:color="auto"/>
                <w:bottom w:val="none" w:sz="0" w:space="0" w:color="auto"/>
                <w:right w:val="none" w:sz="0" w:space="0" w:color="auto"/>
                <w:between w:val="none" w:sz="0" w:space="0" w:color="auto"/>
                <w:bar w:val="none" w:sz="0" w:color="auto"/>
              </w:pBdr>
              <w:jc w:val="right"/>
              <w:outlineLvl w:val="9"/>
              <w:rPr>
                <w:rFonts w:eastAsia="Times New Roman"/>
                <w:sz w:val="16"/>
                <w:szCs w:val="16"/>
                <w:bdr w:val="none" w:sz="0" w:space="0" w:color="auto"/>
                <w:lang w:eastAsia="es-ES"/>
              </w:rPr>
            </w:pPr>
            <w:r>
              <w:rPr>
                <w:sz w:val="16"/>
                <w:szCs w:val="16"/>
              </w:rPr>
              <w:t>231.713,46</w:t>
            </w:r>
          </w:p>
        </w:tc>
        <w:tc>
          <w:tcPr>
            <w:tcW w:w="1243" w:type="dxa"/>
            <w:tcBorders>
              <w:top w:val="nil"/>
              <w:left w:val="nil"/>
              <w:bottom w:val="nil"/>
              <w:right w:val="nil"/>
            </w:tcBorders>
            <w:shd w:val="clear" w:color="auto" w:fill="auto"/>
            <w:vAlign w:val="center"/>
          </w:tcPr>
          <w:p w14:paraId="426B688C" w14:textId="00417FF3" w:rsidR="000D30D5" w:rsidRPr="00470F32" w:rsidRDefault="000D30D5" w:rsidP="000D30D5">
            <w:pPr>
              <w:pBdr>
                <w:top w:val="none" w:sz="0" w:space="0" w:color="auto"/>
                <w:left w:val="none" w:sz="0" w:space="0" w:color="auto"/>
                <w:bottom w:val="none" w:sz="0" w:space="0" w:color="auto"/>
                <w:right w:val="none" w:sz="0" w:space="0" w:color="auto"/>
                <w:between w:val="none" w:sz="0" w:space="0" w:color="auto"/>
                <w:bar w:val="none" w:sz="0" w:color="auto"/>
              </w:pBdr>
              <w:jc w:val="right"/>
              <w:outlineLvl w:val="9"/>
              <w:rPr>
                <w:rFonts w:eastAsia="Times New Roman"/>
                <w:sz w:val="16"/>
                <w:szCs w:val="16"/>
                <w:bdr w:val="none" w:sz="0" w:space="0" w:color="auto"/>
                <w:lang w:eastAsia="es-ES"/>
              </w:rPr>
            </w:pPr>
            <w:r>
              <w:rPr>
                <w:sz w:val="16"/>
                <w:szCs w:val="16"/>
              </w:rPr>
              <w:t xml:space="preserve"> -</w:t>
            </w:r>
          </w:p>
        </w:tc>
        <w:tc>
          <w:tcPr>
            <w:tcW w:w="1281" w:type="dxa"/>
            <w:tcBorders>
              <w:top w:val="nil"/>
              <w:left w:val="nil"/>
              <w:bottom w:val="nil"/>
              <w:right w:val="nil"/>
            </w:tcBorders>
            <w:shd w:val="clear" w:color="auto" w:fill="auto"/>
            <w:noWrap/>
            <w:vAlign w:val="center"/>
          </w:tcPr>
          <w:p w14:paraId="2D96ADB5" w14:textId="6BD63F54" w:rsidR="000D30D5" w:rsidRPr="00470F32" w:rsidRDefault="000D30D5" w:rsidP="000D30D5">
            <w:pPr>
              <w:pBdr>
                <w:top w:val="none" w:sz="0" w:space="0" w:color="auto"/>
                <w:left w:val="none" w:sz="0" w:space="0" w:color="auto"/>
                <w:bottom w:val="none" w:sz="0" w:space="0" w:color="auto"/>
                <w:right w:val="none" w:sz="0" w:space="0" w:color="auto"/>
                <w:between w:val="none" w:sz="0" w:space="0" w:color="auto"/>
                <w:bar w:val="none" w:sz="0" w:color="auto"/>
              </w:pBdr>
              <w:jc w:val="right"/>
              <w:outlineLvl w:val="9"/>
              <w:rPr>
                <w:rFonts w:eastAsia="Times New Roman"/>
                <w:color w:val="auto"/>
                <w:sz w:val="16"/>
                <w:szCs w:val="16"/>
                <w:bdr w:val="none" w:sz="0" w:space="0" w:color="auto"/>
                <w:lang w:eastAsia="es-ES"/>
              </w:rPr>
            </w:pPr>
            <w:r>
              <w:rPr>
                <w:sz w:val="16"/>
                <w:szCs w:val="16"/>
              </w:rPr>
              <w:t>(157.589,08)</w:t>
            </w:r>
          </w:p>
        </w:tc>
      </w:tr>
      <w:tr w:rsidR="000D30D5" w:rsidRPr="007E7835" w14:paraId="6F951D1A" w14:textId="77777777" w:rsidTr="00B1370C">
        <w:trPr>
          <w:trHeight w:val="283"/>
        </w:trPr>
        <w:tc>
          <w:tcPr>
            <w:tcW w:w="2436" w:type="dxa"/>
            <w:tcBorders>
              <w:top w:val="nil"/>
              <w:left w:val="nil"/>
              <w:bottom w:val="nil"/>
              <w:right w:val="nil"/>
            </w:tcBorders>
            <w:shd w:val="clear" w:color="auto" w:fill="auto"/>
            <w:vAlign w:val="center"/>
            <w:hideMark/>
          </w:tcPr>
          <w:p w14:paraId="03C2A19A" w14:textId="77777777" w:rsidR="000D30D5" w:rsidRPr="007E7835" w:rsidRDefault="000D30D5" w:rsidP="000D30D5">
            <w:pPr>
              <w:pBdr>
                <w:top w:val="none" w:sz="0" w:space="0" w:color="auto"/>
                <w:left w:val="none" w:sz="0" w:space="0" w:color="auto"/>
                <w:bottom w:val="none" w:sz="0" w:space="0" w:color="auto"/>
                <w:right w:val="none" w:sz="0" w:space="0" w:color="auto"/>
                <w:between w:val="none" w:sz="0" w:space="0" w:color="auto"/>
                <w:bar w:val="none" w:sz="0" w:color="auto"/>
              </w:pBdr>
              <w:outlineLvl w:val="9"/>
              <w:rPr>
                <w:rFonts w:eastAsia="Times New Roman"/>
                <w:sz w:val="16"/>
                <w:szCs w:val="16"/>
                <w:bdr w:val="none" w:sz="0" w:space="0" w:color="auto"/>
                <w:lang w:eastAsia="es-ES"/>
              </w:rPr>
            </w:pPr>
            <w:r w:rsidRPr="007E7835">
              <w:rPr>
                <w:rFonts w:eastAsia="Times New Roman"/>
                <w:sz w:val="16"/>
                <w:szCs w:val="16"/>
                <w:bdr w:val="none" w:sz="0" w:space="0" w:color="auto"/>
                <w:lang w:eastAsia="es-ES"/>
              </w:rPr>
              <w:t>Otro inmovilizado</w:t>
            </w:r>
          </w:p>
        </w:tc>
        <w:tc>
          <w:tcPr>
            <w:tcW w:w="1279" w:type="dxa"/>
            <w:tcBorders>
              <w:top w:val="nil"/>
              <w:left w:val="nil"/>
              <w:bottom w:val="single" w:sz="4" w:space="0" w:color="auto"/>
              <w:right w:val="nil"/>
            </w:tcBorders>
            <w:shd w:val="clear" w:color="auto" w:fill="auto"/>
            <w:noWrap/>
            <w:vAlign w:val="center"/>
          </w:tcPr>
          <w:p w14:paraId="5CBE411F" w14:textId="39C4BFA9" w:rsidR="000D30D5" w:rsidRPr="00470F32" w:rsidRDefault="000D30D5" w:rsidP="000D30D5">
            <w:pPr>
              <w:pBdr>
                <w:top w:val="none" w:sz="0" w:space="0" w:color="auto"/>
                <w:left w:val="none" w:sz="0" w:space="0" w:color="auto"/>
                <w:bottom w:val="none" w:sz="0" w:space="0" w:color="auto"/>
                <w:right w:val="none" w:sz="0" w:space="0" w:color="auto"/>
                <w:between w:val="none" w:sz="0" w:space="0" w:color="auto"/>
                <w:bar w:val="none" w:sz="0" w:color="auto"/>
              </w:pBdr>
              <w:jc w:val="right"/>
              <w:outlineLvl w:val="9"/>
              <w:rPr>
                <w:rFonts w:eastAsia="Times New Roman"/>
                <w:color w:val="auto"/>
                <w:sz w:val="16"/>
                <w:szCs w:val="16"/>
                <w:bdr w:val="none" w:sz="0" w:space="0" w:color="auto"/>
                <w:lang w:eastAsia="es-ES"/>
              </w:rPr>
            </w:pPr>
            <w:r w:rsidRPr="00470F32">
              <w:rPr>
                <w:sz w:val="16"/>
                <w:szCs w:val="16"/>
              </w:rPr>
              <w:t>(339.669,66)</w:t>
            </w:r>
          </w:p>
        </w:tc>
        <w:tc>
          <w:tcPr>
            <w:tcW w:w="1246" w:type="dxa"/>
            <w:tcBorders>
              <w:top w:val="nil"/>
              <w:left w:val="nil"/>
              <w:bottom w:val="single" w:sz="4" w:space="0" w:color="auto"/>
              <w:right w:val="nil"/>
            </w:tcBorders>
            <w:shd w:val="clear" w:color="auto" w:fill="auto"/>
            <w:noWrap/>
            <w:vAlign w:val="center"/>
          </w:tcPr>
          <w:p w14:paraId="09D53A9A" w14:textId="1548603F" w:rsidR="000D30D5" w:rsidRPr="00470F32" w:rsidRDefault="000D30D5" w:rsidP="000D30D5">
            <w:pPr>
              <w:pBdr>
                <w:top w:val="none" w:sz="0" w:space="0" w:color="auto"/>
                <w:left w:val="none" w:sz="0" w:space="0" w:color="auto"/>
                <w:bottom w:val="none" w:sz="0" w:space="0" w:color="auto"/>
                <w:right w:val="none" w:sz="0" w:space="0" w:color="auto"/>
                <w:between w:val="none" w:sz="0" w:space="0" w:color="auto"/>
                <w:bar w:val="none" w:sz="0" w:color="auto"/>
              </w:pBdr>
              <w:jc w:val="right"/>
              <w:outlineLvl w:val="9"/>
              <w:rPr>
                <w:rFonts w:eastAsia="Times New Roman"/>
                <w:color w:val="auto"/>
                <w:sz w:val="16"/>
                <w:szCs w:val="16"/>
                <w:bdr w:val="none" w:sz="0" w:space="0" w:color="auto"/>
                <w:lang w:eastAsia="es-ES"/>
              </w:rPr>
            </w:pPr>
            <w:r>
              <w:rPr>
                <w:sz w:val="16"/>
                <w:szCs w:val="16"/>
              </w:rPr>
              <w:t>(14.617,05)</w:t>
            </w:r>
          </w:p>
        </w:tc>
        <w:tc>
          <w:tcPr>
            <w:tcW w:w="1237" w:type="dxa"/>
            <w:tcBorders>
              <w:top w:val="nil"/>
              <w:left w:val="nil"/>
              <w:bottom w:val="nil"/>
              <w:right w:val="nil"/>
            </w:tcBorders>
            <w:shd w:val="clear" w:color="auto" w:fill="auto"/>
            <w:vAlign w:val="center"/>
          </w:tcPr>
          <w:p w14:paraId="5435CE7B" w14:textId="14A113F3" w:rsidR="000D30D5" w:rsidRPr="00470F32" w:rsidRDefault="000D30D5" w:rsidP="000D30D5">
            <w:pPr>
              <w:pBdr>
                <w:top w:val="none" w:sz="0" w:space="0" w:color="auto"/>
                <w:left w:val="none" w:sz="0" w:space="0" w:color="auto"/>
                <w:bottom w:val="none" w:sz="0" w:space="0" w:color="auto"/>
                <w:right w:val="none" w:sz="0" w:space="0" w:color="auto"/>
                <w:between w:val="none" w:sz="0" w:space="0" w:color="auto"/>
                <w:bar w:val="none" w:sz="0" w:color="auto"/>
              </w:pBdr>
              <w:jc w:val="right"/>
              <w:outlineLvl w:val="9"/>
              <w:rPr>
                <w:rFonts w:eastAsia="Times New Roman"/>
                <w:sz w:val="16"/>
                <w:szCs w:val="16"/>
                <w:bdr w:val="none" w:sz="0" w:space="0" w:color="auto"/>
                <w:lang w:eastAsia="es-ES"/>
              </w:rPr>
            </w:pPr>
            <w:r>
              <w:rPr>
                <w:sz w:val="16"/>
                <w:szCs w:val="16"/>
              </w:rPr>
              <w:t>178.753,45</w:t>
            </w:r>
          </w:p>
        </w:tc>
        <w:tc>
          <w:tcPr>
            <w:tcW w:w="1243" w:type="dxa"/>
            <w:tcBorders>
              <w:top w:val="nil"/>
              <w:left w:val="nil"/>
              <w:bottom w:val="nil"/>
              <w:right w:val="nil"/>
            </w:tcBorders>
            <w:shd w:val="clear" w:color="auto" w:fill="auto"/>
            <w:vAlign w:val="center"/>
          </w:tcPr>
          <w:p w14:paraId="2F3F28CA" w14:textId="02871A90" w:rsidR="000D30D5" w:rsidRPr="00470F32" w:rsidRDefault="000D30D5" w:rsidP="000D30D5">
            <w:pPr>
              <w:pBdr>
                <w:top w:val="none" w:sz="0" w:space="0" w:color="auto"/>
                <w:left w:val="none" w:sz="0" w:space="0" w:color="auto"/>
                <w:bottom w:val="none" w:sz="0" w:space="0" w:color="auto"/>
                <w:right w:val="none" w:sz="0" w:space="0" w:color="auto"/>
                <w:between w:val="none" w:sz="0" w:space="0" w:color="auto"/>
                <w:bar w:val="none" w:sz="0" w:color="auto"/>
              </w:pBdr>
              <w:jc w:val="right"/>
              <w:outlineLvl w:val="9"/>
              <w:rPr>
                <w:rFonts w:eastAsia="Times New Roman"/>
                <w:sz w:val="16"/>
                <w:szCs w:val="16"/>
                <w:bdr w:val="none" w:sz="0" w:space="0" w:color="auto"/>
                <w:lang w:eastAsia="es-ES"/>
              </w:rPr>
            </w:pPr>
            <w:r>
              <w:rPr>
                <w:sz w:val="16"/>
                <w:szCs w:val="16"/>
              </w:rPr>
              <w:t xml:space="preserve"> -</w:t>
            </w:r>
          </w:p>
        </w:tc>
        <w:tc>
          <w:tcPr>
            <w:tcW w:w="1281" w:type="dxa"/>
            <w:tcBorders>
              <w:top w:val="nil"/>
              <w:left w:val="nil"/>
              <w:bottom w:val="single" w:sz="4" w:space="0" w:color="auto"/>
              <w:right w:val="nil"/>
            </w:tcBorders>
            <w:shd w:val="clear" w:color="auto" w:fill="auto"/>
            <w:noWrap/>
            <w:vAlign w:val="center"/>
          </w:tcPr>
          <w:p w14:paraId="250C9AA3" w14:textId="1412AC28" w:rsidR="000D30D5" w:rsidRPr="00470F32" w:rsidRDefault="000D30D5" w:rsidP="000D30D5">
            <w:pPr>
              <w:pBdr>
                <w:top w:val="none" w:sz="0" w:space="0" w:color="auto"/>
                <w:left w:val="none" w:sz="0" w:space="0" w:color="auto"/>
                <w:bottom w:val="none" w:sz="0" w:space="0" w:color="auto"/>
                <w:right w:val="none" w:sz="0" w:space="0" w:color="auto"/>
                <w:between w:val="none" w:sz="0" w:space="0" w:color="auto"/>
                <w:bar w:val="none" w:sz="0" w:color="auto"/>
              </w:pBdr>
              <w:jc w:val="right"/>
              <w:outlineLvl w:val="9"/>
              <w:rPr>
                <w:rFonts w:eastAsia="Times New Roman"/>
                <w:color w:val="auto"/>
                <w:sz w:val="16"/>
                <w:szCs w:val="16"/>
                <w:bdr w:val="none" w:sz="0" w:space="0" w:color="auto"/>
                <w:lang w:eastAsia="es-ES"/>
              </w:rPr>
            </w:pPr>
            <w:r>
              <w:rPr>
                <w:sz w:val="16"/>
                <w:szCs w:val="16"/>
              </w:rPr>
              <w:t>(175.533,26)</w:t>
            </w:r>
          </w:p>
        </w:tc>
      </w:tr>
      <w:tr w:rsidR="000D30D5" w:rsidRPr="007E7835" w14:paraId="2B9EFD0A" w14:textId="77777777" w:rsidTr="00B1370C">
        <w:trPr>
          <w:trHeight w:val="283"/>
        </w:trPr>
        <w:tc>
          <w:tcPr>
            <w:tcW w:w="2436" w:type="dxa"/>
            <w:tcBorders>
              <w:top w:val="nil"/>
              <w:left w:val="nil"/>
              <w:bottom w:val="nil"/>
              <w:right w:val="nil"/>
            </w:tcBorders>
            <w:shd w:val="clear" w:color="auto" w:fill="auto"/>
            <w:vAlign w:val="center"/>
            <w:hideMark/>
          </w:tcPr>
          <w:p w14:paraId="468A6FFF" w14:textId="77777777" w:rsidR="000D30D5" w:rsidRPr="007E7835" w:rsidRDefault="000D30D5" w:rsidP="000D30D5">
            <w:pPr>
              <w:pBdr>
                <w:top w:val="none" w:sz="0" w:space="0" w:color="auto"/>
                <w:left w:val="none" w:sz="0" w:space="0" w:color="auto"/>
                <w:bottom w:val="none" w:sz="0" w:space="0" w:color="auto"/>
                <w:right w:val="none" w:sz="0" w:space="0" w:color="auto"/>
                <w:between w:val="none" w:sz="0" w:space="0" w:color="auto"/>
                <w:bar w:val="none" w:sz="0" w:color="auto"/>
              </w:pBdr>
              <w:jc w:val="right"/>
              <w:outlineLvl w:val="9"/>
              <w:rPr>
                <w:rFonts w:eastAsia="Times New Roman"/>
                <w:color w:val="auto"/>
                <w:sz w:val="16"/>
                <w:szCs w:val="16"/>
                <w:bdr w:val="none" w:sz="0" w:space="0" w:color="auto"/>
                <w:lang w:eastAsia="es-ES"/>
              </w:rPr>
            </w:pPr>
          </w:p>
        </w:tc>
        <w:tc>
          <w:tcPr>
            <w:tcW w:w="1279" w:type="dxa"/>
            <w:tcBorders>
              <w:top w:val="nil"/>
              <w:left w:val="nil"/>
              <w:bottom w:val="nil"/>
              <w:right w:val="nil"/>
            </w:tcBorders>
            <w:shd w:val="clear" w:color="auto" w:fill="auto"/>
            <w:vAlign w:val="center"/>
          </w:tcPr>
          <w:p w14:paraId="47F765B9" w14:textId="3F3649F2" w:rsidR="000D30D5" w:rsidRPr="00470F32" w:rsidRDefault="000D30D5" w:rsidP="000D30D5">
            <w:pPr>
              <w:pBdr>
                <w:top w:val="none" w:sz="0" w:space="0" w:color="auto"/>
                <w:left w:val="none" w:sz="0" w:space="0" w:color="auto"/>
                <w:bottom w:val="none" w:sz="0" w:space="0" w:color="auto"/>
                <w:right w:val="none" w:sz="0" w:space="0" w:color="auto"/>
                <w:between w:val="none" w:sz="0" w:space="0" w:color="auto"/>
                <w:bar w:val="none" w:sz="0" w:color="auto"/>
              </w:pBdr>
              <w:jc w:val="right"/>
              <w:outlineLvl w:val="9"/>
              <w:rPr>
                <w:rFonts w:eastAsia="Times New Roman"/>
                <w:b/>
                <w:bCs/>
                <w:sz w:val="16"/>
                <w:szCs w:val="16"/>
                <w:bdr w:val="none" w:sz="0" w:space="0" w:color="auto"/>
                <w:lang w:eastAsia="es-ES"/>
              </w:rPr>
            </w:pPr>
            <w:r w:rsidRPr="00470F32">
              <w:rPr>
                <w:b/>
                <w:bCs/>
                <w:sz w:val="16"/>
                <w:szCs w:val="16"/>
              </w:rPr>
              <w:t>(1.067.818,63)</w:t>
            </w:r>
          </w:p>
        </w:tc>
        <w:tc>
          <w:tcPr>
            <w:tcW w:w="1246" w:type="dxa"/>
            <w:tcBorders>
              <w:top w:val="nil"/>
              <w:left w:val="nil"/>
              <w:bottom w:val="nil"/>
              <w:right w:val="nil"/>
            </w:tcBorders>
            <w:shd w:val="clear" w:color="auto" w:fill="auto"/>
            <w:vAlign w:val="center"/>
          </w:tcPr>
          <w:p w14:paraId="79064D1C" w14:textId="2B632399" w:rsidR="000D30D5" w:rsidRPr="00470F32" w:rsidRDefault="000D30D5" w:rsidP="000D30D5">
            <w:pPr>
              <w:pBdr>
                <w:top w:val="none" w:sz="0" w:space="0" w:color="auto"/>
                <w:left w:val="none" w:sz="0" w:space="0" w:color="auto"/>
                <w:bottom w:val="none" w:sz="0" w:space="0" w:color="auto"/>
                <w:right w:val="none" w:sz="0" w:space="0" w:color="auto"/>
                <w:between w:val="none" w:sz="0" w:space="0" w:color="auto"/>
                <w:bar w:val="none" w:sz="0" w:color="auto"/>
              </w:pBdr>
              <w:jc w:val="right"/>
              <w:outlineLvl w:val="9"/>
              <w:rPr>
                <w:rFonts w:eastAsia="Times New Roman"/>
                <w:b/>
                <w:bCs/>
                <w:sz w:val="16"/>
                <w:szCs w:val="16"/>
                <w:bdr w:val="none" w:sz="0" w:space="0" w:color="auto"/>
                <w:lang w:eastAsia="es-ES"/>
              </w:rPr>
            </w:pPr>
            <w:r>
              <w:rPr>
                <w:b/>
                <w:bCs/>
                <w:sz w:val="16"/>
                <w:szCs w:val="16"/>
              </w:rPr>
              <w:t>(99.740,86)</w:t>
            </w:r>
          </w:p>
        </w:tc>
        <w:tc>
          <w:tcPr>
            <w:tcW w:w="1237" w:type="dxa"/>
            <w:tcBorders>
              <w:top w:val="single" w:sz="4" w:space="0" w:color="auto"/>
              <w:left w:val="nil"/>
              <w:bottom w:val="nil"/>
              <w:right w:val="nil"/>
            </w:tcBorders>
            <w:shd w:val="clear" w:color="auto" w:fill="auto"/>
            <w:vAlign w:val="center"/>
          </w:tcPr>
          <w:p w14:paraId="01C92263" w14:textId="15595D61" w:rsidR="000D30D5" w:rsidRPr="00470F32" w:rsidRDefault="000D30D5" w:rsidP="000D30D5">
            <w:pPr>
              <w:pBdr>
                <w:top w:val="none" w:sz="0" w:space="0" w:color="auto"/>
                <w:left w:val="none" w:sz="0" w:space="0" w:color="auto"/>
                <w:bottom w:val="none" w:sz="0" w:space="0" w:color="auto"/>
                <w:right w:val="none" w:sz="0" w:space="0" w:color="auto"/>
                <w:between w:val="none" w:sz="0" w:space="0" w:color="auto"/>
                <w:bar w:val="none" w:sz="0" w:color="auto"/>
              </w:pBdr>
              <w:jc w:val="right"/>
              <w:outlineLvl w:val="9"/>
              <w:rPr>
                <w:rFonts w:eastAsia="Times New Roman"/>
                <w:b/>
                <w:bCs/>
                <w:sz w:val="16"/>
                <w:szCs w:val="16"/>
                <w:bdr w:val="none" w:sz="0" w:space="0" w:color="auto"/>
                <w:lang w:eastAsia="es-ES"/>
              </w:rPr>
            </w:pPr>
            <w:r>
              <w:rPr>
                <w:b/>
                <w:bCs/>
                <w:sz w:val="16"/>
                <w:szCs w:val="16"/>
              </w:rPr>
              <w:t>442.018,23</w:t>
            </w:r>
          </w:p>
        </w:tc>
        <w:tc>
          <w:tcPr>
            <w:tcW w:w="1243" w:type="dxa"/>
            <w:tcBorders>
              <w:top w:val="single" w:sz="4" w:space="0" w:color="auto"/>
              <w:left w:val="nil"/>
              <w:bottom w:val="nil"/>
              <w:right w:val="nil"/>
            </w:tcBorders>
            <w:shd w:val="clear" w:color="auto" w:fill="auto"/>
            <w:vAlign w:val="center"/>
          </w:tcPr>
          <w:p w14:paraId="1C38E325" w14:textId="20601FF1" w:rsidR="000D30D5" w:rsidRPr="00470F32" w:rsidRDefault="000D30D5" w:rsidP="000D30D5">
            <w:pPr>
              <w:pBdr>
                <w:top w:val="none" w:sz="0" w:space="0" w:color="auto"/>
                <w:left w:val="none" w:sz="0" w:space="0" w:color="auto"/>
                <w:bottom w:val="none" w:sz="0" w:space="0" w:color="auto"/>
                <w:right w:val="none" w:sz="0" w:space="0" w:color="auto"/>
                <w:between w:val="none" w:sz="0" w:space="0" w:color="auto"/>
                <w:bar w:val="none" w:sz="0" w:color="auto"/>
              </w:pBdr>
              <w:jc w:val="right"/>
              <w:outlineLvl w:val="9"/>
              <w:rPr>
                <w:rFonts w:eastAsia="Times New Roman"/>
                <w:b/>
                <w:bCs/>
                <w:sz w:val="16"/>
                <w:szCs w:val="16"/>
                <w:bdr w:val="none" w:sz="0" w:space="0" w:color="auto"/>
                <w:lang w:eastAsia="es-ES"/>
              </w:rPr>
            </w:pPr>
            <w:r>
              <w:rPr>
                <w:b/>
                <w:bCs/>
                <w:sz w:val="16"/>
                <w:szCs w:val="16"/>
              </w:rPr>
              <w:t xml:space="preserve"> -</w:t>
            </w:r>
          </w:p>
        </w:tc>
        <w:tc>
          <w:tcPr>
            <w:tcW w:w="1281" w:type="dxa"/>
            <w:tcBorders>
              <w:top w:val="nil"/>
              <w:left w:val="nil"/>
              <w:bottom w:val="nil"/>
              <w:right w:val="nil"/>
            </w:tcBorders>
            <w:shd w:val="clear" w:color="auto" w:fill="auto"/>
            <w:vAlign w:val="center"/>
          </w:tcPr>
          <w:p w14:paraId="4D6EB83E" w14:textId="22B621E4" w:rsidR="000D30D5" w:rsidRPr="00470F32" w:rsidRDefault="000D30D5" w:rsidP="000D30D5">
            <w:pPr>
              <w:pBdr>
                <w:top w:val="none" w:sz="0" w:space="0" w:color="auto"/>
                <w:left w:val="none" w:sz="0" w:space="0" w:color="auto"/>
                <w:bottom w:val="none" w:sz="0" w:space="0" w:color="auto"/>
                <w:right w:val="none" w:sz="0" w:space="0" w:color="auto"/>
                <w:between w:val="none" w:sz="0" w:space="0" w:color="auto"/>
                <w:bar w:val="none" w:sz="0" w:color="auto"/>
              </w:pBdr>
              <w:jc w:val="right"/>
              <w:outlineLvl w:val="9"/>
              <w:rPr>
                <w:rFonts w:eastAsia="Times New Roman"/>
                <w:b/>
                <w:bCs/>
                <w:sz w:val="16"/>
                <w:szCs w:val="16"/>
                <w:bdr w:val="none" w:sz="0" w:space="0" w:color="auto"/>
                <w:lang w:eastAsia="es-ES"/>
              </w:rPr>
            </w:pPr>
            <w:r>
              <w:rPr>
                <w:b/>
                <w:bCs/>
                <w:sz w:val="16"/>
                <w:szCs w:val="16"/>
              </w:rPr>
              <w:t>(725.541,26)</w:t>
            </w:r>
          </w:p>
        </w:tc>
      </w:tr>
      <w:tr w:rsidR="000D30D5" w:rsidRPr="007E7835" w14:paraId="3834F88C" w14:textId="77777777" w:rsidTr="00B1370C">
        <w:trPr>
          <w:trHeight w:val="283"/>
        </w:trPr>
        <w:tc>
          <w:tcPr>
            <w:tcW w:w="2436" w:type="dxa"/>
            <w:tcBorders>
              <w:top w:val="single" w:sz="4" w:space="0" w:color="auto"/>
              <w:left w:val="nil"/>
              <w:bottom w:val="single" w:sz="4" w:space="0" w:color="auto"/>
              <w:right w:val="nil"/>
            </w:tcBorders>
            <w:shd w:val="clear" w:color="auto" w:fill="auto"/>
            <w:vAlign w:val="center"/>
            <w:hideMark/>
          </w:tcPr>
          <w:p w14:paraId="0D5E2C4C" w14:textId="77777777" w:rsidR="000D30D5" w:rsidRPr="007E7835" w:rsidRDefault="000D30D5" w:rsidP="000D30D5">
            <w:pPr>
              <w:pBdr>
                <w:top w:val="none" w:sz="0" w:space="0" w:color="auto"/>
                <w:left w:val="none" w:sz="0" w:space="0" w:color="auto"/>
                <w:bottom w:val="none" w:sz="0" w:space="0" w:color="auto"/>
                <w:right w:val="none" w:sz="0" w:space="0" w:color="auto"/>
                <w:between w:val="none" w:sz="0" w:space="0" w:color="auto"/>
                <w:bar w:val="none" w:sz="0" w:color="auto"/>
              </w:pBdr>
              <w:outlineLvl w:val="9"/>
              <w:rPr>
                <w:rFonts w:eastAsia="Times New Roman"/>
                <w:b/>
                <w:bCs/>
                <w:sz w:val="16"/>
                <w:szCs w:val="16"/>
                <w:bdr w:val="none" w:sz="0" w:space="0" w:color="auto"/>
                <w:lang w:eastAsia="es-ES"/>
              </w:rPr>
            </w:pPr>
            <w:r w:rsidRPr="007E7835">
              <w:rPr>
                <w:rFonts w:eastAsia="Times New Roman"/>
                <w:b/>
                <w:bCs/>
                <w:sz w:val="16"/>
                <w:szCs w:val="16"/>
                <w:bdr w:val="none" w:sz="0" w:space="0" w:color="auto"/>
                <w:lang w:eastAsia="es-ES"/>
              </w:rPr>
              <w:t>Valor neto contable</w:t>
            </w:r>
          </w:p>
        </w:tc>
        <w:tc>
          <w:tcPr>
            <w:tcW w:w="1279" w:type="dxa"/>
            <w:tcBorders>
              <w:top w:val="single" w:sz="4" w:space="0" w:color="auto"/>
              <w:left w:val="nil"/>
              <w:bottom w:val="single" w:sz="4" w:space="0" w:color="auto"/>
              <w:right w:val="nil"/>
            </w:tcBorders>
            <w:shd w:val="clear" w:color="auto" w:fill="auto"/>
            <w:vAlign w:val="center"/>
          </w:tcPr>
          <w:p w14:paraId="70D613E8" w14:textId="710A8C58" w:rsidR="000D30D5" w:rsidRPr="00470F32" w:rsidRDefault="000D30D5" w:rsidP="000D30D5">
            <w:pPr>
              <w:pBdr>
                <w:top w:val="none" w:sz="0" w:space="0" w:color="auto"/>
                <w:left w:val="none" w:sz="0" w:space="0" w:color="auto"/>
                <w:bottom w:val="none" w:sz="0" w:space="0" w:color="auto"/>
                <w:right w:val="none" w:sz="0" w:space="0" w:color="auto"/>
                <w:between w:val="none" w:sz="0" w:space="0" w:color="auto"/>
                <w:bar w:val="none" w:sz="0" w:color="auto"/>
              </w:pBdr>
              <w:jc w:val="right"/>
              <w:outlineLvl w:val="9"/>
              <w:rPr>
                <w:rFonts w:eastAsia="Times New Roman"/>
                <w:b/>
                <w:bCs/>
                <w:sz w:val="16"/>
                <w:szCs w:val="16"/>
                <w:bdr w:val="none" w:sz="0" w:space="0" w:color="auto"/>
                <w:lang w:eastAsia="es-ES"/>
              </w:rPr>
            </w:pPr>
            <w:r w:rsidRPr="00470F32">
              <w:rPr>
                <w:b/>
                <w:bCs/>
                <w:sz w:val="16"/>
                <w:szCs w:val="16"/>
              </w:rPr>
              <w:t>222.464,71</w:t>
            </w:r>
          </w:p>
        </w:tc>
        <w:tc>
          <w:tcPr>
            <w:tcW w:w="1246" w:type="dxa"/>
            <w:tcBorders>
              <w:top w:val="single" w:sz="4" w:space="0" w:color="auto"/>
              <w:left w:val="nil"/>
              <w:bottom w:val="single" w:sz="4" w:space="0" w:color="auto"/>
              <w:right w:val="nil"/>
            </w:tcBorders>
            <w:shd w:val="clear" w:color="auto" w:fill="auto"/>
            <w:vAlign w:val="center"/>
          </w:tcPr>
          <w:p w14:paraId="5FC6A33D" w14:textId="48AEF724" w:rsidR="000D30D5" w:rsidRPr="00470F32" w:rsidRDefault="000D30D5" w:rsidP="000D30D5">
            <w:pPr>
              <w:pBdr>
                <w:top w:val="none" w:sz="0" w:space="0" w:color="auto"/>
                <w:left w:val="none" w:sz="0" w:space="0" w:color="auto"/>
                <w:bottom w:val="none" w:sz="0" w:space="0" w:color="auto"/>
                <w:right w:val="none" w:sz="0" w:space="0" w:color="auto"/>
                <w:between w:val="none" w:sz="0" w:space="0" w:color="auto"/>
                <w:bar w:val="none" w:sz="0" w:color="auto"/>
              </w:pBdr>
              <w:jc w:val="right"/>
              <w:outlineLvl w:val="9"/>
              <w:rPr>
                <w:rFonts w:eastAsia="Times New Roman"/>
                <w:b/>
                <w:bCs/>
                <w:sz w:val="16"/>
                <w:szCs w:val="16"/>
                <w:bdr w:val="none" w:sz="0" w:space="0" w:color="auto"/>
                <w:lang w:eastAsia="es-ES"/>
              </w:rPr>
            </w:pPr>
            <w:r>
              <w:rPr>
                <w:b/>
                <w:bCs/>
                <w:sz w:val="16"/>
                <w:szCs w:val="16"/>
              </w:rPr>
              <w:t> </w:t>
            </w:r>
          </w:p>
        </w:tc>
        <w:tc>
          <w:tcPr>
            <w:tcW w:w="1237" w:type="dxa"/>
            <w:tcBorders>
              <w:top w:val="single" w:sz="4" w:space="0" w:color="auto"/>
              <w:left w:val="nil"/>
              <w:bottom w:val="single" w:sz="4" w:space="0" w:color="auto"/>
              <w:right w:val="nil"/>
            </w:tcBorders>
            <w:shd w:val="clear" w:color="auto" w:fill="auto"/>
            <w:vAlign w:val="center"/>
          </w:tcPr>
          <w:p w14:paraId="62715405" w14:textId="2FA51CAE" w:rsidR="000D30D5" w:rsidRPr="00470F32" w:rsidRDefault="000D30D5" w:rsidP="000D30D5">
            <w:pPr>
              <w:pBdr>
                <w:top w:val="none" w:sz="0" w:space="0" w:color="auto"/>
                <w:left w:val="none" w:sz="0" w:space="0" w:color="auto"/>
                <w:bottom w:val="none" w:sz="0" w:space="0" w:color="auto"/>
                <w:right w:val="none" w:sz="0" w:space="0" w:color="auto"/>
                <w:between w:val="none" w:sz="0" w:space="0" w:color="auto"/>
                <w:bar w:val="none" w:sz="0" w:color="auto"/>
              </w:pBdr>
              <w:jc w:val="right"/>
              <w:outlineLvl w:val="9"/>
              <w:rPr>
                <w:rFonts w:eastAsia="Times New Roman"/>
                <w:b/>
                <w:bCs/>
                <w:sz w:val="16"/>
                <w:szCs w:val="16"/>
                <w:bdr w:val="none" w:sz="0" w:space="0" w:color="auto"/>
                <w:lang w:eastAsia="es-ES"/>
              </w:rPr>
            </w:pPr>
            <w:r>
              <w:rPr>
                <w:b/>
                <w:bCs/>
                <w:sz w:val="16"/>
                <w:szCs w:val="16"/>
              </w:rPr>
              <w:t> </w:t>
            </w:r>
          </w:p>
        </w:tc>
        <w:tc>
          <w:tcPr>
            <w:tcW w:w="1243" w:type="dxa"/>
            <w:tcBorders>
              <w:top w:val="single" w:sz="4" w:space="0" w:color="auto"/>
              <w:left w:val="nil"/>
              <w:bottom w:val="single" w:sz="4" w:space="0" w:color="auto"/>
              <w:right w:val="nil"/>
            </w:tcBorders>
            <w:shd w:val="clear" w:color="auto" w:fill="auto"/>
            <w:vAlign w:val="center"/>
          </w:tcPr>
          <w:p w14:paraId="30B11D22" w14:textId="6D828980" w:rsidR="000D30D5" w:rsidRPr="00470F32" w:rsidRDefault="000D30D5" w:rsidP="000D30D5">
            <w:pPr>
              <w:pBdr>
                <w:top w:val="none" w:sz="0" w:space="0" w:color="auto"/>
                <w:left w:val="none" w:sz="0" w:space="0" w:color="auto"/>
                <w:bottom w:val="none" w:sz="0" w:space="0" w:color="auto"/>
                <w:right w:val="none" w:sz="0" w:space="0" w:color="auto"/>
                <w:between w:val="none" w:sz="0" w:space="0" w:color="auto"/>
                <w:bar w:val="none" w:sz="0" w:color="auto"/>
              </w:pBdr>
              <w:jc w:val="right"/>
              <w:outlineLvl w:val="9"/>
              <w:rPr>
                <w:rFonts w:eastAsia="Times New Roman"/>
                <w:b/>
                <w:bCs/>
                <w:sz w:val="16"/>
                <w:szCs w:val="16"/>
                <w:bdr w:val="none" w:sz="0" w:space="0" w:color="auto"/>
                <w:lang w:eastAsia="es-ES"/>
              </w:rPr>
            </w:pPr>
            <w:r>
              <w:rPr>
                <w:b/>
                <w:bCs/>
                <w:sz w:val="16"/>
                <w:szCs w:val="16"/>
              </w:rPr>
              <w:t> </w:t>
            </w:r>
          </w:p>
        </w:tc>
        <w:tc>
          <w:tcPr>
            <w:tcW w:w="1281" w:type="dxa"/>
            <w:tcBorders>
              <w:top w:val="single" w:sz="4" w:space="0" w:color="auto"/>
              <w:left w:val="nil"/>
              <w:bottom w:val="single" w:sz="4" w:space="0" w:color="auto"/>
              <w:right w:val="nil"/>
            </w:tcBorders>
            <w:shd w:val="clear" w:color="auto" w:fill="auto"/>
            <w:vAlign w:val="center"/>
          </w:tcPr>
          <w:p w14:paraId="15B7689C" w14:textId="43E1F1E7" w:rsidR="000D30D5" w:rsidRPr="00470F32" w:rsidRDefault="000D30D5" w:rsidP="000D30D5">
            <w:pPr>
              <w:pBdr>
                <w:top w:val="none" w:sz="0" w:space="0" w:color="auto"/>
                <w:left w:val="none" w:sz="0" w:space="0" w:color="auto"/>
                <w:bottom w:val="none" w:sz="0" w:space="0" w:color="auto"/>
                <w:right w:val="none" w:sz="0" w:space="0" w:color="auto"/>
                <w:between w:val="none" w:sz="0" w:space="0" w:color="auto"/>
                <w:bar w:val="none" w:sz="0" w:color="auto"/>
              </w:pBdr>
              <w:jc w:val="right"/>
              <w:outlineLvl w:val="9"/>
              <w:rPr>
                <w:rFonts w:eastAsia="Times New Roman"/>
                <w:b/>
                <w:bCs/>
                <w:sz w:val="16"/>
                <w:szCs w:val="16"/>
                <w:bdr w:val="none" w:sz="0" w:space="0" w:color="auto"/>
                <w:lang w:eastAsia="es-ES"/>
              </w:rPr>
            </w:pPr>
            <w:r>
              <w:rPr>
                <w:b/>
                <w:bCs/>
                <w:sz w:val="16"/>
                <w:szCs w:val="16"/>
              </w:rPr>
              <w:t>153.000,23</w:t>
            </w:r>
          </w:p>
        </w:tc>
      </w:tr>
    </w:tbl>
    <w:p w14:paraId="73DDBBB2" w14:textId="5E10688B" w:rsidR="000D30D5" w:rsidRPr="001F0A62" w:rsidRDefault="000D30D5" w:rsidP="000D30D5">
      <w:pPr>
        <w:widowControl w:val="0"/>
        <w:spacing w:before="240" w:after="120" w:line="260" w:lineRule="exact"/>
        <w:jc w:val="both"/>
        <w:outlineLvl w:val="9"/>
        <w:rPr>
          <w:snapToGrid w:val="0"/>
          <w:sz w:val="20"/>
          <w:szCs w:val="22"/>
        </w:rPr>
      </w:pPr>
      <w:r w:rsidRPr="001F0A62">
        <w:rPr>
          <w:snapToGrid w:val="0"/>
          <w:sz w:val="20"/>
          <w:szCs w:val="22"/>
        </w:rPr>
        <w:t>Las altas del ejercicio 2024 se corresponden principalmente con mobiliario de oficina.</w:t>
      </w:r>
    </w:p>
    <w:p w14:paraId="211BDC77" w14:textId="2F09A534" w:rsidR="00C076EE" w:rsidRPr="005644E5" w:rsidRDefault="00C076EE" w:rsidP="000D30D5">
      <w:pPr>
        <w:widowControl w:val="0"/>
        <w:spacing w:before="120" w:after="120" w:line="260" w:lineRule="exact"/>
        <w:jc w:val="both"/>
        <w:outlineLvl w:val="9"/>
        <w:rPr>
          <w:snapToGrid w:val="0"/>
          <w:sz w:val="20"/>
          <w:szCs w:val="22"/>
        </w:rPr>
      </w:pPr>
      <w:r w:rsidRPr="00C076EE">
        <w:rPr>
          <w:snapToGrid w:val="0"/>
          <w:sz w:val="20"/>
          <w:szCs w:val="22"/>
        </w:rPr>
        <w:t>Las bajas del ejercicio 2024 se corresponden con instalaciones técnicas, mobiliario, equipos informáticos y otro inmovilizado totalmente amortizados que han quedado obsoleto</w:t>
      </w:r>
      <w:r>
        <w:rPr>
          <w:snapToGrid w:val="0"/>
          <w:sz w:val="20"/>
          <w:szCs w:val="22"/>
        </w:rPr>
        <w:t>s</w:t>
      </w:r>
      <w:r w:rsidRPr="00C076EE">
        <w:rPr>
          <w:snapToGrid w:val="0"/>
          <w:sz w:val="20"/>
          <w:szCs w:val="22"/>
        </w:rPr>
        <w:t xml:space="preserve"> o en desuso</w:t>
      </w:r>
      <w:r>
        <w:rPr>
          <w:snapToGrid w:val="0"/>
          <w:sz w:val="20"/>
          <w:szCs w:val="22"/>
        </w:rPr>
        <w:t>.</w:t>
      </w:r>
    </w:p>
    <w:p w14:paraId="5676A550" w14:textId="1D0993A7" w:rsidR="00612A4D" w:rsidRPr="005644E5" w:rsidRDefault="00612A4D" w:rsidP="00612A4D">
      <w:pPr>
        <w:widowControl w:val="0"/>
        <w:spacing w:before="120" w:after="120" w:line="260" w:lineRule="exact"/>
        <w:jc w:val="both"/>
        <w:outlineLvl w:val="9"/>
        <w:rPr>
          <w:snapToGrid w:val="0"/>
          <w:sz w:val="20"/>
          <w:szCs w:val="22"/>
        </w:rPr>
      </w:pPr>
      <w:r w:rsidRPr="005644E5">
        <w:rPr>
          <w:snapToGrid w:val="0"/>
          <w:sz w:val="20"/>
          <w:szCs w:val="22"/>
        </w:rPr>
        <w:t>El detalle y movimiento de</w:t>
      </w:r>
      <w:r>
        <w:rPr>
          <w:snapToGrid w:val="0"/>
          <w:sz w:val="20"/>
          <w:szCs w:val="22"/>
        </w:rPr>
        <w:t>l</w:t>
      </w:r>
      <w:r w:rsidRPr="005644E5">
        <w:rPr>
          <w:snapToGrid w:val="0"/>
          <w:sz w:val="20"/>
          <w:szCs w:val="22"/>
        </w:rPr>
        <w:t xml:space="preserve"> “Inmovilizado material” en el ejercicio 202</w:t>
      </w:r>
      <w:r>
        <w:rPr>
          <w:snapToGrid w:val="0"/>
          <w:sz w:val="20"/>
          <w:szCs w:val="22"/>
        </w:rPr>
        <w:t>3</w:t>
      </w:r>
      <w:r w:rsidRPr="005644E5">
        <w:rPr>
          <w:snapToGrid w:val="0"/>
          <w:sz w:val="20"/>
          <w:szCs w:val="22"/>
        </w:rPr>
        <w:t xml:space="preserve"> es el siguiente:</w:t>
      </w:r>
    </w:p>
    <w:tbl>
      <w:tblPr>
        <w:tblW w:w="9072" w:type="dxa"/>
        <w:tblCellMar>
          <w:left w:w="70" w:type="dxa"/>
          <w:right w:w="70" w:type="dxa"/>
        </w:tblCellMar>
        <w:tblLook w:val="04A0" w:firstRow="1" w:lastRow="0" w:firstColumn="1" w:lastColumn="0" w:noHBand="0" w:noVBand="1"/>
      </w:tblPr>
      <w:tblGrid>
        <w:gridCol w:w="2534"/>
        <w:gridCol w:w="1330"/>
        <w:gridCol w:w="1296"/>
        <w:gridCol w:w="1287"/>
        <w:gridCol w:w="1293"/>
        <w:gridCol w:w="1332"/>
      </w:tblGrid>
      <w:tr w:rsidR="00612A4D" w:rsidRPr="007E7835" w14:paraId="6FA89C8D" w14:textId="77777777" w:rsidTr="00B1370C">
        <w:trPr>
          <w:trHeight w:val="195"/>
        </w:trPr>
        <w:tc>
          <w:tcPr>
            <w:tcW w:w="2436" w:type="dxa"/>
            <w:tcBorders>
              <w:top w:val="single" w:sz="4" w:space="0" w:color="auto"/>
              <w:left w:val="nil"/>
              <w:bottom w:val="nil"/>
              <w:right w:val="nil"/>
            </w:tcBorders>
            <w:shd w:val="clear" w:color="auto" w:fill="auto"/>
            <w:vAlign w:val="center"/>
            <w:hideMark/>
          </w:tcPr>
          <w:p w14:paraId="20B0C236" w14:textId="77777777" w:rsidR="00612A4D" w:rsidRPr="007E7835" w:rsidRDefault="00612A4D" w:rsidP="0098422D">
            <w:pPr>
              <w:keepNext/>
              <w:keepLines/>
              <w:widowControl w:val="0"/>
              <w:pBdr>
                <w:top w:val="none" w:sz="0" w:space="0" w:color="auto"/>
                <w:left w:val="none" w:sz="0" w:space="0" w:color="auto"/>
                <w:bottom w:val="none" w:sz="0" w:space="0" w:color="auto"/>
                <w:right w:val="none" w:sz="0" w:space="0" w:color="auto"/>
                <w:between w:val="none" w:sz="0" w:space="0" w:color="auto"/>
                <w:bar w:val="none" w:sz="0" w:color="auto"/>
              </w:pBdr>
              <w:jc w:val="center"/>
              <w:outlineLvl w:val="9"/>
              <w:rPr>
                <w:rFonts w:eastAsia="Times New Roman"/>
                <w:sz w:val="16"/>
                <w:szCs w:val="16"/>
                <w:bdr w:val="none" w:sz="0" w:space="0" w:color="auto"/>
                <w:lang w:eastAsia="es-ES"/>
              </w:rPr>
            </w:pPr>
            <w:r w:rsidRPr="007E7835">
              <w:rPr>
                <w:rFonts w:eastAsia="Times New Roman"/>
                <w:sz w:val="16"/>
                <w:szCs w:val="16"/>
                <w:bdr w:val="none" w:sz="0" w:space="0" w:color="auto"/>
                <w:lang w:eastAsia="es-ES"/>
              </w:rPr>
              <w:t> </w:t>
            </w:r>
          </w:p>
        </w:tc>
        <w:tc>
          <w:tcPr>
            <w:tcW w:w="6286" w:type="dxa"/>
            <w:gridSpan w:val="5"/>
            <w:tcBorders>
              <w:top w:val="single" w:sz="4" w:space="0" w:color="auto"/>
              <w:left w:val="nil"/>
              <w:bottom w:val="single" w:sz="4" w:space="0" w:color="auto"/>
              <w:right w:val="nil"/>
            </w:tcBorders>
            <w:shd w:val="clear" w:color="auto" w:fill="auto"/>
            <w:vAlign w:val="center"/>
            <w:hideMark/>
          </w:tcPr>
          <w:p w14:paraId="3817446B" w14:textId="77777777" w:rsidR="00612A4D" w:rsidRPr="007E7835" w:rsidRDefault="00612A4D" w:rsidP="0098422D">
            <w:pPr>
              <w:keepNext/>
              <w:keepLines/>
              <w:widowControl w:val="0"/>
              <w:pBdr>
                <w:top w:val="none" w:sz="0" w:space="0" w:color="auto"/>
                <w:left w:val="none" w:sz="0" w:space="0" w:color="auto"/>
                <w:bottom w:val="none" w:sz="0" w:space="0" w:color="auto"/>
                <w:right w:val="none" w:sz="0" w:space="0" w:color="auto"/>
                <w:between w:val="none" w:sz="0" w:space="0" w:color="auto"/>
                <w:bar w:val="none" w:sz="0" w:color="auto"/>
              </w:pBdr>
              <w:jc w:val="center"/>
              <w:outlineLvl w:val="9"/>
              <w:rPr>
                <w:rFonts w:eastAsia="Times New Roman"/>
                <w:b/>
                <w:bCs/>
                <w:sz w:val="16"/>
                <w:szCs w:val="16"/>
                <w:bdr w:val="none" w:sz="0" w:space="0" w:color="auto"/>
                <w:lang w:eastAsia="es-ES"/>
              </w:rPr>
            </w:pPr>
            <w:r w:rsidRPr="007E7835">
              <w:rPr>
                <w:rFonts w:eastAsia="Times New Roman"/>
                <w:b/>
                <w:bCs/>
                <w:sz w:val="16"/>
                <w:szCs w:val="16"/>
                <w:bdr w:val="none" w:sz="0" w:space="0" w:color="auto"/>
                <w:lang w:eastAsia="es-ES"/>
              </w:rPr>
              <w:t>Euros</w:t>
            </w:r>
          </w:p>
        </w:tc>
      </w:tr>
      <w:tr w:rsidR="00612A4D" w:rsidRPr="007E7835" w14:paraId="5753CE3A" w14:textId="77777777" w:rsidTr="00B1370C">
        <w:trPr>
          <w:trHeight w:val="390"/>
        </w:trPr>
        <w:tc>
          <w:tcPr>
            <w:tcW w:w="2436" w:type="dxa"/>
            <w:tcBorders>
              <w:top w:val="nil"/>
              <w:left w:val="nil"/>
              <w:bottom w:val="single" w:sz="4" w:space="0" w:color="auto"/>
              <w:right w:val="nil"/>
            </w:tcBorders>
            <w:shd w:val="clear" w:color="auto" w:fill="auto"/>
            <w:vAlign w:val="center"/>
            <w:hideMark/>
          </w:tcPr>
          <w:p w14:paraId="328ACBB4" w14:textId="77777777" w:rsidR="00612A4D" w:rsidRPr="007E7835" w:rsidRDefault="00612A4D" w:rsidP="0098422D">
            <w:pPr>
              <w:keepNext/>
              <w:keepLines/>
              <w:widowControl w:val="0"/>
              <w:pBdr>
                <w:top w:val="none" w:sz="0" w:space="0" w:color="auto"/>
                <w:left w:val="none" w:sz="0" w:space="0" w:color="auto"/>
                <w:bottom w:val="none" w:sz="0" w:space="0" w:color="auto"/>
                <w:right w:val="none" w:sz="0" w:space="0" w:color="auto"/>
                <w:between w:val="none" w:sz="0" w:space="0" w:color="auto"/>
                <w:bar w:val="none" w:sz="0" w:color="auto"/>
              </w:pBdr>
              <w:jc w:val="center"/>
              <w:outlineLvl w:val="9"/>
              <w:rPr>
                <w:rFonts w:eastAsia="Times New Roman"/>
                <w:sz w:val="16"/>
                <w:szCs w:val="16"/>
                <w:bdr w:val="none" w:sz="0" w:space="0" w:color="auto"/>
                <w:lang w:eastAsia="es-ES"/>
              </w:rPr>
            </w:pPr>
            <w:r w:rsidRPr="007E7835">
              <w:rPr>
                <w:rFonts w:eastAsia="Times New Roman"/>
                <w:sz w:val="16"/>
                <w:szCs w:val="16"/>
                <w:bdr w:val="none" w:sz="0" w:space="0" w:color="auto"/>
                <w:lang w:eastAsia="es-ES"/>
              </w:rPr>
              <w:t> </w:t>
            </w:r>
          </w:p>
        </w:tc>
        <w:tc>
          <w:tcPr>
            <w:tcW w:w="1279" w:type="dxa"/>
            <w:tcBorders>
              <w:top w:val="nil"/>
              <w:left w:val="nil"/>
              <w:bottom w:val="single" w:sz="4" w:space="0" w:color="auto"/>
              <w:right w:val="nil"/>
            </w:tcBorders>
            <w:shd w:val="clear" w:color="auto" w:fill="auto"/>
            <w:vAlign w:val="bottom"/>
            <w:hideMark/>
          </w:tcPr>
          <w:p w14:paraId="11B5833F" w14:textId="2BAFB909" w:rsidR="00612A4D" w:rsidRPr="007639B1" w:rsidRDefault="00612A4D" w:rsidP="0098422D">
            <w:pPr>
              <w:keepNext/>
              <w:keepLines/>
              <w:widowControl w:val="0"/>
              <w:pBdr>
                <w:top w:val="none" w:sz="0" w:space="0" w:color="auto"/>
                <w:left w:val="none" w:sz="0" w:space="0" w:color="auto"/>
                <w:bottom w:val="none" w:sz="0" w:space="0" w:color="auto"/>
                <w:right w:val="none" w:sz="0" w:space="0" w:color="auto"/>
                <w:between w:val="none" w:sz="0" w:space="0" w:color="auto"/>
                <w:bar w:val="none" w:sz="0" w:color="auto"/>
              </w:pBdr>
              <w:jc w:val="center"/>
              <w:outlineLvl w:val="9"/>
              <w:rPr>
                <w:rFonts w:eastAsia="Times New Roman"/>
                <w:b/>
                <w:bCs/>
                <w:sz w:val="16"/>
                <w:szCs w:val="16"/>
                <w:bdr w:val="none" w:sz="0" w:space="0" w:color="auto"/>
                <w:lang w:eastAsia="es-ES"/>
              </w:rPr>
            </w:pPr>
            <w:r w:rsidRPr="007639B1">
              <w:rPr>
                <w:rFonts w:eastAsia="Times New Roman"/>
                <w:b/>
                <w:bCs/>
                <w:sz w:val="16"/>
                <w:szCs w:val="16"/>
                <w:bdr w:val="none" w:sz="0" w:space="0" w:color="auto"/>
                <w:lang w:eastAsia="es-ES"/>
              </w:rPr>
              <w:t xml:space="preserve">Saldo al </w:t>
            </w:r>
            <w:r w:rsidR="008F3565">
              <w:rPr>
                <w:rFonts w:eastAsia="Times New Roman"/>
                <w:b/>
                <w:bCs/>
                <w:sz w:val="16"/>
                <w:szCs w:val="16"/>
                <w:bdr w:val="none" w:sz="0" w:space="0" w:color="auto"/>
                <w:lang w:eastAsia="es-ES"/>
              </w:rPr>
              <w:t>01/01/2023</w:t>
            </w:r>
          </w:p>
        </w:tc>
        <w:tc>
          <w:tcPr>
            <w:tcW w:w="1246" w:type="dxa"/>
            <w:tcBorders>
              <w:top w:val="nil"/>
              <w:left w:val="nil"/>
              <w:bottom w:val="single" w:sz="4" w:space="0" w:color="auto"/>
              <w:right w:val="nil"/>
            </w:tcBorders>
            <w:shd w:val="clear" w:color="auto" w:fill="auto"/>
            <w:vAlign w:val="bottom"/>
            <w:hideMark/>
          </w:tcPr>
          <w:p w14:paraId="7B78CCF8" w14:textId="77777777" w:rsidR="00612A4D" w:rsidRPr="007639B1" w:rsidRDefault="00612A4D" w:rsidP="0098422D">
            <w:pPr>
              <w:keepNext/>
              <w:keepLines/>
              <w:widowControl w:val="0"/>
              <w:pBdr>
                <w:top w:val="none" w:sz="0" w:space="0" w:color="auto"/>
                <w:left w:val="none" w:sz="0" w:space="0" w:color="auto"/>
                <w:bottom w:val="none" w:sz="0" w:space="0" w:color="auto"/>
                <w:right w:val="none" w:sz="0" w:space="0" w:color="auto"/>
                <w:between w:val="none" w:sz="0" w:space="0" w:color="auto"/>
                <w:bar w:val="none" w:sz="0" w:color="auto"/>
              </w:pBdr>
              <w:jc w:val="center"/>
              <w:outlineLvl w:val="9"/>
              <w:rPr>
                <w:rFonts w:eastAsia="Times New Roman"/>
                <w:b/>
                <w:bCs/>
                <w:sz w:val="16"/>
                <w:szCs w:val="16"/>
                <w:bdr w:val="none" w:sz="0" w:space="0" w:color="auto"/>
                <w:lang w:eastAsia="es-ES"/>
              </w:rPr>
            </w:pPr>
            <w:r w:rsidRPr="007639B1">
              <w:rPr>
                <w:rFonts w:eastAsia="Times New Roman"/>
                <w:b/>
                <w:bCs/>
                <w:sz w:val="16"/>
                <w:szCs w:val="16"/>
                <w:bdr w:val="none" w:sz="0" w:space="0" w:color="auto"/>
                <w:lang w:eastAsia="es-ES"/>
              </w:rPr>
              <w:t>Altas</w:t>
            </w:r>
          </w:p>
        </w:tc>
        <w:tc>
          <w:tcPr>
            <w:tcW w:w="1237" w:type="dxa"/>
            <w:tcBorders>
              <w:top w:val="nil"/>
              <w:left w:val="nil"/>
              <w:bottom w:val="single" w:sz="4" w:space="0" w:color="auto"/>
              <w:right w:val="nil"/>
            </w:tcBorders>
            <w:shd w:val="clear" w:color="auto" w:fill="auto"/>
            <w:vAlign w:val="bottom"/>
            <w:hideMark/>
          </w:tcPr>
          <w:p w14:paraId="645C3210" w14:textId="77777777" w:rsidR="00612A4D" w:rsidRPr="007639B1" w:rsidRDefault="00612A4D" w:rsidP="0098422D">
            <w:pPr>
              <w:keepNext/>
              <w:keepLines/>
              <w:widowControl w:val="0"/>
              <w:pBdr>
                <w:top w:val="none" w:sz="0" w:space="0" w:color="auto"/>
                <w:left w:val="none" w:sz="0" w:space="0" w:color="auto"/>
                <w:bottom w:val="none" w:sz="0" w:space="0" w:color="auto"/>
                <w:right w:val="none" w:sz="0" w:space="0" w:color="auto"/>
                <w:between w:val="none" w:sz="0" w:space="0" w:color="auto"/>
                <w:bar w:val="none" w:sz="0" w:color="auto"/>
              </w:pBdr>
              <w:jc w:val="center"/>
              <w:outlineLvl w:val="9"/>
              <w:rPr>
                <w:rFonts w:eastAsia="Times New Roman"/>
                <w:b/>
                <w:bCs/>
                <w:sz w:val="16"/>
                <w:szCs w:val="16"/>
                <w:bdr w:val="none" w:sz="0" w:space="0" w:color="auto"/>
                <w:lang w:eastAsia="es-ES"/>
              </w:rPr>
            </w:pPr>
            <w:r w:rsidRPr="007639B1">
              <w:rPr>
                <w:rFonts w:eastAsia="Times New Roman"/>
                <w:b/>
                <w:bCs/>
                <w:sz w:val="16"/>
                <w:szCs w:val="16"/>
                <w:bdr w:val="none" w:sz="0" w:space="0" w:color="auto"/>
                <w:lang w:eastAsia="es-ES"/>
              </w:rPr>
              <w:t>Bajas</w:t>
            </w:r>
          </w:p>
        </w:tc>
        <w:tc>
          <w:tcPr>
            <w:tcW w:w="1243" w:type="dxa"/>
            <w:tcBorders>
              <w:top w:val="nil"/>
              <w:left w:val="nil"/>
              <w:bottom w:val="single" w:sz="4" w:space="0" w:color="auto"/>
              <w:right w:val="nil"/>
            </w:tcBorders>
            <w:shd w:val="clear" w:color="auto" w:fill="auto"/>
            <w:vAlign w:val="bottom"/>
            <w:hideMark/>
          </w:tcPr>
          <w:p w14:paraId="3FF98646" w14:textId="77777777" w:rsidR="00612A4D" w:rsidRPr="007639B1" w:rsidRDefault="00612A4D" w:rsidP="0098422D">
            <w:pPr>
              <w:keepNext/>
              <w:keepLines/>
              <w:widowControl w:val="0"/>
              <w:pBdr>
                <w:top w:val="none" w:sz="0" w:space="0" w:color="auto"/>
                <w:left w:val="none" w:sz="0" w:space="0" w:color="auto"/>
                <w:bottom w:val="none" w:sz="0" w:space="0" w:color="auto"/>
                <w:right w:val="none" w:sz="0" w:space="0" w:color="auto"/>
                <w:between w:val="none" w:sz="0" w:space="0" w:color="auto"/>
                <w:bar w:val="none" w:sz="0" w:color="auto"/>
              </w:pBdr>
              <w:jc w:val="center"/>
              <w:outlineLvl w:val="9"/>
              <w:rPr>
                <w:rFonts w:eastAsia="Times New Roman"/>
                <w:b/>
                <w:bCs/>
                <w:sz w:val="16"/>
                <w:szCs w:val="16"/>
                <w:bdr w:val="none" w:sz="0" w:space="0" w:color="auto"/>
                <w:lang w:eastAsia="es-ES"/>
              </w:rPr>
            </w:pPr>
            <w:r w:rsidRPr="007639B1">
              <w:rPr>
                <w:rFonts w:eastAsia="Times New Roman"/>
                <w:b/>
                <w:bCs/>
                <w:sz w:val="16"/>
                <w:szCs w:val="16"/>
                <w:bdr w:val="none" w:sz="0" w:space="0" w:color="auto"/>
                <w:lang w:eastAsia="es-ES"/>
              </w:rPr>
              <w:t>Traspasos</w:t>
            </w:r>
          </w:p>
        </w:tc>
        <w:tc>
          <w:tcPr>
            <w:tcW w:w="1281" w:type="dxa"/>
            <w:tcBorders>
              <w:top w:val="nil"/>
              <w:left w:val="nil"/>
              <w:bottom w:val="single" w:sz="4" w:space="0" w:color="auto"/>
              <w:right w:val="nil"/>
            </w:tcBorders>
            <w:shd w:val="clear" w:color="auto" w:fill="auto"/>
            <w:vAlign w:val="bottom"/>
            <w:hideMark/>
          </w:tcPr>
          <w:p w14:paraId="62A10BEF" w14:textId="77777777" w:rsidR="00612A4D" w:rsidRPr="007639B1" w:rsidRDefault="00612A4D" w:rsidP="0098422D">
            <w:pPr>
              <w:keepNext/>
              <w:keepLines/>
              <w:widowControl w:val="0"/>
              <w:pBdr>
                <w:top w:val="none" w:sz="0" w:space="0" w:color="auto"/>
                <w:left w:val="none" w:sz="0" w:space="0" w:color="auto"/>
                <w:bottom w:val="none" w:sz="0" w:space="0" w:color="auto"/>
                <w:right w:val="none" w:sz="0" w:space="0" w:color="auto"/>
                <w:between w:val="none" w:sz="0" w:space="0" w:color="auto"/>
                <w:bar w:val="none" w:sz="0" w:color="auto"/>
              </w:pBdr>
              <w:jc w:val="center"/>
              <w:outlineLvl w:val="9"/>
              <w:rPr>
                <w:rFonts w:eastAsia="Times New Roman"/>
                <w:b/>
                <w:bCs/>
                <w:sz w:val="16"/>
                <w:szCs w:val="16"/>
                <w:bdr w:val="none" w:sz="0" w:space="0" w:color="auto"/>
                <w:lang w:eastAsia="es-ES"/>
              </w:rPr>
            </w:pPr>
            <w:r w:rsidRPr="007639B1">
              <w:rPr>
                <w:rFonts w:eastAsia="Times New Roman"/>
                <w:b/>
                <w:bCs/>
                <w:sz w:val="16"/>
                <w:szCs w:val="16"/>
                <w:bdr w:val="none" w:sz="0" w:space="0" w:color="auto"/>
                <w:lang w:eastAsia="es-ES"/>
              </w:rPr>
              <w:t>Saldo al 31/12/202</w:t>
            </w:r>
            <w:r>
              <w:rPr>
                <w:rFonts w:eastAsia="Times New Roman"/>
                <w:b/>
                <w:bCs/>
                <w:sz w:val="16"/>
                <w:szCs w:val="16"/>
                <w:bdr w:val="none" w:sz="0" w:space="0" w:color="auto"/>
                <w:lang w:eastAsia="es-ES"/>
              </w:rPr>
              <w:t>3</w:t>
            </w:r>
          </w:p>
        </w:tc>
      </w:tr>
      <w:tr w:rsidR="00612A4D" w:rsidRPr="007E7835" w14:paraId="68509AB7" w14:textId="77777777" w:rsidTr="00B1370C">
        <w:trPr>
          <w:trHeight w:val="255"/>
        </w:trPr>
        <w:tc>
          <w:tcPr>
            <w:tcW w:w="2436" w:type="dxa"/>
            <w:tcBorders>
              <w:top w:val="nil"/>
              <w:left w:val="nil"/>
              <w:bottom w:val="nil"/>
              <w:right w:val="nil"/>
            </w:tcBorders>
            <w:shd w:val="clear" w:color="auto" w:fill="auto"/>
            <w:vAlign w:val="center"/>
            <w:hideMark/>
          </w:tcPr>
          <w:p w14:paraId="451B7152" w14:textId="77777777" w:rsidR="00612A4D" w:rsidRPr="007E7835" w:rsidRDefault="00612A4D" w:rsidP="0098422D">
            <w:pPr>
              <w:keepNext/>
              <w:keepLines/>
              <w:widowControl w:val="0"/>
              <w:pBdr>
                <w:top w:val="none" w:sz="0" w:space="0" w:color="auto"/>
                <w:left w:val="none" w:sz="0" w:space="0" w:color="auto"/>
                <w:bottom w:val="none" w:sz="0" w:space="0" w:color="auto"/>
                <w:right w:val="none" w:sz="0" w:space="0" w:color="auto"/>
                <w:between w:val="none" w:sz="0" w:space="0" w:color="auto"/>
                <w:bar w:val="none" w:sz="0" w:color="auto"/>
              </w:pBdr>
              <w:outlineLvl w:val="9"/>
              <w:rPr>
                <w:rFonts w:eastAsia="Times New Roman"/>
                <w:b/>
                <w:bCs/>
                <w:sz w:val="16"/>
                <w:szCs w:val="16"/>
                <w:bdr w:val="none" w:sz="0" w:space="0" w:color="auto"/>
                <w:lang w:eastAsia="es-ES"/>
              </w:rPr>
            </w:pPr>
            <w:r w:rsidRPr="007E7835">
              <w:rPr>
                <w:rFonts w:eastAsia="Times New Roman"/>
                <w:b/>
                <w:bCs/>
                <w:sz w:val="16"/>
                <w:szCs w:val="16"/>
                <w:bdr w:val="none" w:sz="0" w:space="0" w:color="auto"/>
                <w:lang w:eastAsia="es-ES"/>
              </w:rPr>
              <w:t>Coste</w:t>
            </w:r>
          </w:p>
        </w:tc>
        <w:tc>
          <w:tcPr>
            <w:tcW w:w="1279" w:type="dxa"/>
            <w:tcBorders>
              <w:top w:val="nil"/>
              <w:left w:val="nil"/>
              <w:bottom w:val="nil"/>
              <w:right w:val="nil"/>
            </w:tcBorders>
            <w:shd w:val="clear" w:color="auto" w:fill="auto"/>
            <w:vAlign w:val="center"/>
            <w:hideMark/>
          </w:tcPr>
          <w:p w14:paraId="48D71FFE" w14:textId="77777777" w:rsidR="00612A4D" w:rsidRPr="007639B1" w:rsidRDefault="00612A4D" w:rsidP="0098422D">
            <w:pPr>
              <w:keepNext/>
              <w:keepLines/>
              <w:widowControl w:val="0"/>
              <w:pBdr>
                <w:top w:val="none" w:sz="0" w:space="0" w:color="auto"/>
                <w:left w:val="none" w:sz="0" w:space="0" w:color="auto"/>
                <w:bottom w:val="none" w:sz="0" w:space="0" w:color="auto"/>
                <w:right w:val="none" w:sz="0" w:space="0" w:color="auto"/>
                <w:between w:val="none" w:sz="0" w:space="0" w:color="auto"/>
                <w:bar w:val="none" w:sz="0" w:color="auto"/>
              </w:pBdr>
              <w:outlineLvl w:val="9"/>
              <w:rPr>
                <w:rFonts w:eastAsia="Times New Roman"/>
                <w:b/>
                <w:bCs/>
                <w:sz w:val="16"/>
                <w:szCs w:val="16"/>
                <w:bdr w:val="none" w:sz="0" w:space="0" w:color="auto"/>
                <w:lang w:eastAsia="es-ES"/>
              </w:rPr>
            </w:pPr>
          </w:p>
        </w:tc>
        <w:tc>
          <w:tcPr>
            <w:tcW w:w="1246" w:type="dxa"/>
            <w:tcBorders>
              <w:top w:val="nil"/>
              <w:left w:val="nil"/>
              <w:bottom w:val="nil"/>
              <w:right w:val="nil"/>
            </w:tcBorders>
            <w:shd w:val="clear" w:color="auto" w:fill="auto"/>
            <w:vAlign w:val="center"/>
            <w:hideMark/>
          </w:tcPr>
          <w:p w14:paraId="7FF33EDE" w14:textId="77777777" w:rsidR="00612A4D" w:rsidRPr="007639B1" w:rsidRDefault="00612A4D" w:rsidP="0098422D">
            <w:pPr>
              <w:keepNext/>
              <w:keepLines/>
              <w:widowControl w:val="0"/>
              <w:pBdr>
                <w:top w:val="none" w:sz="0" w:space="0" w:color="auto"/>
                <w:left w:val="none" w:sz="0" w:space="0" w:color="auto"/>
                <w:bottom w:val="none" w:sz="0" w:space="0" w:color="auto"/>
                <w:right w:val="none" w:sz="0" w:space="0" w:color="auto"/>
                <w:between w:val="none" w:sz="0" w:space="0" w:color="auto"/>
                <w:bar w:val="none" w:sz="0" w:color="auto"/>
              </w:pBdr>
              <w:outlineLvl w:val="9"/>
              <w:rPr>
                <w:rFonts w:eastAsia="Times New Roman"/>
                <w:color w:val="auto"/>
                <w:sz w:val="16"/>
                <w:szCs w:val="16"/>
                <w:bdr w:val="none" w:sz="0" w:space="0" w:color="auto"/>
                <w:lang w:eastAsia="es-ES"/>
              </w:rPr>
            </w:pPr>
          </w:p>
        </w:tc>
        <w:tc>
          <w:tcPr>
            <w:tcW w:w="1237" w:type="dxa"/>
            <w:tcBorders>
              <w:top w:val="nil"/>
              <w:left w:val="nil"/>
              <w:bottom w:val="nil"/>
              <w:right w:val="nil"/>
            </w:tcBorders>
            <w:shd w:val="clear" w:color="auto" w:fill="auto"/>
            <w:vAlign w:val="center"/>
            <w:hideMark/>
          </w:tcPr>
          <w:p w14:paraId="31BFC48F" w14:textId="77777777" w:rsidR="00612A4D" w:rsidRPr="007639B1" w:rsidRDefault="00612A4D" w:rsidP="0098422D">
            <w:pPr>
              <w:keepNext/>
              <w:keepLines/>
              <w:widowControl w:val="0"/>
              <w:pBdr>
                <w:top w:val="none" w:sz="0" w:space="0" w:color="auto"/>
                <w:left w:val="none" w:sz="0" w:space="0" w:color="auto"/>
                <w:bottom w:val="none" w:sz="0" w:space="0" w:color="auto"/>
                <w:right w:val="none" w:sz="0" w:space="0" w:color="auto"/>
                <w:between w:val="none" w:sz="0" w:space="0" w:color="auto"/>
                <w:bar w:val="none" w:sz="0" w:color="auto"/>
              </w:pBdr>
              <w:outlineLvl w:val="9"/>
              <w:rPr>
                <w:rFonts w:eastAsia="Times New Roman"/>
                <w:color w:val="auto"/>
                <w:sz w:val="16"/>
                <w:szCs w:val="16"/>
                <w:bdr w:val="none" w:sz="0" w:space="0" w:color="auto"/>
                <w:lang w:eastAsia="es-ES"/>
              </w:rPr>
            </w:pPr>
          </w:p>
        </w:tc>
        <w:tc>
          <w:tcPr>
            <w:tcW w:w="1243" w:type="dxa"/>
            <w:tcBorders>
              <w:top w:val="nil"/>
              <w:left w:val="nil"/>
              <w:bottom w:val="nil"/>
              <w:right w:val="nil"/>
            </w:tcBorders>
            <w:shd w:val="clear" w:color="auto" w:fill="auto"/>
            <w:vAlign w:val="center"/>
            <w:hideMark/>
          </w:tcPr>
          <w:p w14:paraId="24E469CF" w14:textId="77777777" w:rsidR="00612A4D" w:rsidRPr="007639B1" w:rsidRDefault="00612A4D" w:rsidP="0098422D">
            <w:pPr>
              <w:keepNext/>
              <w:keepLines/>
              <w:widowControl w:val="0"/>
              <w:pBdr>
                <w:top w:val="none" w:sz="0" w:space="0" w:color="auto"/>
                <w:left w:val="none" w:sz="0" w:space="0" w:color="auto"/>
                <w:bottom w:val="none" w:sz="0" w:space="0" w:color="auto"/>
                <w:right w:val="none" w:sz="0" w:space="0" w:color="auto"/>
                <w:between w:val="none" w:sz="0" w:space="0" w:color="auto"/>
                <w:bar w:val="none" w:sz="0" w:color="auto"/>
              </w:pBdr>
              <w:outlineLvl w:val="9"/>
              <w:rPr>
                <w:rFonts w:eastAsia="Times New Roman"/>
                <w:color w:val="auto"/>
                <w:sz w:val="16"/>
                <w:szCs w:val="16"/>
                <w:bdr w:val="none" w:sz="0" w:space="0" w:color="auto"/>
                <w:lang w:eastAsia="es-ES"/>
              </w:rPr>
            </w:pPr>
          </w:p>
        </w:tc>
        <w:tc>
          <w:tcPr>
            <w:tcW w:w="1281" w:type="dxa"/>
            <w:tcBorders>
              <w:top w:val="nil"/>
              <w:left w:val="nil"/>
              <w:bottom w:val="nil"/>
              <w:right w:val="nil"/>
            </w:tcBorders>
            <w:shd w:val="clear" w:color="auto" w:fill="auto"/>
            <w:vAlign w:val="center"/>
            <w:hideMark/>
          </w:tcPr>
          <w:p w14:paraId="69BBE517" w14:textId="77777777" w:rsidR="00612A4D" w:rsidRPr="007639B1" w:rsidRDefault="00612A4D" w:rsidP="0098422D">
            <w:pPr>
              <w:keepNext/>
              <w:keepLines/>
              <w:widowControl w:val="0"/>
              <w:pBdr>
                <w:top w:val="none" w:sz="0" w:space="0" w:color="auto"/>
                <w:left w:val="none" w:sz="0" w:space="0" w:color="auto"/>
                <w:bottom w:val="none" w:sz="0" w:space="0" w:color="auto"/>
                <w:right w:val="none" w:sz="0" w:space="0" w:color="auto"/>
                <w:between w:val="none" w:sz="0" w:space="0" w:color="auto"/>
                <w:bar w:val="none" w:sz="0" w:color="auto"/>
              </w:pBdr>
              <w:outlineLvl w:val="9"/>
              <w:rPr>
                <w:rFonts w:eastAsia="Times New Roman"/>
                <w:color w:val="auto"/>
                <w:sz w:val="16"/>
                <w:szCs w:val="16"/>
                <w:bdr w:val="none" w:sz="0" w:space="0" w:color="auto"/>
                <w:lang w:eastAsia="es-ES"/>
              </w:rPr>
            </w:pPr>
          </w:p>
        </w:tc>
      </w:tr>
      <w:tr w:rsidR="00612A4D" w:rsidRPr="007E7835" w14:paraId="66EDDB94" w14:textId="77777777" w:rsidTr="00B1370C">
        <w:trPr>
          <w:trHeight w:val="283"/>
        </w:trPr>
        <w:tc>
          <w:tcPr>
            <w:tcW w:w="2436" w:type="dxa"/>
            <w:tcBorders>
              <w:top w:val="nil"/>
              <w:left w:val="nil"/>
              <w:bottom w:val="nil"/>
              <w:right w:val="nil"/>
            </w:tcBorders>
            <w:shd w:val="clear" w:color="auto" w:fill="auto"/>
            <w:vAlign w:val="center"/>
            <w:hideMark/>
          </w:tcPr>
          <w:p w14:paraId="774C45E1" w14:textId="77777777" w:rsidR="00612A4D" w:rsidRPr="007E7835" w:rsidRDefault="00612A4D" w:rsidP="0098422D">
            <w:pPr>
              <w:keepNext/>
              <w:keepLines/>
              <w:widowControl w:val="0"/>
              <w:pBdr>
                <w:top w:val="none" w:sz="0" w:space="0" w:color="auto"/>
                <w:left w:val="none" w:sz="0" w:space="0" w:color="auto"/>
                <w:bottom w:val="none" w:sz="0" w:space="0" w:color="auto"/>
                <w:right w:val="none" w:sz="0" w:space="0" w:color="auto"/>
                <w:between w:val="none" w:sz="0" w:space="0" w:color="auto"/>
                <w:bar w:val="none" w:sz="0" w:color="auto"/>
              </w:pBdr>
              <w:outlineLvl w:val="9"/>
              <w:rPr>
                <w:rFonts w:eastAsia="Times New Roman"/>
                <w:sz w:val="16"/>
                <w:szCs w:val="16"/>
                <w:bdr w:val="none" w:sz="0" w:space="0" w:color="auto"/>
                <w:lang w:eastAsia="es-ES"/>
              </w:rPr>
            </w:pPr>
            <w:r w:rsidRPr="007E7835">
              <w:rPr>
                <w:rFonts w:eastAsia="Times New Roman"/>
                <w:sz w:val="16"/>
                <w:szCs w:val="16"/>
                <w:bdr w:val="none" w:sz="0" w:space="0" w:color="auto"/>
                <w:lang w:eastAsia="es-ES"/>
              </w:rPr>
              <w:t>Construcciones</w:t>
            </w:r>
          </w:p>
        </w:tc>
        <w:tc>
          <w:tcPr>
            <w:tcW w:w="1279" w:type="dxa"/>
            <w:tcBorders>
              <w:top w:val="nil"/>
              <w:left w:val="nil"/>
              <w:bottom w:val="nil"/>
              <w:right w:val="nil"/>
            </w:tcBorders>
            <w:shd w:val="clear" w:color="auto" w:fill="auto"/>
            <w:vAlign w:val="center"/>
          </w:tcPr>
          <w:p w14:paraId="4421BC0E" w14:textId="77777777" w:rsidR="00612A4D" w:rsidRPr="00470F32" w:rsidRDefault="00612A4D" w:rsidP="0098422D">
            <w:pPr>
              <w:keepNext/>
              <w:keepLines/>
              <w:widowControl w:val="0"/>
              <w:pBdr>
                <w:top w:val="none" w:sz="0" w:space="0" w:color="auto"/>
                <w:left w:val="none" w:sz="0" w:space="0" w:color="auto"/>
                <w:bottom w:val="none" w:sz="0" w:space="0" w:color="auto"/>
                <w:right w:val="none" w:sz="0" w:space="0" w:color="auto"/>
                <w:between w:val="none" w:sz="0" w:space="0" w:color="auto"/>
                <w:bar w:val="none" w:sz="0" w:color="auto"/>
              </w:pBdr>
              <w:jc w:val="right"/>
              <w:outlineLvl w:val="9"/>
              <w:rPr>
                <w:rFonts w:eastAsia="Times New Roman"/>
                <w:sz w:val="16"/>
                <w:szCs w:val="16"/>
                <w:bdr w:val="none" w:sz="0" w:space="0" w:color="auto"/>
                <w:lang w:eastAsia="es-ES"/>
              </w:rPr>
            </w:pPr>
            <w:r w:rsidRPr="00470F32">
              <w:rPr>
                <w:sz w:val="16"/>
                <w:szCs w:val="16"/>
              </w:rPr>
              <w:t>439.024,59</w:t>
            </w:r>
          </w:p>
        </w:tc>
        <w:tc>
          <w:tcPr>
            <w:tcW w:w="1246" w:type="dxa"/>
            <w:tcBorders>
              <w:top w:val="nil"/>
              <w:left w:val="nil"/>
              <w:bottom w:val="nil"/>
              <w:right w:val="nil"/>
            </w:tcBorders>
            <w:shd w:val="clear" w:color="auto" w:fill="auto"/>
            <w:vAlign w:val="center"/>
          </w:tcPr>
          <w:p w14:paraId="5D382D8A" w14:textId="77777777" w:rsidR="00612A4D" w:rsidRPr="00470F32" w:rsidRDefault="00612A4D" w:rsidP="0098422D">
            <w:pPr>
              <w:keepNext/>
              <w:keepLines/>
              <w:widowControl w:val="0"/>
              <w:pBdr>
                <w:top w:val="none" w:sz="0" w:space="0" w:color="auto"/>
                <w:left w:val="none" w:sz="0" w:space="0" w:color="auto"/>
                <w:bottom w:val="none" w:sz="0" w:space="0" w:color="auto"/>
                <w:right w:val="none" w:sz="0" w:space="0" w:color="auto"/>
                <w:between w:val="none" w:sz="0" w:space="0" w:color="auto"/>
                <w:bar w:val="none" w:sz="0" w:color="auto"/>
              </w:pBdr>
              <w:jc w:val="right"/>
              <w:outlineLvl w:val="9"/>
              <w:rPr>
                <w:rFonts w:eastAsia="Times New Roman"/>
                <w:sz w:val="16"/>
                <w:szCs w:val="16"/>
                <w:bdr w:val="none" w:sz="0" w:space="0" w:color="auto"/>
                <w:lang w:eastAsia="es-ES"/>
              </w:rPr>
            </w:pPr>
            <w:r>
              <w:rPr>
                <w:rFonts w:eastAsia="Times New Roman"/>
                <w:sz w:val="16"/>
                <w:szCs w:val="16"/>
                <w:bdr w:val="none" w:sz="0" w:space="0" w:color="auto"/>
                <w:lang w:eastAsia="es-ES"/>
              </w:rPr>
              <w:t>-</w:t>
            </w:r>
          </w:p>
        </w:tc>
        <w:tc>
          <w:tcPr>
            <w:tcW w:w="1237" w:type="dxa"/>
            <w:tcBorders>
              <w:top w:val="nil"/>
              <w:left w:val="nil"/>
              <w:bottom w:val="nil"/>
              <w:right w:val="nil"/>
            </w:tcBorders>
            <w:shd w:val="clear" w:color="auto" w:fill="auto"/>
            <w:vAlign w:val="center"/>
          </w:tcPr>
          <w:p w14:paraId="4F37F9C6" w14:textId="77777777" w:rsidR="00612A4D" w:rsidRPr="00470F32" w:rsidRDefault="00612A4D" w:rsidP="0098422D">
            <w:pPr>
              <w:keepNext/>
              <w:keepLines/>
              <w:widowControl w:val="0"/>
              <w:pBdr>
                <w:top w:val="none" w:sz="0" w:space="0" w:color="auto"/>
                <w:left w:val="none" w:sz="0" w:space="0" w:color="auto"/>
                <w:bottom w:val="none" w:sz="0" w:space="0" w:color="auto"/>
                <w:right w:val="none" w:sz="0" w:space="0" w:color="auto"/>
                <w:between w:val="none" w:sz="0" w:space="0" w:color="auto"/>
                <w:bar w:val="none" w:sz="0" w:color="auto"/>
              </w:pBdr>
              <w:jc w:val="right"/>
              <w:outlineLvl w:val="9"/>
              <w:rPr>
                <w:rFonts w:eastAsia="Times New Roman"/>
                <w:sz w:val="16"/>
                <w:szCs w:val="16"/>
                <w:bdr w:val="none" w:sz="0" w:space="0" w:color="auto"/>
                <w:lang w:eastAsia="es-ES"/>
              </w:rPr>
            </w:pPr>
            <w:r w:rsidRPr="00470F32">
              <w:rPr>
                <w:sz w:val="16"/>
                <w:szCs w:val="16"/>
              </w:rPr>
              <w:t xml:space="preserve"> -</w:t>
            </w:r>
          </w:p>
        </w:tc>
        <w:tc>
          <w:tcPr>
            <w:tcW w:w="1243" w:type="dxa"/>
            <w:tcBorders>
              <w:top w:val="nil"/>
              <w:left w:val="nil"/>
              <w:bottom w:val="nil"/>
              <w:right w:val="nil"/>
            </w:tcBorders>
            <w:shd w:val="clear" w:color="auto" w:fill="auto"/>
            <w:vAlign w:val="center"/>
          </w:tcPr>
          <w:p w14:paraId="3175F753" w14:textId="77777777" w:rsidR="00612A4D" w:rsidRPr="00470F32" w:rsidRDefault="00612A4D" w:rsidP="0098422D">
            <w:pPr>
              <w:keepNext/>
              <w:keepLines/>
              <w:widowControl w:val="0"/>
              <w:pBdr>
                <w:top w:val="none" w:sz="0" w:space="0" w:color="auto"/>
                <w:left w:val="none" w:sz="0" w:space="0" w:color="auto"/>
                <w:bottom w:val="none" w:sz="0" w:space="0" w:color="auto"/>
                <w:right w:val="none" w:sz="0" w:space="0" w:color="auto"/>
                <w:between w:val="none" w:sz="0" w:space="0" w:color="auto"/>
                <w:bar w:val="none" w:sz="0" w:color="auto"/>
              </w:pBdr>
              <w:jc w:val="right"/>
              <w:outlineLvl w:val="9"/>
              <w:rPr>
                <w:rFonts w:eastAsia="Times New Roman"/>
                <w:sz w:val="16"/>
                <w:szCs w:val="16"/>
                <w:bdr w:val="none" w:sz="0" w:space="0" w:color="auto"/>
                <w:lang w:eastAsia="es-ES"/>
              </w:rPr>
            </w:pPr>
            <w:r w:rsidRPr="00470F32">
              <w:rPr>
                <w:sz w:val="16"/>
                <w:szCs w:val="16"/>
              </w:rPr>
              <w:t xml:space="preserve"> -</w:t>
            </w:r>
          </w:p>
        </w:tc>
        <w:tc>
          <w:tcPr>
            <w:tcW w:w="1281" w:type="dxa"/>
            <w:tcBorders>
              <w:top w:val="nil"/>
              <w:left w:val="nil"/>
              <w:bottom w:val="nil"/>
              <w:right w:val="nil"/>
            </w:tcBorders>
            <w:shd w:val="clear" w:color="auto" w:fill="auto"/>
            <w:vAlign w:val="center"/>
          </w:tcPr>
          <w:p w14:paraId="159DEF31" w14:textId="77777777" w:rsidR="00612A4D" w:rsidRPr="00470F32" w:rsidRDefault="00612A4D" w:rsidP="0098422D">
            <w:pPr>
              <w:keepNext/>
              <w:keepLines/>
              <w:widowControl w:val="0"/>
              <w:pBdr>
                <w:top w:val="none" w:sz="0" w:space="0" w:color="auto"/>
                <w:left w:val="none" w:sz="0" w:space="0" w:color="auto"/>
                <w:bottom w:val="none" w:sz="0" w:space="0" w:color="auto"/>
                <w:right w:val="none" w:sz="0" w:space="0" w:color="auto"/>
                <w:between w:val="none" w:sz="0" w:space="0" w:color="auto"/>
                <w:bar w:val="none" w:sz="0" w:color="auto"/>
              </w:pBdr>
              <w:jc w:val="right"/>
              <w:outlineLvl w:val="9"/>
              <w:rPr>
                <w:rFonts w:eastAsia="Times New Roman"/>
                <w:sz w:val="16"/>
                <w:szCs w:val="16"/>
                <w:bdr w:val="none" w:sz="0" w:space="0" w:color="auto"/>
                <w:lang w:eastAsia="es-ES"/>
              </w:rPr>
            </w:pPr>
            <w:r w:rsidRPr="00470F32">
              <w:rPr>
                <w:sz w:val="16"/>
                <w:szCs w:val="16"/>
              </w:rPr>
              <w:t>439.024,59</w:t>
            </w:r>
          </w:p>
        </w:tc>
      </w:tr>
      <w:tr w:rsidR="00612A4D" w:rsidRPr="007E7835" w14:paraId="27571801" w14:textId="77777777" w:rsidTr="00B1370C">
        <w:trPr>
          <w:trHeight w:val="283"/>
        </w:trPr>
        <w:tc>
          <w:tcPr>
            <w:tcW w:w="2436" w:type="dxa"/>
            <w:tcBorders>
              <w:top w:val="nil"/>
              <w:left w:val="nil"/>
              <w:bottom w:val="nil"/>
              <w:right w:val="nil"/>
            </w:tcBorders>
            <w:shd w:val="clear" w:color="auto" w:fill="auto"/>
            <w:vAlign w:val="center"/>
            <w:hideMark/>
          </w:tcPr>
          <w:p w14:paraId="4E0DA01F" w14:textId="77777777" w:rsidR="00612A4D" w:rsidRPr="007E7835" w:rsidRDefault="00612A4D" w:rsidP="0098422D">
            <w:pPr>
              <w:keepNext/>
              <w:keepLines/>
              <w:widowControl w:val="0"/>
              <w:pBdr>
                <w:top w:val="none" w:sz="0" w:space="0" w:color="auto"/>
                <w:left w:val="none" w:sz="0" w:space="0" w:color="auto"/>
                <w:bottom w:val="none" w:sz="0" w:space="0" w:color="auto"/>
                <w:right w:val="none" w:sz="0" w:space="0" w:color="auto"/>
                <w:between w:val="none" w:sz="0" w:space="0" w:color="auto"/>
                <w:bar w:val="none" w:sz="0" w:color="auto"/>
              </w:pBdr>
              <w:outlineLvl w:val="9"/>
              <w:rPr>
                <w:rFonts w:eastAsia="Times New Roman"/>
                <w:sz w:val="16"/>
                <w:szCs w:val="16"/>
                <w:bdr w:val="none" w:sz="0" w:space="0" w:color="auto"/>
                <w:lang w:eastAsia="es-ES"/>
              </w:rPr>
            </w:pPr>
            <w:r w:rsidRPr="007E7835">
              <w:rPr>
                <w:rFonts w:eastAsia="Times New Roman"/>
                <w:sz w:val="16"/>
                <w:szCs w:val="16"/>
                <w:bdr w:val="none" w:sz="0" w:space="0" w:color="auto"/>
                <w:lang w:eastAsia="es-ES"/>
              </w:rPr>
              <w:t>Instalaciones técnicas</w:t>
            </w:r>
          </w:p>
        </w:tc>
        <w:tc>
          <w:tcPr>
            <w:tcW w:w="1279" w:type="dxa"/>
            <w:tcBorders>
              <w:top w:val="nil"/>
              <w:left w:val="nil"/>
              <w:bottom w:val="nil"/>
              <w:right w:val="nil"/>
            </w:tcBorders>
            <w:shd w:val="clear" w:color="auto" w:fill="auto"/>
            <w:vAlign w:val="center"/>
          </w:tcPr>
          <w:p w14:paraId="7BC4998D" w14:textId="77777777" w:rsidR="00612A4D" w:rsidRPr="00470F32" w:rsidRDefault="00612A4D" w:rsidP="0098422D">
            <w:pPr>
              <w:keepNext/>
              <w:keepLines/>
              <w:widowControl w:val="0"/>
              <w:pBdr>
                <w:top w:val="none" w:sz="0" w:space="0" w:color="auto"/>
                <w:left w:val="none" w:sz="0" w:space="0" w:color="auto"/>
                <w:bottom w:val="none" w:sz="0" w:space="0" w:color="auto"/>
                <w:right w:val="none" w:sz="0" w:space="0" w:color="auto"/>
                <w:between w:val="none" w:sz="0" w:space="0" w:color="auto"/>
                <w:bar w:val="none" w:sz="0" w:color="auto"/>
              </w:pBdr>
              <w:jc w:val="right"/>
              <w:outlineLvl w:val="9"/>
              <w:rPr>
                <w:rFonts w:eastAsia="Times New Roman"/>
                <w:sz w:val="16"/>
                <w:szCs w:val="16"/>
                <w:bdr w:val="none" w:sz="0" w:space="0" w:color="auto"/>
                <w:lang w:eastAsia="es-ES"/>
              </w:rPr>
            </w:pPr>
            <w:r w:rsidRPr="00470F32">
              <w:rPr>
                <w:sz w:val="16"/>
                <w:szCs w:val="16"/>
              </w:rPr>
              <w:t>31.551,32</w:t>
            </w:r>
          </w:p>
        </w:tc>
        <w:tc>
          <w:tcPr>
            <w:tcW w:w="1246" w:type="dxa"/>
            <w:tcBorders>
              <w:top w:val="nil"/>
              <w:left w:val="nil"/>
              <w:bottom w:val="nil"/>
              <w:right w:val="nil"/>
            </w:tcBorders>
            <w:shd w:val="clear" w:color="auto" w:fill="auto"/>
            <w:vAlign w:val="center"/>
          </w:tcPr>
          <w:p w14:paraId="4043C3B0" w14:textId="77777777" w:rsidR="00612A4D" w:rsidRPr="00470F32" w:rsidRDefault="00612A4D" w:rsidP="0098422D">
            <w:pPr>
              <w:keepNext/>
              <w:keepLines/>
              <w:widowControl w:val="0"/>
              <w:pBdr>
                <w:top w:val="none" w:sz="0" w:space="0" w:color="auto"/>
                <w:left w:val="none" w:sz="0" w:space="0" w:color="auto"/>
                <w:bottom w:val="none" w:sz="0" w:space="0" w:color="auto"/>
                <w:right w:val="none" w:sz="0" w:space="0" w:color="auto"/>
                <w:between w:val="none" w:sz="0" w:space="0" w:color="auto"/>
                <w:bar w:val="none" w:sz="0" w:color="auto"/>
              </w:pBdr>
              <w:jc w:val="right"/>
              <w:outlineLvl w:val="9"/>
              <w:rPr>
                <w:rFonts w:eastAsia="Times New Roman"/>
                <w:sz w:val="16"/>
                <w:szCs w:val="16"/>
                <w:bdr w:val="none" w:sz="0" w:space="0" w:color="auto"/>
                <w:lang w:eastAsia="es-ES"/>
              </w:rPr>
            </w:pPr>
            <w:r>
              <w:rPr>
                <w:rFonts w:eastAsia="Times New Roman"/>
                <w:sz w:val="16"/>
                <w:szCs w:val="16"/>
                <w:bdr w:val="none" w:sz="0" w:space="0" w:color="auto"/>
                <w:lang w:eastAsia="es-ES"/>
              </w:rPr>
              <w:t>-</w:t>
            </w:r>
          </w:p>
        </w:tc>
        <w:tc>
          <w:tcPr>
            <w:tcW w:w="1237" w:type="dxa"/>
            <w:tcBorders>
              <w:top w:val="nil"/>
              <w:left w:val="nil"/>
              <w:bottom w:val="nil"/>
              <w:right w:val="nil"/>
            </w:tcBorders>
            <w:shd w:val="clear" w:color="auto" w:fill="auto"/>
            <w:vAlign w:val="center"/>
          </w:tcPr>
          <w:p w14:paraId="02B70E62" w14:textId="77777777" w:rsidR="00612A4D" w:rsidRPr="00470F32" w:rsidRDefault="00612A4D" w:rsidP="0098422D">
            <w:pPr>
              <w:keepNext/>
              <w:keepLines/>
              <w:widowControl w:val="0"/>
              <w:pBdr>
                <w:top w:val="none" w:sz="0" w:space="0" w:color="auto"/>
                <w:left w:val="none" w:sz="0" w:space="0" w:color="auto"/>
                <w:bottom w:val="none" w:sz="0" w:space="0" w:color="auto"/>
                <w:right w:val="none" w:sz="0" w:space="0" w:color="auto"/>
                <w:between w:val="none" w:sz="0" w:space="0" w:color="auto"/>
                <w:bar w:val="none" w:sz="0" w:color="auto"/>
              </w:pBdr>
              <w:jc w:val="right"/>
              <w:outlineLvl w:val="9"/>
              <w:rPr>
                <w:rFonts w:eastAsia="Times New Roman"/>
                <w:sz w:val="16"/>
                <w:szCs w:val="16"/>
                <w:bdr w:val="none" w:sz="0" w:space="0" w:color="auto"/>
                <w:lang w:eastAsia="es-ES"/>
              </w:rPr>
            </w:pPr>
            <w:r w:rsidRPr="00470F32">
              <w:rPr>
                <w:sz w:val="16"/>
                <w:szCs w:val="16"/>
              </w:rPr>
              <w:t xml:space="preserve"> -</w:t>
            </w:r>
          </w:p>
        </w:tc>
        <w:tc>
          <w:tcPr>
            <w:tcW w:w="1243" w:type="dxa"/>
            <w:tcBorders>
              <w:top w:val="nil"/>
              <w:left w:val="nil"/>
              <w:bottom w:val="nil"/>
              <w:right w:val="nil"/>
            </w:tcBorders>
            <w:shd w:val="clear" w:color="auto" w:fill="auto"/>
            <w:vAlign w:val="center"/>
          </w:tcPr>
          <w:p w14:paraId="43AF781A" w14:textId="77777777" w:rsidR="00612A4D" w:rsidRPr="00470F32" w:rsidRDefault="00612A4D" w:rsidP="0098422D">
            <w:pPr>
              <w:keepNext/>
              <w:keepLines/>
              <w:widowControl w:val="0"/>
              <w:pBdr>
                <w:top w:val="none" w:sz="0" w:space="0" w:color="auto"/>
                <w:left w:val="none" w:sz="0" w:space="0" w:color="auto"/>
                <w:bottom w:val="none" w:sz="0" w:space="0" w:color="auto"/>
                <w:right w:val="none" w:sz="0" w:space="0" w:color="auto"/>
                <w:between w:val="none" w:sz="0" w:space="0" w:color="auto"/>
                <w:bar w:val="none" w:sz="0" w:color="auto"/>
              </w:pBdr>
              <w:jc w:val="right"/>
              <w:outlineLvl w:val="9"/>
              <w:rPr>
                <w:rFonts w:eastAsia="Times New Roman"/>
                <w:sz w:val="16"/>
                <w:szCs w:val="16"/>
                <w:bdr w:val="none" w:sz="0" w:space="0" w:color="auto"/>
                <w:lang w:eastAsia="es-ES"/>
              </w:rPr>
            </w:pPr>
            <w:r w:rsidRPr="00470F32">
              <w:rPr>
                <w:sz w:val="16"/>
                <w:szCs w:val="16"/>
              </w:rPr>
              <w:t xml:space="preserve"> -</w:t>
            </w:r>
          </w:p>
        </w:tc>
        <w:tc>
          <w:tcPr>
            <w:tcW w:w="1281" w:type="dxa"/>
            <w:tcBorders>
              <w:top w:val="nil"/>
              <w:left w:val="nil"/>
              <w:bottom w:val="nil"/>
              <w:right w:val="nil"/>
            </w:tcBorders>
            <w:shd w:val="clear" w:color="auto" w:fill="auto"/>
            <w:vAlign w:val="center"/>
          </w:tcPr>
          <w:p w14:paraId="3D9F679F" w14:textId="77777777" w:rsidR="00612A4D" w:rsidRPr="00470F32" w:rsidRDefault="00612A4D" w:rsidP="0098422D">
            <w:pPr>
              <w:keepNext/>
              <w:keepLines/>
              <w:widowControl w:val="0"/>
              <w:pBdr>
                <w:top w:val="none" w:sz="0" w:space="0" w:color="auto"/>
                <w:left w:val="none" w:sz="0" w:space="0" w:color="auto"/>
                <w:bottom w:val="none" w:sz="0" w:space="0" w:color="auto"/>
                <w:right w:val="none" w:sz="0" w:space="0" w:color="auto"/>
                <w:between w:val="none" w:sz="0" w:space="0" w:color="auto"/>
                <w:bar w:val="none" w:sz="0" w:color="auto"/>
              </w:pBdr>
              <w:jc w:val="right"/>
              <w:outlineLvl w:val="9"/>
              <w:rPr>
                <w:rFonts w:eastAsia="Times New Roman"/>
                <w:sz w:val="16"/>
                <w:szCs w:val="16"/>
                <w:bdr w:val="none" w:sz="0" w:space="0" w:color="auto"/>
                <w:lang w:eastAsia="es-ES"/>
              </w:rPr>
            </w:pPr>
            <w:r w:rsidRPr="00470F32">
              <w:rPr>
                <w:sz w:val="16"/>
                <w:szCs w:val="16"/>
              </w:rPr>
              <w:t>31.551,32</w:t>
            </w:r>
          </w:p>
        </w:tc>
      </w:tr>
      <w:tr w:rsidR="00612A4D" w:rsidRPr="007E7835" w14:paraId="132F50A8" w14:textId="77777777" w:rsidTr="00B1370C">
        <w:trPr>
          <w:trHeight w:val="283"/>
        </w:trPr>
        <w:tc>
          <w:tcPr>
            <w:tcW w:w="2436" w:type="dxa"/>
            <w:tcBorders>
              <w:top w:val="nil"/>
              <w:left w:val="nil"/>
              <w:bottom w:val="nil"/>
              <w:right w:val="nil"/>
            </w:tcBorders>
            <w:shd w:val="clear" w:color="auto" w:fill="auto"/>
            <w:vAlign w:val="center"/>
            <w:hideMark/>
          </w:tcPr>
          <w:p w14:paraId="53409EA7" w14:textId="77777777" w:rsidR="00612A4D" w:rsidRPr="007E7835" w:rsidRDefault="00612A4D" w:rsidP="0098422D">
            <w:pPr>
              <w:keepNext/>
              <w:keepLines/>
              <w:widowControl w:val="0"/>
              <w:pBdr>
                <w:top w:val="none" w:sz="0" w:space="0" w:color="auto"/>
                <w:left w:val="none" w:sz="0" w:space="0" w:color="auto"/>
                <w:bottom w:val="none" w:sz="0" w:space="0" w:color="auto"/>
                <w:right w:val="none" w:sz="0" w:space="0" w:color="auto"/>
                <w:between w:val="none" w:sz="0" w:space="0" w:color="auto"/>
                <w:bar w:val="none" w:sz="0" w:color="auto"/>
              </w:pBdr>
              <w:outlineLvl w:val="9"/>
              <w:rPr>
                <w:rFonts w:eastAsia="Times New Roman"/>
                <w:sz w:val="16"/>
                <w:szCs w:val="16"/>
                <w:bdr w:val="none" w:sz="0" w:space="0" w:color="auto"/>
                <w:lang w:eastAsia="es-ES"/>
              </w:rPr>
            </w:pPr>
            <w:r w:rsidRPr="007E7835">
              <w:rPr>
                <w:rFonts w:eastAsia="Times New Roman"/>
                <w:sz w:val="16"/>
                <w:szCs w:val="16"/>
                <w:bdr w:val="none" w:sz="0" w:space="0" w:color="auto"/>
                <w:lang w:eastAsia="es-ES"/>
              </w:rPr>
              <w:t>Mobiliario</w:t>
            </w:r>
          </w:p>
        </w:tc>
        <w:tc>
          <w:tcPr>
            <w:tcW w:w="1279" w:type="dxa"/>
            <w:tcBorders>
              <w:top w:val="nil"/>
              <w:left w:val="nil"/>
              <w:bottom w:val="nil"/>
              <w:right w:val="nil"/>
            </w:tcBorders>
            <w:shd w:val="clear" w:color="auto" w:fill="auto"/>
            <w:vAlign w:val="center"/>
          </w:tcPr>
          <w:p w14:paraId="711340A9" w14:textId="77777777" w:rsidR="00612A4D" w:rsidRPr="00470F32" w:rsidRDefault="00612A4D" w:rsidP="0098422D">
            <w:pPr>
              <w:keepNext/>
              <w:keepLines/>
              <w:widowControl w:val="0"/>
              <w:pBdr>
                <w:top w:val="none" w:sz="0" w:space="0" w:color="auto"/>
                <w:left w:val="none" w:sz="0" w:space="0" w:color="auto"/>
                <w:bottom w:val="none" w:sz="0" w:space="0" w:color="auto"/>
                <w:right w:val="none" w:sz="0" w:space="0" w:color="auto"/>
                <w:between w:val="none" w:sz="0" w:space="0" w:color="auto"/>
                <w:bar w:val="none" w:sz="0" w:color="auto"/>
              </w:pBdr>
              <w:jc w:val="right"/>
              <w:outlineLvl w:val="9"/>
              <w:rPr>
                <w:rFonts w:eastAsia="Times New Roman"/>
                <w:sz w:val="16"/>
                <w:szCs w:val="16"/>
                <w:bdr w:val="none" w:sz="0" w:space="0" w:color="auto"/>
                <w:lang w:eastAsia="es-ES"/>
              </w:rPr>
            </w:pPr>
            <w:r w:rsidRPr="00470F32">
              <w:rPr>
                <w:sz w:val="16"/>
                <w:szCs w:val="16"/>
              </w:rPr>
              <w:t>444.642,01</w:t>
            </w:r>
          </w:p>
        </w:tc>
        <w:tc>
          <w:tcPr>
            <w:tcW w:w="1246" w:type="dxa"/>
            <w:tcBorders>
              <w:top w:val="nil"/>
              <w:left w:val="nil"/>
              <w:bottom w:val="nil"/>
              <w:right w:val="nil"/>
            </w:tcBorders>
            <w:shd w:val="clear" w:color="auto" w:fill="auto"/>
            <w:vAlign w:val="center"/>
          </w:tcPr>
          <w:p w14:paraId="0AA484FD" w14:textId="77777777" w:rsidR="00612A4D" w:rsidRPr="00470F32" w:rsidRDefault="00612A4D" w:rsidP="0098422D">
            <w:pPr>
              <w:keepNext/>
              <w:keepLines/>
              <w:widowControl w:val="0"/>
              <w:pBdr>
                <w:top w:val="none" w:sz="0" w:space="0" w:color="auto"/>
                <w:left w:val="none" w:sz="0" w:space="0" w:color="auto"/>
                <w:bottom w:val="none" w:sz="0" w:space="0" w:color="auto"/>
                <w:right w:val="none" w:sz="0" w:space="0" w:color="auto"/>
                <w:between w:val="none" w:sz="0" w:space="0" w:color="auto"/>
                <w:bar w:val="none" w:sz="0" w:color="auto"/>
              </w:pBdr>
              <w:jc w:val="right"/>
              <w:outlineLvl w:val="9"/>
              <w:rPr>
                <w:rFonts w:eastAsia="Times New Roman"/>
                <w:sz w:val="16"/>
                <w:szCs w:val="16"/>
                <w:bdr w:val="none" w:sz="0" w:space="0" w:color="auto"/>
                <w:lang w:eastAsia="es-ES"/>
              </w:rPr>
            </w:pPr>
            <w:r w:rsidRPr="00470F32">
              <w:rPr>
                <w:sz w:val="16"/>
                <w:szCs w:val="16"/>
              </w:rPr>
              <w:t>3.659,84</w:t>
            </w:r>
          </w:p>
        </w:tc>
        <w:tc>
          <w:tcPr>
            <w:tcW w:w="1237" w:type="dxa"/>
            <w:tcBorders>
              <w:top w:val="nil"/>
              <w:left w:val="nil"/>
              <w:bottom w:val="nil"/>
              <w:right w:val="nil"/>
            </w:tcBorders>
            <w:shd w:val="clear" w:color="auto" w:fill="auto"/>
            <w:vAlign w:val="center"/>
          </w:tcPr>
          <w:p w14:paraId="648E9F78" w14:textId="77777777" w:rsidR="00612A4D" w:rsidRPr="00470F32" w:rsidRDefault="00612A4D" w:rsidP="0098422D">
            <w:pPr>
              <w:keepNext/>
              <w:keepLines/>
              <w:widowControl w:val="0"/>
              <w:pBdr>
                <w:top w:val="none" w:sz="0" w:space="0" w:color="auto"/>
                <w:left w:val="none" w:sz="0" w:space="0" w:color="auto"/>
                <w:bottom w:val="none" w:sz="0" w:space="0" w:color="auto"/>
                <w:right w:val="none" w:sz="0" w:space="0" w:color="auto"/>
                <w:between w:val="none" w:sz="0" w:space="0" w:color="auto"/>
                <w:bar w:val="none" w:sz="0" w:color="auto"/>
              </w:pBdr>
              <w:jc w:val="right"/>
              <w:outlineLvl w:val="9"/>
              <w:rPr>
                <w:rFonts w:eastAsia="Times New Roman"/>
                <w:sz w:val="16"/>
                <w:szCs w:val="16"/>
                <w:bdr w:val="none" w:sz="0" w:space="0" w:color="auto"/>
                <w:lang w:eastAsia="es-ES"/>
              </w:rPr>
            </w:pPr>
            <w:r w:rsidRPr="00470F32">
              <w:rPr>
                <w:sz w:val="16"/>
                <w:szCs w:val="16"/>
              </w:rPr>
              <w:t xml:space="preserve"> -</w:t>
            </w:r>
          </w:p>
        </w:tc>
        <w:tc>
          <w:tcPr>
            <w:tcW w:w="1243" w:type="dxa"/>
            <w:tcBorders>
              <w:top w:val="nil"/>
              <w:left w:val="nil"/>
              <w:bottom w:val="nil"/>
              <w:right w:val="nil"/>
            </w:tcBorders>
            <w:shd w:val="clear" w:color="auto" w:fill="auto"/>
            <w:vAlign w:val="center"/>
          </w:tcPr>
          <w:p w14:paraId="4E88BC53" w14:textId="77777777" w:rsidR="00612A4D" w:rsidRPr="00470F32" w:rsidRDefault="00612A4D" w:rsidP="0098422D">
            <w:pPr>
              <w:keepNext/>
              <w:keepLines/>
              <w:widowControl w:val="0"/>
              <w:pBdr>
                <w:top w:val="none" w:sz="0" w:space="0" w:color="auto"/>
                <w:left w:val="none" w:sz="0" w:space="0" w:color="auto"/>
                <w:bottom w:val="none" w:sz="0" w:space="0" w:color="auto"/>
                <w:right w:val="none" w:sz="0" w:space="0" w:color="auto"/>
                <w:between w:val="none" w:sz="0" w:space="0" w:color="auto"/>
                <w:bar w:val="none" w:sz="0" w:color="auto"/>
              </w:pBdr>
              <w:jc w:val="right"/>
              <w:outlineLvl w:val="9"/>
              <w:rPr>
                <w:rFonts w:eastAsia="Times New Roman"/>
                <w:sz w:val="16"/>
                <w:szCs w:val="16"/>
                <w:bdr w:val="none" w:sz="0" w:space="0" w:color="auto"/>
                <w:lang w:eastAsia="es-ES"/>
              </w:rPr>
            </w:pPr>
            <w:r w:rsidRPr="00470F32">
              <w:rPr>
                <w:sz w:val="16"/>
                <w:szCs w:val="16"/>
              </w:rPr>
              <w:t xml:space="preserve"> -</w:t>
            </w:r>
          </w:p>
        </w:tc>
        <w:tc>
          <w:tcPr>
            <w:tcW w:w="1281" w:type="dxa"/>
            <w:tcBorders>
              <w:top w:val="nil"/>
              <w:left w:val="nil"/>
              <w:bottom w:val="nil"/>
              <w:right w:val="nil"/>
            </w:tcBorders>
            <w:shd w:val="clear" w:color="auto" w:fill="auto"/>
            <w:vAlign w:val="center"/>
          </w:tcPr>
          <w:p w14:paraId="6EAD8E0C" w14:textId="77777777" w:rsidR="00612A4D" w:rsidRPr="00470F32" w:rsidRDefault="00612A4D" w:rsidP="0098422D">
            <w:pPr>
              <w:keepNext/>
              <w:keepLines/>
              <w:widowControl w:val="0"/>
              <w:pBdr>
                <w:top w:val="none" w:sz="0" w:space="0" w:color="auto"/>
                <w:left w:val="none" w:sz="0" w:space="0" w:color="auto"/>
                <w:bottom w:val="none" w:sz="0" w:space="0" w:color="auto"/>
                <w:right w:val="none" w:sz="0" w:space="0" w:color="auto"/>
                <w:between w:val="none" w:sz="0" w:space="0" w:color="auto"/>
                <w:bar w:val="none" w:sz="0" w:color="auto"/>
              </w:pBdr>
              <w:jc w:val="right"/>
              <w:outlineLvl w:val="9"/>
              <w:rPr>
                <w:rFonts w:eastAsia="Times New Roman"/>
                <w:sz w:val="16"/>
                <w:szCs w:val="16"/>
                <w:bdr w:val="none" w:sz="0" w:space="0" w:color="auto"/>
                <w:lang w:eastAsia="es-ES"/>
              </w:rPr>
            </w:pPr>
            <w:r w:rsidRPr="00470F32">
              <w:rPr>
                <w:sz w:val="16"/>
                <w:szCs w:val="16"/>
              </w:rPr>
              <w:t>448.301,85</w:t>
            </w:r>
          </w:p>
        </w:tc>
      </w:tr>
      <w:tr w:rsidR="00612A4D" w:rsidRPr="007E7835" w14:paraId="509B4299" w14:textId="77777777" w:rsidTr="00B1370C">
        <w:trPr>
          <w:trHeight w:val="283"/>
        </w:trPr>
        <w:tc>
          <w:tcPr>
            <w:tcW w:w="2436" w:type="dxa"/>
            <w:tcBorders>
              <w:top w:val="nil"/>
              <w:left w:val="nil"/>
              <w:bottom w:val="nil"/>
              <w:right w:val="nil"/>
            </w:tcBorders>
            <w:shd w:val="clear" w:color="auto" w:fill="auto"/>
            <w:vAlign w:val="center"/>
            <w:hideMark/>
          </w:tcPr>
          <w:p w14:paraId="1935FEE5" w14:textId="77777777" w:rsidR="00612A4D" w:rsidRPr="007E7835" w:rsidRDefault="00612A4D" w:rsidP="0098422D">
            <w:pPr>
              <w:keepNext/>
              <w:keepLines/>
              <w:widowControl w:val="0"/>
              <w:pBdr>
                <w:top w:val="none" w:sz="0" w:space="0" w:color="auto"/>
                <w:left w:val="none" w:sz="0" w:space="0" w:color="auto"/>
                <w:bottom w:val="none" w:sz="0" w:space="0" w:color="auto"/>
                <w:right w:val="none" w:sz="0" w:space="0" w:color="auto"/>
                <w:between w:val="none" w:sz="0" w:space="0" w:color="auto"/>
                <w:bar w:val="none" w:sz="0" w:color="auto"/>
              </w:pBdr>
              <w:outlineLvl w:val="9"/>
              <w:rPr>
                <w:rFonts w:eastAsia="Times New Roman"/>
                <w:sz w:val="16"/>
                <w:szCs w:val="16"/>
                <w:bdr w:val="none" w:sz="0" w:space="0" w:color="auto"/>
                <w:lang w:eastAsia="es-ES"/>
              </w:rPr>
            </w:pPr>
            <w:r w:rsidRPr="007E7835">
              <w:rPr>
                <w:rFonts w:eastAsia="Times New Roman"/>
                <w:sz w:val="16"/>
                <w:szCs w:val="16"/>
                <w:bdr w:val="none" w:sz="0" w:space="0" w:color="auto"/>
                <w:lang w:eastAsia="es-ES"/>
              </w:rPr>
              <w:t>Otro inmovilizado</w:t>
            </w:r>
          </w:p>
        </w:tc>
        <w:tc>
          <w:tcPr>
            <w:tcW w:w="1279" w:type="dxa"/>
            <w:tcBorders>
              <w:top w:val="nil"/>
              <w:left w:val="nil"/>
              <w:bottom w:val="nil"/>
              <w:right w:val="nil"/>
            </w:tcBorders>
            <w:shd w:val="clear" w:color="auto" w:fill="auto"/>
            <w:vAlign w:val="center"/>
          </w:tcPr>
          <w:p w14:paraId="47806411" w14:textId="77777777" w:rsidR="00612A4D" w:rsidRPr="00470F32" w:rsidRDefault="00612A4D" w:rsidP="0098422D">
            <w:pPr>
              <w:keepNext/>
              <w:keepLines/>
              <w:widowControl w:val="0"/>
              <w:pBdr>
                <w:top w:val="none" w:sz="0" w:space="0" w:color="auto"/>
                <w:left w:val="none" w:sz="0" w:space="0" w:color="auto"/>
                <w:bottom w:val="none" w:sz="0" w:space="0" w:color="auto"/>
                <w:right w:val="none" w:sz="0" w:space="0" w:color="auto"/>
                <w:between w:val="none" w:sz="0" w:space="0" w:color="auto"/>
                <w:bar w:val="none" w:sz="0" w:color="auto"/>
              </w:pBdr>
              <w:jc w:val="right"/>
              <w:outlineLvl w:val="9"/>
              <w:rPr>
                <w:rFonts w:eastAsia="Times New Roman"/>
                <w:sz w:val="16"/>
                <w:szCs w:val="16"/>
                <w:bdr w:val="none" w:sz="0" w:space="0" w:color="auto"/>
                <w:lang w:eastAsia="es-ES"/>
              </w:rPr>
            </w:pPr>
            <w:r w:rsidRPr="00470F32">
              <w:rPr>
                <w:sz w:val="16"/>
                <w:szCs w:val="16"/>
              </w:rPr>
              <w:t>366.438,39</w:t>
            </w:r>
          </w:p>
        </w:tc>
        <w:tc>
          <w:tcPr>
            <w:tcW w:w="1246" w:type="dxa"/>
            <w:tcBorders>
              <w:top w:val="nil"/>
              <w:left w:val="nil"/>
              <w:bottom w:val="nil"/>
              <w:right w:val="nil"/>
            </w:tcBorders>
            <w:shd w:val="clear" w:color="auto" w:fill="auto"/>
            <w:vAlign w:val="center"/>
          </w:tcPr>
          <w:p w14:paraId="238BC7F4" w14:textId="77777777" w:rsidR="00612A4D" w:rsidRPr="00470F32" w:rsidRDefault="00612A4D" w:rsidP="0098422D">
            <w:pPr>
              <w:keepNext/>
              <w:keepLines/>
              <w:widowControl w:val="0"/>
              <w:pBdr>
                <w:top w:val="none" w:sz="0" w:space="0" w:color="auto"/>
                <w:left w:val="none" w:sz="0" w:space="0" w:color="auto"/>
                <w:bottom w:val="none" w:sz="0" w:space="0" w:color="auto"/>
                <w:right w:val="none" w:sz="0" w:space="0" w:color="auto"/>
                <w:between w:val="none" w:sz="0" w:space="0" w:color="auto"/>
                <w:bar w:val="none" w:sz="0" w:color="auto"/>
              </w:pBdr>
              <w:jc w:val="right"/>
              <w:outlineLvl w:val="9"/>
              <w:rPr>
                <w:rFonts w:eastAsia="Times New Roman"/>
                <w:sz w:val="16"/>
                <w:szCs w:val="16"/>
                <w:bdr w:val="none" w:sz="0" w:space="0" w:color="auto"/>
                <w:lang w:eastAsia="es-ES"/>
              </w:rPr>
            </w:pPr>
            <w:r w:rsidRPr="00470F32">
              <w:rPr>
                <w:sz w:val="16"/>
                <w:szCs w:val="16"/>
              </w:rPr>
              <w:t>2.347,50</w:t>
            </w:r>
          </w:p>
        </w:tc>
        <w:tc>
          <w:tcPr>
            <w:tcW w:w="1237" w:type="dxa"/>
            <w:tcBorders>
              <w:top w:val="nil"/>
              <w:left w:val="nil"/>
              <w:bottom w:val="nil"/>
              <w:right w:val="nil"/>
            </w:tcBorders>
            <w:shd w:val="clear" w:color="auto" w:fill="auto"/>
            <w:vAlign w:val="center"/>
          </w:tcPr>
          <w:p w14:paraId="4482A512" w14:textId="77777777" w:rsidR="00612A4D" w:rsidRPr="00470F32" w:rsidRDefault="00612A4D" w:rsidP="0098422D">
            <w:pPr>
              <w:pBdr>
                <w:top w:val="none" w:sz="0" w:space="0" w:color="auto"/>
                <w:left w:val="none" w:sz="0" w:space="0" w:color="auto"/>
                <w:bottom w:val="none" w:sz="0" w:space="0" w:color="auto"/>
                <w:right w:val="none" w:sz="0" w:space="0" w:color="auto"/>
                <w:between w:val="none" w:sz="0" w:space="0" w:color="auto"/>
                <w:bar w:val="none" w:sz="0" w:color="auto"/>
              </w:pBdr>
              <w:jc w:val="right"/>
              <w:outlineLvl w:val="9"/>
              <w:rPr>
                <w:rFonts w:eastAsia="Times New Roman"/>
                <w:sz w:val="16"/>
                <w:szCs w:val="16"/>
                <w:bdr w:val="none" w:sz="0" w:space="0" w:color="auto"/>
                <w:lang w:eastAsia="es-ES"/>
              </w:rPr>
            </w:pPr>
            <w:r w:rsidRPr="00470F32">
              <w:rPr>
                <w:sz w:val="16"/>
                <w:szCs w:val="16"/>
              </w:rPr>
              <w:t>(1.019,25)</w:t>
            </w:r>
          </w:p>
        </w:tc>
        <w:tc>
          <w:tcPr>
            <w:tcW w:w="1243" w:type="dxa"/>
            <w:tcBorders>
              <w:top w:val="nil"/>
              <w:left w:val="nil"/>
              <w:bottom w:val="nil"/>
              <w:right w:val="nil"/>
            </w:tcBorders>
            <w:shd w:val="clear" w:color="auto" w:fill="auto"/>
            <w:vAlign w:val="center"/>
          </w:tcPr>
          <w:p w14:paraId="63037DAD" w14:textId="77777777" w:rsidR="00612A4D" w:rsidRPr="00470F32" w:rsidRDefault="00612A4D" w:rsidP="0098422D">
            <w:pPr>
              <w:keepNext/>
              <w:keepLines/>
              <w:widowControl w:val="0"/>
              <w:pBdr>
                <w:top w:val="none" w:sz="0" w:space="0" w:color="auto"/>
                <w:left w:val="none" w:sz="0" w:space="0" w:color="auto"/>
                <w:bottom w:val="none" w:sz="0" w:space="0" w:color="auto"/>
                <w:right w:val="none" w:sz="0" w:space="0" w:color="auto"/>
                <w:between w:val="none" w:sz="0" w:space="0" w:color="auto"/>
                <w:bar w:val="none" w:sz="0" w:color="auto"/>
              </w:pBdr>
              <w:jc w:val="right"/>
              <w:outlineLvl w:val="9"/>
              <w:rPr>
                <w:rFonts w:eastAsia="Times New Roman"/>
                <w:sz w:val="16"/>
                <w:szCs w:val="16"/>
                <w:bdr w:val="none" w:sz="0" w:space="0" w:color="auto"/>
                <w:lang w:eastAsia="es-ES"/>
              </w:rPr>
            </w:pPr>
            <w:r w:rsidRPr="00470F32">
              <w:rPr>
                <w:sz w:val="16"/>
                <w:szCs w:val="16"/>
              </w:rPr>
              <w:t xml:space="preserve"> -</w:t>
            </w:r>
          </w:p>
        </w:tc>
        <w:tc>
          <w:tcPr>
            <w:tcW w:w="1281" w:type="dxa"/>
            <w:tcBorders>
              <w:top w:val="nil"/>
              <w:left w:val="nil"/>
              <w:bottom w:val="nil"/>
              <w:right w:val="nil"/>
            </w:tcBorders>
            <w:shd w:val="clear" w:color="auto" w:fill="auto"/>
            <w:vAlign w:val="center"/>
          </w:tcPr>
          <w:p w14:paraId="17F94365" w14:textId="77777777" w:rsidR="00612A4D" w:rsidRPr="00470F32" w:rsidRDefault="00612A4D" w:rsidP="0098422D">
            <w:pPr>
              <w:keepNext/>
              <w:keepLines/>
              <w:widowControl w:val="0"/>
              <w:pBdr>
                <w:top w:val="none" w:sz="0" w:space="0" w:color="auto"/>
                <w:left w:val="none" w:sz="0" w:space="0" w:color="auto"/>
                <w:bottom w:val="none" w:sz="0" w:space="0" w:color="auto"/>
                <w:right w:val="none" w:sz="0" w:space="0" w:color="auto"/>
                <w:between w:val="none" w:sz="0" w:space="0" w:color="auto"/>
                <w:bar w:val="none" w:sz="0" w:color="auto"/>
              </w:pBdr>
              <w:jc w:val="right"/>
              <w:outlineLvl w:val="9"/>
              <w:rPr>
                <w:rFonts w:eastAsia="Times New Roman"/>
                <w:sz w:val="16"/>
                <w:szCs w:val="16"/>
                <w:bdr w:val="none" w:sz="0" w:space="0" w:color="auto"/>
                <w:lang w:eastAsia="es-ES"/>
              </w:rPr>
            </w:pPr>
            <w:r w:rsidRPr="00470F32">
              <w:rPr>
                <w:sz w:val="16"/>
                <w:szCs w:val="16"/>
              </w:rPr>
              <w:t>367.766,64</w:t>
            </w:r>
          </w:p>
        </w:tc>
      </w:tr>
      <w:tr w:rsidR="00612A4D" w:rsidRPr="007E7835" w14:paraId="378B7E83" w14:textId="77777777" w:rsidTr="00B1370C">
        <w:trPr>
          <w:trHeight w:val="283"/>
        </w:trPr>
        <w:tc>
          <w:tcPr>
            <w:tcW w:w="2436" w:type="dxa"/>
            <w:tcBorders>
              <w:top w:val="nil"/>
              <w:left w:val="nil"/>
              <w:bottom w:val="nil"/>
              <w:right w:val="nil"/>
            </w:tcBorders>
            <w:shd w:val="clear" w:color="auto" w:fill="auto"/>
            <w:vAlign w:val="center"/>
          </w:tcPr>
          <w:p w14:paraId="6F56B74E" w14:textId="77777777" w:rsidR="00612A4D" w:rsidRPr="007E7835" w:rsidRDefault="00612A4D" w:rsidP="0098422D">
            <w:pPr>
              <w:keepNext/>
              <w:keepLines/>
              <w:widowControl w:val="0"/>
              <w:pBdr>
                <w:top w:val="none" w:sz="0" w:space="0" w:color="auto"/>
                <w:left w:val="none" w:sz="0" w:space="0" w:color="auto"/>
                <w:bottom w:val="none" w:sz="0" w:space="0" w:color="auto"/>
                <w:right w:val="none" w:sz="0" w:space="0" w:color="auto"/>
                <w:between w:val="none" w:sz="0" w:space="0" w:color="auto"/>
                <w:bar w:val="none" w:sz="0" w:color="auto"/>
              </w:pBdr>
              <w:outlineLvl w:val="9"/>
              <w:rPr>
                <w:rFonts w:eastAsia="Times New Roman"/>
                <w:sz w:val="16"/>
                <w:szCs w:val="16"/>
                <w:bdr w:val="none" w:sz="0" w:space="0" w:color="auto"/>
                <w:lang w:eastAsia="es-ES"/>
              </w:rPr>
            </w:pPr>
            <w:r>
              <w:rPr>
                <w:rFonts w:eastAsia="Times New Roman"/>
                <w:sz w:val="16"/>
                <w:szCs w:val="16"/>
                <w:bdr w:val="none" w:sz="0" w:space="0" w:color="auto"/>
                <w:lang w:eastAsia="es-ES"/>
              </w:rPr>
              <w:t xml:space="preserve">Anticipos </w:t>
            </w:r>
            <w:proofErr w:type="spellStart"/>
            <w:r>
              <w:rPr>
                <w:rFonts w:eastAsia="Times New Roman"/>
                <w:sz w:val="16"/>
                <w:szCs w:val="16"/>
                <w:bdr w:val="none" w:sz="0" w:space="0" w:color="auto"/>
                <w:lang w:eastAsia="es-ES"/>
              </w:rPr>
              <w:t>inmov</w:t>
            </w:r>
            <w:proofErr w:type="spellEnd"/>
            <w:r>
              <w:rPr>
                <w:rFonts w:eastAsia="Times New Roman"/>
                <w:sz w:val="16"/>
                <w:szCs w:val="16"/>
                <w:bdr w:val="none" w:sz="0" w:space="0" w:color="auto"/>
                <w:lang w:eastAsia="es-ES"/>
              </w:rPr>
              <w:t xml:space="preserve"> materiales</w:t>
            </w:r>
          </w:p>
        </w:tc>
        <w:tc>
          <w:tcPr>
            <w:tcW w:w="1279" w:type="dxa"/>
            <w:tcBorders>
              <w:top w:val="nil"/>
              <w:left w:val="nil"/>
              <w:bottom w:val="nil"/>
              <w:right w:val="nil"/>
            </w:tcBorders>
            <w:shd w:val="clear" w:color="auto" w:fill="auto"/>
            <w:vAlign w:val="center"/>
          </w:tcPr>
          <w:p w14:paraId="6CC30F5D" w14:textId="77777777" w:rsidR="00612A4D" w:rsidRPr="00470F32" w:rsidRDefault="00612A4D" w:rsidP="0098422D">
            <w:pPr>
              <w:pBdr>
                <w:top w:val="none" w:sz="0" w:space="0" w:color="auto"/>
                <w:left w:val="none" w:sz="0" w:space="0" w:color="auto"/>
                <w:bottom w:val="none" w:sz="0" w:space="0" w:color="auto"/>
                <w:right w:val="none" w:sz="0" w:space="0" w:color="auto"/>
                <w:between w:val="none" w:sz="0" w:space="0" w:color="auto"/>
                <w:bar w:val="none" w:sz="0" w:color="auto"/>
              </w:pBdr>
              <w:jc w:val="right"/>
              <w:outlineLvl w:val="9"/>
              <w:rPr>
                <w:rFonts w:eastAsia="Times New Roman"/>
                <w:sz w:val="16"/>
                <w:szCs w:val="16"/>
                <w:bdr w:val="none" w:sz="0" w:space="0" w:color="auto"/>
                <w:lang w:eastAsia="es-ES"/>
              </w:rPr>
            </w:pPr>
            <w:r w:rsidRPr="00470F32">
              <w:rPr>
                <w:sz w:val="16"/>
                <w:szCs w:val="16"/>
              </w:rPr>
              <w:t>-</w:t>
            </w:r>
          </w:p>
        </w:tc>
        <w:tc>
          <w:tcPr>
            <w:tcW w:w="1246" w:type="dxa"/>
            <w:tcBorders>
              <w:top w:val="nil"/>
              <w:left w:val="nil"/>
              <w:bottom w:val="nil"/>
              <w:right w:val="nil"/>
            </w:tcBorders>
            <w:shd w:val="clear" w:color="auto" w:fill="auto"/>
            <w:vAlign w:val="center"/>
          </w:tcPr>
          <w:p w14:paraId="12314F82" w14:textId="77777777" w:rsidR="00612A4D" w:rsidRPr="00470F32" w:rsidRDefault="00612A4D" w:rsidP="0098422D">
            <w:pPr>
              <w:pBdr>
                <w:top w:val="none" w:sz="0" w:space="0" w:color="auto"/>
                <w:left w:val="none" w:sz="0" w:space="0" w:color="auto"/>
                <w:bottom w:val="none" w:sz="0" w:space="0" w:color="auto"/>
                <w:right w:val="none" w:sz="0" w:space="0" w:color="auto"/>
                <w:between w:val="none" w:sz="0" w:space="0" w:color="auto"/>
                <w:bar w:val="none" w:sz="0" w:color="auto"/>
              </w:pBdr>
              <w:jc w:val="right"/>
              <w:outlineLvl w:val="9"/>
              <w:rPr>
                <w:rFonts w:eastAsia="Times New Roman"/>
                <w:sz w:val="16"/>
                <w:szCs w:val="16"/>
                <w:bdr w:val="none" w:sz="0" w:space="0" w:color="auto"/>
                <w:lang w:eastAsia="es-ES"/>
              </w:rPr>
            </w:pPr>
            <w:r w:rsidRPr="00470F32">
              <w:rPr>
                <w:sz w:val="16"/>
                <w:szCs w:val="16"/>
              </w:rPr>
              <w:t>3.638,94</w:t>
            </w:r>
          </w:p>
        </w:tc>
        <w:tc>
          <w:tcPr>
            <w:tcW w:w="1237" w:type="dxa"/>
            <w:tcBorders>
              <w:top w:val="nil"/>
              <w:left w:val="nil"/>
              <w:bottom w:val="nil"/>
              <w:right w:val="nil"/>
            </w:tcBorders>
            <w:shd w:val="clear" w:color="auto" w:fill="auto"/>
            <w:vAlign w:val="center"/>
          </w:tcPr>
          <w:p w14:paraId="08C3F749" w14:textId="77777777" w:rsidR="00612A4D" w:rsidRPr="00470F32" w:rsidRDefault="00612A4D" w:rsidP="0098422D">
            <w:pPr>
              <w:keepNext/>
              <w:keepLines/>
              <w:widowControl w:val="0"/>
              <w:pBdr>
                <w:top w:val="none" w:sz="0" w:space="0" w:color="auto"/>
                <w:left w:val="none" w:sz="0" w:space="0" w:color="auto"/>
                <w:bottom w:val="none" w:sz="0" w:space="0" w:color="auto"/>
                <w:right w:val="none" w:sz="0" w:space="0" w:color="auto"/>
                <w:between w:val="none" w:sz="0" w:space="0" w:color="auto"/>
                <w:bar w:val="none" w:sz="0" w:color="auto"/>
              </w:pBdr>
              <w:jc w:val="right"/>
              <w:outlineLvl w:val="9"/>
              <w:rPr>
                <w:rFonts w:eastAsia="Times New Roman"/>
                <w:sz w:val="16"/>
                <w:szCs w:val="16"/>
                <w:bdr w:val="none" w:sz="0" w:space="0" w:color="auto"/>
                <w:lang w:eastAsia="es-ES"/>
              </w:rPr>
            </w:pPr>
            <w:r w:rsidRPr="00470F32">
              <w:rPr>
                <w:rFonts w:eastAsia="Times New Roman"/>
                <w:sz w:val="16"/>
                <w:szCs w:val="16"/>
                <w:bdr w:val="none" w:sz="0" w:space="0" w:color="auto"/>
                <w:lang w:eastAsia="es-ES"/>
              </w:rPr>
              <w:t>-</w:t>
            </w:r>
          </w:p>
        </w:tc>
        <w:tc>
          <w:tcPr>
            <w:tcW w:w="1243" w:type="dxa"/>
            <w:tcBorders>
              <w:top w:val="nil"/>
              <w:left w:val="nil"/>
              <w:bottom w:val="nil"/>
              <w:right w:val="nil"/>
            </w:tcBorders>
            <w:shd w:val="clear" w:color="auto" w:fill="auto"/>
            <w:vAlign w:val="center"/>
          </w:tcPr>
          <w:p w14:paraId="60F262D1" w14:textId="77777777" w:rsidR="00612A4D" w:rsidRPr="00470F32" w:rsidRDefault="00612A4D" w:rsidP="0098422D">
            <w:pPr>
              <w:keepNext/>
              <w:keepLines/>
              <w:widowControl w:val="0"/>
              <w:pBdr>
                <w:top w:val="none" w:sz="0" w:space="0" w:color="auto"/>
                <w:left w:val="none" w:sz="0" w:space="0" w:color="auto"/>
                <w:bottom w:val="none" w:sz="0" w:space="0" w:color="auto"/>
                <w:right w:val="none" w:sz="0" w:space="0" w:color="auto"/>
                <w:between w:val="none" w:sz="0" w:space="0" w:color="auto"/>
                <w:bar w:val="none" w:sz="0" w:color="auto"/>
              </w:pBdr>
              <w:jc w:val="right"/>
              <w:outlineLvl w:val="9"/>
              <w:rPr>
                <w:rFonts w:eastAsia="Times New Roman"/>
                <w:sz w:val="16"/>
                <w:szCs w:val="16"/>
                <w:bdr w:val="none" w:sz="0" w:space="0" w:color="auto"/>
                <w:lang w:eastAsia="es-ES"/>
              </w:rPr>
            </w:pPr>
            <w:r w:rsidRPr="00470F32">
              <w:rPr>
                <w:sz w:val="16"/>
                <w:szCs w:val="16"/>
              </w:rPr>
              <w:t xml:space="preserve"> -</w:t>
            </w:r>
          </w:p>
        </w:tc>
        <w:tc>
          <w:tcPr>
            <w:tcW w:w="1281" w:type="dxa"/>
            <w:tcBorders>
              <w:top w:val="nil"/>
              <w:left w:val="nil"/>
              <w:bottom w:val="nil"/>
              <w:right w:val="nil"/>
            </w:tcBorders>
            <w:shd w:val="clear" w:color="auto" w:fill="auto"/>
            <w:vAlign w:val="center"/>
          </w:tcPr>
          <w:p w14:paraId="4DC5C7B6" w14:textId="77777777" w:rsidR="00612A4D" w:rsidRPr="00470F32" w:rsidRDefault="00612A4D" w:rsidP="0098422D">
            <w:pPr>
              <w:pBdr>
                <w:top w:val="none" w:sz="0" w:space="0" w:color="auto"/>
                <w:left w:val="none" w:sz="0" w:space="0" w:color="auto"/>
                <w:bottom w:val="none" w:sz="0" w:space="0" w:color="auto"/>
                <w:right w:val="none" w:sz="0" w:space="0" w:color="auto"/>
                <w:between w:val="none" w:sz="0" w:space="0" w:color="auto"/>
                <w:bar w:val="none" w:sz="0" w:color="auto"/>
              </w:pBdr>
              <w:jc w:val="right"/>
              <w:outlineLvl w:val="9"/>
              <w:rPr>
                <w:rFonts w:eastAsia="Times New Roman"/>
                <w:sz w:val="16"/>
                <w:szCs w:val="16"/>
                <w:bdr w:val="none" w:sz="0" w:space="0" w:color="auto"/>
                <w:lang w:eastAsia="es-ES"/>
              </w:rPr>
            </w:pPr>
            <w:r w:rsidRPr="00470F32">
              <w:rPr>
                <w:sz w:val="16"/>
                <w:szCs w:val="16"/>
              </w:rPr>
              <w:t>3.638,94</w:t>
            </w:r>
          </w:p>
        </w:tc>
      </w:tr>
      <w:tr w:rsidR="00612A4D" w:rsidRPr="007E7835" w14:paraId="3A1E8A2C" w14:textId="77777777" w:rsidTr="00B1370C">
        <w:trPr>
          <w:trHeight w:val="283"/>
        </w:trPr>
        <w:tc>
          <w:tcPr>
            <w:tcW w:w="2436" w:type="dxa"/>
            <w:tcBorders>
              <w:top w:val="nil"/>
              <w:left w:val="nil"/>
              <w:bottom w:val="nil"/>
              <w:right w:val="nil"/>
            </w:tcBorders>
            <w:shd w:val="clear" w:color="auto" w:fill="auto"/>
            <w:vAlign w:val="center"/>
            <w:hideMark/>
          </w:tcPr>
          <w:p w14:paraId="7D8148EB" w14:textId="77777777" w:rsidR="00612A4D" w:rsidRPr="007E7835" w:rsidRDefault="00612A4D" w:rsidP="0098422D">
            <w:pPr>
              <w:pBdr>
                <w:top w:val="none" w:sz="0" w:space="0" w:color="auto"/>
                <w:left w:val="none" w:sz="0" w:space="0" w:color="auto"/>
                <w:bottom w:val="none" w:sz="0" w:space="0" w:color="auto"/>
                <w:right w:val="none" w:sz="0" w:space="0" w:color="auto"/>
                <w:between w:val="none" w:sz="0" w:space="0" w:color="auto"/>
                <w:bar w:val="none" w:sz="0" w:color="auto"/>
              </w:pBdr>
              <w:jc w:val="right"/>
              <w:outlineLvl w:val="9"/>
              <w:rPr>
                <w:rFonts w:eastAsia="Times New Roman"/>
                <w:sz w:val="16"/>
                <w:szCs w:val="16"/>
                <w:bdr w:val="none" w:sz="0" w:space="0" w:color="auto"/>
                <w:lang w:eastAsia="es-ES"/>
              </w:rPr>
            </w:pPr>
          </w:p>
        </w:tc>
        <w:tc>
          <w:tcPr>
            <w:tcW w:w="1279" w:type="dxa"/>
            <w:tcBorders>
              <w:top w:val="single" w:sz="4" w:space="0" w:color="auto"/>
              <w:left w:val="nil"/>
              <w:bottom w:val="single" w:sz="4" w:space="0" w:color="auto"/>
              <w:right w:val="nil"/>
            </w:tcBorders>
            <w:shd w:val="clear" w:color="auto" w:fill="auto"/>
            <w:vAlign w:val="center"/>
          </w:tcPr>
          <w:p w14:paraId="63D75DB3" w14:textId="77777777" w:rsidR="00612A4D" w:rsidRPr="00470F32" w:rsidRDefault="00612A4D" w:rsidP="0098422D">
            <w:pPr>
              <w:pBdr>
                <w:top w:val="none" w:sz="0" w:space="0" w:color="auto"/>
                <w:left w:val="none" w:sz="0" w:space="0" w:color="auto"/>
                <w:bottom w:val="none" w:sz="0" w:space="0" w:color="auto"/>
                <w:right w:val="none" w:sz="0" w:space="0" w:color="auto"/>
                <w:between w:val="none" w:sz="0" w:space="0" w:color="auto"/>
                <w:bar w:val="none" w:sz="0" w:color="auto"/>
              </w:pBdr>
              <w:jc w:val="right"/>
              <w:outlineLvl w:val="9"/>
              <w:rPr>
                <w:rFonts w:eastAsia="Times New Roman"/>
                <w:b/>
                <w:bCs/>
                <w:sz w:val="16"/>
                <w:szCs w:val="16"/>
                <w:bdr w:val="none" w:sz="0" w:space="0" w:color="auto"/>
                <w:lang w:eastAsia="es-ES"/>
              </w:rPr>
            </w:pPr>
            <w:r w:rsidRPr="00470F32">
              <w:rPr>
                <w:b/>
                <w:bCs/>
                <w:sz w:val="16"/>
                <w:szCs w:val="16"/>
              </w:rPr>
              <w:t>1.281.656,31</w:t>
            </w:r>
          </w:p>
        </w:tc>
        <w:tc>
          <w:tcPr>
            <w:tcW w:w="1246" w:type="dxa"/>
            <w:tcBorders>
              <w:top w:val="single" w:sz="4" w:space="0" w:color="auto"/>
              <w:left w:val="nil"/>
              <w:bottom w:val="single" w:sz="4" w:space="0" w:color="auto"/>
              <w:right w:val="nil"/>
            </w:tcBorders>
            <w:shd w:val="clear" w:color="auto" w:fill="auto"/>
            <w:vAlign w:val="center"/>
          </w:tcPr>
          <w:p w14:paraId="58327F75" w14:textId="77777777" w:rsidR="00612A4D" w:rsidRPr="00470F32" w:rsidRDefault="00612A4D" w:rsidP="0098422D">
            <w:pPr>
              <w:pBdr>
                <w:top w:val="none" w:sz="0" w:space="0" w:color="auto"/>
                <w:left w:val="none" w:sz="0" w:space="0" w:color="auto"/>
                <w:bottom w:val="none" w:sz="0" w:space="0" w:color="auto"/>
                <w:right w:val="none" w:sz="0" w:space="0" w:color="auto"/>
                <w:between w:val="none" w:sz="0" w:space="0" w:color="auto"/>
                <w:bar w:val="none" w:sz="0" w:color="auto"/>
              </w:pBdr>
              <w:jc w:val="right"/>
              <w:outlineLvl w:val="9"/>
              <w:rPr>
                <w:rFonts w:eastAsia="Times New Roman"/>
                <w:b/>
                <w:bCs/>
                <w:sz w:val="16"/>
                <w:szCs w:val="16"/>
                <w:bdr w:val="none" w:sz="0" w:space="0" w:color="auto"/>
                <w:lang w:eastAsia="es-ES"/>
              </w:rPr>
            </w:pPr>
            <w:r w:rsidRPr="00470F32">
              <w:rPr>
                <w:b/>
                <w:bCs/>
                <w:sz w:val="16"/>
                <w:szCs w:val="16"/>
              </w:rPr>
              <w:t>9.646,28</w:t>
            </w:r>
          </w:p>
        </w:tc>
        <w:tc>
          <w:tcPr>
            <w:tcW w:w="1237" w:type="dxa"/>
            <w:tcBorders>
              <w:top w:val="single" w:sz="4" w:space="0" w:color="auto"/>
              <w:left w:val="nil"/>
              <w:bottom w:val="single" w:sz="4" w:space="0" w:color="auto"/>
              <w:right w:val="nil"/>
            </w:tcBorders>
            <w:shd w:val="clear" w:color="auto" w:fill="auto"/>
            <w:vAlign w:val="center"/>
          </w:tcPr>
          <w:p w14:paraId="245086C5" w14:textId="77777777" w:rsidR="00612A4D" w:rsidRPr="00470F32" w:rsidRDefault="00612A4D" w:rsidP="0098422D">
            <w:pPr>
              <w:pBdr>
                <w:top w:val="none" w:sz="0" w:space="0" w:color="auto"/>
                <w:left w:val="none" w:sz="0" w:space="0" w:color="auto"/>
                <w:bottom w:val="none" w:sz="0" w:space="0" w:color="auto"/>
                <w:right w:val="none" w:sz="0" w:space="0" w:color="auto"/>
                <w:between w:val="none" w:sz="0" w:space="0" w:color="auto"/>
                <w:bar w:val="none" w:sz="0" w:color="auto"/>
              </w:pBdr>
              <w:jc w:val="right"/>
              <w:outlineLvl w:val="9"/>
              <w:rPr>
                <w:rFonts w:eastAsia="Times New Roman"/>
                <w:b/>
                <w:bCs/>
                <w:sz w:val="16"/>
                <w:szCs w:val="16"/>
                <w:bdr w:val="none" w:sz="0" w:space="0" w:color="auto"/>
                <w:lang w:eastAsia="es-ES"/>
              </w:rPr>
            </w:pPr>
            <w:r w:rsidRPr="00470F32">
              <w:rPr>
                <w:b/>
                <w:bCs/>
                <w:sz w:val="16"/>
                <w:szCs w:val="16"/>
              </w:rPr>
              <w:t>(1.019,25)</w:t>
            </w:r>
          </w:p>
        </w:tc>
        <w:tc>
          <w:tcPr>
            <w:tcW w:w="1243" w:type="dxa"/>
            <w:tcBorders>
              <w:top w:val="single" w:sz="4" w:space="0" w:color="auto"/>
              <w:left w:val="nil"/>
              <w:bottom w:val="single" w:sz="4" w:space="0" w:color="auto"/>
              <w:right w:val="nil"/>
            </w:tcBorders>
            <w:shd w:val="clear" w:color="auto" w:fill="auto"/>
            <w:vAlign w:val="center"/>
          </w:tcPr>
          <w:p w14:paraId="404EF02F" w14:textId="77777777" w:rsidR="00612A4D" w:rsidRPr="00470F32" w:rsidRDefault="00612A4D" w:rsidP="0098422D">
            <w:pPr>
              <w:pBdr>
                <w:top w:val="none" w:sz="0" w:space="0" w:color="auto"/>
                <w:left w:val="none" w:sz="0" w:space="0" w:color="auto"/>
                <w:bottom w:val="none" w:sz="0" w:space="0" w:color="auto"/>
                <w:right w:val="none" w:sz="0" w:space="0" w:color="auto"/>
                <w:between w:val="none" w:sz="0" w:space="0" w:color="auto"/>
                <w:bar w:val="none" w:sz="0" w:color="auto"/>
              </w:pBdr>
              <w:jc w:val="right"/>
              <w:outlineLvl w:val="9"/>
              <w:rPr>
                <w:rFonts w:eastAsia="Times New Roman"/>
                <w:b/>
                <w:bCs/>
                <w:sz w:val="16"/>
                <w:szCs w:val="16"/>
                <w:bdr w:val="none" w:sz="0" w:space="0" w:color="auto"/>
                <w:lang w:eastAsia="es-ES"/>
              </w:rPr>
            </w:pPr>
            <w:r w:rsidRPr="00470F32">
              <w:rPr>
                <w:rFonts w:eastAsia="Times New Roman"/>
                <w:b/>
                <w:bCs/>
                <w:sz w:val="16"/>
                <w:szCs w:val="16"/>
                <w:bdr w:val="none" w:sz="0" w:space="0" w:color="auto"/>
                <w:lang w:eastAsia="es-ES"/>
              </w:rPr>
              <w:t>-</w:t>
            </w:r>
          </w:p>
        </w:tc>
        <w:tc>
          <w:tcPr>
            <w:tcW w:w="1281" w:type="dxa"/>
            <w:tcBorders>
              <w:top w:val="single" w:sz="4" w:space="0" w:color="auto"/>
              <w:left w:val="nil"/>
              <w:bottom w:val="single" w:sz="4" w:space="0" w:color="auto"/>
              <w:right w:val="nil"/>
            </w:tcBorders>
            <w:shd w:val="clear" w:color="auto" w:fill="auto"/>
            <w:vAlign w:val="center"/>
          </w:tcPr>
          <w:p w14:paraId="2F6112E4" w14:textId="77777777" w:rsidR="00612A4D" w:rsidRPr="00470F32" w:rsidRDefault="00612A4D" w:rsidP="0098422D">
            <w:pPr>
              <w:pBdr>
                <w:top w:val="none" w:sz="0" w:space="0" w:color="auto"/>
                <w:left w:val="none" w:sz="0" w:space="0" w:color="auto"/>
                <w:bottom w:val="none" w:sz="0" w:space="0" w:color="auto"/>
                <w:right w:val="none" w:sz="0" w:space="0" w:color="auto"/>
                <w:between w:val="none" w:sz="0" w:space="0" w:color="auto"/>
                <w:bar w:val="none" w:sz="0" w:color="auto"/>
              </w:pBdr>
              <w:jc w:val="right"/>
              <w:outlineLvl w:val="9"/>
              <w:rPr>
                <w:rFonts w:eastAsia="Times New Roman"/>
                <w:b/>
                <w:bCs/>
                <w:sz w:val="16"/>
                <w:szCs w:val="16"/>
                <w:bdr w:val="none" w:sz="0" w:space="0" w:color="auto"/>
                <w:lang w:eastAsia="es-ES"/>
              </w:rPr>
            </w:pPr>
            <w:r w:rsidRPr="00470F32">
              <w:rPr>
                <w:b/>
                <w:bCs/>
                <w:sz w:val="16"/>
                <w:szCs w:val="16"/>
              </w:rPr>
              <w:t>1.290.283,34</w:t>
            </w:r>
          </w:p>
        </w:tc>
      </w:tr>
      <w:tr w:rsidR="00612A4D" w:rsidRPr="007E7835" w14:paraId="2D4C1F0C" w14:textId="77777777" w:rsidTr="00B1370C">
        <w:trPr>
          <w:trHeight w:val="108"/>
        </w:trPr>
        <w:tc>
          <w:tcPr>
            <w:tcW w:w="2436" w:type="dxa"/>
            <w:tcBorders>
              <w:top w:val="nil"/>
              <w:left w:val="nil"/>
              <w:bottom w:val="nil"/>
              <w:right w:val="nil"/>
            </w:tcBorders>
            <w:shd w:val="clear" w:color="auto" w:fill="auto"/>
            <w:vAlign w:val="center"/>
            <w:hideMark/>
          </w:tcPr>
          <w:p w14:paraId="40A78F8E" w14:textId="77777777" w:rsidR="00612A4D" w:rsidRPr="007E7835" w:rsidRDefault="00612A4D" w:rsidP="0098422D">
            <w:pPr>
              <w:pBdr>
                <w:top w:val="none" w:sz="0" w:space="0" w:color="auto"/>
                <w:left w:val="none" w:sz="0" w:space="0" w:color="auto"/>
                <w:bottom w:val="none" w:sz="0" w:space="0" w:color="auto"/>
                <w:right w:val="none" w:sz="0" w:space="0" w:color="auto"/>
                <w:between w:val="none" w:sz="0" w:space="0" w:color="auto"/>
                <w:bar w:val="none" w:sz="0" w:color="auto"/>
              </w:pBdr>
              <w:outlineLvl w:val="9"/>
              <w:rPr>
                <w:rFonts w:eastAsia="Times New Roman"/>
                <w:b/>
                <w:bCs/>
                <w:sz w:val="16"/>
                <w:szCs w:val="16"/>
                <w:bdr w:val="none" w:sz="0" w:space="0" w:color="auto"/>
                <w:lang w:eastAsia="es-ES"/>
              </w:rPr>
            </w:pPr>
            <w:r w:rsidRPr="007E7835">
              <w:rPr>
                <w:rFonts w:eastAsia="Times New Roman"/>
                <w:b/>
                <w:bCs/>
                <w:sz w:val="16"/>
                <w:szCs w:val="16"/>
                <w:bdr w:val="none" w:sz="0" w:space="0" w:color="auto"/>
                <w:lang w:eastAsia="es-ES"/>
              </w:rPr>
              <w:t>Amortización</w:t>
            </w:r>
          </w:p>
        </w:tc>
        <w:tc>
          <w:tcPr>
            <w:tcW w:w="1279" w:type="dxa"/>
            <w:tcBorders>
              <w:top w:val="nil"/>
              <w:left w:val="nil"/>
              <w:bottom w:val="nil"/>
              <w:right w:val="nil"/>
            </w:tcBorders>
            <w:shd w:val="clear" w:color="auto" w:fill="auto"/>
            <w:vAlign w:val="center"/>
          </w:tcPr>
          <w:p w14:paraId="773AFEB1" w14:textId="77777777" w:rsidR="00612A4D" w:rsidRPr="00470F32" w:rsidRDefault="00612A4D" w:rsidP="0098422D">
            <w:pPr>
              <w:pBdr>
                <w:top w:val="none" w:sz="0" w:space="0" w:color="auto"/>
                <w:left w:val="none" w:sz="0" w:space="0" w:color="auto"/>
                <w:bottom w:val="none" w:sz="0" w:space="0" w:color="auto"/>
                <w:right w:val="none" w:sz="0" w:space="0" w:color="auto"/>
                <w:between w:val="none" w:sz="0" w:space="0" w:color="auto"/>
                <w:bar w:val="none" w:sz="0" w:color="auto"/>
              </w:pBdr>
              <w:jc w:val="right"/>
              <w:outlineLvl w:val="9"/>
              <w:rPr>
                <w:rFonts w:eastAsia="Times New Roman"/>
                <w:b/>
                <w:bCs/>
                <w:sz w:val="16"/>
                <w:szCs w:val="16"/>
                <w:bdr w:val="none" w:sz="0" w:space="0" w:color="auto"/>
                <w:lang w:eastAsia="es-ES"/>
              </w:rPr>
            </w:pPr>
          </w:p>
        </w:tc>
        <w:tc>
          <w:tcPr>
            <w:tcW w:w="1246" w:type="dxa"/>
            <w:tcBorders>
              <w:top w:val="nil"/>
              <w:left w:val="nil"/>
              <w:bottom w:val="nil"/>
              <w:right w:val="nil"/>
            </w:tcBorders>
            <w:shd w:val="clear" w:color="auto" w:fill="auto"/>
            <w:vAlign w:val="center"/>
          </w:tcPr>
          <w:p w14:paraId="2D49D0C7" w14:textId="77777777" w:rsidR="00612A4D" w:rsidRPr="00470F32" w:rsidRDefault="00612A4D" w:rsidP="0098422D">
            <w:pPr>
              <w:pBdr>
                <w:top w:val="none" w:sz="0" w:space="0" w:color="auto"/>
                <w:left w:val="none" w:sz="0" w:space="0" w:color="auto"/>
                <w:bottom w:val="none" w:sz="0" w:space="0" w:color="auto"/>
                <w:right w:val="none" w:sz="0" w:space="0" w:color="auto"/>
                <w:between w:val="none" w:sz="0" w:space="0" w:color="auto"/>
                <w:bar w:val="none" w:sz="0" w:color="auto"/>
              </w:pBdr>
              <w:jc w:val="right"/>
              <w:outlineLvl w:val="9"/>
              <w:rPr>
                <w:rFonts w:eastAsia="Times New Roman"/>
                <w:color w:val="auto"/>
                <w:sz w:val="16"/>
                <w:szCs w:val="16"/>
                <w:bdr w:val="none" w:sz="0" w:space="0" w:color="auto"/>
                <w:lang w:eastAsia="es-ES"/>
              </w:rPr>
            </w:pPr>
          </w:p>
        </w:tc>
        <w:tc>
          <w:tcPr>
            <w:tcW w:w="1237" w:type="dxa"/>
            <w:tcBorders>
              <w:top w:val="nil"/>
              <w:left w:val="nil"/>
              <w:bottom w:val="nil"/>
              <w:right w:val="nil"/>
            </w:tcBorders>
            <w:shd w:val="clear" w:color="auto" w:fill="auto"/>
            <w:vAlign w:val="center"/>
          </w:tcPr>
          <w:p w14:paraId="03DB1B2B" w14:textId="77777777" w:rsidR="00612A4D" w:rsidRPr="00470F32" w:rsidRDefault="00612A4D" w:rsidP="0098422D">
            <w:pPr>
              <w:pBdr>
                <w:top w:val="none" w:sz="0" w:space="0" w:color="auto"/>
                <w:left w:val="none" w:sz="0" w:space="0" w:color="auto"/>
                <w:bottom w:val="none" w:sz="0" w:space="0" w:color="auto"/>
                <w:right w:val="none" w:sz="0" w:space="0" w:color="auto"/>
                <w:between w:val="none" w:sz="0" w:space="0" w:color="auto"/>
                <w:bar w:val="none" w:sz="0" w:color="auto"/>
              </w:pBdr>
              <w:jc w:val="right"/>
              <w:outlineLvl w:val="9"/>
              <w:rPr>
                <w:rFonts w:eastAsia="Times New Roman"/>
                <w:color w:val="auto"/>
                <w:sz w:val="16"/>
                <w:szCs w:val="16"/>
                <w:bdr w:val="none" w:sz="0" w:space="0" w:color="auto"/>
                <w:lang w:eastAsia="es-ES"/>
              </w:rPr>
            </w:pPr>
          </w:p>
        </w:tc>
        <w:tc>
          <w:tcPr>
            <w:tcW w:w="1243" w:type="dxa"/>
            <w:tcBorders>
              <w:top w:val="nil"/>
              <w:left w:val="nil"/>
              <w:bottom w:val="nil"/>
              <w:right w:val="nil"/>
            </w:tcBorders>
            <w:shd w:val="clear" w:color="auto" w:fill="auto"/>
            <w:vAlign w:val="center"/>
          </w:tcPr>
          <w:p w14:paraId="07ADEEEE" w14:textId="77777777" w:rsidR="00612A4D" w:rsidRPr="00470F32" w:rsidRDefault="00612A4D" w:rsidP="0098422D">
            <w:pPr>
              <w:pBdr>
                <w:top w:val="none" w:sz="0" w:space="0" w:color="auto"/>
                <w:left w:val="none" w:sz="0" w:space="0" w:color="auto"/>
                <w:bottom w:val="none" w:sz="0" w:space="0" w:color="auto"/>
                <w:right w:val="none" w:sz="0" w:space="0" w:color="auto"/>
                <w:between w:val="none" w:sz="0" w:space="0" w:color="auto"/>
                <w:bar w:val="none" w:sz="0" w:color="auto"/>
              </w:pBdr>
              <w:jc w:val="right"/>
              <w:outlineLvl w:val="9"/>
              <w:rPr>
                <w:rFonts w:eastAsia="Times New Roman"/>
                <w:color w:val="auto"/>
                <w:sz w:val="16"/>
                <w:szCs w:val="16"/>
                <w:bdr w:val="none" w:sz="0" w:space="0" w:color="auto"/>
                <w:lang w:eastAsia="es-ES"/>
              </w:rPr>
            </w:pPr>
          </w:p>
        </w:tc>
        <w:tc>
          <w:tcPr>
            <w:tcW w:w="1281" w:type="dxa"/>
            <w:tcBorders>
              <w:top w:val="nil"/>
              <w:left w:val="nil"/>
              <w:bottom w:val="nil"/>
              <w:right w:val="nil"/>
            </w:tcBorders>
            <w:shd w:val="clear" w:color="auto" w:fill="auto"/>
            <w:vAlign w:val="center"/>
          </w:tcPr>
          <w:p w14:paraId="36B3DDAE" w14:textId="77777777" w:rsidR="00612A4D" w:rsidRPr="00470F32" w:rsidRDefault="00612A4D" w:rsidP="0098422D">
            <w:pPr>
              <w:pBdr>
                <w:top w:val="none" w:sz="0" w:space="0" w:color="auto"/>
                <w:left w:val="none" w:sz="0" w:space="0" w:color="auto"/>
                <w:bottom w:val="none" w:sz="0" w:space="0" w:color="auto"/>
                <w:right w:val="none" w:sz="0" w:space="0" w:color="auto"/>
                <w:between w:val="none" w:sz="0" w:space="0" w:color="auto"/>
                <w:bar w:val="none" w:sz="0" w:color="auto"/>
              </w:pBdr>
              <w:jc w:val="right"/>
              <w:outlineLvl w:val="9"/>
              <w:rPr>
                <w:rFonts w:eastAsia="Times New Roman"/>
                <w:color w:val="auto"/>
                <w:sz w:val="16"/>
                <w:szCs w:val="16"/>
                <w:bdr w:val="none" w:sz="0" w:space="0" w:color="auto"/>
                <w:lang w:eastAsia="es-ES"/>
              </w:rPr>
            </w:pPr>
          </w:p>
        </w:tc>
      </w:tr>
      <w:tr w:rsidR="00612A4D" w:rsidRPr="007E7835" w14:paraId="03EDF33F" w14:textId="77777777" w:rsidTr="00B1370C">
        <w:trPr>
          <w:trHeight w:val="283"/>
        </w:trPr>
        <w:tc>
          <w:tcPr>
            <w:tcW w:w="2436" w:type="dxa"/>
            <w:tcBorders>
              <w:top w:val="nil"/>
              <w:left w:val="nil"/>
              <w:bottom w:val="nil"/>
              <w:right w:val="nil"/>
            </w:tcBorders>
            <w:shd w:val="clear" w:color="auto" w:fill="auto"/>
            <w:vAlign w:val="center"/>
            <w:hideMark/>
          </w:tcPr>
          <w:p w14:paraId="5C4FEA19" w14:textId="77777777" w:rsidR="00612A4D" w:rsidRPr="007E7835" w:rsidRDefault="00612A4D" w:rsidP="0098422D">
            <w:pPr>
              <w:pBdr>
                <w:top w:val="none" w:sz="0" w:space="0" w:color="auto"/>
                <w:left w:val="none" w:sz="0" w:space="0" w:color="auto"/>
                <w:bottom w:val="none" w:sz="0" w:space="0" w:color="auto"/>
                <w:right w:val="none" w:sz="0" w:space="0" w:color="auto"/>
                <w:between w:val="none" w:sz="0" w:space="0" w:color="auto"/>
                <w:bar w:val="none" w:sz="0" w:color="auto"/>
              </w:pBdr>
              <w:outlineLvl w:val="9"/>
              <w:rPr>
                <w:rFonts w:eastAsia="Times New Roman"/>
                <w:sz w:val="16"/>
                <w:szCs w:val="16"/>
                <w:bdr w:val="none" w:sz="0" w:space="0" w:color="auto"/>
                <w:lang w:eastAsia="es-ES"/>
              </w:rPr>
            </w:pPr>
            <w:r w:rsidRPr="007E7835">
              <w:rPr>
                <w:rFonts w:eastAsia="Times New Roman"/>
                <w:sz w:val="16"/>
                <w:szCs w:val="16"/>
                <w:bdr w:val="none" w:sz="0" w:space="0" w:color="auto"/>
                <w:lang w:eastAsia="es-ES"/>
              </w:rPr>
              <w:t>Construcciones</w:t>
            </w:r>
          </w:p>
        </w:tc>
        <w:tc>
          <w:tcPr>
            <w:tcW w:w="1279" w:type="dxa"/>
            <w:tcBorders>
              <w:top w:val="nil"/>
              <w:left w:val="nil"/>
              <w:bottom w:val="nil"/>
              <w:right w:val="nil"/>
            </w:tcBorders>
            <w:shd w:val="clear" w:color="auto" w:fill="auto"/>
            <w:noWrap/>
            <w:vAlign w:val="center"/>
          </w:tcPr>
          <w:p w14:paraId="00D499A7" w14:textId="77777777" w:rsidR="00612A4D" w:rsidRPr="00470F32" w:rsidRDefault="00612A4D" w:rsidP="0098422D">
            <w:pPr>
              <w:pBdr>
                <w:top w:val="none" w:sz="0" w:space="0" w:color="auto"/>
                <w:left w:val="none" w:sz="0" w:space="0" w:color="auto"/>
                <w:bottom w:val="none" w:sz="0" w:space="0" w:color="auto"/>
                <w:right w:val="none" w:sz="0" w:space="0" w:color="auto"/>
                <w:between w:val="none" w:sz="0" w:space="0" w:color="auto"/>
                <w:bar w:val="none" w:sz="0" w:color="auto"/>
              </w:pBdr>
              <w:jc w:val="right"/>
              <w:outlineLvl w:val="9"/>
              <w:rPr>
                <w:rFonts w:eastAsia="Times New Roman"/>
                <w:color w:val="auto"/>
                <w:sz w:val="16"/>
                <w:szCs w:val="16"/>
                <w:bdr w:val="none" w:sz="0" w:space="0" w:color="auto"/>
                <w:lang w:eastAsia="es-ES"/>
              </w:rPr>
            </w:pPr>
            <w:r w:rsidRPr="00470F32">
              <w:rPr>
                <w:sz w:val="16"/>
                <w:szCs w:val="16"/>
              </w:rPr>
              <w:t>(246.975,28)</w:t>
            </w:r>
          </w:p>
        </w:tc>
        <w:tc>
          <w:tcPr>
            <w:tcW w:w="1246" w:type="dxa"/>
            <w:tcBorders>
              <w:top w:val="nil"/>
              <w:left w:val="nil"/>
              <w:bottom w:val="nil"/>
              <w:right w:val="nil"/>
            </w:tcBorders>
            <w:shd w:val="clear" w:color="auto" w:fill="auto"/>
            <w:noWrap/>
            <w:vAlign w:val="center"/>
          </w:tcPr>
          <w:p w14:paraId="7717439A" w14:textId="77777777" w:rsidR="00612A4D" w:rsidRPr="00470F32" w:rsidRDefault="00612A4D" w:rsidP="0098422D">
            <w:pPr>
              <w:pBdr>
                <w:top w:val="none" w:sz="0" w:space="0" w:color="auto"/>
                <w:left w:val="none" w:sz="0" w:space="0" w:color="auto"/>
                <w:bottom w:val="none" w:sz="0" w:space="0" w:color="auto"/>
                <w:right w:val="none" w:sz="0" w:space="0" w:color="auto"/>
                <w:between w:val="none" w:sz="0" w:space="0" w:color="auto"/>
                <w:bar w:val="none" w:sz="0" w:color="auto"/>
              </w:pBdr>
              <w:jc w:val="right"/>
              <w:outlineLvl w:val="9"/>
              <w:rPr>
                <w:rFonts w:eastAsia="Times New Roman"/>
                <w:sz w:val="16"/>
                <w:szCs w:val="16"/>
                <w:bdr w:val="none" w:sz="0" w:space="0" w:color="auto"/>
                <w:lang w:eastAsia="es-ES"/>
              </w:rPr>
            </w:pPr>
            <w:r w:rsidRPr="00470F32">
              <w:rPr>
                <w:sz w:val="16"/>
                <w:szCs w:val="16"/>
              </w:rPr>
              <w:t>(81.745,76)</w:t>
            </w:r>
          </w:p>
        </w:tc>
        <w:tc>
          <w:tcPr>
            <w:tcW w:w="1237" w:type="dxa"/>
            <w:tcBorders>
              <w:top w:val="nil"/>
              <w:left w:val="nil"/>
              <w:bottom w:val="nil"/>
              <w:right w:val="nil"/>
            </w:tcBorders>
            <w:shd w:val="clear" w:color="auto" w:fill="auto"/>
            <w:vAlign w:val="center"/>
          </w:tcPr>
          <w:p w14:paraId="52896408" w14:textId="77777777" w:rsidR="00612A4D" w:rsidRPr="00470F32" w:rsidRDefault="00612A4D" w:rsidP="0098422D">
            <w:pPr>
              <w:pBdr>
                <w:top w:val="none" w:sz="0" w:space="0" w:color="auto"/>
                <w:left w:val="none" w:sz="0" w:space="0" w:color="auto"/>
                <w:bottom w:val="none" w:sz="0" w:space="0" w:color="auto"/>
                <w:right w:val="none" w:sz="0" w:space="0" w:color="auto"/>
                <w:between w:val="none" w:sz="0" w:space="0" w:color="auto"/>
                <w:bar w:val="none" w:sz="0" w:color="auto"/>
              </w:pBdr>
              <w:jc w:val="right"/>
              <w:outlineLvl w:val="9"/>
              <w:rPr>
                <w:rFonts w:eastAsia="Times New Roman"/>
                <w:sz w:val="16"/>
                <w:szCs w:val="16"/>
                <w:bdr w:val="none" w:sz="0" w:space="0" w:color="auto"/>
                <w:lang w:eastAsia="es-ES"/>
              </w:rPr>
            </w:pPr>
            <w:r w:rsidRPr="00470F32">
              <w:rPr>
                <w:sz w:val="16"/>
                <w:szCs w:val="16"/>
              </w:rPr>
              <w:t xml:space="preserve"> -</w:t>
            </w:r>
          </w:p>
        </w:tc>
        <w:tc>
          <w:tcPr>
            <w:tcW w:w="1243" w:type="dxa"/>
            <w:tcBorders>
              <w:top w:val="nil"/>
              <w:left w:val="nil"/>
              <w:bottom w:val="nil"/>
              <w:right w:val="nil"/>
            </w:tcBorders>
            <w:shd w:val="clear" w:color="auto" w:fill="auto"/>
            <w:vAlign w:val="center"/>
          </w:tcPr>
          <w:p w14:paraId="7BCF5A4C" w14:textId="77777777" w:rsidR="00612A4D" w:rsidRPr="00470F32" w:rsidRDefault="00612A4D" w:rsidP="0098422D">
            <w:pPr>
              <w:pBdr>
                <w:top w:val="none" w:sz="0" w:space="0" w:color="auto"/>
                <w:left w:val="none" w:sz="0" w:space="0" w:color="auto"/>
                <w:bottom w:val="none" w:sz="0" w:space="0" w:color="auto"/>
                <w:right w:val="none" w:sz="0" w:space="0" w:color="auto"/>
                <w:between w:val="none" w:sz="0" w:space="0" w:color="auto"/>
                <w:bar w:val="none" w:sz="0" w:color="auto"/>
              </w:pBdr>
              <w:jc w:val="right"/>
              <w:outlineLvl w:val="9"/>
              <w:rPr>
                <w:rFonts w:eastAsia="Times New Roman"/>
                <w:sz w:val="16"/>
                <w:szCs w:val="16"/>
                <w:bdr w:val="none" w:sz="0" w:space="0" w:color="auto"/>
                <w:lang w:eastAsia="es-ES"/>
              </w:rPr>
            </w:pPr>
            <w:r w:rsidRPr="00470F32">
              <w:rPr>
                <w:sz w:val="16"/>
                <w:szCs w:val="16"/>
              </w:rPr>
              <w:t xml:space="preserve"> -</w:t>
            </w:r>
          </w:p>
        </w:tc>
        <w:tc>
          <w:tcPr>
            <w:tcW w:w="1281" w:type="dxa"/>
            <w:tcBorders>
              <w:top w:val="nil"/>
              <w:left w:val="nil"/>
              <w:bottom w:val="nil"/>
              <w:right w:val="nil"/>
            </w:tcBorders>
            <w:shd w:val="clear" w:color="auto" w:fill="auto"/>
            <w:noWrap/>
            <w:vAlign w:val="center"/>
          </w:tcPr>
          <w:p w14:paraId="5CC81C2E" w14:textId="77777777" w:rsidR="00612A4D" w:rsidRPr="00470F32" w:rsidRDefault="00612A4D" w:rsidP="0098422D">
            <w:pPr>
              <w:pBdr>
                <w:top w:val="none" w:sz="0" w:space="0" w:color="auto"/>
                <w:left w:val="none" w:sz="0" w:space="0" w:color="auto"/>
                <w:bottom w:val="none" w:sz="0" w:space="0" w:color="auto"/>
                <w:right w:val="none" w:sz="0" w:space="0" w:color="auto"/>
                <w:between w:val="none" w:sz="0" w:space="0" w:color="auto"/>
                <w:bar w:val="none" w:sz="0" w:color="auto"/>
              </w:pBdr>
              <w:jc w:val="right"/>
              <w:outlineLvl w:val="9"/>
              <w:rPr>
                <w:rFonts w:eastAsia="Times New Roman"/>
                <w:color w:val="auto"/>
                <w:sz w:val="16"/>
                <w:szCs w:val="16"/>
                <w:bdr w:val="none" w:sz="0" w:space="0" w:color="auto"/>
                <w:lang w:eastAsia="es-ES"/>
              </w:rPr>
            </w:pPr>
            <w:r w:rsidRPr="00470F32">
              <w:rPr>
                <w:sz w:val="16"/>
                <w:szCs w:val="16"/>
              </w:rPr>
              <w:t>(328.721,04)</w:t>
            </w:r>
          </w:p>
        </w:tc>
      </w:tr>
      <w:tr w:rsidR="00612A4D" w:rsidRPr="007E7835" w14:paraId="7670490D" w14:textId="77777777" w:rsidTr="00B1370C">
        <w:trPr>
          <w:trHeight w:val="283"/>
        </w:trPr>
        <w:tc>
          <w:tcPr>
            <w:tcW w:w="2436" w:type="dxa"/>
            <w:tcBorders>
              <w:top w:val="nil"/>
              <w:left w:val="nil"/>
              <w:bottom w:val="nil"/>
              <w:right w:val="nil"/>
            </w:tcBorders>
            <w:shd w:val="clear" w:color="auto" w:fill="auto"/>
            <w:vAlign w:val="center"/>
            <w:hideMark/>
          </w:tcPr>
          <w:p w14:paraId="5A9965E4" w14:textId="77777777" w:rsidR="00612A4D" w:rsidRPr="007E7835" w:rsidRDefault="00612A4D" w:rsidP="0098422D">
            <w:pPr>
              <w:pBdr>
                <w:top w:val="none" w:sz="0" w:space="0" w:color="auto"/>
                <w:left w:val="none" w:sz="0" w:space="0" w:color="auto"/>
                <w:bottom w:val="none" w:sz="0" w:space="0" w:color="auto"/>
                <w:right w:val="none" w:sz="0" w:space="0" w:color="auto"/>
                <w:between w:val="none" w:sz="0" w:space="0" w:color="auto"/>
                <w:bar w:val="none" w:sz="0" w:color="auto"/>
              </w:pBdr>
              <w:outlineLvl w:val="9"/>
              <w:rPr>
                <w:rFonts w:eastAsia="Times New Roman"/>
                <w:sz w:val="16"/>
                <w:szCs w:val="16"/>
                <w:bdr w:val="none" w:sz="0" w:space="0" w:color="auto"/>
                <w:lang w:eastAsia="es-ES"/>
              </w:rPr>
            </w:pPr>
            <w:r w:rsidRPr="007E7835">
              <w:rPr>
                <w:rFonts w:eastAsia="Times New Roman"/>
                <w:sz w:val="16"/>
                <w:szCs w:val="16"/>
                <w:bdr w:val="none" w:sz="0" w:space="0" w:color="auto"/>
                <w:lang w:eastAsia="es-ES"/>
              </w:rPr>
              <w:t>Instalaciones técnicas</w:t>
            </w:r>
          </w:p>
        </w:tc>
        <w:tc>
          <w:tcPr>
            <w:tcW w:w="1279" w:type="dxa"/>
            <w:tcBorders>
              <w:top w:val="nil"/>
              <w:left w:val="nil"/>
              <w:bottom w:val="nil"/>
              <w:right w:val="nil"/>
            </w:tcBorders>
            <w:shd w:val="clear" w:color="auto" w:fill="auto"/>
            <w:noWrap/>
            <w:vAlign w:val="center"/>
          </w:tcPr>
          <w:p w14:paraId="49E6C9E6" w14:textId="77777777" w:rsidR="00612A4D" w:rsidRPr="00470F32" w:rsidRDefault="00612A4D" w:rsidP="0098422D">
            <w:pPr>
              <w:pBdr>
                <w:top w:val="none" w:sz="0" w:space="0" w:color="auto"/>
                <w:left w:val="none" w:sz="0" w:space="0" w:color="auto"/>
                <w:bottom w:val="none" w:sz="0" w:space="0" w:color="auto"/>
                <w:right w:val="none" w:sz="0" w:space="0" w:color="auto"/>
                <w:between w:val="none" w:sz="0" w:space="0" w:color="auto"/>
                <w:bar w:val="none" w:sz="0" w:color="auto"/>
              </w:pBdr>
              <w:jc w:val="right"/>
              <w:outlineLvl w:val="9"/>
              <w:rPr>
                <w:rFonts w:eastAsia="Times New Roman"/>
                <w:color w:val="auto"/>
                <w:sz w:val="16"/>
                <w:szCs w:val="16"/>
                <w:bdr w:val="none" w:sz="0" w:space="0" w:color="auto"/>
                <w:lang w:eastAsia="es-ES"/>
              </w:rPr>
            </w:pPr>
            <w:r w:rsidRPr="00470F32">
              <w:rPr>
                <w:sz w:val="16"/>
                <w:szCs w:val="16"/>
              </w:rPr>
              <w:t>(31.551,32)</w:t>
            </w:r>
          </w:p>
        </w:tc>
        <w:tc>
          <w:tcPr>
            <w:tcW w:w="1246" w:type="dxa"/>
            <w:tcBorders>
              <w:top w:val="nil"/>
              <w:left w:val="nil"/>
              <w:bottom w:val="nil"/>
              <w:right w:val="nil"/>
            </w:tcBorders>
            <w:shd w:val="clear" w:color="auto" w:fill="auto"/>
            <w:noWrap/>
            <w:vAlign w:val="center"/>
          </w:tcPr>
          <w:p w14:paraId="35DC4FE0" w14:textId="77777777" w:rsidR="00612A4D" w:rsidRPr="00470F32" w:rsidRDefault="00612A4D" w:rsidP="0098422D">
            <w:pPr>
              <w:pBdr>
                <w:top w:val="none" w:sz="0" w:space="0" w:color="auto"/>
                <w:left w:val="none" w:sz="0" w:space="0" w:color="auto"/>
                <w:bottom w:val="none" w:sz="0" w:space="0" w:color="auto"/>
                <w:right w:val="none" w:sz="0" w:space="0" w:color="auto"/>
                <w:between w:val="none" w:sz="0" w:space="0" w:color="auto"/>
                <w:bar w:val="none" w:sz="0" w:color="auto"/>
              </w:pBdr>
              <w:jc w:val="right"/>
              <w:outlineLvl w:val="9"/>
              <w:rPr>
                <w:rFonts w:eastAsia="Times New Roman"/>
                <w:color w:val="auto"/>
                <w:sz w:val="16"/>
                <w:szCs w:val="16"/>
                <w:bdr w:val="none" w:sz="0" w:space="0" w:color="auto"/>
                <w:lang w:eastAsia="es-ES"/>
              </w:rPr>
            </w:pPr>
            <w:r>
              <w:rPr>
                <w:rFonts w:eastAsia="Times New Roman"/>
                <w:color w:val="auto"/>
                <w:sz w:val="16"/>
                <w:szCs w:val="16"/>
                <w:bdr w:val="none" w:sz="0" w:space="0" w:color="auto"/>
                <w:lang w:eastAsia="es-ES"/>
              </w:rPr>
              <w:t>-</w:t>
            </w:r>
          </w:p>
        </w:tc>
        <w:tc>
          <w:tcPr>
            <w:tcW w:w="1237" w:type="dxa"/>
            <w:tcBorders>
              <w:top w:val="nil"/>
              <w:left w:val="nil"/>
              <w:bottom w:val="nil"/>
              <w:right w:val="nil"/>
            </w:tcBorders>
            <w:shd w:val="clear" w:color="auto" w:fill="auto"/>
            <w:vAlign w:val="center"/>
          </w:tcPr>
          <w:p w14:paraId="5FF11D9D" w14:textId="77777777" w:rsidR="00612A4D" w:rsidRPr="00470F32" w:rsidRDefault="00612A4D" w:rsidP="0098422D">
            <w:pPr>
              <w:pBdr>
                <w:top w:val="none" w:sz="0" w:space="0" w:color="auto"/>
                <w:left w:val="none" w:sz="0" w:space="0" w:color="auto"/>
                <w:bottom w:val="none" w:sz="0" w:space="0" w:color="auto"/>
                <w:right w:val="none" w:sz="0" w:space="0" w:color="auto"/>
                <w:between w:val="none" w:sz="0" w:space="0" w:color="auto"/>
                <w:bar w:val="none" w:sz="0" w:color="auto"/>
              </w:pBdr>
              <w:jc w:val="right"/>
              <w:outlineLvl w:val="9"/>
              <w:rPr>
                <w:rFonts w:eastAsia="Times New Roman"/>
                <w:sz w:val="16"/>
                <w:szCs w:val="16"/>
                <w:bdr w:val="none" w:sz="0" w:space="0" w:color="auto"/>
                <w:lang w:eastAsia="es-ES"/>
              </w:rPr>
            </w:pPr>
            <w:r w:rsidRPr="00470F32">
              <w:rPr>
                <w:sz w:val="16"/>
                <w:szCs w:val="16"/>
              </w:rPr>
              <w:t xml:space="preserve"> -</w:t>
            </w:r>
          </w:p>
        </w:tc>
        <w:tc>
          <w:tcPr>
            <w:tcW w:w="1243" w:type="dxa"/>
            <w:tcBorders>
              <w:top w:val="nil"/>
              <w:left w:val="nil"/>
              <w:bottom w:val="nil"/>
              <w:right w:val="nil"/>
            </w:tcBorders>
            <w:shd w:val="clear" w:color="auto" w:fill="auto"/>
            <w:vAlign w:val="center"/>
          </w:tcPr>
          <w:p w14:paraId="4009F6B0" w14:textId="77777777" w:rsidR="00612A4D" w:rsidRPr="00470F32" w:rsidRDefault="00612A4D" w:rsidP="0098422D">
            <w:pPr>
              <w:pBdr>
                <w:top w:val="none" w:sz="0" w:space="0" w:color="auto"/>
                <w:left w:val="none" w:sz="0" w:space="0" w:color="auto"/>
                <w:bottom w:val="none" w:sz="0" w:space="0" w:color="auto"/>
                <w:right w:val="none" w:sz="0" w:space="0" w:color="auto"/>
                <w:between w:val="none" w:sz="0" w:space="0" w:color="auto"/>
                <w:bar w:val="none" w:sz="0" w:color="auto"/>
              </w:pBdr>
              <w:jc w:val="right"/>
              <w:outlineLvl w:val="9"/>
              <w:rPr>
                <w:rFonts w:eastAsia="Times New Roman"/>
                <w:sz w:val="16"/>
                <w:szCs w:val="16"/>
                <w:bdr w:val="none" w:sz="0" w:space="0" w:color="auto"/>
                <w:lang w:eastAsia="es-ES"/>
              </w:rPr>
            </w:pPr>
            <w:r w:rsidRPr="00470F32">
              <w:rPr>
                <w:sz w:val="16"/>
                <w:szCs w:val="16"/>
              </w:rPr>
              <w:t xml:space="preserve"> -</w:t>
            </w:r>
          </w:p>
        </w:tc>
        <w:tc>
          <w:tcPr>
            <w:tcW w:w="1281" w:type="dxa"/>
            <w:tcBorders>
              <w:top w:val="nil"/>
              <w:left w:val="nil"/>
              <w:bottom w:val="nil"/>
              <w:right w:val="nil"/>
            </w:tcBorders>
            <w:shd w:val="clear" w:color="auto" w:fill="auto"/>
            <w:noWrap/>
            <w:vAlign w:val="center"/>
          </w:tcPr>
          <w:p w14:paraId="594991EE" w14:textId="77777777" w:rsidR="00612A4D" w:rsidRPr="00470F32" w:rsidRDefault="00612A4D" w:rsidP="0098422D">
            <w:pPr>
              <w:pBdr>
                <w:top w:val="none" w:sz="0" w:space="0" w:color="auto"/>
                <w:left w:val="none" w:sz="0" w:space="0" w:color="auto"/>
                <w:bottom w:val="none" w:sz="0" w:space="0" w:color="auto"/>
                <w:right w:val="none" w:sz="0" w:space="0" w:color="auto"/>
                <w:between w:val="none" w:sz="0" w:space="0" w:color="auto"/>
                <w:bar w:val="none" w:sz="0" w:color="auto"/>
              </w:pBdr>
              <w:jc w:val="right"/>
              <w:outlineLvl w:val="9"/>
              <w:rPr>
                <w:rFonts w:eastAsia="Times New Roman"/>
                <w:color w:val="auto"/>
                <w:sz w:val="16"/>
                <w:szCs w:val="16"/>
                <w:bdr w:val="none" w:sz="0" w:space="0" w:color="auto"/>
                <w:lang w:eastAsia="es-ES"/>
              </w:rPr>
            </w:pPr>
            <w:r w:rsidRPr="00470F32">
              <w:rPr>
                <w:sz w:val="16"/>
                <w:szCs w:val="16"/>
              </w:rPr>
              <w:t>(31.551,32)</w:t>
            </w:r>
          </w:p>
        </w:tc>
      </w:tr>
      <w:tr w:rsidR="00612A4D" w:rsidRPr="007E7835" w14:paraId="6D42FFA8" w14:textId="77777777" w:rsidTr="00B1370C">
        <w:trPr>
          <w:trHeight w:val="283"/>
        </w:trPr>
        <w:tc>
          <w:tcPr>
            <w:tcW w:w="2436" w:type="dxa"/>
            <w:tcBorders>
              <w:top w:val="nil"/>
              <w:left w:val="nil"/>
              <w:bottom w:val="nil"/>
              <w:right w:val="nil"/>
            </w:tcBorders>
            <w:shd w:val="clear" w:color="auto" w:fill="auto"/>
            <w:vAlign w:val="center"/>
            <w:hideMark/>
          </w:tcPr>
          <w:p w14:paraId="4CAF5FA6" w14:textId="77777777" w:rsidR="00612A4D" w:rsidRPr="007E7835" w:rsidRDefault="00612A4D" w:rsidP="0098422D">
            <w:pPr>
              <w:pBdr>
                <w:top w:val="none" w:sz="0" w:space="0" w:color="auto"/>
                <w:left w:val="none" w:sz="0" w:space="0" w:color="auto"/>
                <w:bottom w:val="none" w:sz="0" w:space="0" w:color="auto"/>
                <w:right w:val="none" w:sz="0" w:space="0" w:color="auto"/>
                <w:between w:val="none" w:sz="0" w:space="0" w:color="auto"/>
                <w:bar w:val="none" w:sz="0" w:color="auto"/>
              </w:pBdr>
              <w:outlineLvl w:val="9"/>
              <w:rPr>
                <w:rFonts w:eastAsia="Times New Roman"/>
                <w:sz w:val="16"/>
                <w:szCs w:val="16"/>
                <w:bdr w:val="none" w:sz="0" w:space="0" w:color="auto"/>
                <w:lang w:eastAsia="es-ES"/>
              </w:rPr>
            </w:pPr>
            <w:r w:rsidRPr="007E7835">
              <w:rPr>
                <w:rFonts w:eastAsia="Times New Roman"/>
                <w:sz w:val="16"/>
                <w:szCs w:val="16"/>
                <w:bdr w:val="none" w:sz="0" w:space="0" w:color="auto"/>
                <w:lang w:eastAsia="es-ES"/>
              </w:rPr>
              <w:t>Mobiliario</w:t>
            </w:r>
          </w:p>
        </w:tc>
        <w:tc>
          <w:tcPr>
            <w:tcW w:w="1279" w:type="dxa"/>
            <w:tcBorders>
              <w:top w:val="nil"/>
              <w:left w:val="nil"/>
              <w:bottom w:val="nil"/>
              <w:right w:val="nil"/>
            </w:tcBorders>
            <w:shd w:val="clear" w:color="auto" w:fill="auto"/>
            <w:noWrap/>
            <w:vAlign w:val="center"/>
          </w:tcPr>
          <w:p w14:paraId="7EF53ABE" w14:textId="77777777" w:rsidR="00612A4D" w:rsidRPr="00470F32" w:rsidRDefault="00612A4D" w:rsidP="0098422D">
            <w:pPr>
              <w:pBdr>
                <w:top w:val="none" w:sz="0" w:space="0" w:color="auto"/>
                <w:left w:val="none" w:sz="0" w:space="0" w:color="auto"/>
                <w:bottom w:val="none" w:sz="0" w:space="0" w:color="auto"/>
                <w:right w:val="none" w:sz="0" w:space="0" w:color="auto"/>
                <w:between w:val="none" w:sz="0" w:space="0" w:color="auto"/>
                <w:bar w:val="none" w:sz="0" w:color="auto"/>
              </w:pBdr>
              <w:jc w:val="right"/>
              <w:outlineLvl w:val="9"/>
              <w:rPr>
                <w:rFonts w:eastAsia="Times New Roman"/>
                <w:color w:val="auto"/>
                <w:sz w:val="16"/>
                <w:szCs w:val="16"/>
                <w:bdr w:val="none" w:sz="0" w:space="0" w:color="auto"/>
                <w:lang w:eastAsia="es-ES"/>
              </w:rPr>
            </w:pPr>
            <w:r w:rsidRPr="00470F32">
              <w:rPr>
                <w:sz w:val="16"/>
                <w:szCs w:val="16"/>
              </w:rPr>
              <w:t>(345.401,11)</w:t>
            </w:r>
          </w:p>
        </w:tc>
        <w:tc>
          <w:tcPr>
            <w:tcW w:w="1246" w:type="dxa"/>
            <w:tcBorders>
              <w:top w:val="nil"/>
              <w:left w:val="nil"/>
              <w:bottom w:val="nil"/>
              <w:right w:val="nil"/>
            </w:tcBorders>
            <w:shd w:val="clear" w:color="auto" w:fill="auto"/>
            <w:noWrap/>
            <w:vAlign w:val="center"/>
          </w:tcPr>
          <w:p w14:paraId="20DB8A41" w14:textId="77777777" w:rsidR="00612A4D" w:rsidRPr="00470F32" w:rsidRDefault="00612A4D" w:rsidP="0098422D">
            <w:pPr>
              <w:pBdr>
                <w:top w:val="none" w:sz="0" w:space="0" w:color="auto"/>
                <w:left w:val="none" w:sz="0" w:space="0" w:color="auto"/>
                <w:bottom w:val="none" w:sz="0" w:space="0" w:color="auto"/>
                <w:right w:val="none" w:sz="0" w:space="0" w:color="auto"/>
                <w:between w:val="none" w:sz="0" w:space="0" w:color="auto"/>
                <w:bar w:val="none" w:sz="0" w:color="auto"/>
              </w:pBdr>
              <w:jc w:val="right"/>
              <w:outlineLvl w:val="9"/>
              <w:rPr>
                <w:rFonts w:eastAsia="Times New Roman"/>
                <w:color w:val="auto"/>
                <w:sz w:val="16"/>
                <w:szCs w:val="16"/>
                <w:bdr w:val="none" w:sz="0" w:space="0" w:color="auto"/>
                <w:lang w:eastAsia="es-ES"/>
              </w:rPr>
            </w:pPr>
            <w:r w:rsidRPr="00470F32">
              <w:rPr>
                <w:sz w:val="16"/>
                <w:szCs w:val="16"/>
              </w:rPr>
              <w:t>(22.475,50)</w:t>
            </w:r>
          </w:p>
        </w:tc>
        <w:tc>
          <w:tcPr>
            <w:tcW w:w="1237" w:type="dxa"/>
            <w:tcBorders>
              <w:top w:val="nil"/>
              <w:left w:val="nil"/>
              <w:bottom w:val="nil"/>
              <w:right w:val="nil"/>
            </w:tcBorders>
            <w:shd w:val="clear" w:color="auto" w:fill="auto"/>
            <w:vAlign w:val="center"/>
          </w:tcPr>
          <w:p w14:paraId="2153A393" w14:textId="77777777" w:rsidR="00612A4D" w:rsidRPr="00470F32" w:rsidRDefault="00612A4D" w:rsidP="0098422D">
            <w:pPr>
              <w:pBdr>
                <w:top w:val="none" w:sz="0" w:space="0" w:color="auto"/>
                <w:left w:val="none" w:sz="0" w:space="0" w:color="auto"/>
                <w:bottom w:val="none" w:sz="0" w:space="0" w:color="auto"/>
                <w:right w:val="none" w:sz="0" w:space="0" w:color="auto"/>
                <w:between w:val="none" w:sz="0" w:space="0" w:color="auto"/>
                <w:bar w:val="none" w:sz="0" w:color="auto"/>
              </w:pBdr>
              <w:jc w:val="right"/>
              <w:outlineLvl w:val="9"/>
              <w:rPr>
                <w:rFonts w:eastAsia="Times New Roman"/>
                <w:sz w:val="16"/>
                <w:szCs w:val="16"/>
                <w:bdr w:val="none" w:sz="0" w:space="0" w:color="auto"/>
                <w:lang w:eastAsia="es-ES"/>
              </w:rPr>
            </w:pPr>
            <w:r w:rsidRPr="00470F32">
              <w:rPr>
                <w:sz w:val="16"/>
                <w:szCs w:val="16"/>
              </w:rPr>
              <w:t xml:space="preserve"> -</w:t>
            </w:r>
          </w:p>
        </w:tc>
        <w:tc>
          <w:tcPr>
            <w:tcW w:w="1243" w:type="dxa"/>
            <w:tcBorders>
              <w:top w:val="nil"/>
              <w:left w:val="nil"/>
              <w:bottom w:val="nil"/>
              <w:right w:val="nil"/>
            </w:tcBorders>
            <w:shd w:val="clear" w:color="auto" w:fill="auto"/>
            <w:vAlign w:val="center"/>
          </w:tcPr>
          <w:p w14:paraId="20B70E94" w14:textId="77777777" w:rsidR="00612A4D" w:rsidRPr="00470F32" w:rsidRDefault="00612A4D" w:rsidP="0098422D">
            <w:pPr>
              <w:pBdr>
                <w:top w:val="none" w:sz="0" w:space="0" w:color="auto"/>
                <w:left w:val="none" w:sz="0" w:space="0" w:color="auto"/>
                <w:bottom w:val="none" w:sz="0" w:space="0" w:color="auto"/>
                <w:right w:val="none" w:sz="0" w:space="0" w:color="auto"/>
                <w:between w:val="none" w:sz="0" w:space="0" w:color="auto"/>
                <w:bar w:val="none" w:sz="0" w:color="auto"/>
              </w:pBdr>
              <w:jc w:val="right"/>
              <w:outlineLvl w:val="9"/>
              <w:rPr>
                <w:rFonts w:eastAsia="Times New Roman"/>
                <w:sz w:val="16"/>
                <w:szCs w:val="16"/>
                <w:bdr w:val="none" w:sz="0" w:space="0" w:color="auto"/>
                <w:lang w:eastAsia="es-ES"/>
              </w:rPr>
            </w:pPr>
            <w:r w:rsidRPr="00470F32">
              <w:rPr>
                <w:sz w:val="16"/>
                <w:szCs w:val="16"/>
              </w:rPr>
              <w:t xml:space="preserve"> -</w:t>
            </w:r>
          </w:p>
        </w:tc>
        <w:tc>
          <w:tcPr>
            <w:tcW w:w="1281" w:type="dxa"/>
            <w:tcBorders>
              <w:top w:val="nil"/>
              <w:left w:val="nil"/>
              <w:bottom w:val="nil"/>
              <w:right w:val="nil"/>
            </w:tcBorders>
            <w:shd w:val="clear" w:color="auto" w:fill="auto"/>
            <w:noWrap/>
            <w:vAlign w:val="center"/>
          </w:tcPr>
          <w:p w14:paraId="29B704E1" w14:textId="77777777" w:rsidR="00612A4D" w:rsidRPr="00470F32" w:rsidRDefault="00612A4D" w:rsidP="0098422D">
            <w:pPr>
              <w:pBdr>
                <w:top w:val="none" w:sz="0" w:space="0" w:color="auto"/>
                <w:left w:val="none" w:sz="0" w:space="0" w:color="auto"/>
                <w:bottom w:val="none" w:sz="0" w:space="0" w:color="auto"/>
                <w:right w:val="none" w:sz="0" w:space="0" w:color="auto"/>
                <w:between w:val="none" w:sz="0" w:space="0" w:color="auto"/>
                <w:bar w:val="none" w:sz="0" w:color="auto"/>
              </w:pBdr>
              <w:jc w:val="right"/>
              <w:outlineLvl w:val="9"/>
              <w:rPr>
                <w:rFonts w:eastAsia="Times New Roman"/>
                <w:color w:val="auto"/>
                <w:sz w:val="16"/>
                <w:szCs w:val="16"/>
                <w:bdr w:val="none" w:sz="0" w:space="0" w:color="auto"/>
                <w:lang w:eastAsia="es-ES"/>
              </w:rPr>
            </w:pPr>
            <w:r w:rsidRPr="00470F32">
              <w:rPr>
                <w:sz w:val="16"/>
                <w:szCs w:val="16"/>
              </w:rPr>
              <w:t>(367.876,61)</w:t>
            </w:r>
          </w:p>
        </w:tc>
      </w:tr>
      <w:tr w:rsidR="00612A4D" w:rsidRPr="007E7835" w14:paraId="1BB83488" w14:textId="77777777" w:rsidTr="00B1370C">
        <w:trPr>
          <w:trHeight w:val="283"/>
        </w:trPr>
        <w:tc>
          <w:tcPr>
            <w:tcW w:w="2436" w:type="dxa"/>
            <w:tcBorders>
              <w:top w:val="nil"/>
              <w:left w:val="nil"/>
              <w:bottom w:val="nil"/>
              <w:right w:val="nil"/>
            </w:tcBorders>
            <w:shd w:val="clear" w:color="auto" w:fill="auto"/>
            <w:vAlign w:val="center"/>
            <w:hideMark/>
          </w:tcPr>
          <w:p w14:paraId="3E56BAA8" w14:textId="77777777" w:rsidR="00612A4D" w:rsidRPr="007E7835" w:rsidRDefault="00612A4D" w:rsidP="0098422D">
            <w:pPr>
              <w:pBdr>
                <w:top w:val="none" w:sz="0" w:space="0" w:color="auto"/>
                <w:left w:val="none" w:sz="0" w:space="0" w:color="auto"/>
                <w:bottom w:val="none" w:sz="0" w:space="0" w:color="auto"/>
                <w:right w:val="none" w:sz="0" w:space="0" w:color="auto"/>
                <w:between w:val="none" w:sz="0" w:space="0" w:color="auto"/>
                <w:bar w:val="none" w:sz="0" w:color="auto"/>
              </w:pBdr>
              <w:outlineLvl w:val="9"/>
              <w:rPr>
                <w:rFonts w:eastAsia="Times New Roman"/>
                <w:sz w:val="16"/>
                <w:szCs w:val="16"/>
                <w:bdr w:val="none" w:sz="0" w:space="0" w:color="auto"/>
                <w:lang w:eastAsia="es-ES"/>
              </w:rPr>
            </w:pPr>
            <w:r w:rsidRPr="007E7835">
              <w:rPr>
                <w:rFonts w:eastAsia="Times New Roman"/>
                <w:sz w:val="16"/>
                <w:szCs w:val="16"/>
                <w:bdr w:val="none" w:sz="0" w:space="0" w:color="auto"/>
                <w:lang w:eastAsia="es-ES"/>
              </w:rPr>
              <w:t>Otro inmovilizado</w:t>
            </w:r>
          </w:p>
        </w:tc>
        <w:tc>
          <w:tcPr>
            <w:tcW w:w="1279" w:type="dxa"/>
            <w:tcBorders>
              <w:top w:val="nil"/>
              <w:left w:val="nil"/>
              <w:bottom w:val="single" w:sz="4" w:space="0" w:color="auto"/>
              <w:right w:val="nil"/>
            </w:tcBorders>
            <w:shd w:val="clear" w:color="auto" w:fill="auto"/>
            <w:noWrap/>
            <w:vAlign w:val="center"/>
          </w:tcPr>
          <w:p w14:paraId="204384CB" w14:textId="77777777" w:rsidR="00612A4D" w:rsidRPr="00470F32" w:rsidRDefault="00612A4D" w:rsidP="0098422D">
            <w:pPr>
              <w:pBdr>
                <w:top w:val="none" w:sz="0" w:space="0" w:color="auto"/>
                <w:left w:val="none" w:sz="0" w:space="0" w:color="auto"/>
                <w:bottom w:val="none" w:sz="0" w:space="0" w:color="auto"/>
                <w:right w:val="none" w:sz="0" w:space="0" w:color="auto"/>
                <w:between w:val="none" w:sz="0" w:space="0" w:color="auto"/>
                <w:bar w:val="none" w:sz="0" w:color="auto"/>
              </w:pBdr>
              <w:jc w:val="right"/>
              <w:outlineLvl w:val="9"/>
              <w:rPr>
                <w:rFonts w:eastAsia="Times New Roman"/>
                <w:color w:val="auto"/>
                <w:sz w:val="16"/>
                <w:szCs w:val="16"/>
                <w:bdr w:val="none" w:sz="0" w:space="0" w:color="auto"/>
                <w:lang w:eastAsia="es-ES"/>
              </w:rPr>
            </w:pPr>
            <w:r w:rsidRPr="00470F32">
              <w:rPr>
                <w:sz w:val="16"/>
                <w:szCs w:val="16"/>
              </w:rPr>
              <w:t>(317.134,75)</w:t>
            </w:r>
          </w:p>
        </w:tc>
        <w:tc>
          <w:tcPr>
            <w:tcW w:w="1246" w:type="dxa"/>
            <w:tcBorders>
              <w:top w:val="nil"/>
              <w:left w:val="nil"/>
              <w:bottom w:val="single" w:sz="4" w:space="0" w:color="auto"/>
              <w:right w:val="nil"/>
            </w:tcBorders>
            <w:shd w:val="clear" w:color="auto" w:fill="auto"/>
            <w:noWrap/>
            <w:vAlign w:val="center"/>
          </w:tcPr>
          <w:p w14:paraId="594A1757" w14:textId="77777777" w:rsidR="00612A4D" w:rsidRPr="00470F32" w:rsidRDefault="00612A4D" w:rsidP="0098422D">
            <w:pPr>
              <w:pBdr>
                <w:top w:val="none" w:sz="0" w:space="0" w:color="auto"/>
                <w:left w:val="none" w:sz="0" w:space="0" w:color="auto"/>
                <w:bottom w:val="none" w:sz="0" w:space="0" w:color="auto"/>
                <w:right w:val="none" w:sz="0" w:space="0" w:color="auto"/>
                <w:between w:val="none" w:sz="0" w:space="0" w:color="auto"/>
                <w:bar w:val="none" w:sz="0" w:color="auto"/>
              </w:pBdr>
              <w:jc w:val="right"/>
              <w:outlineLvl w:val="9"/>
              <w:rPr>
                <w:rFonts w:eastAsia="Times New Roman"/>
                <w:color w:val="auto"/>
                <w:sz w:val="16"/>
                <w:szCs w:val="16"/>
                <w:bdr w:val="none" w:sz="0" w:space="0" w:color="auto"/>
                <w:lang w:eastAsia="es-ES"/>
              </w:rPr>
            </w:pPr>
            <w:r w:rsidRPr="00470F32">
              <w:rPr>
                <w:sz w:val="16"/>
                <w:szCs w:val="16"/>
              </w:rPr>
              <w:t>(22.873,49)</w:t>
            </w:r>
          </w:p>
        </w:tc>
        <w:tc>
          <w:tcPr>
            <w:tcW w:w="1237" w:type="dxa"/>
            <w:tcBorders>
              <w:top w:val="nil"/>
              <w:left w:val="nil"/>
              <w:bottom w:val="nil"/>
              <w:right w:val="nil"/>
            </w:tcBorders>
            <w:shd w:val="clear" w:color="auto" w:fill="auto"/>
            <w:vAlign w:val="center"/>
          </w:tcPr>
          <w:p w14:paraId="0A6E5C45" w14:textId="77777777" w:rsidR="00612A4D" w:rsidRPr="00470F32" w:rsidRDefault="00612A4D" w:rsidP="0098422D">
            <w:pPr>
              <w:pBdr>
                <w:top w:val="none" w:sz="0" w:space="0" w:color="auto"/>
                <w:left w:val="none" w:sz="0" w:space="0" w:color="auto"/>
                <w:bottom w:val="none" w:sz="0" w:space="0" w:color="auto"/>
                <w:right w:val="none" w:sz="0" w:space="0" w:color="auto"/>
                <w:between w:val="none" w:sz="0" w:space="0" w:color="auto"/>
                <w:bar w:val="none" w:sz="0" w:color="auto"/>
              </w:pBdr>
              <w:jc w:val="right"/>
              <w:outlineLvl w:val="9"/>
              <w:rPr>
                <w:rFonts w:eastAsia="Times New Roman"/>
                <w:sz w:val="16"/>
                <w:szCs w:val="16"/>
                <w:bdr w:val="none" w:sz="0" w:space="0" w:color="auto"/>
                <w:lang w:eastAsia="es-ES"/>
              </w:rPr>
            </w:pPr>
            <w:r w:rsidRPr="00470F32">
              <w:rPr>
                <w:sz w:val="16"/>
                <w:szCs w:val="16"/>
              </w:rPr>
              <w:t>338,58</w:t>
            </w:r>
          </w:p>
        </w:tc>
        <w:tc>
          <w:tcPr>
            <w:tcW w:w="1243" w:type="dxa"/>
            <w:tcBorders>
              <w:top w:val="nil"/>
              <w:left w:val="nil"/>
              <w:bottom w:val="nil"/>
              <w:right w:val="nil"/>
            </w:tcBorders>
            <w:shd w:val="clear" w:color="auto" w:fill="auto"/>
            <w:vAlign w:val="center"/>
          </w:tcPr>
          <w:p w14:paraId="46D6799D" w14:textId="77777777" w:rsidR="00612A4D" w:rsidRPr="00470F32" w:rsidRDefault="00612A4D" w:rsidP="0098422D">
            <w:pPr>
              <w:pBdr>
                <w:top w:val="none" w:sz="0" w:space="0" w:color="auto"/>
                <w:left w:val="none" w:sz="0" w:space="0" w:color="auto"/>
                <w:bottom w:val="none" w:sz="0" w:space="0" w:color="auto"/>
                <w:right w:val="none" w:sz="0" w:space="0" w:color="auto"/>
                <w:between w:val="none" w:sz="0" w:space="0" w:color="auto"/>
                <w:bar w:val="none" w:sz="0" w:color="auto"/>
              </w:pBdr>
              <w:jc w:val="right"/>
              <w:outlineLvl w:val="9"/>
              <w:rPr>
                <w:rFonts w:eastAsia="Times New Roman"/>
                <w:sz w:val="16"/>
                <w:szCs w:val="16"/>
                <w:bdr w:val="none" w:sz="0" w:space="0" w:color="auto"/>
                <w:lang w:eastAsia="es-ES"/>
              </w:rPr>
            </w:pPr>
            <w:r w:rsidRPr="00470F32">
              <w:rPr>
                <w:sz w:val="16"/>
                <w:szCs w:val="16"/>
              </w:rPr>
              <w:t xml:space="preserve"> -</w:t>
            </w:r>
          </w:p>
        </w:tc>
        <w:tc>
          <w:tcPr>
            <w:tcW w:w="1281" w:type="dxa"/>
            <w:tcBorders>
              <w:top w:val="nil"/>
              <w:left w:val="nil"/>
              <w:bottom w:val="single" w:sz="4" w:space="0" w:color="auto"/>
              <w:right w:val="nil"/>
            </w:tcBorders>
            <w:shd w:val="clear" w:color="auto" w:fill="auto"/>
            <w:noWrap/>
            <w:vAlign w:val="center"/>
          </w:tcPr>
          <w:p w14:paraId="2D045EDE" w14:textId="77777777" w:rsidR="00612A4D" w:rsidRPr="00470F32" w:rsidRDefault="00612A4D" w:rsidP="0098422D">
            <w:pPr>
              <w:pBdr>
                <w:top w:val="none" w:sz="0" w:space="0" w:color="auto"/>
                <w:left w:val="none" w:sz="0" w:space="0" w:color="auto"/>
                <w:bottom w:val="none" w:sz="0" w:space="0" w:color="auto"/>
                <w:right w:val="none" w:sz="0" w:space="0" w:color="auto"/>
                <w:between w:val="none" w:sz="0" w:space="0" w:color="auto"/>
                <w:bar w:val="none" w:sz="0" w:color="auto"/>
              </w:pBdr>
              <w:jc w:val="right"/>
              <w:outlineLvl w:val="9"/>
              <w:rPr>
                <w:rFonts w:eastAsia="Times New Roman"/>
                <w:color w:val="auto"/>
                <w:sz w:val="16"/>
                <w:szCs w:val="16"/>
                <w:bdr w:val="none" w:sz="0" w:space="0" w:color="auto"/>
                <w:lang w:eastAsia="es-ES"/>
              </w:rPr>
            </w:pPr>
            <w:r w:rsidRPr="00470F32">
              <w:rPr>
                <w:sz w:val="16"/>
                <w:szCs w:val="16"/>
              </w:rPr>
              <w:t>(339.669,66)</w:t>
            </w:r>
          </w:p>
        </w:tc>
      </w:tr>
      <w:tr w:rsidR="00612A4D" w:rsidRPr="007E7835" w14:paraId="4FF1CE3E" w14:textId="77777777" w:rsidTr="00B1370C">
        <w:trPr>
          <w:trHeight w:val="283"/>
        </w:trPr>
        <w:tc>
          <w:tcPr>
            <w:tcW w:w="2436" w:type="dxa"/>
            <w:tcBorders>
              <w:top w:val="nil"/>
              <w:left w:val="nil"/>
              <w:bottom w:val="nil"/>
              <w:right w:val="nil"/>
            </w:tcBorders>
            <w:shd w:val="clear" w:color="auto" w:fill="auto"/>
            <w:vAlign w:val="center"/>
            <w:hideMark/>
          </w:tcPr>
          <w:p w14:paraId="04C3FCA2" w14:textId="77777777" w:rsidR="00612A4D" w:rsidRPr="007E7835" w:rsidRDefault="00612A4D" w:rsidP="0098422D">
            <w:pPr>
              <w:pBdr>
                <w:top w:val="none" w:sz="0" w:space="0" w:color="auto"/>
                <w:left w:val="none" w:sz="0" w:space="0" w:color="auto"/>
                <w:bottom w:val="none" w:sz="0" w:space="0" w:color="auto"/>
                <w:right w:val="none" w:sz="0" w:space="0" w:color="auto"/>
                <w:between w:val="none" w:sz="0" w:space="0" w:color="auto"/>
                <w:bar w:val="none" w:sz="0" w:color="auto"/>
              </w:pBdr>
              <w:jc w:val="right"/>
              <w:outlineLvl w:val="9"/>
              <w:rPr>
                <w:rFonts w:eastAsia="Times New Roman"/>
                <w:color w:val="auto"/>
                <w:sz w:val="16"/>
                <w:szCs w:val="16"/>
                <w:bdr w:val="none" w:sz="0" w:space="0" w:color="auto"/>
                <w:lang w:eastAsia="es-ES"/>
              </w:rPr>
            </w:pPr>
          </w:p>
        </w:tc>
        <w:tc>
          <w:tcPr>
            <w:tcW w:w="1279" w:type="dxa"/>
            <w:tcBorders>
              <w:top w:val="nil"/>
              <w:left w:val="nil"/>
              <w:bottom w:val="nil"/>
              <w:right w:val="nil"/>
            </w:tcBorders>
            <w:shd w:val="clear" w:color="auto" w:fill="auto"/>
            <w:vAlign w:val="center"/>
          </w:tcPr>
          <w:p w14:paraId="6DBF814E" w14:textId="77777777" w:rsidR="00612A4D" w:rsidRPr="00470F32" w:rsidRDefault="00612A4D" w:rsidP="0098422D">
            <w:pPr>
              <w:pBdr>
                <w:top w:val="none" w:sz="0" w:space="0" w:color="auto"/>
                <w:left w:val="none" w:sz="0" w:space="0" w:color="auto"/>
                <w:bottom w:val="none" w:sz="0" w:space="0" w:color="auto"/>
                <w:right w:val="none" w:sz="0" w:space="0" w:color="auto"/>
                <w:between w:val="none" w:sz="0" w:space="0" w:color="auto"/>
                <w:bar w:val="none" w:sz="0" w:color="auto"/>
              </w:pBdr>
              <w:jc w:val="right"/>
              <w:outlineLvl w:val="9"/>
              <w:rPr>
                <w:rFonts w:eastAsia="Times New Roman"/>
                <w:b/>
                <w:bCs/>
                <w:sz w:val="16"/>
                <w:szCs w:val="16"/>
                <w:bdr w:val="none" w:sz="0" w:space="0" w:color="auto"/>
                <w:lang w:eastAsia="es-ES"/>
              </w:rPr>
            </w:pPr>
            <w:r w:rsidRPr="00470F32">
              <w:rPr>
                <w:b/>
                <w:bCs/>
                <w:sz w:val="16"/>
                <w:szCs w:val="16"/>
              </w:rPr>
              <w:t>(941.062,46)</w:t>
            </w:r>
          </w:p>
        </w:tc>
        <w:tc>
          <w:tcPr>
            <w:tcW w:w="1246" w:type="dxa"/>
            <w:tcBorders>
              <w:top w:val="nil"/>
              <w:left w:val="nil"/>
              <w:bottom w:val="nil"/>
              <w:right w:val="nil"/>
            </w:tcBorders>
            <w:shd w:val="clear" w:color="auto" w:fill="auto"/>
            <w:vAlign w:val="center"/>
          </w:tcPr>
          <w:p w14:paraId="66D07EDA" w14:textId="77777777" w:rsidR="00612A4D" w:rsidRPr="00470F32" w:rsidRDefault="00612A4D" w:rsidP="0098422D">
            <w:pPr>
              <w:pBdr>
                <w:top w:val="none" w:sz="0" w:space="0" w:color="auto"/>
                <w:left w:val="none" w:sz="0" w:space="0" w:color="auto"/>
                <w:bottom w:val="none" w:sz="0" w:space="0" w:color="auto"/>
                <w:right w:val="none" w:sz="0" w:space="0" w:color="auto"/>
                <w:between w:val="none" w:sz="0" w:space="0" w:color="auto"/>
                <w:bar w:val="none" w:sz="0" w:color="auto"/>
              </w:pBdr>
              <w:jc w:val="right"/>
              <w:outlineLvl w:val="9"/>
              <w:rPr>
                <w:rFonts w:eastAsia="Times New Roman"/>
                <w:b/>
                <w:bCs/>
                <w:sz w:val="16"/>
                <w:szCs w:val="16"/>
                <w:bdr w:val="none" w:sz="0" w:space="0" w:color="auto"/>
                <w:lang w:eastAsia="es-ES"/>
              </w:rPr>
            </w:pPr>
            <w:r w:rsidRPr="00470F32">
              <w:rPr>
                <w:b/>
                <w:bCs/>
                <w:sz w:val="16"/>
                <w:szCs w:val="16"/>
              </w:rPr>
              <w:t>(127.094,75)</w:t>
            </w:r>
          </w:p>
        </w:tc>
        <w:tc>
          <w:tcPr>
            <w:tcW w:w="1237" w:type="dxa"/>
            <w:tcBorders>
              <w:top w:val="single" w:sz="4" w:space="0" w:color="auto"/>
              <w:left w:val="nil"/>
              <w:bottom w:val="nil"/>
              <w:right w:val="nil"/>
            </w:tcBorders>
            <w:shd w:val="clear" w:color="auto" w:fill="auto"/>
            <w:vAlign w:val="center"/>
          </w:tcPr>
          <w:p w14:paraId="679F523A" w14:textId="77777777" w:rsidR="00612A4D" w:rsidRPr="00470F32" w:rsidRDefault="00612A4D" w:rsidP="0098422D">
            <w:pPr>
              <w:pBdr>
                <w:top w:val="none" w:sz="0" w:space="0" w:color="auto"/>
                <w:left w:val="none" w:sz="0" w:space="0" w:color="auto"/>
                <w:bottom w:val="none" w:sz="0" w:space="0" w:color="auto"/>
                <w:right w:val="none" w:sz="0" w:space="0" w:color="auto"/>
                <w:between w:val="none" w:sz="0" w:space="0" w:color="auto"/>
                <w:bar w:val="none" w:sz="0" w:color="auto"/>
              </w:pBdr>
              <w:jc w:val="right"/>
              <w:outlineLvl w:val="9"/>
              <w:rPr>
                <w:rFonts w:eastAsia="Times New Roman"/>
                <w:b/>
                <w:bCs/>
                <w:sz w:val="16"/>
                <w:szCs w:val="16"/>
                <w:bdr w:val="none" w:sz="0" w:space="0" w:color="auto"/>
                <w:lang w:eastAsia="es-ES"/>
              </w:rPr>
            </w:pPr>
            <w:r w:rsidRPr="00470F32">
              <w:rPr>
                <w:b/>
                <w:bCs/>
                <w:sz w:val="16"/>
                <w:szCs w:val="16"/>
              </w:rPr>
              <w:t>338,58</w:t>
            </w:r>
          </w:p>
        </w:tc>
        <w:tc>
          <w:tcPr>
            <w:tcW w:w="1243" w:type="dxa"/>
            <w:tcBorders>
              <w:top w:val="single" w:sz="4" w:space="0" w:color="auto"/>
              <w:left w:val="nil"/>
              <w:bottom w:val="nil"/>
              <w:right w:val="nil"/>
            </w:tcBorders>
            <w:shd w:val="clear" w:color="auto" w:fill="auto"/>
            <w:vAlign w:val="center"/>
          </w:tcPr>
          <w:p w14:paraId="66225D86" w14:textId="77777777" w:rsidR="00612A4D" w:rsidRPr="00470F32" w:rsidRDefault="00612A4D" w:rsidP="0098422D">
            <w:pPr>
              <w:pBdr>
                <w:top w:val="none" w:sz="0" w:space="0" w:color="auto"/>
                <w:left w:val="none" w:sz="0" w:space="0" w:color="auto"/>
                <w:bottom w:val="none" w:sz="0" w:space="0" w:color="auto"/>
                <w:right w:val="none" w:sz="0" w:space="0" w:color="auto"/>
                <w:between w:val="none" w:sz="0" w:space="0" w:color="auto"/>
                <w:bar w:val="none" w:sz="0" w:color="auto"/>
              </w:pBdr>
              <w:jc w:val="right"/>
              <w:outlineLvl w:val="9"/>
              <w:rPr>
                <w:rFonts w:eastAsia="Times New Roman"/>
                <w:b/>
                <w:bCs/>
                <w:sz w:val="16"/>
                <w:szCs w:val="16"/>
                <w:bdr w:val="none" w:sz="0" w:space="0" w:color="auto"/>
                <w:lang w:eastAsia="es-ES"/>
              </w:rPr>
            </w:pPr>
            <w:r w:rsidRPr="00470F32">
              <w:rPr>
                <w:b/>
                <w:bCs/>
                <w:sz w:val="16"/>
                <w:szCs w:val="16"/>
              </w:rPr>
              <w:t xml:space="preserve"> -</w:t>
            </w:r>
          </w:p>
        </w:tc>
        <w:tc>
          <w:tcPr>
            <w:tcW w:w="1281" w:type="dxa"/>
            <w:tcBorders>
              <w:top w:val="nil"/>
              <w:left w:val="nil"/>
              <w:bottom w:val="nil"/>
              <w:right w:val="nil"/>
            </w:tcBorders>
            <w:shd w:val="clear" w:color="auto" w:fill="auto"/>
            <w:vAlign w:val="center"/>
          </w:tcPr>
          <w:p w14:paraId="4F6AD171" w14:textId="77777777" w:rsidR="00612A4D" w:rsidRPr="00470F32" w:rsidRDefault="00612A4D" w:rsidP="0098422D">
            <w:pPr>
              <w:pBdr>
                <w:top w:val="none" w:sz="0" w:space="0" w:color="auto"/>
                <w:left w:val="none" w:sz="0" w:space="0" w:color="auto"/>
                <w:bottom w:val="none" w:sz="0" w:space="0" w:color="auto"/>
                <w:right w:val="none" w:sz="0" w:space="0" w:color="auto"/>
                <w:between w:val="none" w:sz="0" w:space="0" w:color="auto"/>
                <w:bar w:val="none" w:sz="0" w:color="auto"/>
              </w:pBdr>
              <w:jc w:val="right"/>
              <w:outlineLvl w:val="9"/>
              <w:rPr>
                <w:rFonts w:eastAsia="Times New Roman"/>
                <w:b/>
                <w:bCs/>
                <w:sz w:val="16"/>
                <w:szCs w:val="16"/>
                <w:bdr w:val="none" w:sz="0" w:space="0" w:color="auto"/>
                <w:lang w:eastAsia="es-ES"/>
              </w:rPr>
            </w:pPr>
            <w:r w:rsidRPr="00470F32">
              <w:rPr>
                <w:b/>
                <w:bCs/>
                <w:sz w:val="16"/>
                <w:szCs w:val="16"/>
              </w:rPr>
              <w:t>(1.067.818,63)</w:t>
            </w:r>
          </w:p>
        </w:tc>
      </w:tr>
      <w:tr w:rsidR="00612A4D" w:rsidRPr="007E7835" w14:paraId="40CBFD1E" w14:textId="77777777" w:rsidTr="00B1370C">
        <w:trPr>
          <w:trHeight w:val="283"/>
        </w:trPr>
        <w:tc>
          <w:tcPr>
            <w:tcW w:w="2436" w:type="dxa"/>
            <w:tcBorders>
              <w:top w:val="single" w:sz="4" w:space="0" w:color="auto"/>
              <w:left w:val="nil"/>
              <w:bottom w:val="single" w:sz="4" w:space="0" w:color="auto"/>
              <w:right w:val="nil"/>
            </w:tcBorders>
            <w:shd w:val="clear" w:color="auto" w:fill="auto"/>
            <w:vAlign w:val="center"/>
            <w:hideMark/>
          </w:tcPr>
          <w:p w14:paraId="0A81F379" w14:textId="77777777" w:rsidR="00612A4D" w:rsidRPr="007E7835" w:rsidRDefault="00612A4D" w:rsidP="0098422D">
            <w:pPr>
              <w:pBdr>
                <w:top w:val="none" w:sz="0" w:space="0" w:color="auto"/>
                <w:left w:val="none" w:sz="0" w:space="0" w:color="auto"/>
                <w:bottom w:val="none" w:sz="0" w:space="0" w:color="auto"/>
                <w:right w:val="none" w:sz="0" w:space="0" w:color="auto"/>
                <w:between w:val="none" w:sz="0" w:space="0" w:color="auto"/>
                <w:bar w:val="none" w:sz="0" w:color="auto"/>
              </w:pBdr>
              <w:outlineLvl w:val="9"/>
              <w:rPr>
                <w:rFonts w:eastAsia="Times New Roman"/>
                <w:b/>
                <w:bCs/>
                <w:sz w:val="16"/>
                <w:szCs w:val="16"/>
                <w:bdr w:val="none" w:sz="0" w:space="0" w:color="auto"/>
                <w:lang w:eastAsia="es-ES"/>
              </w:rPr>
            </w:pPr>
            <w:r w:rsidRPr="007E7835">
              <w:rPr>
                <w:rFonts w:eastAsia="Times New Roman"/>
                <w:b/>
                <w:bCs/>
                <w:sz w:val="16"/>
                <w:szCs w:val="16"/>
                <w:bdr w:val="none" w:sz="0" w:space="0" w:color="auto"/>
                <w:lang w:eastAsia="es-ES"/>
              </w:rPr>
              <w:t>Valor neto contable</w:t>
            </w:r>
          </w:p>
        </w:tc>
        <w:tc>
          <w:tcPr>
            <w:tcW w:w="1279" w:type="dxa"/>
            <w:tcBorders>
              <w:top w:val="single" w:sz="4" w:space="0" w:color="auto"/>
              <w:left w:val="nil"/>
              <w:bottom w:val="single" w:sz="4" w:space="0" w:color="auto"/>
              <w:right w:val="nil"/>
            </w:tcBorders>
            <w:shd w:val="clear" w:color="auto" w:fill="auto"/>
            <w:vAlign w:val="center"/>
          </w:tcPr>
          <w:p w14:paraId="36661F5B" w14:textId="77777777" w:rsidR="00612A4D" w:rsidRPr="00470F32" w:rsidRDefault="00612A4D" w:rsidP="0098422D">
            <w:pPr>
              <w:pBdr>
                <w:top w:val="none" w:sz="0" w:space="0" w:color="auto"/>
                <w:left w:val="none" w:sz="0" w:space="0" w:color="auto"/>
                <w:bottom w:val="none" w:sz="0" w:space="0" w:color="auto"/>
                <w:right w:val="none" w:sz="0" w:space="0" w:color="auto"/>
                <w:between w:val="none" w:sz="0" w:space="0" w:color="auto"/>
                <w:bar w:val="none" w:sz="0" w:color="auto"/>
              </w:pBdr>
              <w:jc w:val="right"/>
              <w:outlineLvl w:val="9"/>
              <w:rPr>
                <w:rFonts w:eastAsia="Times New Roman"/>
                <w:b/>
                <w:bCs/>
                <w:sz w:val="16"/>
                <w:szCs w:val="16"/>
                <w:bdr w:val="none" w:sz="0" w:space="0" w:color="auto"/>
                <w:lang w:eastAsia="es-ES"/>
              </w:rPr>
            </w:pPr>
            <w:r w:rsidRPr="00470F32">
              <w:rPr>
                <w:b/>
                <w:bCs/>
                <w:sz w:val="16"/>
                <w:szCs w:val="16"/>
              </w:rPr>
              <w:t>340.593,85</w:t>
            </w:r>
          </w:p>
        </w:tc>
        <w:tc>
          <w:tcPr>
            <w:tcW w:w="1246" w:type="dxa"/>
            <w:tcBorders>
              <w:top w:val="single" w:sz="4" w:space="0" w:color="auto"/>
              <w:left w:val="nil"/>
              <w:bottom w:val="single" w:sz="4" w:space="0" w:color="auto"/>
              <w:right w:val="nil"/>
            </w:tcBorders>
            <w:shd w:val="clear" w:color="auto" w:fill="auto"/>
            <w:vAlign w:val="center"/>
          </w:tcPr>
          <w:p w14:paraId="06CDBAF5" w14:textId="77777777" w:rsidR="00612A4D" w:rsidRPr="00470F32" w:rsidRDefault="00612A4D" w:rsidP="0098422D">
            <w:pPr>
              <w:pBdr>
                <w:top w:val="none" w:sz="0" w:space="0" w:color="auto"/>
                <w:left w:val="none" w:sz="0" w:space="0" w:color="auto"/>
                <w:bottom w:val="none" w:sz="0" w:space="0" w:color="auto"/>
                <w:right w:val="none" w:sz="0" w:space="0" w:color="auto"/>
                <w:between w:val="none" w:sz="0" w:space="0" w:color="auto"/>
                <w:bar w:val="none" w:sz="0" w:color="auto"/>
              </w:pBdr>
              <w:jc w:val="right"/>
              <w:outlineLvl w:val="9"/>
              <w:rPr>
                <w:rFonts w:eastAsia="Times New Roman"/>
                <w:b/>
                <w:bCs/>
                <w:sz w:val="16"/>
                <w:szCs w:val="16"/>
                <w:bdr w:val="none" w:sz="0" w:space="0" w:color="auto"/>
                <w:lang w:eastAsia="es-ES"/>
              </w:rPr>
            </w:pPr>
            <w:r w:rsidRPr="00470F32">
              <w:rPr>
                <w:b/>
                <w:bCs/>
                <w:sz w:val="16"/>
                <w:szCs w:val="16"/>
              </w:rPr>
              <w:t> </w:t>
            </w:r>
          </w:p>
        </w:tc>
        <w:tc>
          <w:tcPr>
            <w:tcW w:w="1237" w:type="dxa"/>
            <w:tcBorders>
              <w:top w:val="single" w:sz="4" w:space="0" w:color="auto"/>
              <w:left w:val="nil"/>
              <w:bottom w:val="single" w:sz="4" w:space="0" w:color="auto"/>
              <w:right w:val="nil"/>
            </w:tcBorders>
            <w:shd w:val="clear" w:color="auto" w:fill="auto"/>
            <w:vAlign w:val="center"/>
          </w:tcPr>
          <w:p w14:paraId="1D89F4C4" w14:textId="77777777" w:rsidR="00612A4D" w:rsidRPr="00470F32" w:rsidRDefault="00612A4D" w:rsidP="0098422D">
            <w:pPr>
              <w:pBdr>
                <w:top w:val="none" w:sz="0" w:space="0" w:color="auto"/>
                <w:left w:val="none" w:sz="0" w:space="0" w:color="auto"/>
                <w:bottom w:val="none" w:sz="0" w:space="0" w:color="auto"/>
                <w:right w:val="none" w:sz="0" w:space="0" w:color="auto"/>
                <w:between w:val="none" w:sz="0" w:space="0" w:color="auto"/>
                <w:bar w:val="none" w:sz="0" w:color="auto"/>
              </w:pBdr>
              <w:jc w:val="right"/>
              <w:outlineLvl w:val="9"/>
              <w:rPr>
                <w:rFonts w:eastAsia="Times New Roman"/>
                <w:b/>
                <w:bCs/>
                <w:sz w:val="16"/>
                <w:szCs w:val="16"/>
                <w:bdr w:val="none" w:sz="0" w:space="0" w:color="auto"/>
                <w:lang w:eastAsia="es-ES"/>
              </w:rPr>
            </w:pPr>
            <w:r w:rsidRPr="00470F32">
              <w:rPr>
                <w:b/>
                <w:bCs/>
                <w:sz w:val="16"/>
                <w:szCs w:val="16"/>
              </w:rPr>
              <w:t> </w:t>
            </w:r>
          </w:p>
        </w:tc>
        <w:tc>
          <w:tcPr>
            <w:tcW w:w="1243" w:type="dxa"/>
            <w:tcBorders>
              <w:top w:val="single" w:sz="4" w:space="0" w:color="auto"/>
              <w:left w:val="nil"/>
              <w:bottom w:val="single" w:sz="4" w:space="0" w:color="auto"/>
              <w:right w:val="nil"/>
            </w:tcBorders>
            <w:shd w:val="clear" w:color="auto" w:fill="auto"/>
            <w:vAlign w:val="center"/>
          </w:tcPr>
          <w:p w14:paraId="507FB9AD" w14:textId="77777777" w:rsidR="00612A4D" w:rsidRPr="00470F32" w:rsidRDefault="00612A4D" w:rsidP="0098422D">
            <w:pPr>
              <w:pBdr>
                <w:top w:val="none" w:sz="0" w:space="0" w:color="auto"/>
                <w:left w:val="none" w:sz="0" w:space="0" w:color="auto"/>
                <w:bottom w:val="none" w:sz="0" w:space="0" w:color="auto"/>
                <w:right w:val="none" w:sz="0" w:space="0" w:color="auto"/>
                <w:between w:val="none" w:sz="0" w:space="0" w:color="auto"/>
                <w:bar w:val="none" w:sz="0" w:color="auto"/>
              </w:pBdr>
              <w:jc w:val="right"/>
              <w:outlineLvl w:val="9"/>
              <w:rPr>
                <w:rFonts w:eastAsia="Times New Roman"/>
                <w:b/>
                <w:bCs/>
                <w:sz w:val="16"/>
                <w:szCs w:val="16"/>
                <w:bdr w:val="none" w:sz="0" w:space="0" w:color="auto"/>
                <w:lang w:eastAsia="es-ES"/>
              </w:rPr>
            </w:pPr>
            <w:r w:rsidRPr="00470F32">
              <w:rPr>
                <w:b/>
                <w:bCs/>
                <w:sz w:val="16"/>
                <w:szCs w:val="16"/>
              </w:rPr>
              <w:t> </w:t>
            </w:r>
          </w:p>
        </w:tc>
        <w:tc>
          <w:tcPr>
            <w:tcW w:w="1281" w:type="dxa"/>
            <w:tcBorders>
              <w:top w:val="single" w:sz="4" w:space="0" w:color="auto"/>
              <w:left w:val="nil"/>
              <w:bottom w:val="single" w:sz="4" w:space="0" w:color="auto"/>
              <w:right w:val="nil"/>
            </w:tcBorders>
            <w:shd w:val="clear" w:color="auto" w:fill="auto"/>
            <w:vAlign w:val="center"/>
          </w:tcPr>
          <w:p w14:paraId="4F02FDB6" w14:textId="77777777" w:rsidR="00612A4D" w:rsidRPr="00470F32" w:rsidRDefault="00612A4D" w:rsidP="0098422D">
            <w:pPr>
              <w:pBdr>
                <w:top w:val="none" w:sz="0" w:space="0" w:color="auto"/>
                <w:left w:val="none" w:sz="0" w:space="0" w:color="auto"/>
                <w:bottom w:val="none" w:sz="0" w:space="0" w:color="auto"/>
                <w:right w:val="none" w:sz="0" w:space="0" w:color="auto"/>
                <w:between w:val="none" w:sz="0" w:space="0" w:color="auto"/>
                <w:bar w:val="none" w:sz="0" w:color="auto"/>
              </w:pBdr>
              <w:jc w:val="right"/>
              <w:outlineLvl w:val="9"/>
              <w:rPr>
                <w:rFonts w:eastAsia="Times New Roman"/>
                <w:b/>
                <w:bCs/>
                <w:sz w:val="16"/>
                <w:szCs w:val="16"/>
                <w:bdr w:val="none" w:sz="0" w:space="0" w:color="auto"/>
                <w:lang w:eastAsia="es-ES"/>
              </w:rPr>
            </w:pPr>
            <w:r w:rsidRPr="00470F32">
              <w:rPr>
                <w:b/>
                <w:bCs/>
                <w:sz w:val="16"/>
                <w:szCs w:val="16"/>
              </w:rPr>
              <w:t>222.464,71</w:t>
            </w:r>
          </w:p>
        </w:tc>
      </w:tr>
    </w:tbl>
    <w:p w14:paraId="6CBA451B" w14:textId="0A2EA691" w:rsidR="00612A4D" w:rsidRPr="005644E5" w:rsidRDefault="00612A4D" w:rsidP="00612A4D">
      <w:pPr>
        <w:widowControl w:val="0"/>
        <w:spacing w:before="240" w:after="120" w:line="260" w:lineRule="exact"/>
        <w:jc w:val="both"/>
        <w:outlineLvl w:val="9"/>
        <w:rPr>
          <w:snapToGrid w:val="0"/>
          <w:sz w:val="20"/>
          <w:szCs w:val="22"/>
        </w:rPr>
      </w:pPr>
      <w:r w:rsidRPr="004F05A0">
        <w:rPr>
          <w:snapToGrid w:val="0"/>
          <w:sz w:val="20"/>
          <w:szCs w:val="22"/>
        </w:rPr>
        <w:t>Las altas del ejercicio 2023</w:t>
      </w:r>
      <w:r>
        <w:rPr>
          <w:snapToGrid w:val="0"/>
          <w:sz w:val="20"/>
          <w:szCs w:val="22"/>
        </w:rPr>
        <w:t xml:space="preserve"> se correspond</w:t>
      </w:r>
      <w:r w:rsidR="00ED0342">
        <w:rPr>
          <w:snapToGrid w:val="0"/>
          <w:sz w:val="20"/>
          <w:szCs w:val="22"/>
        </w:rPr>
        <w:t>ieron</w:t>
      </w:r>
      <w:r>
        <w:rPr>
          <w:snapToGrid w:val="0"/>
          <w:sz w:val="20"/>
          <w:szCs w:val="22"/>
        </w:rPr>
        <w:t xml:space="preserve"> principalmente con mobiliario de oficina.</w:t>
      </w:r>
    </w:p>
    <w:p w14:paraId="7DE7EA68" w14:textId="594FB304" w:rsidR="006220A2" w:rsidRDefault="00720788" w:rsidP="006220A2">
      <w:pPr>
        <w:widowControl w:val="0"/>
        <w:tabs>
          <w:tab w:val="left" w:pos="284"/>
        </w:tabs>
        <w:spacing w:before="200"/>
        <w:rPr>
          <w:sz w:val="20"/>
          <w:szCs w:val="22"/>
          <w:u w:val="single"/>
        </w:rPr>
      </w:pPr>
      <w:r>
        <w:rPr>
          <w:sz w:val="20"/>
          <w:szCs w:val="22"/>
        </w:rPr>
        <w:t>a</w:t>
      </w:r>
      <w:r w:rsidR="006220A2" w:rsidRPr="0083433F">
        <w:rPr>
          <w:sz w:val="20"/>
          <w:szCs w:val="22"/>
        </w:rPr>
        <w:t>)</w:t>
      </w:r>
      <w:r w:rsidR="006220A2" w:rsidRPr="0083433F">
        <w:rPr>
          <w:sz w:val="20"/>
          <w:szCs w:val="22"/>
        </w:rPr>
        <w:tab/>
      </w:r>
      <w:r w:rsidR="006220A2" w:rsidRPr="0083433F">
        <w:rPr>
          <w:sz w:val="20"/>
          <w:szCs w:val="22"/>
          <w:u w:val="single"/>
        </w:rPr>
        <w:t xml:space="preserve">Pérdidas por deterioro </w:t>
      </w:r>
      <w:r w:rsidR="0073325C" w:rsidRPr="0083433F">
        <w:rPr>
          <w:sz w:val="20"/>
          <w:szCs w:val="22"/>
          <w:u w:val="single"/>
        </w:rPr>
        <w:t>y enajenación del inmovilizado.</w:t>
      </w:r>
    </w:p>
    <w:p w14:paraId="451899A2" w14:textId="70648EEA" w:rsidR="000C3260" w:rsidRDefault="00DA1EFA" w:rsidP="004A41D6">
      <w:pPr>
        <w:widowControl w:val="0"/>
        <w:spacing w:before="120" w:after="120" w:line="260" w:lineRule="exact"/>
        <w:jc w:val="both"/>
        <w:outlineLvl w:val="9"/>
        <w:rPr>
          <w:snapToGrid w:val="0"/>
          <w:sz w:val="20"/>
          <w:szCs w:val="22"/>
        </w:rPr>
      </w:pPr>
      <w:r w:rsidRPr="005644E5">
        <w:rPr>
          <w:snapToGrid w:val="0"/>
          <w:sz w:val="20"/>
          <w:szCs w:val="22"/>
        </w:rPr>
        <w:t xml:space="preserve">Durante el ejercicio </w:t>
      </w:r>
      <w:r w:rsidRPr="00ED0342">
        <w:rPr>
          <w:snapToGrid w:val="0"/>
          <w:sz w:val="20"/>
          <w:szCs w:val="22"/>
        </w:rPr>
        <w:t>202</w:t>
      </w:r>
      <w:r w:rsidR="00612A4D" w:rsidRPr="00ED0342">
        <w:rPr>
          <w:snapToGrid w:val="0"/>
          <w:sz w:val="20"/>
          <w:szCs w:val="22"/>
        </w:rPr>
        <w:t>4</w:t>
      </w:r>
      <w:r w:rsidR="000C3260" w:rsidRPr="00ED0342">
        <w:rPr>
          <w:snapToGrid w:val="0"/>
          <w:sz w:val="20"/>
          <w:szCs w:val="22"/>
        </w:rPr>
        <w:t xml:space="preserve"> </w:t>
      </w:r>
      <w:r w:rsidR="00EF7826" w:rsidRPr="00ED0342">
        <w:rPr>
          <w:snapToGrid w:val="0"/>
          <w:sz w:val="20"/>
          <w:szCs w:val="22"/>
        </w:rPr>
        <w:t>y 20</w:t>
      </w:r>
      <w:r w:rsidR="00156E4B" w:rsidRPr="00ED0342">
        <w:rPr>
          <w:snapToGrid w:val="0"/>
          <w:sz w:val="20"/>
          <w:szCs w:val="22"/>
        </w:rPr>
        <w:t>2</w:t>
      </w:r>
      <w:r w:rsidR="00612A4D" w:rsidRPr="00ED0342">
        <w:rPr>
          <w:snapToGrid w:val="0"/>
          <w:sz w:val="20"/>
          <w:szCs w:val="22"/>
        </w:rPr>
        <w:t>3</w:t>
      </w:r>
      <w:r w:rsidR="00EF7826" w:rsidRPr="00ED0342">
        <w:rPr>
          <w:snapToGrid w:val="0"/>
          <w:sz w:val="20"/>
          <w:szCs w:val="22"/>
        </w:rPr>
        <w:t xml:space="preserve"> </w:t>
      </w:r>
      <w:r w:rsidRPr="00ED0342">
        <w:rPr>
          <w:snapToGrid w:val="0"/>
          <w:sz w:val="20"/>
          <w:szCs w:val="22"/>
        </w:rPr>
        <w:t>no se ha reconocido ni revertido correcciones valorativas por deterioro para ningún inmovilizado material.</w:t>
      </w:r>
    </w:p>
    <w:p w14:paraId="43F4CB8F" w14:textId="44D93CFC" w:rsidR="00A40674" w:rsidRPr="000D23A4" w:rsidRDefault="00A40674" w:rsidP="004A41D6">
      <w:pPr>
        <w:widowControl w:val="0"/>
        <w:spacing w:before="120" w:after="120" w:line="260" w:lineRule="exact"/>
        <w:jc w:val="both"/>
        <w:outlineLvl w:val="9"/>
        <w:rPr>
          <w:snapToGrid w:val="0"/>
          <w:sz w:val="20"/>
          <w:szCs w:val="22"/>
        </w:rPr>
      </w:pPr>
      <w:r w:rsidRPr="000D23A4">
        <w:rPr>
          <w:snapToGrid w:val="0"/>
          <w:sz w:val="20"/>
          <w:szCs w:val="22"/>
        </w:rPr>
        <w:t xml:space="preserve">En el ejercicio 2023 </w:t>
      </w:r>
      <w:r w:rsidR="000D23A4">
        <w:rPr>
          <w:snapToGrid w:val="0"/>
          <w:sz w:val="20"/>
          <w:szCs w:val="22"/>
        </w:rPr>
        <w:t>se vendió</w:t>
      </w:r>
      <w:r w:rsidRPr="000D23A4">
        <w:rPr>
          <w:snapToGrid w:val="0"/>
          <w:sz w:val="20"/>
          <w:szCs w:val="22"/>
        </w:rPr>
        <w:t xml:space="preserve"> un equipo informativo por su valor neto contable sin efecto en la cuenta de pérdidas y ganancias.</w:t>
      </w:r>
    </w:p>
    <w:p w14:paraId="096CE734" w14:textId="7550E3A4" w:rsidR="006220A2" w:rsidRPr="0083433F" w:rsidRDefault="00720788" w:rsidP="005644E5">
      <w:pPr>
        <w:keepNext/>
        <w:keepLines/>
        <w:widowControl w:val="0"/>
        <w:tabs>
          <w:tab w:val="left" w:pos="284"/>
        </w:tabs>
        <w:spacing w:before="200"/>
        <w:rPr>
          <w:sz w:val="20"/>
          <w:szCs w:val="22"/>
        </w:rPr>
      </w:pPr>
      <w:r>
        <w:rPr>
          <w:snapToGrid w:val="0"/>
          <w:sz w:val="20"/>
          <w:szCs w:val="22"/>
        </w:rPr>
        <w:lastRenderedPageBreak/>
        <w:t>b</w:t>
      </w:r>
      <w:r w:rsidR="006220A2" w:rsidRPr="0083433F">
        <w:rPr>
          <w:snapToGrid w:val="0"/>
          <w:sz w:val="20"/>
          <w:szCs w:val="22"/>
        </w:rPr>
        <w:t>)</w:t>
      </w:r>
      <w:r w:rsidR="006220A2" w:rsidRPr="0083433F">
        <w:rPr>
          <w:snapToGrid w:val="0"/>
          <w:sz w:val="20"/>
          <w:szCs w:val="22"/>
        </w:rPr>
        <w:tab/>
      </w:r>
      <w:r w:rsidR="006220A2" w:rsidRPr="0083433F">
        <w:rPr>
          <w:snapToGrid w:val="0"/>
          <w:sz w:val="20"/>
          <w:szCs w:val="22"/>
          <w:u w:val="single"/>
        </w:rPr>
        <w:t>Bienes totalmente amortizados</w:t>
      </w:r>
    </w:p>
    <w:p w14:paraId="31EE61E0" w14:textId="1E8B8ACD" w:rsidR="006220A2" w:rsidRPr="005644E5" w:rsidRDefault="006220A2" w:rsidP="004A41D6">
      <w:pPr>
        <w:keepNext/>
        <w:keepLines/>
        <w:widowControl w:val="0"/>
        <w:spacing w:before="120" w:after="120" w:line="260" w:lineRule="exact"/>
        <w:jc w:val="both"/>
        <w:outlineLvl w:val="9"/>
        <w:rPr>
          <w:snapToGrid w:val="0"/>
          <w:sz w:val="20"/>
          <w:szCs w:val="22"/>
        </w:rPr>
      </w:pPr>
      <w:bookmarkStart w:id="4" w:name="OLE_LINK3"/>
      <w:r w:rsidRPr="005644E5">
        <w:rPr>
          <w:snapToGrid w:val="0"/>
          <w:sz w:val="20"/>
          <w:szCs w:val="22"/>
        </w:rPr>
        <w:t xml:space="preserve">El desglose del inmovilizado </w:t>
      </w:r>
      <w:r w:rsidR="005644E5">
        <w:rPr>
          <w:snapToGrid w:val="0"/>
          <w:sz w:val="20"/>
          <w:szCs w:val="22"/>
        </w:rPr>
        <w:t xml:space="preserve">material </w:t>
      </w:r>
      <w:r w:rsidRPr="005644E5">
        <w:rPr>
          <w:snapToGrid w:val="0"/>
          <w:sz w:val="20"/>
          <w:szCs w:val="22"/>
        </w:rPr>
        <w:t xml:space="preserve">totalmente amortizado y </w:t>
      </w:r>
      <w:r w:rsidR="00403785" w:rsidRPr="005644E5">
        <w:rPr>
          <w:snapToGrid w:val="0"/>
          <w:sz w:val="20"/>
          <w:szCs w:val="22"/>
        </w:rPr>
        <w:t>en uso a 31 de diciembre de 20</w:t>
      </w:r>
      <w:r w:rsidR="008B575B" w:rsidRPr="005644E5">
        <w:rPr>
          <w:snapToGrid w:val="0"/>
          <w:sz w:val="20"/>
          <w:szCs w:val="22"/>
        </w:rPr>
        <w:t>2</w:t>
      </w:r>
      <w:r w:rsidR="00612A4D">
        <w:rPr>
          <w:snapToGrid w:val="0"/>
          <w:sz w:val="20"/>
          <w:szCs w:val="22"/>
        </w:rPr>
        <w:t>4</w:t>
      </w:r>
      <w:r w:rsidR="00403785" w:rsidRPr="005644E5">
        <w:rPr>
          <w:snapToGrid w:val="0"/>
          <w:sz w:val="20"/>
          <w:szCs w:val="22"/>
        </w:rPr>
        <w:t xml:space="preserve"> y 20</w:t>
      </w:r>
      <w:r w:rsidR="007579CC" w:rsidRPr="005644E5">
        <w:rPr>
          <w:snapToGrid w:val="0"/>
          <w:sz w:val="20"/>
          <w:szCs w:val="22"/>
        </w:rPr>
        <w:t>2</w:t>
      </w:r>
      <w:r w:rsidR="00612A4D">
        <w:rPr>
          <w:snapToGrid w:val="0"/>
          <w:sz w:val="20"/>
          <w:szCs w:val="22"/>
        </w:rPr>
        <w:t>3</w:t>
      </w:r>
      <w:r w:rsidRPr="005644E5">
        <w:rPr>
          <w:snapToGrid w:val="0"/>
          <w:sz w:val="20"/>
          <w:szCs w:val="22"/>
        </w:rPr>
        <w:t xml:space="preserve"> es el siguiente: </w:t>
      </w:r>
      <w:bookmarkEnd w:id="4"/>
    </w:p>
    <w:tbl>
      <w:tblPr>
        <w:tblW w:w="5000" w:type="pct"/>
        <w:jc w:val="center"/>
        <w:tblCellMar>
          <w:left w:w="70" w:type="dxa"/>
          <w:right w:w="70" w:type="dxa"/>
        </w:tblCellMar>
        <w:tblLook w:val="04A0" w:firstRow="1" w:lastRow="0" w:firstColumn="1" w:lastColumn="0" w:noHBand="0" w:noVBand="1"/>
      </w:tblPr>
      <w:tblGrid>
        <w:gridCol w:w="4757"/>
        <w:gridCol w:w="2013"/>
        <w:gridCol w:w="2011"/>
      </w:tblGrid>
      <w:tr w:rsidR="006220A2" w:rsidRPr="005644E5" w14:paraId="08D1662A" w14:textId="77777777" w:rsidTr="007E7835">
        <w:trPr>
          <w:trHeight w:val="227"/>
          <w:jc w:val="center"/>
        </w:trPr>
        <w:tc>
          <w:tcPr>
            <w:tcW w:w="2709" w:type="pct"/>
            <w:tcBorders>
              <w:top w:val="single" w:sz="4" w:space="0" w:color="auto"/>
              <w:left w:val="nil"/>
              <w:bottom w:val="nil"/>
              <w:right w:val="nil"/>
            </w:tcBorders>
            <w:shd w:val="clear" w:color="auto" w:fill="auto"/>
            <w:noWrap/>
            <w:vAlign w:val="bottom"/>
            <w:hideMark/>
          </w:tcPr>
          <w:p w14:paraId="212D99C1" w14:textId="77777777" w:rsidR="006220A2" w:rsidRPr="005644E5" w:rsidRDefault="006220A2" w:rsidP="00852114">
            <w:pPr>
              <w:jc w:val="center"/>
              <w:rPr>
                <w:rFonts w:eastAsia="Times New Roman"/>
                <w:sz w:val="18"/>
                <w:szCs w:val="18"/>
              </w:rPr>
            </w:pPr>
            <w:r w:rsidRPr="005644E5">
              <w:rPr>
                <w:rFonts w:eastAsia="Times New Roman"/>
                <w:sz w:val="18"/>
                <w:szCs w:val="18"/>
              </w:rPr>
              <w:t> </w:t>
            </w:r>
          </w:p>
        </w:tc>
        <w:tc>
          <w:tcPr>
            <w:tcW w:w="2291" w:type="pct"/>
            <w:gridSpan w:val="2"/>
            <w:tcBorders>
              <w:top w:val="single" w:sz="4" w:space="0" w:color="auto"/>
              <w:left w:val="nil"/>
              <w:bottom w:val="single" w:sz="4" w:space="0" w:color="auto"/>
              <w:right w:val="nil"/>
            </w:tcBorders>
            <w:shd w:val="clear" w:color="auto" w:fill="auto"/>
            <w:noWrap/>
            <w:vAlign w:val="bottom"/>
            <w:hideMark/>
          </w:tcPr>
          <w:p w14:paraId="6D70509C" w14:textId="77777777" w:rsidR="006220A2" w:rsidRPr="005644E5" w:rsidRDefault="006220A2" w:rsidP="005644E5">
            <w:pPr>
              <w:ind w:right="469"/>
              <w:jc w:val="center"/>
              <w:rPr>
                <w:rFonts w:eastAsia="Times New Roman"/>
                <w:b/>
                <w:bCs/>
                <w:sz w:val="18"/>
                <w:szCs w:val="18"/>
              </w:rPr>
            </w:pPr>
            <w:r w:rsidRPr="005644E5">
              <w:rPr>
                <w:rFonts w:eastAsia="Times New Roman"/>
                <w:b/>
                <w:bCs/>
                <w:sz w:val="18"/>
                <w:szCs w:val="18"/>
              </w:rPr>
              <w:t>Euros</w:t>
            </w:r>
          </w:p>
        </w:tc>
      </w:tr>
      <w:tr w:rsidR="00A5041E" w:rsidRPr="005644E5" w14:paraId="6FE347CE" w14:textId="77777777" w:rsidTr="00612A4D">
        <w:trPr>
          <w:trHeight w:val="227"/>
          <w:jc w:val="center"/>
        </w:trPr>
        <w:tc>
          <w:tcPr>
            <w:tcW w:w="2709" w:type="pct"/>
            <w:tcBorders>
              <w:top w:val="nil"/>
              <w:left w:val="nil"/>
              <w:bottom w:val="single" w:sz="4" w:space="0" w:color="auto"/>
              <w:right w:val="nil"/>
            </w:tcBorders>
            <w:shd w:val="clear" w:color="auto" w:fill="auto"/>
            <w:noWrap/>
            <w:vAlign w:val="bottom"/>
            <w:hideMark/>
          </w:tcPr>
          <w:p w14:paraId="6449058A" w14:textId="77777777" w:rsidR="00A5041E" w:rsidRPr="005644E5" w:rsidRDefault="00A5041E" w:rsidP="00A5041E">
            <w:pPr>
              <w:jc w:val="center"/>
              <w:rPr>
                <w:rFonts w:eastAsia="Times New Roman"/>
                <w:sz w:val="18"/>
                <w:szCs w:val="18"/>
              </w:rPr>
            </w:pPr>
            <w:r w:rsidRPr="005644E5">
              <w:rPr>
                <w:rFonts w:eastAsia="Times New Roman"/>
                <w:sz w:val="18"/>
                <w:szCs w:val="18"/>
              </w:rPr>
              <w:t> </w:t>
            </w:r>
          </w:p>
        </w:tc>
        <w:tc>
          <w:tcPr>
            <w:tcW w:w="1146" w:type="pct"/>
            <w:tcBorders>
              <w:top w:val="nil"/>
              <w:left w:val="nil"/>
              <w:bottom w:val="single" w:sz="4" w:space="0" w:color="auto"/>
              <w:right w:val="nil"/>
            </w:tcBorders>
            <w:shd w:val="clear" w:color="auto" w:fill="auto"/>
            <w:noWrap/>
            <w:vAlign w:val="bottom"/>
            <w:hideMark/>
          </w:tcPr>
          <w:p w14:paraId="60666662" w14:textId="777BCD89" w:rsidR="00A5041E" w:rsidRPr="00A5041E" w:rsidRDefault="00A5041E" w:rsidP="00A5041E">
            <w:pPr>
              <w:ind w:right="469"/>
              <w:jc w:val="center"/>
              <w:rPr>
                <w:rFonts w:eastAsia="Times New Roman"/>
                <w:b/>
                <w:bCs/>
                <w:sz w:val="18"/>
                <w:szCs w:val="18"/>
              </w:rPr>
            </w:pPr>
            <w:r w:rsidRPr="00A5041E">
              <w:rPr>
                <w:b/>
                <w:bCs/>
                <w:sz w:val="18"/>
                <w:szCs w:val="18"/>
              </w:rPr>
              <w:t>31/12/202</w:t>
            </w:r>
            <w:r w:rsidR="00612A4D">
              <w:rPr>
                <w:b/>
                <w:bCs/>
                <w:sz w:val="18"/>
                <w:szCs w:val="18"/>
              </w:rPr>
              <w:t>4</w:t>
            </w:r>
          </w:p>
        </w:tc>
        <w:tc>
          <w:tcPr>
            <w:tcW w:w="1145" w:type="pct"/>
            <w:tcBorders>
              <w:top w:val="nil"/>
              <w:left w:val="nil"/>
              <w:bottom w:val="single" w:sz="4" w:space="0" w:color="auto"/>
              <w:right w:val="nil"/>
            </w:tcBorders>
            <w:shd w:val="clear" w:color="auto" w:fill="auto"/>
            <w:noWrap/>
            <w:vAlign w:val="bottom"/>
            <w:hideMark/>
          </w:tcPr>
          <w:p w14:paraId="5372A2FB" w14:textId="1667EB47" w:rsidR="00A5041E" w:rsidRPr="005644E5" w:rsidRDefault="00A5041E" w:rsidP="00A5041E">
            <w:pPr>
              <w:ind w:right="469"/>
              <w:jc w:val="center"/>
              <w:rPr>
                <w:rFonts w:eastAsia="Times New Roman"/>
                <w:b/>
                <w:bCs/>
                <w:sz w:val="18"/>
                <w:szCs w:val="18"/>
              </w:rPr>
            </w:pPr>
            <w:r w:rsidRPr="005644E5">
              <w:rPr>
                <w:rFonts w:eastAsia="Times New Roman"/>
                <w:b/>
                <w:bCs/>
                <w:sz w:val="18"/>
                <w:szCs w:val="18"/>
              </w:rPr>
              <w:t>31/12/202</w:t>
            </w:r>
            <w:r w:rsidR="00612A4D">
              <w:rPr>
                <w:rFonts w:eastAsia="Times New Roman"/>
                <w:b/>
                <w:bCs/>
                <w:sz w:val="18"/>
                <w:szCs w:val="18"/>
              </w:rPr>
              <w:t>3</w:t>
            </w:r>
          </w:p>
        </w:tc>
      </w:tr>
      <w:tr w:rsidR="00ED0342" w:rsidRPr="005644E5" w14:paraId="6144ADF8" w14:textId="77777777" w:rsidTr="007D05F9">
        <w:trPr>
          <w:trHeight w:val="283"/>
          <w:jc w:val="center"/>
        </w:trPr>
        <w:tc>
          <w:tcPr>
            <w:tcW w:w="2709" w:type="pct"/>
            <w:tcBorders>
              <w:top w:val="nil"/>
              <w:left w:val="nil"/>
              <w:bottom w:val="nil"/>
              <w:right w:val="nil"/>
            </w:tcBorders>
            <w:shd w:val="clear" w:color="auto" w:fill="auto"/>
            <w:vAlign w:val="center"/>
            <w:hideMark/>
          </w:tcPr>
          <w:p w14:paraId="7D4694C1" w14:textId="77777777" w:rsidR="00ED0342" w:rsidRPr="005644E5" w:rsidRDefault="00ED0342" w:rsidP="00ED0342">
            <w:pPr>
              <w:ind w:left="217"/>
              <w:rPr>
                <w:rFonts w:eastAsia="Times New Roman"/>
                <w:sz w:val="18"/>
                <w:szCs w:val="18"/>
              </w:rPr>
            </w:pPr>
            <w:r w:rsidRPr="005644E5">
              <w:rPr>
                <w:rFonts w:eastAsia="Times New Roman"/>
                <w:sz w:val="18"/>
                <w:szCs w:val="18"/>
              </w:rPr>
              <w:t>Construcciones</w:t>
            </w:r>
          </w:p>
        </w:tc>
        <w:tc>
          <w:tcPr>
            <w:tcW w:w="1146" w:type="pct"/>
            <w:tcBorders>
              <w:top w:val="nil"/>
              <w:left w:val="nil"/>
              <w:bottom w:val="nil"/>
              <w:right w:val="nil"/>
            </w:tcBorders>
            <w:shd w:val="clear" w:color="auto" w:fill="auto"/>
            <w:noWrap/>
            <w:vAlign w:val="center"/>
          </w:tcPr>
          <w:p w14:paraId="17C5B81C" w14:textId="5EC41CDF" w:rsidR="00ED0342" w:rsidRPr="007D05F9" w:rsidRDefault="00ED0342" w:rsidP="007D05F9">
            <w:pPr>
              <w:pBdr>
                <w:top w:val="none" w:sz="0" w:space="0" w:color="auto"/>
                <w:left w:val="none" w:sz="0" w:space="0" w:color="auto"/>
                <w:bottom w:val="none" w:sz="0" w:space="0" w:color="auto"/>
                <w:right w:val="none" w:sz="0" w:space="0" w:color="auto"/>
                <w:between w:val="none" w:sz="0" w:space="0" w:color="auto"/>
                <w:bar w:val="none" w:sz="0" w:color="auto"/>
              </w:pBdr>
              <w:ind w:left="217" w:right="469"/>
              <w:jc w:val="right"/>
              <w:outlineLvl w:val="9"/>
              <w:rPr>
                <w:rFonts w:eastAsia="Times New Roman"/>
                <w:sz w:val="18"/>
                <w:szCs w:val="18"/>
                <w:bdr w:val="none" w:sz="0" w:space="0" w:color="auto"/>
                <w:lang w:eastAsia="es-ES"/>
              </w:rPr>
            </w:pPr>
            <w:r w:rsidRPr="007D05F9">
              <w:rPr>
                <w:sz w:val="18"/>
                <w:szCs w:val="18"/>
              </w:rPr>
              <w:t>285.443,11</w:t>
            </w:r>
          </w:p>
        </w:tc>
        <w:tc>
          <w:tcPr>
            <w:tcW w:w="1145" w:type="pct"/>
            <w:tcBorders>
              <w:top w:val="nil"/>
              <w:left w:val="nil"/>
              <w:bottom w:val="nil"/>
              <w:right w:val="nil"/>
            </w:tcBorders>
            <w:shd w:val="clear" w:color="auto" w:fill="auto"/>
            <w:noWrap/>
            <w:vAlign w:val="center"/>
          </w:tcPr>
          <w:p w14:paraId="1734D7BA" w14:textId="13821FFD" w:rsidR="00ED0342" w:rsidRPr="005644E5" w:rsidRDefault="00ED0342" w:rsidP="007D05F9">
            <w:pPr>
              <w:pBdr>
                <w:top w:val="none" w:sz="0" w:space="0" w:color="auto"/>
                <w:left w:val="none" w:sz="0" w:space="0" w:color="auto"/>
                <w:bottom w:val="none" w:sz="0" w:space="0" w:color="auto"/>
                <w:right w:val="none" w:sz="0" w:space="0" w:color="auto"/>
                <w:between w:val="none" w:sz="0" w:space="0" w:color="auto"/>
                <w:bar w:val="none" w:sz="0" w:color="auto"/>
              </w:pBdr>
              <w:ind w:left="217" w:right="469"/>
              <w:jc w:val="right"/>
              <w:outlineLvl w:val="9"/>
              <w:rPr>
                <w:rFonts w:eastAsia="Times New Roman"/>
                <w:sz w:val="18"/>
                <w:szCs w:val="18"/>
                <w:bdr w:val="none" w:sz="0" w:space="0" w:color="auto"/>
                <w:lang w:eastAsia="es-ES"/>
              </w:rPr>
            </w:pPr>
            <w:r w:rsidRPr="00A40674">
              <w:rPr>
                <w:sz w:val="18"/>
                <w:szCs w:val="18"/>
              </w:rPr>
              <w:t>8.076,00</w:t>
            </w:r>
          </w:p>
        </w:tc>
      </w:tr>
      <w:tr w:rsidR="00ED0342" w:rsidRPr="005644E5" w14:paraId="0C4C6321" w14:textId="77777777" w:rsidTr="007D05F9">
        <w:trPr>
          <w:trHeight w:val="283"/>
          <w:jc w:val="center"/>
        </w:trPr>
        <w:tc>
          <w:tcPr>
            <w:tcW w:w="2709" w:type="pct"/>
            <w:tcBorders>
              <w:top w:val="nil"/>
              <w:left w:val="nil"/>
              <w:bottom w:val="nil"/>
              <w:right w:val="nil"/>
            </w:tcBorders>
            <w:shd w:val="clear" w:color="auto" w:fill="auto"/>
            <w:vAlign w:val="center"/>
            <w:hideMark/>
          </w:tcPr>
          <w:p w14:paraId="22D2F42A" w14:textId="77777777" w:rsidR="00ED0342" w:rsidRPr="005644E5" w:rsidRDefault="00ED0342" w:rsidP="00ED0342">
            <w:pPr>
              <w:ind w:left="217"/>
              <w:rPr>
                <w:rFonts w:eastAsia="Times New Roman"/>
                <w:sz w:val="18"/>
                <w:szCs w:val="18"/>
              </w:rPr>
            </w:pPr>
            <w:r w:rsidRPr="005644E5">
              <w:rPr>
                <w:rFonts w:eastAsia="Times New Roman"/>
                <w:sz w:val="18"/>
                <w:szCs w:val="18"/>
              </w:rPr>
              <w:t>Instalaciones técnicas</w:t>
            </w:r>
          </w:p>
        </w:tc>
        <w:tc>
          <w:tcPr>
            <w:tcW w:w="1146" w:type="pct"/>
            <w:tcBorders>
              <w:top w:val="nil"/>
              <w:left w:val="nil"/>
              <w:bottom w:val="nil"/>
              <w:right w:val="nil"/>
            </w:tcBorders>
            <w:shd w:val="clear" w:color="auto" w:fill="auto"/>
            <w:noWrap/>
            <w:vAlign w:val="center"/>
          </w:tcPr>
          <w:p w14:paraId="11EDA668" w14:textId="2494726D" w:rsidR="00ED0342" w:rsidRPr="007D05F9" w:rsidRDefault="00ED0342" w:rsidP="007D05F9">
            <w:pPr>
              <w:ind w:left="217" w:right="469"/>
              <w:jc w:val="right"/>
              <w:rPr>
                <w:sz w:val="18"/>
                <w:szCs w:val="18"/>
              </w:rPr>
            </w:pPr>
            <w:r w:rsidRPr="007D05F9">
              <w:rPr>
                <w:sz w:val="18"/>
                <w:szCs w:val="18"/>
              </w:rPr>
              <w:t xml:space="preserve"> -</w:t>
            </w:r>
          </w:p>
        </w:tc>
        <w:tc>
          <w:tcPr>
            <w:tcW w:w="1145" w:type="pct"/>
            <w:tcBorders>
              <w:top w:val="nil"/>
              <w:left w:val="nil"/>
              <w:bottom w:val="nil"/>
              <w:right w:val="nil"/>
            </w:tcBorders>
            <w:shd w:val="clear" w:color="auto" w:fill="auto"/>
            <w:noWrap/>
            <w:vAlign w:val="center"/>
          </w:tcPr>
          <w:p w14:paraId="6515B1A1" w14:textId="02DCE783" w:rsidR="00ED0342" w:rsidRPr="005644E5" w:rsidRDefault="00ED0342" w:rsidP="007D05F9">
            <w:pPr>
              <w:ind w:left="217" w:right="469"/>
              <w:jc w:val="right"/>
              <w:rPr>
                <w:sz w:val="18"/>
                <w:szCs w:val="18"/>
              </w:rPr>
            </w:pPr>
            <w:r w:rsidRPr="00A40674">
              <w:rPr>
                <w:sz w:val="18"/>
                <w:szCs w:val="18"/>
              </w:rPr>
              <w:t>31.551,32</w:t>
            </w:r>
          </w:p>
        </w:tc>
      </w:tr>
      <w:tr w:rsidR="00ED0342" w:rsidRPr="005644E5" w14:paraId="6AE5743F" w14:textId="77777777" w:rsidTr="007D05F9">
        <w:trPr>
          <w:trHeight w:val="283"/>
          <w:jc w:val="center"/>
        </w:trPr>
        <w:tc>
          <w:tcPr>
            <w:tcW w:w="2709" w:type="pct"/>
            <w:tcBorders>
              <w:top w:val="nil"/>
              <w:left w:val="nil"/>
              <w:bottom w:val="nil"/>
              <w:right w:val="nil"/>
            </w:tcBorders>
            <w:shd w:val="clear" w:color="auto" w:fill="auto"/>
            <w:vAlign w:val="center"/>
            <w:hideMark/>
          </w:tcPr>
          <w:p w14:paraId="6983A335" w14:textId="77777777" w:rsidR="00ED0342" w:rsidRPr="005644E5" w:rsidRDefault="00ED0342" w:rsidP="00ED0342">
            <w:pPr>
              <w:ind w:left="217"/>
              <w:rPr>
                <w:rFonts w:eastAsia="Times New Roman"/>
                <w:sz w:val="18"/>
                <w:szCs w:val="18"/>
              </w:rPr>
            </w:pPr>
            <w:r w:rsidRPr="005644E5">
              <w:rPr>
                <w:rFonts w:eastAsia="Times New Roman"/>
                <w:sz w:val="18"/>
                <w:szCs w:val="18"/>
              </w:rPr>
              <w:t>Mobiliario</w:t>
            </w:r>
          </w:p>
        </w:tc>
        <w:tc>
          <w:tcPr>
            <w:tcW w:w="1146" w:type="pct"/>
            <w:tcBorders>
              <w:top w:val="nil"/>
              <w:left w:val="nil"/>
              <w:bottom w:val="nil"/>
              <w:right w:val="nil"/>
            </w:tcBorders>
            <w:shd w:val="clear" w:color="auto" w:fill="auto"/>
            <w:noWrap/>
            <w:vAlign w:val="center"/>
          </w:tcPr>
          <w:p w14:paraId="7A190742" w14:textId="6DF68A26" w:rsidR="00ED0342" w:rsidRPr="007D05F9" w:rsidRDefault="00ED0342" w:rsidP="007D05F9">
            <w:pPr>
              <w:ind w:left="217" w:right="469"/>
              <w:jc w:val="right"/>
              <w:rPr>
                <w:sz w:val="18"/>
                <w:szCs w:val="18"/>
              </w:rPr>
            </w:pPr>
            <w:r w:rsidRPr="007D05F9">
              <w:rPr>
                <w:sz w:val="18"/>
                <w:szCs w:val="18"/>
              </w:rPr>
              <w:t>70.425,43</w:t>
            </w:r>
          </w:p>
        </w:tc>
        <w:tc>
          <w:tcPr>
            <w:tcW w:w="1145" w:type="pct"/>
            <w:tcBorders>
              <w:top w:val="nil"/>
              <w:left w:val="nil"/>
              <w:bottom w:val="nil"/>
              <w:right w:val="nil"/>
            </w:tcBorders>
            <w:shd w:val="clear" w:color="auto" w:fill="auto"/>
            <w:noWrap/>
            <w:vAlign w:val="center"/>
          </w:tcPr>
          <w:p w14:paraId="2D387B78" w14:textId="70B95CBB" w:rsidR="00ED0342" w:rsidRPr="005644E5" w:rsidRDefault="00ED0342" w:rsidP="007D05F9">
            <w:pPr>
              <w:ind w:left="217" w:right="469"/>
              <w:jc w:val="right"/>
              <w:rPr>
                <w:sz w:val="18"/>
                <w:szCs w:val="18"/>
              </w:rPr>
            </w:pPr>
            <w:r w:rsidRPr="00A40674">
              <w:rPr>
                <w:sz w:val="18"/>
                <w:szCs w:val="18"/>
              </w:rPr>
              <w:t>268.099,26</w:t>
            </w:r>
          </w:p>
        </w:tc>
      </w:tr>
      <w:tr w:rsidR="00ED0342" w:rsidRPr="005644E5" w14:paraId="30381245" w14:textId="77777777" w:rsidTr="007D05F9">
        <w:trPr>
          <w:trHeight w:val="283"/>
          <w:jc w:val="center"/>
        </w:trPr>
        <w:tc>
          <w:tcPr>
            <w:tcW w:w="2709" w:type="pct"/>
            <w:tcBorders>
              <w:top w:val="nil"/>
              <w:left w:val="nil"/>
              <w:bottom w:val="single" w:sz="4" w:space="0" w:color="auto"/>
              <w:right w:val="nil"/>
            </w:tcBorders>
            <w:shd w:val="clear" w:color="auto" w:fill="auto"/>
            <w:vAlign w:val="center"/>
            <w:hideMark/>
          </w:tcPr>
          <w:p w14:paraId="7FA983ED" w14:textId="77777777" w:rsidR="00ED0342" w:rsidRPr="005644E5" w:rsidRDefault="00ED0342" w:rsidP="00ED0342">
            <w:pPr>
              <w:ind w:left="217"/>
              <w:rPr>
                <w:rFonts w:eastAsia="Times New Roman"/>
                <w:sz w:val="18"/>
                <w:szCs w:val="18"/>
              </w:rPr>
            </w:pPr>
            <w:r w:rsidRPr="005644E5">
              <w:rPr>
                <w:rFonts w:eastAsia="Times New Roman"/>
                <w:sz w:val="18"/>
                <w:szCs w:val="18"/>
              </w:rPr>
              <w:t>Otro inmovilizado</w:t>
            </w:r>
          </w:p>
        </w:tc>
        <w:tc>
          <w:tcPr>
            <w:tcW w:w="1146" w:type="pct"/>
            <w:tcBorders>
              <w:top w:val="nil"/>
              <w:left w:val="nil"/>
              <w:bottom w:val="single" w:sz="4" w:space="0" w:color="auto"/>
              <w:right w:val="nil"/>
            </w:tcBorders>
            <w:shd w:val="clear" w:color="auto" w:fill="auto"/>
            <w:noWrap/>
            <w:vAlign w:val="center"/>
          </w:tcPr>
          <w:p w14:paraId="253722CB" w14:textId="261EC9BE" w:rsidR="00ED0342" w:rsidRPr="007D05F9" w:rsidRDefault="00ED0342" w:rsidP="007D05F9">
            <w:pPr>
              <w:pBdr>
                <w:top w:val="none" w:sz="0" w:space="0" w:color="auto"/>
                <w:left w:val="none" w:sz="0" w:space="0" w:color="auto"/>
                <w:bottom w:val="none" w:sz="0" w:space="0" w:color="auto"/>
                <w:right w:val="none" w:sz="0" w:space="0" w:color="auto"/>
                <w:between w:val="none" w:sz="0" w:space="0" w:color="auto"/>
                <w:bar w:val="none" w:sz="0" w:color="auto"/>
              </w:pBdr>
              <w:ind w:right="463"/>
              <w:jc w:val="right"/>
              <w:outlineLvl w:val="9"/>
              <w:rPr>
                <w:rFonts w:eastAsia="Times New Roman"/>
                <w:sz w:val="18"/>
                <w:szCs w:val="18"/>
                <w:bdr w:val="none" w:sz="0" w:space="0" w:color="auto"/>
                <w:lang w:eastAsia="es-ES"/>
              </w:rPr>
            </w:pPr>
            <w:r w:rsidRPr="007D05F9">
              <w:rPr>
                <w:sz w:val="18"/>
                <w:szCs w:val="18"/>
              </w:rPr>
              <w:t>149.008,76</w:t>
            </w:r>
          </w:p>
        </w:tc>
        <w:tc>
          <w:tcPr>
            <w:tcW w:w="1145" w:type="pct"/>
            <w:tcBorders>
              <w:top w:val="nil"/>
              <w:left w:val="nil"/>
              <w:bottom w:val="single" w:sz="4" w:space="0" w:color="auto"/>
              <w:right w:val="nil"/>
            </w:tcBorders>
            <w:shd w:val="clear" w:color="auto" w:fill="auto"/>
            <w:noWrap/>
            <w:vAlign w:val="center"/>
          </w:tcPr>
          <w:p w14:paraId="4F3E9DC9" w14:textId="0EF37339" w:rsidR="00ED0342" w:rsidRPr="005644E5" w:rsidRDefault="00ED0342" w:rsidP="007D05F9">
            <w:pPr>
              <w:ind w:left="217" w:right="469"/>
              <w:jc w:val="right"/>
              <w:rPr>
                <w:sz w:val="18"/>
                <w:szCs w:val="18"/>
              </w:rPr>
            </w:pPr>
            <w:r w:rsidRPr="00A40674">
              <w:rPr>
                <w:sz w:val="18"/>
                <w:szCs w:val="18"/>
              </w:rPr>
              <w:t>270.535,84</w:t>
            </w:r>
          </w:p>
        </w:tc>
      </w:tr>
      <w:tr w:rsidR="00ED0342" w:rsidRPr="005644E5" w14:paraId="7BE5951D" w14:textId="77777777" w:rsidTr="007D05F9">
        <w:trPr>
          <w:trHeight w:val="283"/>
          <w:jc w:val="center"/>
        </w:trPr>
        <w:tc>
          <w:tcPr>
            <w:tcW w:w="2709" w:type="pct"/>
            <w:tcBorders>
              <w:top w:val="nil"/>
              <w:left w:val="nil"/>
              <w:bottom w:val="single" w:sz="4" w:space="0" w:color="auto"/>
              <w:right w:val="nil"/>
            </w:tcBorders>
            <w:shd w:val="clear" w:color="auto" w:fill="auto"/>
            <w:noWrap/>
            <w:vAlign w:val="center"/>
            <w:hideMark/>
          </w:tcPr>
          <w:p w14:paraId="7221AA45" w14:textId="77777777" w:rsidR="00ED0342" w:rsidRPr="005644E5" w:rsidRDefault="00ED0342" w:rsidP="00ED0342">
            <w:pPr>
              <w:ind w:left="217"/>
              <w:rPr>
                <w:rFonts w:eastAsia="Times New Roman"/>
                <w:b/>
                <w:bCs/>
                <w:sz w:val="18"/>
                <w:szCs w:val="18"/>
              </w:rPr>
            </w:pPr>
            <w:r w:rsidRPr="005644E5">
              <w:rPr>
                <w:rFonts w:eastAsia="Times New Roman"/>
                <w:b/>
                <w:bCs/>
                <w:sz w:val="18"/>
                <w:szCs w:val="18"/>
              </w:rPr>
              <w:t>Total</w:t>
            </w:r>
          </w:p>
        </w:tc>
        <w:tc>
          <w:tcPr>
            <w:tcW w:w="1146" w:type="pct"/>
            <w:tcBorders>
              <w:top w:val="nil"/>
              <w:left w:val="nil"/>
              <w:bottom w:val="single" w:sz="4" w:space="0" w:color="auto"/>
              <w:right w:val="nil"/>
            </w:tcBorders>
            <w:shd w:val="clear" w:color="auto" w:fill="auto"/>
            <w:noWrap/>
            <w:vAlign w:val="center"/>
          </w:tcPr>
          <w:p w14:paraId="108E04AB" w14:textId="062E5445" w:rsidR="00ED0342" w:rsidRPr="007D05F9" w:rsidRDefault="00ED0342" w:rsidP="007D05F9">
            <w:pPr>
              <w:ind w:left="217" w:right="469"/>
              <w:jc w:val="right"/>
              <w:rPr>
                <w:b/>
                <w:bCs/>
                <w:sz w:val="18"/>
                <w:szCs w:val="18"/>
              </w:rPr>
            </w:pPr>
            <w:r w:rsidRPr="007D05F9">
              <w:rPr>
                <w:b/>
                <w:bCs/>
                <w:sz w:val="18"/>
                <w:szCs w:val="18"/>
              </w:rPr>
              <w:t>504.877,30</w:t>
            </w:r>
          </w:p>
        </w:tc>
        <w:tc>
          <w:tcPr>
            <w:tcW w:w="1145" w:type="pct"/>
            <w:tcBorders>
              <w:top w:val="nil"/>
              <w:left w:val="nil"/>
              <w:bottom w:val="single" w:sz="4" w:space="0" w:color="auto"/>
              <w:right w:val="nil"/>
            </w:tcBorders>
            <w:shd w:val="clear" w:color="auto" w:fill="auto"/>
            <w:noWrap/>
            <w:vAlign w:val="center"/>
            <w:hideMark/>
          </w:tcPr>
          <w:p w14:paraId="3355C14E" w14:textId="5FEEC387" w:rsidR="00ED0342" w:rsidRPr="005644E5" w:rsidRDefault="00ED0342" w:rsidP="007D05F9">
            <w:pPr>
              <w:ind w:left="217" w:right="469"/>
              <w:jc w:val="right"/>
              <w:rPr>
                <w:b/>
                <w:bCs/>
                <w:sz w:val="18"/>
                <w:szCs w:val="18"/>
              </w:rPr>
            </w:pPr>
            <w:r w:rsidRPr="00A40674">
              <w:rPr>
                <w:b/>
                <w:bCs/>
                <w:sz w:val="18"/>
                <w:szCs w:val="18"/>
              </w:rPr>
              <w:t>578.262,42</w:t>
            </w:r>
          </w:p>
        </w:tc>
      </w:tr>
    </w:tbl>
    <w:p w14:paraId="31967A30" w14:textId="3C663049" w:rsidR="006220A2" w:rsidRPr="006E6E08" w:rsidRDefault="00720788" w:rsidP="001B5A15">
      <w:pPr>
        <w:widowControl w:val="0"/>
        <w:tabs>
          <w:tab w:val="left" w:pos="284"/>
        </w:tabs>
        <w:spacing w:before="240" w:after="120" w:line="260" w:lineRule="exact"/>
        <w:jc w:val="both"/>
        <w:outlineLvl w:val="9"/>
        <w:rPr>
          <w:sz w:val="20"/>
          <w:szCs w:val="22"/>
        </w:rPr>
      </w:pPr>
      <w:r w:rsidRPr="006E6E08">
        <w:rPr>
          <w:snapToGrid w:val="0"/>
          <w:sz w:val="20"/>
          <w:szCs w:val="22"/>
        </w:rPr>
        <w:t>c</w:t>
      </w:r>
      <w:r w:rsidR="006220A2" w:rsidRPr="006E6E08">
        <w:rPr>
          <w:snapToGrid w:val="0"/>
          <w:sz w:val="20"/>
          <w:szCs w:val="22"/>
        </w:rPr>
        <w:t>)</w:t>
      </w:r>
      <w:r w:rsidR="006220A2" w:rsidRPr="006E6E08">
        <w:rPr>
          <w:snapToGrid w:val="0"/>
          <w:sz w:val="20"/>
          <w:szCs w:val="22"/>
        </w:rPr>
        <w:tab/>
      </w:r>
      <w:r w:rsidR="006220A2" w:rsidRPr="006E6E08">
        <w:rPr>
          <w:snapToGrid w:val="0"/>
          <w:sz w:val="20"/>
          <w:szCs w:val="22"/>
          <w:u w:val="single"/>
        </w:rPr>
        <w:t>Bienes bajo arrendamiento operativo</w:t>
      </w:r>
    </w:p>
    <w:p w14:paraId="74DA58A1" w14:textId="6702A8C8" w:rsidR="00601586" w:rsidRPr="00A33308" w:rsidRDefault="006220A2" w:rsidP="004A41D6">
      <w:pPr>
        <w:widowControl w:val="0"/>
        <w:spacing w:before="120" w:after="120" w:line="260" w:lineRule="exact"/>
        <w:jc w:val="both"/>
        <w:outlineLvl w:val="9"/>
        <w:rPr>
          <w:snapToGrid w:val="0"/>
          <w:sz w:val="20"/>
          <w:szCs w:val="22"/>
        </w:rPr>
      </w:pPr>
      <w:r w:rsidRPr="006E6E08">
        <w:rPr>
          <w:snapToGrid w:val="0"/>
          <w:sz w:val="20"/>
          <w:szCs w:val="22"/>
        </w:rPr>
        <w:t xml:space="preserve">En la cuenta de pérdidas y ganancias se han incluido gastos por arrendamiento operativo </w:t>
      </w:r>
      <w:r w:rsidRPr="00A33308">
        <w:rPr>
          <w:snapToGrid w:val="0"/>
          <w:sz w:val="20"/>
          <w:szCs w:val="22"/>
        </w:rPr>
        <w:t xml:space="preserve">correspondientes al alquiler de unas oficinas por importe de </w:t>
      </w:r>
      <w:r w:rsidR="00D95094" w:rsidRPr="00A33308">
        <w:rPr>
          <w:snapToGrid w:val="0"/>
          <w:sz w:val="20"/>
          <w:szCs w:val="22"/>
        </w:rPr>
        <w:t>84.387,06</w:t>
      </w:r>
      <w:r w:rsidR="00612A4D" w:rsidRPr="00A33308">
        <w:rPr>
          <w:snapToGrid w:val="0"/>
          <w:sz w:val="20"/>
          <w:szCs w:val="22"/>
        </w:rPr>
        <w:t xml:space="preserve"> </w:t>
      </w:r>
      <w:r w:rsidRPr="00A33308">
        <w:rPr>
          <w:snapToGrid w:val="0"/>
          <w:sz w:val="20"/>
          <w:szCs w:val="22"/>
        </w:rPr>
        <w:t>euros (</w:t>
      </w:r>
      <w:r w:rsidR="00612A4D" w:rsidRPr="00A33308">
        <w:rPr>
          <w:snapToGrid w:val="0"/>
          <w:sz w:val="20"/>
          <w:szCs w:val="22"/>
        </w:rPr>
        <w:t xml:space="preserve">69.406,50 </w:t>
      </w:r>
      <w:r w:rsidRPr="00A33308">
        <w:rPr>
          <w:snapToGrid w:val="0"/>
          <w:sz w:val="20"/>
          <w:szCs w:val="22"/>
        </w:rPr>
        <w:t>euros en 20</w:t>
      </w:r>
      <w:r w:rsidR="00BA0A03" w:rsidRPr="00A33308">
        <w:rPr>
          <w:snapToGrid w:val="0"/>
          <w:sz w:val="20"/>
          <w:szCs w:val="22"/>
        </w:rPr>
        <w:t>2</w:t>
      </w:r>
      <w:r w:rsidR="00612A4D" w:rsidRPr="00A33308">
        <w:rPr>
          <w:snapToGrid w:val="0"/>
          <w:sz w:val="20"/>
          <w:szCs w:val="22"/>
        </w:rPr>
        <w:t>3</w:t>
      </w:r>
      <w:r w:rsidRPr="00A33308">
        <w:rPr>
          <w:snapToGrid w:val="0"/>
          <w:sz w:val="20"/>
          <w:szCs w:val="22"/>
        </w:rPr>
        <w:t>).</w:t>
      </w:r>
    </w:p>
    <w:p w14:paraId="7787067B" w14:textId="24E8B551" w:rsidR="006220A2" w:rsidRPr="00A33308" w:rsidRDefault="00720788" w:rsidP="006220A2">
      <w:pPr>
        <w:widowControl w:val="0"/>
        <w:tabs>
          <w:tab w:val="left" w:pos="284"/>
        </w:tabs>
        <w:spacing w:before="200"/>
        <w:rPr>
          <w:snapToGrid w:val="0"/>
          <w:sz w:val="20"/>
          <w:szCs w:val="22"/>
          <w:u w:val="single"/>
        </w:rPr>
      </w:pPr>
      <w:r w:rsidRPr="00A33308">
        <w:rPr>
          <w:snapToGrid w:val="0"/>
          <w:sz w:val="20"/>
          <w:szCs w:val="22"/>
        </w:rPr>
        <w:t>d</w:t>
      </w:r>
      <w:r w:rsidR="006220A2" w:rsidRPr="00A33308">
        <w:rPr>
          <w:snapToGrid w:val="0"/>
          <w:sz w:val="20"/>
          <w:szCs w:val="22"/>
        </w:rPr>
        <w:t>)</w:t>
      </w:r>
      <w:r w:rsidR="006220A2" w:rsidRPr="00A33308">
        <w:rPr>
          <w:snapToGrid w:val="0"/>
          <w:sz w:val="20"/>
          <w:szCs w:val="22"/>
        </w:rPr>
        <w:tab/>
      </w:r>
      <w:r w:rsidR="006220A2" w:rsidRPr="00A33308">
        <w:rPr>
          <w:snapToGrid w:val="0"/>
          <w:sz w:val="20"/>
          <w:szCs w:val="22"/>
          <w:u w:val="single"/>
        </w:rPr>
        <w:t>Subvenciones recibidas</w:t>
      </w:r>
    </w:p>
    <w:p w14:paraId="4C8E840B" w14:textId="07D3B5E3" w:rsidR="00EF7826" w:rsidRDefault="00EF7826" w:rsidP="004A41D6">
      <w:pPr>
        <w:widowControl w:val="0"/>
        <w:spacing w:before="120" w:after="120" w:line="260" w:lineRule="exact"/>
        <w:jc w:val="both"/>
        <w:outlineLvl w:val="9"/>
        <w:rPr>
          <w:snapToGrid w:val="0"/>
          <w:sz w:val="20"/>
          <w:szCs w:val="22"/>
        </w:rPr>
      </w:pPr>
      <w:r w:rsidRPr="00A33308">
        <w:rPr>
          <w:snapToGrid w:val="0"/>
          <w:sz w:val="20"/>
          <w:szCs w:val="22"/>
        </w:rPr>
        <w:t xml:space="preserve">En </w:t>
      </w:r>
      <w:r w:rsidR="00704907" w:rsidRPr="00A33308">
        <w:rPr>
          <w:snapToGrid w:val="0"/>
          <w:sz w:val="20"/>
          <w:szCs w:val="22"/>
        </w:rPr>
        <w:t>los</w:t>
      </w:r>
      <w:r w:rsidRPr="00A33308">
        <w:rPr>
          <w:snapToGrid w:val="0"/>
          <w:sz w:val="20"/>
          <w:szCs w:val="22"/>
        </w:rPr>
        <w:t xml:space="preserve"> ejercicio</w:t>
      </w:r>
      <w:r w:rsidR="00704907" w:rsidRPr="00A33308">
        <w:rPr>
          <w:snapToGrid w:val="0"/>
          <w:sz w:val="20"/>
          <w:szCs w:val="22"/>
        </w:rPr>
        <w:t>s</w:t>
      </w:r>
      <w:r w:rsidRPr="00A33308">
        <w:rPr>
          <w:snapToGrid w:val="0"/>
          <w:sz w:val="20"/>
          <w:szCs w:val="22"/>
        </w:rPr>
        <w:t xml:space="preserve"> 202</w:t>
      </w:r>
      <w:r w:rsidR="00612A4D" w:rsidRPr="00A33308">
        <w:rPr>
          <w:snapToGrid w:val="0"/>
          <w:sz w:val="20"/>
          <w:szCs w:val="22"/>
        </w:rPr>
        <w:t>4</w:t>
      </w:r>
      <w:r w:rsidR="00704907" w:rsidRPr="00A33308">
        <w:rPr>
          <w:snapToGrid w:val="0"/>
          <w:sz w:val="20"/>
          <w:szCs w:val="22"/>
        </w:rPr>
        <w:t xml:space="preserve"> y 202</w:t>
      </w:r>
      <w:r w:rsidR="00612A4D" w:rsidRPr="00A33308">
        <w:rPr>
          <w:snapToGrid w:val="0"/>
          <w:sz w:val="20"/>
          <w:szCs w:val="22"/>
        </w:rPr>
        <w:t>3</w:t>
      </w:r>
      <w:r w:rsidRPr="00A33308">
        <w:rPr>
          <w:snapToGrid w:val="0"/>
          <w:sz w:val="20"/>
          <w:szCs w:val="22"/>
        </w:rPr>
        <w:t xml:space="preserve"> no ha recibido subvenciones para la adquisición de inmovilizado.</w:t>
      </w:r>
    </w:p>
    <w:p w14:paraId="3B90BDA8" w14:textId="7897D055" w:rsidR="006220A2" w:rsidRPr="00B93FDD" w:rsidRDefault="00720788" w:rsidP="006220A2">
      <w:pPr>
        <w:widowControl w:val="0"/>
        <w:tabs>
          <w:tab w:val="left" w:pos="284"/>
        </w:tabs>
        <w:spacing w:before="200"/>
        <w:rPr>
          <w:snapToGrid w:val="0"/>
          <w:sz w:val="20"/>
          <w:szCs w:val="22"/>
          <w:u w:val="single"/>
        </w:rPr>
      </w:pPr>
      <w:r>
        <w:rPr>
          <w:snapToGrid w:val="0"/>
          <w:sz w:val="20"/>
          <w:szCs w:val="22"/>
        </w:rPr>
        <w:t>e</w:t>
      </w:r>
      <w:r w:rsidR="006220A2" w:rsidRPr="00B93FDD">
        <w:rPr>
          <w:snapToGrid w:val="0"/>
          <w:sz w:val="20"/>
          <w:szCs w:val="22"/>
        </w:rPr>
        <w:t>)</w:t>
      </w:r>
      <w:r w:rsidR="006220A2" w:rsidRPr="00B93FDD">
        <w:rPr>
          <w:snapToGrid w:val="0"/>
          <w:sz w:val="20"/>
          <w:szCs w:val="22"/>
        </w:rPr>
        <w:tab/>
      </w:r>
      <w:r w:rsidR="006220A2" w:rsidRPr="00B93FDD">
        <w:rPr>
          <w:snapToGrid w:val="0"/>
          <w:sz w:val="20"/>
          <w:szCs w:val="22"/>
          <w:u w:val="single"/>
        </w:rPr>
        <w:t>Seguros</w:t>
      </w:r>
    </w:p>
    <w:p w14:paraId="3AC8A96D" w14:textId="77777777" w:rsidR="006220A2" w:rsidRPr="00B93FDD" w:rsidRDefault="006220A2" w:rsidP="004A41D6">
      <w:pPr>
        <w:widowControl w:val="0"/>
        <w:spacing w:before="120" w:after="120" w:line="260" w:lineRule="exact"/>
        <w:jc w:val="both"/>
        <w:outlineLvl w:val="9"/>
        <w:rPr>
          <w:snapToGrid w:val="0"/>
          <w:sz w:val="20"/>
          <w:szCs w:val="22"/>
        </w:rPr>
      </w:pPr>
      <w:r w:rsidRPr="00B93FDD">
        <w:rPr>
          <w:snapToGrid w:val="0"/>
          <w:sz w:val="20"/>
          <w:szCs w:val="22"/>
        </w:rPr>
        <w:t>La Sociedad tiene contratadas varias pólizas de seguro para cubrir los riesgos a que están sujetos los bienes del inmovilizado material. La cobertura de estas pólizas se considera suficiente.</w:t>
      </w:r>
    </w:p>
    <w:p w14:paraId="3F189ACE" w14:textId="77777777" w:rsidR="006220A2" w:rsidRPr="00B93FDD" w:rsidRDefault="006220A2" w:rsidP="006220A2">
      <w:pPr>
        <w:jc w:val="both"/>
        <w:rPr>
          <w:snapToGrid w:val="0"/>
          <w:sz w:val="20"/>
          <w:szCs w:val="22"/>
        </w:rPr>
      </w:pPr>
    </w:p>
    <w:p w14:paraId="12A8F185" w14:textId="77BA4DFC" w:rsidR="006220A2" w:rsidRPr="0000769D" w:rsidRDefault="00F5041C" w:rsidP="00052BF5">
      <w:pPr>
        <w:widowControl w:val="0"/>
        <w:numPr>
          <w:ilvl w:val="0"/>
          <w:numId w:val="6"/>
        </w:numPr>
        <w:pBdr>
          <w:top w:val="none" w:sz="0" w:space="0" w:color="auto"/>
          <w:left w:val="none" w:sz="0" w:space="0" w:color="auto"/>
          <w:bottom w:val="none" w:sz="0" w:space="0" w:color="auto"/>
          <w:right w:val="none" w:sz="0" w:space="0" w:color="auto"/>
          <w:between w:val="none" w:sz="0" w:space="0" w:color="auto"/>
          <w:bar w:val="none" w:sz="0" w:color="auto"/>
        </w:pBdr>
        <w:spacing w:after="120" w:line="280" w:lineRule="exact"/>
        <w:ind w:left="284" w:hanging="284"/>
        <w:outlineLvl w:val="9"/>
        <w:rPr>
          <w:b/>
          <w:snapToGrid w:val="0"/>
          <w:sz w:val="22"/>
          <w:szCs w:val="22"/>
        </w:rPr>
      </w:pPr>
      <w:bookmarkStart w:id="5" w:name="nota25"/>
      <w:bookmarkEnd w:id="5"/>
      <w:r w:rsidRPr="00DA650E">
        <w:rPr>
          <w:b/>
          <w:snapToGrid w:val="0"/>
          <w:sz w:val="22"/>
          <w:szCs w:val="22"/>
        </w:rPr>
        <w:t xml:space="preserve"> </w:t>
      </w:r>
      <w:r w:rsidR="006220A2" w:rsidRPr="0000769D">
        <w:rPr>
          <w:b/>
          <w:snapToGrid w:val="0"/>
          <w:sz w:val="22"/>
          <w:szCs w:val="22"/>
        </w:rPr>
        <w:t>Arrendamientos y otras operaciones de naturaleza similar</w:t>
      </w:r>
    </w:p>
    <w:p w14:paraId="76464305" w14:textId="77777777" w:rsidR="006220A2" w:rsidRPr="0000769D" w:rsidRDefault="006220A2" w:rsidP="008C63CA">
      <w:pPr>
        <w:keepNext/>
        <w:keepLines/>
        <w:widowControl w:val="0"/>
        <w:tabs>
          <w:tab w:val="left" w:pos="284"/>
          <w:tab w:val="left" w:pos="1134"/>
          <w:tab w:val="left" w:pos="1588"/>
        </w:tabs>
        <w:spacing w:before="200"/>
        <w:rPr>
          <w:sz w:val="20"/>
          <w:szCs w:val="22"/>
        </w:rPr>
      </w:pPr>
      <w:r w:rsidRPr="0000769D">
        <w:rPr>
          <w:sz w:val="20"/>
          <w:szCs w:val="22"/>
        </w:rPr>
        <w:t>a)</w:t>
      </w:r>
      <w:r w:rsidRPr="0000769D">
        <w:rPr>
          <w:sz w:val="20"/>
          <w:szCs w:val="22"/>
        </w:rPr>
        <w:tab/>
      </w:r>
      <w:r w:rsidRPr="0000769D">
        <w:rPr>
          <w:sz w:val="20"/>
          <w:szCs w:val="22"/>
          <w:u w:val="single"/>
        </w:rPr>
        <w:t>Compromisos por arrendamiento operativo</w:t>
      </w:r>
      <w:r w:rsidRPr="0000769D">
        <w:rPr>
          <w:sz w:val="20"/>
          <w:szCs w:val="22"/>
        </w:rPr>
        <w:t>.</w:t>
      </w:r>
    </w:p>
    <w:p w14:paraId="00861081" w14:textId="77777777" w:rsidR="006220A2" w:rsidRPr="0000769D" w:rsidRDefault="006220A2" w:rsidP="004A41D6">
      <w:pPr>
        <w:widowControl w:val="0"/>
        <w:spacing w:before="120" w:after="120" w:line="260" w:lineRule="exact"/>
        <w:jc w:val="both"/>
        <w:outlineLvl w:val="9"/>
        <w:rPr>
          <w:snapToGrid w:val="0"/>
          <w:sz w:val="20"/>
          <w:szCs w:val="22"/>
        </w:rPr>
      </w:pPr>
      <w:r w:rsidRPr="0000769D">
        <w:rPr>
          <w:snapToGrid w:val="0"/>
          <w:sz w:val="20"/>
          <w:szCs w:val="22"/>
        </w:rPr>
        <w:t>La Sociedad alquila instalaciones bajo contratos no cancelables de arrendamiento operativo.</w:t>
      </w:r>
    </w:p>
    <w:p w14:paraId="3233D7BE" w14:textId="77777777" w:rsidR="006220A2" w:rsidRPr="0000769D" w:rsidRDefault="006220A2" w:rsidP="004A41D6">
      <w:pPr>
        <w:widowControl w:val="0"/>
        <w:spacing w:before="120" w:after="120" w:line="260" w:lineRule="exact"/>
        <w:jc w:val="both"/>
        <w:outlineLvl w:val="9"/>
        <w:rPr>
          <w:snapToGrid w:val="0"/>
          <w:sz w:val="20"/>
          <w:szCs w:val="22"/>
        </w:rPr>
      </w:pPr>
      <w:r w:rsidRPr="0000769D">
        <w:rPr>
          <w:snapToGrid w:val="0"/>
          <w:sz w:val="20"/>
          <w:szCs w:val="22"/>
        </w:rPr>
        <w:t>Los pagos mínimos totales futuros por los arrendamientos operativos no cancelables son los siguientes:</w:t>
      </w:r>
    </w:p>
    <w:tbl>
      <w:tblPr>
        <w:tblW w:w="5000" w:type="pct"/>
        <w:jc w:val="center"/>
        <w:tblCellMar>
          <w:left w:w="70" w:type="dxa"/>
          <w:right w:w="70" w:type="dxa"/>
        </w:tblCellMar>
        <w:tblLook w:val="04A0" w:firstRow="1" w:lastRow="0" w:firstColumn="1" w:lastColumn="0" w:noHBand="0" w:noVBand="1"/>
      </w:tblPr>
      <w:tblGrid>
        <w:gridCol w:w="4869"/>
        <w:gridCol w:w="1956"/>
        <w:gridCol w:w="1956"/>
      </w:tblGrid>
      <w:tr w:rsidR="00754640" w:rsidRPr="0000769D" w14:paraId="1D4027D4" w14:textId="77777777" w:rsidTr="007E7835">
        <w:trPr>
          <w:trHeight w:val="227"/>
          <w:jc w:val="center"/>
        </w:trPr>
        <w:tc>
          <w:tcPr>
            <w:tcW w:w="2772" w:type="pct"/>
            <w:tcBorders>
              <w:top w:val="single" w:sz="4" w:space="0" w:color="auto"/>
              <w:left w:val="nil"/>
              <w:bottom w:val="nil"/>
              <w:right w:val="nil"/>
            </w:tcBorders>
            <w:shd w:val="clear" w:color="auto" w:fill="auto"/>
            <w:vAlign w:val="bottom"/>
            <w:hideMark/>
          </w:tcPr>
          <w:p w14:paraId="09E85451" w14:textId="77777777" w:rsidR="00754640" w:rsidRPr="0000769D" w:rsidRDefault="00754640" w:rsidP="005644E5">
            <w:pPr>
              <w:pBdr>
                <w:top w:val="none" w:sz="0" w:space="0" w:color="auto"/>
                <w:left w:val="none" w:sz="0" w:space="0" w:color="auto"/>
                <w:bottom w:val="none" w:sz="0" w:space="0" w:color="auto"/>
                <w:right w:val="none" w:sz="0" w:space="0" w:color="auto"/>
                <w:between w:val="none" w:sz="0" w:space="0" w:color="auto"/>
                <w:bar w:val="none" w:sz="0" w:color="auto"/>
              </w:pBdr>
              <w:ind w:left="359"/>
              <w:jc w:val="center"/>
              <w:outlineLvl w:val="9"/>
              <w:rPr>
                <w:rFonts w:eastAsia="Times New Roman"/>
                <w:sz w:val="18"/>
                <w:szCs w:val="18"/>
                <w:bdr w:val="none" w:sz="0" w:space="0" w:color="auto"/>
                <w:lang w:eastAsia="es-ES"/>
              </w:rPr>
            </w:pPr>
            <w:r w:rsidRPr="0000769D">
              <w:rPr>
                <w:rFonts w:eastAsia="Times New Roman"/>
                <w:sz w:val="18"/>
                <w:szCs w:val="18"/>
                <w:bdr w:val="none" w:sz="0" w:space="0" w:color="auto"/>
                <w:lang w:eastAsia="es-ES"/>
              </w:rPr>
              <w:t> </w:t>
            </w:r>
          </w:p>
        </w:tc>
        <w:tc>
          <w:tcPr>
            <w:tcW w:w="2228" w:type="pct"/>
            <w:gridSpan w:val="2"/>
            <w:tcBorders>
              <w:top w:val="single" w:sz="4" w:space="0" w:color="auto"/>
              <w:left w:val="nil"/>
              <w:bottom w:val="single" w:sz="4" w:space="0" w:color="auto"/>
              <w:right w:val="nil"/>
            </w:tcBorders>
            <w:shd w:val="clear" w:color="auto" w:fill="auto"/>
            <w:vAlign w:val="bottom"/>
            <w:hideMark/>
          </w:tcPr>
          <w:p w14:paraId="30F7608F" w14:textId="77777777" w:rsidR="00754640" w:rsidRPr="0000769D" w:rsidRDefault="00754640" w:rsidP="005644E5">
            <w:pPr>
              <w:pBdr>
                <w:top w:val="none" w:sz="0" w:space="0" w:color="auto"/>
                <w:left w:val="none" w:sz="0" w:space="0" w:color="auto"/>
                <w:bottom w:val="none" w:sz="0" w:space="0" w:color="auto"/>
                <w:right w:val="none" w:sz="0" w:space="0" w:color="auto"/>
                <w:between w:val="none" w:sz="0" w:space="0" w:color="auto"/>
                <w:bar w:val="none" w:sz="0" w:color="auto"/>
              </w:pBdr>
              <w:ind w:right="239"/>
              <w:jc w:val="center"/>
              <w:outlineLvl w:val="9"/>
              <w:rPr>
                <w:rFonts w:eastAsia="Times New Roman"/>
                <w:b/>
                <w:bCs/>
                <w:sz w:val="18"/>
                <w:szCs w:val="18"/>
                <w:bdr w:val="none" w:sz="0" w:space="0" w:color="auto"/>
                <w:lang w:eastAsia="es-ES"/>
              </w:rPr>
            </w:pPr>
            <w:r w:rsidRPr="0000769D">
              <w:rPr>
                <w:rFonts w:eastAsia="Times New Roman"/>
                <w:b/>
                <w:bCs/>
                <w:sz w:val="18"/>
                <w:szCs w:val="18"/>
                <w:bdr w:val="none" w:sz="0" w:space="0" w:color="auto"/>
                <w:lang w:eastAsia="es-ES"/>
              </w:rPr>
              <w:t>Euros</w:t>
            </w:r>
          </w:p>
        </w:tc>
      </w:tr>
      <w:tr w:rsidR="005B1141" w:rsidRPr="0000769D" w14:paraId="23460C5D" w14:textId="77777777" w:rsidTr="0080257D">
        <w:trPr>
          <w:trHeight w:val="227"/>
          <w:jc w:val="center"/>
        </w:trPr>
        <w:tc>
          <w:tcPr>
            <w:tcW w:w="2772" w:type="pct"/>
            <w:tcBorders>
              <w:top w:val="nil"/>
              <w:left w:val="nil"/>
              <w:bottom w:val="single" w:sz="4" w:space="0" w:color="auto"/>
              <w:right w:val="nil"/>
            </w:tcBorders>
            <w:shd w:val="clear" w:color="auto" w:fill="auto"/>
            <w:vAlign w:val="bottom"/>
            <w:hideMark/>
          </w:tcPr>
          <w:p w14:paraId="4144B1FE" w14:textId="77777777" w:rsidR="005B1141" w:rsidRPr="0000769D" w:rsidRDefault="005B1141" w:rsidP="005B1141">
            <w:pPr>
              <w:pBdr>
                <w:top w:val="none" w:sz="0" w:space="0" w:color="auto"/>
                <w:left w:val="none" w:sz="0" w:space="0" w:color="auto"/>
                <w:bottom w:val="none" w:sz="0" w:space="0" w:color="auto"/>
                <w:right w:val="none" w:sz="0" w:space="0" w:color="auto"/>
                <w:between w:val="none" w:sz="0" w:space="0" w:color="auto"/>
                <w:bar w:val="none" w:sz="0" w:color="auto"/>
              </w:pBdr>
              <w:ind w:left="359"/>
              <w:jc w:val="center"/>
              <w:outlineLvl w:val="9"/>
              <w:rPr>
                <w:rFonts w:eastAsia="Times New Roman"/>
                <w:sz w:val="18"/>
                <w:szCs w:val="18"/>
                <w:bdr w:val="none" w:sz="0" w:space="0" w:color="auto"/>
                <w:lang w:eastAsia="es-ES"/>
              </w:rPr>
            </w:pPr>
            <w:r w:rsidRPr="0000769D">
              <w:rPr>
                <w:rFonts w:eastAsia="Times New Roman"/>
                <w:sz w:val="18"/>
                <w:szCs w:val="18"/>
                <w:bdr w:val="none" w:sz="0" w:space="0" w:color="auto"/>
                <w:lang w:eastAsia="es-ES"/>
              </w:rPr>
              <w:t> </w:t>
            </w:r>
          </w:p>
        </w:tc>
        <w:tc>
          <w:tcPr>
            <w:tcW w:w="1114" w:type="pct"/>
            <w:tcBorders>
              <w:top w:val="nil"/>
              <w:left w:val="nil"/>
              <w:bottom w:val="single" w:sz="4" w:space="0" w:color="auto"/>
              <w:right w:val="nil"/>
            </w:tcBorders>
            <w:shd w:val="clear" w:color="auto" w:fill="auto"/>
            <w:noWrap/>
            <w:vAlign w:val="bottom"/>
            <w:hideMark/>
          </w:tcPr>
          <w:p w14:paraId="036D216D" w14:textId="67B4A124" w:rsidR="005B1141" w:rsidRPr="0000769D" w:rsidRDefault="005B1141" w:rsidP="005B1141">
            <w:pPr>
              <w:pBdr>
                <w:top w:val="none" w:sz="0" w:space="0" w:color="auto"/>
                <w:left w:val="none" w:sz="0" w:space="0" w:color="auto"/>
                <w:bottom w:val="none" w:sz="0" w:space="0" w:color="auto"/>
                <w:right w:val="none" w:sz="0" w:space="0" w:color="auto"/>
                <w:between w:val="none" w:sz="0" w:space="0" w:color="auto"/>
                <w:bar w:val="none" w:sz="0" w:color="auto"/>
              </w:pBdr>
              <w:ind w:right="239"/>
              <w:jc w:val="center"/>
              <w:outlineLvl w:val="9"/>
              <w:rPr>
                <w:rFonts w:eastAsia="Times New Roman"/>
                <w:b/>
                <w:bCs/>
                <w:sz w:val="18"/>
                <w:szCs w:val="18"/>
                <w:bdr w:val="none" w:sz="0" w:space="0" w:color="auto"/>
                <w:lang w:eastAsia="es-ES"/>
              </w:rPr>
            </w:pPr>
            <w:r w:rsidRPr="0000769D">
              <w:rPr>
                <w:rFonts w:eastAsia="Times New Roman"/>
                <w:b/>
                <w:bCs/>
                <w:sz w:val="18"/>
                <w:szCs w:val="18"/>
                <w:bdr w:val="none" w:sz="0" w:space="0" w:color="auto"/>
                <w:lang w:eastAsia="es-ES"/>
              </w:rPr>
              <w:t>202</w:t>
            </w:r>
            <w:r w:rsidR="00612A4D">
              <w:rPr>
                <w:rFonts w:eastAsia="Times New Roman"/>
                <w:b/>
                <w:bCs/>
                <w:sz w:val="18"/>
                <w:szCs w:val="18"/>
                <w:bdr w:val="none" w:sz="0" w:space="0" w:color="auto"/>
                <w:lang w:eastAsia="es-ES"/>
              </w:rPr>
              <w:t>4</w:t>
            </w:r>
          </w:p>
        </w:tc>
        <w:tc>
          <w:tcPr>
            <w:tcW w:w="1114" w:type="pct"/>
            <w:tcBorders>
              <w:top w:val="nil"/>
              <w:left w:val="nil"/>
              <w:bottom w:val="single" w:sz="4" w:space="0" w:color="auto"/>
              <w:right w:val="nil"/>
            </w:tcBorders>
            <w:shd w:val="clear" w:color="auto" w:fill="auto"/>
            <w:vAlign w:val="bottom"/>
            <w:hideMark/>
          </w:tcPr>
          <w:p w14:paraId="0CA7FA9D" w14:textId="121A99D7" w:rsidR="005B1141" w:rsidRPr="0000769D" w:rsidRDefault="0000769D" w:rsidP="005B1141">
            <w:pPr>
              <w:pBdr>
                <w:top w:val="none" w:sz="0" w:space="0" w:color="auto"/>
                <w:left w:val="none" w:sz="0" w:space="0" w:color="auto"/>
                <w:bottom w:val="none" w:sz="0" w:space="0" w:color="auto"/>
                <w:right w:val="none" w:sz="0" w:space="0" w:color="auto"/>
                <w:between w:val="none" w:sz="0" w:space="0" w:color="auto"/>
                <w:bar w:val="none" w:sz="0" w:color="auto"/>
              </w:pBdr>
              <w:ind w:right="239"/>
              <w:jc w:val="center"/>
              <w:outlineLvl w:val="9"/>
              <w:rPr>
                <w:rFonts w:eastAsia="Times New Roman"/>
                <w:b/>
                <w:bCs/>
                <w:sz w:val="18"/>
                <w:szCs w:val="18"/>
                <w:bdr w:val="none" w:sz="0" w:space="0" w:color="auto"/>
                <w:lang w:eastAsia="es-ES"/>
              </w:rPr>
            </w:pPr>
            <w:r w:rsidRPr="0000769D">
              <w:rPr>
                <w:rFonts w:eastAsia="Times New Roman"/>
                <w:b/>
                <w:bCs/>
                <w:sz w:val="18"/>
                <w:szCs w:val="18"/>
                <w:bdr w:val="none" w:sz="0" w:space="0" w:color="auto"/>
                <w:lang w:eastAsia="es-ES"/>
              </w:rPr>
              <w:t>202</w:t>
            </w:r>
            <w:r w:rsidR="00612A4D">
              <w:rPr>
                <w:rFonts w:eastAsia="Times New Roman"/>
                <w:b/>
                <w:bCs/>
                <w:sz w:val="18"/>
                <w:szCs w:val="18"/>
                <w:bdr w:val="none" w:sz="0" w:space="0" w:color="auto"/>
                <w:lang w:eastAsia="es-ES"/>
              </w:rPr>
              <w:t>3</w:t>
            </w:r>
          </w:p>
        </w:tc>
      </w:tr>
      <w:tr w:rsidR="005701BA" w:rsidRPr="0000769D" w14:paraId="282B8BE9" w14:textId="77777777" w:rsidTr="007D05F9">
        <w:trPr>
          <w:trHeight w:val="283"/>
          <w:jc w:val="center"/>
        </w:trPr>
        <w:tc>
          <w:tcPr>
            <w:tcW w:w="2772" w:type="pct"/>
            <w:tcBorders>
              <w:top w:val="nil"/>
              <w:left w:val="nil"/>
              <w:bottom w:val="nil"/>
              <w:right w:val="nil"/>
            </w:tcBorders>
            <w:shd w:val="clear" w:color="auto" w:fill="auto"/>
            <w:vAlign w:val="center"/>
            <w:hideMark/>
          </w:tcPr>
          <w:p w14:paraId="51550F85" w14:textId="77777777" w:rsidR="005701BA" w:rsidRPr="0000769D" w:rsidRDefault="005701BA" w:rsidP="005701BA">
            <w:pPr>
              <w:pBdr>
                <w:top w:val="none" w:sz="0" w:space="0" w:color="auto"/>
                <w:left w:val="none" w:sz="0" w:space="0" w:color="auto"/>
                <w:bottom w:val="none" w:sz="0" w:space="0" w:color="auto"/>
                <w:right w:val="none" w:sz="0" w:space="0" w:color="auto"/>
                <w:between w:val="none" w:sz="0" w:space="0" w:color="auto"/>
                <w:bar w:val="none" w:sz="0" w:color="auto"/>
              </w:pBdr>
              <w:ind w:left="359"/>
              <w:outlineLvl w:val="9"/>
              <w:rPr>
                <w:rFonts w:eastAsia="Times New Roman"/>
                <w:sz w:val="18"/>
                <w:szCs w:val="18"/>
                <w:bdr w:val="none" w:sz="0" w:space="0" w:color="auto"/>
                <w:lang w:eastAsia="es-ES"/>
              </w:rPr>
            </w:pPr>
            <w:r w:rsidRPr="0000769D">
              <w:rPr>
                <w:rFonts w:eastAsia="Times New Roman"/>
                <w:sz w:val="18"/>
                <w:szCs w:val="18"/>
                <w:bdr w:val="none" w:sz="0" w:space="0" w:color="auto"/>
                <w:lang w:eastAsia="es-ES"/>
              </w:rPr>
              <w:t xml:space="preserve">Hasta un año </w:t>
            </w:r>
          </w:p>
        </w:tc>
        <w:tc>
          <w:tcPr>
            <w:tcW w:w="1114" w:type="pct"/>
            <w:tcBorders>
              <w:top w:val="nil"/>
              <w:left w:val="nil"/>
              <w:bottom w:val="nil"/>
              <w:right w:val="nil"/>
            </w:tcBorders>
            <w:shd w:val="clear" w:color="auto" w:fill="auto"/>
            <w:noWrap/>
            <w:vAlign w:val="center"/>
          </w:tcPr>
          <w:p w14:paraId="474142F3" w14:textId="60AE3296" w:rsidR="005701BA" w:rsidRPr="00B275A3" w:rsidRDefault="005701BA" w:rsidP="005701BA">
            <w:pPr>
              <w:pBdr>
                <w:top w:val="none" w:sz="0" w:space="0" w:color="auto"/>
                <w:left w:val="none" w:sz="0" w:space="0" w:color="auto"/>
                <w:bottom w:val="none" w:sz="0" w:space="0" w:color="auto"/>
                <w:right w:val="none" w:sz="0" w:space="0" w:color="auto"/>
                <w:between w:val="none" w:sz="0" w:space="0" w:color="auto"/>
                <w:bar w:val="none" w:sz="0" w:color="auto"/>
              </w:pBdr>
              <w:ind w:right="239"/>
              <w:jc w:val="right"/>
              <w:outlineLvl w:val="9"/>
              <w:rPr>
                <w:rFonts w:eastAsia="Times New Roman"/>
                <w:sz w:val="18"/>
                <w:szCs w:val="18"/>
                <w:highlight w:val="red"/>
                <w:bdr w:val="none" w:sz="0" w:space="0" w:color="auto"/>
                <w:lang w:eastAsia="es-ES"/>
              </w:rPr>
            </w:pPr>
            <w:r>
              <w:rPr>
                <w:sz w:val="18"/>
                <w:szCs w:val="18"/>
              </w:rPr>
              <w:t>74.448,00</w:t>
            </w:r>
          </w:p>
        </w:tc>
        <w:tc>
          <w:tcPr>
            <w:tcW w:w="1114" w:type="pct"/>
            <w:tcBorders>
              <w:top w:val="nil"/>
              <w:left w:val="nil"/>
              <w:bottom w:val="nil"/>
              <w:right w:val="nil"/>
            </w:tcBorders>
            <w:shd w:val="clear" w:color="auto" w:fill="auto"/>
            <w:vAlign w:val="center"/>
            <w:hideMark/>
          </w:tcPr>
          <w:p w14:paraId="2DB231C1" w14:textId="61421648" w:rsidR="005701BA" w:rsidRPr="0000769D" w:rsidRDefault="005701BA" w:rsidP="005701BA">
            <w:pPr>
              <w:ind w:right="239"/>
              <w:jc w:val="right"/>
              <w:rPr>
                <w:sz w:val="18"/>
                <w:szCs w:val="18"/>
              </w:rPr>
            </w:pPr>
            <w:r w:rsidRPr="0000769D">
              <w:rPr>
                <w:sz w:val="18"/>
                <w:szCs w:val="18"/>
              </w:rPr>
              <w:t>57.753,90</w:t>
            </w:r>
          </w:p>
        </w:tc>
      </w:tr>
      <w:tr w:rsidR="005701BA" w:rsidRPr="0000769D" w14:paraId="3D785F5E" w14:textId="77777777" w:rsidTr="007D05F9">
        <w:trPr>
          <w:trHeight w:val="283"/>
          <w:jc w:val="center"/>
        </w:trPr>
        <w:tc>
          <w:tcPr>
            <w:tcW w:w="2772" w:type="pct"/>
            <w:tcBorders>
              <w:top w:val="nil"/>
              <w:left w:val="nil"/>
              <w:bottom w:val="single" w:sz="4" w:space="0" w:color="auto"/>
              <w:right w:val="nil"/>
            </w:tcBorders>
            <w:shd w:val="clear" w:color="auto" w:fill="auto"/>
            <w:vAlign w:val="center"/>
            <w:hideMark/>
          </w:tcPr>
          <w:p w14:paraId="29A33879" w14:textId="77777777" w:rsidR="005701BA" w:rsidRPr="0000769D" w:rsidRDefault="005701BA" w:rsidP="005701BA">
            <w:pPr>
              <w:pBdr>
                <w:top w:val="none" w:sz="0" w:space="0" w:color="auto"/>
                <w:left w:val="none" w:sz="0" w:space="0" w:color="auto"/>
                <w:bottom w:val="none" w:sz="0" w:space="0" w:color="auto"/>
                <w:right w:val="none" w:sz="0" w:space="0" w:color="auto"/>
                <w:between w:val="none" w:sz="0" w:space="0" w:color="auto"/>
                <w:bar w:val="none" w:sz="0" w:color="auto"/>
              </w:pBdr>
              <w:ind w:left="359"/>
              <w:outlineLvl w:val="9"/>
              <w:rPr>
                <w:rFonts w:eastAsia="Times New Roman"/>
                <w:sz w:val="18"/>
                <w:szCs w:val="18"/>
                <w:bdr w:val="none" w:sz="0" w:space="0" w:color="auto"/>
                <w:lang w:eastAsia="es-ES"/>
              </w:rPr>
            </w:pPr>
            <w:r w:rsidRPr="0000769D">
              <w:rPr>
                <w:rFonts w:eastAsia="Times New Roman"/>
                <w:sz w:val="18"/>
                <w:szCs w:val="18"/>
                <w:bdr w:val="none" w:sz="0" w:space="0" w:color="auto"/>
                <w:lang w:eastAsia="es-ES"/>
              </w:rPr>
              <w:t>Entre uno y cinco años</w:t>
            </w:r>
          </w:p>
        </w:tc>
        <w:tc>
          <w:tcPr>
            <w:tcW w:w="1114" w:type="pct"/>
            <w:tcBorders>
              <w:top w:val="nil"/>
              <w:left w:val="nil"/>
              <w:bottom w:val="single" w:sz="4" w:space="0" w:color="auto"/>
              <w:right w:val="nil"/>
            </w:tcBorders>
            <w:shd w:val="clear" w:color="auto" w:fill="auto"/>
            <w:noWrap/>
            <w:vAlign w:val="center"/>
          </w:tcPr>
          <w:p w14:paraId="75BA30BA" w14:textId="0835C79F" w:rsidR="005701BA" w:rsidRPr="00B275A3" w:rsidRDefault="005701BA" w:rsidP="005701BA">
            <w:pPr>
              <w:ind w:right="239"/>
              <w:jc w:val="right"/>
              <w:rPr>
                <w:sz w:val="18"/>
                <w:szCs w:val="18"/>
                <w:highlight w:val="red"/>
              </w:rPr>
            </w:pPr>
            <w:r>
              <w:rPr>
                <w:sz w:val="18"/>
                <w:szCs w:val="18"/>
              </w:rPr>
              <w:t>236.772,00</w:t>
            </w:r>
          </w:p>
        </w:tc>
        <w:tc>
          <w:tcPr>
            <w:tcW w:w="1114" w:type="pct"/>
            <w:tcBorders>
              <w:top w:val="nil"/>
              <w:left w:val="nil"/>
              <w:bottom w:val="nil"/>
              <w:right w:val="nil"/>
            </w:tcBorders>
            <w:shd w:val="clear" w:color="auto" w:fill="auto"/>
            <w:vAlign w:val="center"/>
            <w:hideMark/>
          </w:tcPr>
          <w:p w14:paraId="02EC474F" w14:textId="0A3895FB" w:rsidR="005701BA" w:rsidRPr="0000769D" w:rsidRDefault="005701BA" w:rsidP="005701BA">
            <w:pPr>
              <w:ind w:right="239"/>
              <w:jc w:val="right"/>
              <w:rPr>
                <w:sz w:val="18"/>
                <w:szCs w:val="18"/>
              </w:rPr>
            </w:pPr>
            <w:r w:rsidRPr="0000769D">
              <w:rPr>
                <w:sz w:val="18"/>
                <w:szCs w:val="18"/>
              </w:rPr>
              <w:t>135.000,00</w:t>
            </w:r>
          </w:p>
        </w:tc>
      </w:tr>
      <w:tr w:rsidR="005701BA" w:rsidRPr="0000769D" w14:paraId="71DA5A20" w14:textId="77777777" w:rsidTr="007D05F9">
        <w:trPr>
          <w:trHeight w:val="283"/>
          <w:jc w:val="center"/>
        </w:trPr>
        <w:tc>
          <w:tcPr>
            <w:tcW w:w="2772" w:type="pct"/>
            <w:tcBorders>
              <w:top w:val="nil"/>
              <w:left w:val="nil"/>
              <w:bottom w:val="single" w:sz="4" w:space="0" w:color="auto"/>
              <w:right w:val="nil"/>
            </w:tcBorders>
            <w:shd w:val="clear" w:color="auto" w:fill="auto"/>
            <w:vAlign w:val="center"/>
            <w:hideMark/>
          </w:tcPr>
          <w:p w14:paraId="4DEF5F6F" w14:textId="77777777" w:rsidR="005701BA" w:rsidRPr="0000769D" w:rsidRDefault="005701BA" w:rsidP="005701BA">
            <w:pPr>
              <w:pBdr>
                <w:top w:val="none" w:sz="0" w:space="0" w:color="auto"/>
                <w:left w:val="none" w:sz="0" w:space="0" w:color="auto"/>
                <w:bottom w:val="none" w:sz="0" w:space="0" w:color="auto"/>
                <w:right w:val="none" w:sz="0" w:space="0" w:color="auto"/>
                <w:between w:val="none" w:sz="0" w:space="0" w:color="auto"/>
                <w:bar w:val="none" w:sz="0" w:color="auto"/>
              </w:pBdr>
              <w:ind w:left="359"/>
              <w:outlineLvl w:val="9"/>
              <w:rPr>
                <w:rFonts w:eastAsia="Times New Roman"/>
                <w:b/>
                <w:bCs/>
                <w:sz w:val="18"/>
                <w:szCs w:val="18"/>
                <w:bdr w:val="none" w:sz="0" w:space="0" w:color="auto"/>
                <w:lang w:eastAsia="es-ES"/>
              </w:rPr>
            </w:pPr>
            <w:r w:rsidRPr="0000769D">
              <w:rPr>
                <w:rFonts w:eastAsia="Times New Roman"/>
                <w:b/>
                <w:bCs/>
                <w:sz w:val="18"/>
                <w:szCs w:val="18"/>
                <w:bdr w:val="none" w:sz="0" w:space="0" w:color="auto"/>
                <w:lang w:eastAsia="es-ES"/>
              </w:rPr>
              <w:t>Total</w:t>
            </w:r>
          </w:p>
        </w:tc>
        <w:tc>
          <w:tcPr>
            <w:tcW w:w="1114" w:type="pct"/>
            <w:tcBorders>
              <w:top w:val="nil"/>
              <w:left w:val="nil"/>
              <w:bottom w:val="single" w:sz="4" w:space="0" w:color="auto"/>
              <w:right w:val="nil"/>
            </w:tcBorders>
            <w:shd w:val="clear" w:color="auto" w:fill="auto"/>
            <w:noWrap/>
            <w:vAlign w:val="center"/>
          </w:tcPr>
          <w:p w14:paraId="732CFE56" w14:textId="03F36F8A" w:rsidR="005701BA" w:rsidRPr="00B275A3" w:rsidRDefault="005701BA" w:rsidP="005701BA">
            <w:pPr>
              <w:ind w:right="239"/>
              <w:jc w:val="right"/>
              <w:rPr>
                <w:b/>
                <w:bCs/>
                <w:sz w:val="18"/>
                <w:szCs w:val="18"/>
                <w:highlight w:val="red"/>
              </w:rPr>
            </w:pPr>
            <w:r>
              <w:rPr>
                <w:b/>
                <w:bCs/>
                <w:sz w:val="18"/>
                <w:szCs w:val="18"/>
              </w:rPr>
              <w:t>311.220,00</w:t>
            </w:r>
          </w:p>
        </w:tc>
        <w:tc>
          <w:tcPr>
            <w:tcW w:w="1114" w:type="pct"/>
            <w:tcBorders>
              <w:top w:val="single" w:sz="4" w:space="0" w:color="auto"/>
              <w:left w:val="nil"/>
              <w:bottom w:val="single" w:sz="4" w:space="0" w:color="auto"/>
              <w:right w:val="nil"/>
            </w:tcBorders>
            <w:shd w:val="clear" w:color="auto" w:fill="auto"/>
            <w:vAlign w:val="center"/>
            <w:hideMark/>
          </w:tcPr>
          <w:p w14:paraId="2026215B" w14:textId="69D847CA" w:rsidR="005701BA" w:rsidRPr="0000769D" w:rsidRDefault="005701BA" w:rsidP="005701BA">
            <w:pPr>
              <w:ind w:right="239"/>
              <w:jc w:val="right"/>
              <w:rPr>
                <w:b/>
                <w:bCs/>
                <w:sz w:val="18"/>
                <w:szCs w:val="18"/>
              </w:rPr>
            </w:pPr>
            <w:r w:rsidRPr="0000769D">
              <w:rPr>
                <w:b/>
                <w:bCs/>
                <w:sz w:val="18"/>
                <w:szCs w:val="18"/>
              </w:rPr>
              <w:t>192.753,90</w:t>
            </w:r>
          </w:p>
        </w:tc>
      </w:tr>
    </w:tbl>
    <w:p w14:paraId="60C0750F" w14:textId="2F533B59" w:rsidR="005644E5" w:rsidRPr="00B275A3" w:rsidRDefault="006220A2" w:rsidP="00B275A3">
      <w:pPr>
        <w:widowControl w:val="0"/>
        <w:spacing w:before="120" w:after="120" w:line="260" w:lineRule="exact"/>
        <w:jc w:val="both"/>
        <w:outlineLvl w:val="9"/>
        <w:rPr>
          <w:snapToGrid w:val="0"/>
          <w:sz w:val="20"/>
          <w:szCs w:val="22"/>
        </w:rPr>
      </w:pPr>
      <w:r w:rsidRPr="0000769D">
        <w:rPr>
          <w:snapToGrid w:val="0"/>
          <w:sz w:val="20"/>
          <w:szCs w:val="22"/>
        </w:rPr>
        <w:t>El gasto reconocido en la cuenta de pérdidas y ganancias durante el ejercicio correspondiente a arrendamientos</w:t>
      </w:r>
      <w:r w:rsidR="0094063E" w:rsidRPr="0000769D">
        <w:rPr>
          <w:snapToGrid w:val="0"/>
          <w:sz w:val="20"/>
          <w:szCs w:val="22"/>
        </w:rPr>
        <w:t xml:space="preserve"> operativos asciende a</w:t>
      </w:r>
      <w:r w:rsidR="008B575B" w:rsidRPr="0000769D">
        <w:rPr>
          <w:snapToGrid w:val="0"/>
          <w:sz w:val="20"/>
          <w:szCs w:val="22"/>
        </w:rPr>
        <w:t xml:space="preserve"> </w:t>
      </w:r>
      <w:r w:rsidR="00B275A3" w:rsidRPr="00B275A3">
        <w:rPr>
          <w:snapToGrid w:val="0"/>
          <w:sz w:val="20"/>
          <w:szCs w:val="22"/>
        </w:rPr>
        <w:t>90.966,30</w:t>
      </w:r>
      <w:r w:rsidR="0000769D">
        <w:rPr>
          <w:snapToGrid w:val="0"/>
          <w:sz w:val="20"/>
          <w:szCs w:val="22"/>
        </w:rPr>
        <w:t xml:space="preserve"> </w:t>
      </w:r>
      <w:r w:rsidR="0094063E" w:rsidRPr="0000769D">
        <w:rPr>
          <w:snapToGrid w:val="0"/>
          <w:sz w:val="20"/>
          <w:szCs w:val="22"/>
        </w:rPr>
        <w:t>euros (</w:t>
      </w:r>
      <w:r w:rsidR="00612A4D">
        <w:rPr>
          <w:snapToGrid w:val="0"/>
          <w:sz w:val="20"/>
          <w:szCs w:val="22"/>
        </w:rPr>
        <w:t xml:space="preserve">76.215,62 </w:t>
      </w:r>
      <w:r w:rsidR="008C63CA" w:rsidRPr="0000769D">
        <w:rPr>
          <w:snapToGrid w:val="0"/>
          <w:sz w:val="20"/>
          <w:szCs w:val="22"/>
        </w:rPr>
        <w:t xml:space="preserve">euros en </w:t>
      </w:r>
      <w:r w:rsidR="005644E5" w:rsidRPr="0000769D">
        <w:rPr>
          <w:snapToGrid w:val="0"/>
          <w:sz w:val="20"/>
          <w:szCs w:val="22"/>
        </w:rPr>
        <w:t>el ejercicio anterior</w:t>
      </w:r>
      <w:r w:rsidRPr="0000769D">
        <w:rPr>
          <w:snapToGrid w:val="0"/>
          <w:sz w:val="20"/>
          <w:szCs w:val="22"/>
        </w:rPr>
        <w:t>).</w:t>
      </w:r>
    </w:p>
    <w:p w14:paraId="76533A5C" w14:textId="77777777" w:rsidR="005644E5" w:rsidRDefault="005644E5" w:rsidP="00B275A3">
      <w:pPr>
        <w:widowControl w:val="0"/>
        <w:spacing w:before="120" w:after="120" w:line="260" w:lineRule="exact"/>
        <w:jc w:val="both"/>
        <w:outlineLvl w:val="9"/>
        <w:rPr>
          <w:snapToGrid w:val="0"/>
          <w:sz w:val="20"/>
          <w:szCs w:val="22"/>
        </w:rPr>
      </w:pPr>
      <w:r>
        <w:rPr>
          <w:snapToGrid w:val="0"/>
          <w:sz w:val="20"/>
          <w:szCs w:val="22"/>
        </w:rPr>
        <w:br w:type="page"/>
      </w:r>
    </w:p>
    <w:p w14:paraId="08E036DD" w14:textId="6FF599BD" w:rsidR="00AC0D8E" w:rsidRPr="0083433F" w:rsidRDefault="00AC0D8E" w:rsidP="00052BF5">
      <w:pPr>
        <w:widowControl w:val="0"/>
        <w:numPr>
          <w:ilvl w:val="0"/>
          <w:numId w:val="6"/>
        </w:numPr>
        <w:pBdr>
          <w:top w:val="none" w:sz="0" w:space="0" w:color="auto"/>
          <w:left w:val="none" w:sz="0" w:space="0" w:color="auto"/>
          <w:bottom w:val="none" w:sz="0" w:space="0" w:color="auto"/>
          <w:right w:val="none" w:sz="0" w:space="0" w:color="auto"/>
          <w:between w:val="none" w:sz="0" w:space="0" w:color="auto"/>
          <w:bar w:val="none" w:sz="0" w:color="auto"/>
        </w:pBdr>
        <w:spacing w:after="120" w:line="280" w:lineRule="exact"/>
        <w:ind w:left="284" w:hanging="284"/>
        <w:outlineLvl w:val="9"/>
        <w:rPr>
          <w:b/>
          <w:snapToGrid w:val="0"/>
          <w:sz w:val="22"/>
          <w:szCs w:val="22"/>
        </w:rPr>
      </w:pPr>
      <w:r w:rsidRPr="0083433F">
        <w:rPr>
          <w:b/>
          <w:snapToGrid w:val="0"/>
          <w:sz w:val="22"/>
          <w:szCs w:val="22"/>
        </w:rPr>
        <w:lastRenderedPageBreak/>
        <w:t>Análisis de instrumentos financieros</w:t>
      </w:r>
    </w:p>
    <w:p w14:paraId="1CA57CCD" w14:textId="77777777" w:rsidR="006220A2" w:rsidRPr="0083433F" w:rsidRDefault="006220A2" w:rsidP="005644E5">
      <w:pPr>
        <w:widowControl w:val="0"/>
        <w:spacing w:before="200"/>
        <w:ind w:left="284"/>
        <w:rPr>
          <w:b/>
          <w:snapToGrid w:val="0"/>
          <w:sz w:val="20"/>
          <w:szCs w:val="22"/>
        </w:rPr>
      </w:pPr>
      <w:r w:rsidRPr="0083433F">
        <w:rPr>
          <w:b/>
          <w:sz w:val="20"/>
          <w:szCs w:val="22"/>
        </w:rPr>
        <w:t>Análisis por categorías</w:t>
      </w:r>
    </w:p>
    <w:p w14:paraId="13B18703" w14:textId="7E54E1FC" w:rsidR="007F3953" w:rsidRPr="005644E5" w:rsidRDefault="006220A2" w:rsidP="004A41D6">
      <w:pPr>
        <w:widowControl w:val="0"/>
        <w:spacing w:before="120" w:after="120" w:line="260" w:lineRule="exact"/>
        <w:jc w:val="both"/>
        <w:outlineLvl w:val="9"/>
        <w:rPr>
          <w:snapToGrid w:val="0"/>
          <w:sz w:val="20"/>
          <w:szCs w:val="22"/>
        </w:rPr>
      </w:pPr>
      <w:r w:rsidRPr="005644E5">
        <w:rPr>
          <w:snapToGrid w:val="0"/>
          <w:sz w:val="20"/>
          <w:szCs w:val="22"/>
        </w:rPr>
        <w:t>El valor en libros de cada una de las categorías de instrumentos financieros establecidas en la norma de registro y valoración de “Instrumentos financieros” es el siguiente:</w:t>
      </w:r>
    </w:p>
    <w:p w14:paraId="1C953CF5" w14:textId="77777777" w:rsidR="006220A2" w:rsidRPr="0083433F" w:rsidRDefault="006220A2">
      <w:pPr>
        <w:widowControl w:val="0"/>
        <w:numPr>
          <w:ilvl w:val="1"/>
          <w:numId w:val="16"/>
        </w:numPr>
        <w:pBdr>
          <w:top w:val="none" w:sz="0" w:space="0" w:color="auto"/>
          <w:left w:val="none" w:sz="0" w:space="0" w:color="auto"/>
          <w:bottom w:val="none" w:sz="0" w:space="0" w:color="auto"/>
          <w:right w:val="none" w:sz="0" w:space="0" w:color="auto"/>
          <w:between w:val="none" w:sz="0" w:space="0" w:color="auto"/>
          <w:bar w:val="none" w:sz="0" w:color="auto"/>
        </w:pBdr>
        <w:spacing w:before="200"/>
        <w:outlineLvl w:val="9"/>
        <w:rPr>
          <w:b/>
          <w:sz w:val="20"/>
          <w:szCs w:val="22"/>
        </w:rPr>
      </w:pPr>
      <w:r w:rsidRPr="0083433F">
        <w:rPr>
          <w:b/>
          <w:sz w:val="20"/>
          <w:szCs w:val="22"/>
        </w:rPr>
        <w:t>Activos financieros</w:t>
      </w:r>
    </w:p>
    <w:p w14:paraId="245045B1" w14:textId="77777777" w:rsidR="006220A2" w:rsidRPr="005644E5" w:rsidRDefault="006220A2" w:rsidP="004A41D6">
      <w:pPr>
        <w:widowControl w:val="0"/>
        <w:spacing w:before="120" w:after="120" w:line="260" w:lineRule="exact"/>
        <w:jc w:val="both"/>
        <w:outlineLvl w:val="9"/>
        <w:rPr>
          <w:snapToGrid w:val="0"/>
          <w:sz w:val="20"/>
          <w:szCs w:val="22"/>
        </w:rPr>
      </w:pPr>
      <w:r w:rsidRPr="005644E5">
        <w:rPr>
          <w:snapToGrid w:val="0"/>
          <w:sz w:val="20"/>
          <w:szCs w:val="22"/>
        </w:rPr>
        <w:t xml:space="preserve">El detalle de activos financieros a </w:t>
      </w:r>
      <w:r w:rsidR="008D42A8" w:rsidRPr="005644E5">
        <w:rPr>
          <w:snapToGrid w:val="0"/>
          <w:sz w:val="20"/>
          <w:szCs w:val="22"/>
        </w:rPr>
        <w:t>largo y corto</w:t>
      </w:r>
      <w:r w:rsidRPr="005644E5">
        <w:rPr>
          <w:snapToGrid w:val="0"/>
          <w:sz w:val="20"/>
          <w:szCs w:val="22"/>
        </w:rPr>
        <w:t xml:space="preserve"> </w:t>
      </w:r>
      <w:r w:rsidR="000C3260" w:rsidRPr="005644E5">
        <w:rPr>
          <w:snapToGrid w:val="0"/>
          <w:sz w:val="20"/>
          <w:szCs w:val="22"/>
        </w:rPr>
        <w:t>plazo</w:t>
      </w:r>
      <w:r w:rsidRPr="005644E5">
        <w:rPr>
          <w:snapToGrid w:val="0"/>
          <w:sz w:val="20"/>
          <w:szCs w:val="22"/>
        </w:rPr>
        <w:t xml:space="preserve"> es el siguiente:</w:t>
      </w:r>
    </w:p>
    <w:tbl>
      <w:tblPr>
        <w:tblW w:w="5000" w:type="pct"/>
        <w:tblCellMar>
          <w:left w:w="70" w:type="dxa"/>
          <w:right w:w="70" w:type="dxa"/>
        </w:tblCellMar>
        <w:tblLook w:val="04A0" w:firstRow="1" w:lastRow="0" w:firstColumn="1" w:lastColumn="0" w:noHBand="0" w:noVBand="1"/>
      </w:tblPr>
      <w:tblGrid>
        <w:gridCol w:w="3967"/>
        <w:gridCol w:w="2406"/>
        <w:gridCol w:w="2408"/>
      </w:tblGrid>
      <w:tr w:rsidR="008D42A8" w:rsidRPr="005644E5" w14:paraId="7F32FD29" w14:textId="77777777" w:rsidTr="007E7835">
        <w:trPr>
          <w:trHeight w:val="227"/>
        </w:trPr>
        <w:tc>
          <w:tcPr>
            <w:tcW w:w="2259" w:type="pct"/>
            <w:tcBorders>
              <w:top w:val="single" w:sz="4" w:space="0" w:color="auto"/>
              <w:left w:val="nil"/>
              <w:bottom w:val="nil"/>
              <w:right w:val="nil"/>
            </w:tcBorders>
            <w:shd w:val="clear" w:color="auto" w:fill="auto"/>
            <w:noWrap/>
            <w:vAlign w:val="center"/>
            <w:hideMark/>
          </w:tcPr>
          <w:p w14:paraId="368E641A" w14:textId="77777777" w:rsidR="008D42A8" w:rsidRPr="005644E5" w:rsidRDefault="008D42A8" w:rsidP="005644E5">
            <w:pPr>
              <w:pBdr>
                <w:top w:val="none" w:sz="0" w:space="0" w:color="auto"/>
                <w:left w:val="none" w:sz="0" w:space="0" w:color="auto"/>
                <w:bottom w:val="none" w:sz="0" w:space="0" w:color="auto"/>
                <w:right w:val="none" w:sz="0" w:space="0" w:color="auto"/>
                <w:between w:val="none" w:sz="0" w:space="0" w:color="auto"/>
                <w:bar w:val="none" w:sz="0" w:color="auto"/>
              </w:pBdr>
              <w:ind w:left="217"/>
              <w:jc w:val="both"/>
              <w:outlineLvl w:val="9"/>
              <w:rPr>
                <w:rFonts w:eastAsia="Times New Roman"/>
                <w:sz w:val="18"/>
                <w:szCs w:val="18"/>
                <w:bdr w:val="none" w:sz="0" w:space="0" w:color="auto"/>
                <w:lang w:eastAsia="es-ES"/>
              </w:rPr>
            </w:pPr>
            <w:r w:rsidRPr="005644E5">
              <w:rPr>
                <w:rFonts w:eastAsia="Times New Roman"/>
                <w:sz w:val="18"/>
                <w:szCs w:val="18"/>
                <w:bdr w:val="none" w:sz="0" w:space="0" w:color="auto"/>
                <w:lang w:eastAsia="es-ES"/>
              </w:rPr>
              <w:t> </w:t>
            </w:r>
          </w:p>
        </w:tc>
        <w:tc>
          <w:tcPr>
            <w:tcW w:w="2741" w:type="pct"/>
            <w:gridSpan w:val="2"/>
            <w:tcBorders>
              <w:top w:val="single" w:sz="4" w:space="0" w:color="auto"/>
              <w:left w:val="nil"/>
              <w:bottom w:val="single" w:sz="4" w:space="0" w:color="auto"/>
              <w:right w:val="nil"/>
            </w:tcBorders>
            <w:shd w:val="clear" w:color="auto" w:fill="auto"/>
            <w:noWrap/>
            <w:vAlign w:val="bottom"/>
            <w:hideMark/>
          </w:tcPr>
          <w:p w14:paraId="0FA31A42" w14:textId="77777777" w:rsidR="008D42A8" w:rsidRPr="005644E5" w:rsidRDefault="00CA7AF6" w:rsidP="005644E5">
            <w:pPr>
              <w:pBdr>
                <w:top w:val="none" w:sz="0" w:space="0" w:color="auto"/>
                <w:left w:val="none" w:sz="0" w:space="0" w:color="auto"/>
                <w:bottom w:val="none" w:sz="0" w:space="0" w:color="auto"/>
                <w:right w:val="none" w:sz="0" w:space="0" w:color="auto"/>
                <w:between w:val="none" w:sz="0" w:space="0" w:color="auto"/>
                <w:bar w:val="none" w:sz="0" w:color="auto"/>
              </w:pBdr>
              <w:ind w:right="210"/>
              <w:jc w:val="center"/>
              <w:outlineLvl w:val="9"/>
              <w:rPr>
                <w:rFonts w:eastAsia="Times New Roman"/>
                <w:b/>
                <w:bCs/>
                <w:sz w:val="18"/>
                <w:szCs w:val="18"/>
                <w:bdr w:val="none" w:sz="0" w:space="0" w:color="auto"/>
                <w:lang w:eastAsia="es-ES"/>
              </w:rPr>
            </w:pPr>
            <w:r w:rsidRPr="005644E5">
              <w:rPr>
                <w:rFonts w:eastAsia="Times New Roman"/>
                <w:b/>
                <w:bCs/>
                <w:sz w:val="18"/>
                <w:szCs w:val="18"/>
                <w:bdr w:val="none" w:sz="0" w:space="0" w:color="auto"/>
                <w:lang w:eastAsia="es-ES"/>
              </w:rPr>
              <w:t>Euros</w:t>
            </w:r>
          </w:p>
        </w:tc>
      </w:tr>
      <w:tr w:rsidR="00CA7AF6" w:rsidRPr="005644E5" w14:paraId="4F4D695A" w14:textId="77777777" w:rsidTr="00B1370C">
        <w:trPr>
          <w:trHeight w:val="283"/>
        </w:trPr>
        <w:tc>
          <w:tcPr>
            <w:tcW w:w="2259" w:type="pct"/>
            <w:tcBorders>
              <w:top w:val="single" w:sz="4" w:space="0" w:color="auto"/>
              <w:left w:val="nil"/>
              <w:bottom w:val="nil"/>
              <w:right w:val="nil"/>
            </w:tcBorders>
            <w:shd w:val="clear" w:color="auto" w:fill="auto"/>
            <w:noWrap/>
            <w:vAlign w:val="center"/>
          </w:tcPr>
          <w:p w14:paraId="62270E05" w14:textId="77777777" w:rsidR="00CA7AF6" w:rsidRPr="005644E5" w:rsidRDefault="00CA7AF6" w:rsidP="00B1370C">
            <w:pPr>
              <w:pBdr>
                <w:top w:val="none" w:sz="0" w:space="0" w:color="auto"/>
                <w:left w:val="none" w:sz="0" w:space="0" w:color="auto"/>
                <w:bottom w:val="none" w:sz="0" w:space="0" w:color="auto"/>
                <w:right w:val="none" w:sz="0" w:space="0" w:color="auto"/>
                <w:between w:val="none" w:sz="0" w:space="0" w:color="auto"/>
                <w:bar w:val="none" w:sz="0" w:color="auto"/>
              </w:pBdr>
              <w:ind w:left="217"/>
              <w:jc w:val="center"/>
              <w:outlineLvl w:val="9"/>
              <w:rPr>
                <w:rFonts w:eastAsia="Times New Roman"/>
                <w:sz w:val="18"/>
                <w:szCs w:val="18"/>
                <w:bdr w:val="none" w:sz="0" w:space="0" w:color="auto"/>
                <w:lang w:eastAsia="es-ES"/>
              </w:rPr>
            </w:pPr>
          </w:p>
        </w:tc>
        <w:tc>
          <w:tcPr>
            <w:tcW w:w="2741" w:type="pct"/>
            <w:gridSpan w:val="2"/>
            <w:tcBorders>
              <w:top w:val="single" w:sz="4" w:space="0" w:color="auto"/>
              <w:left w:val="nil"/>
              <w:bottom w:val="single" w:sz="4" w:space="0" w:color="auto"/>
              <w:right w:val="nil"/>
            </w:tcBorders>
            <w:shd w:val="clear" w:color="auto" w:fill="auto"/>
            <w:noWrap/>
            <w:vAlign w:val="center"/>
          </w:tcPr>
          <w:p w14:paraId="0F51C709" w14:textId="77777777" w:rsidR="00CA7AF6" w:rsidRPr="005644E5" w:rsidRDefault="00CA7AF6" w:rsidP="00B1370C">
            <w:pPr>
              <w:pBdr>
                <w:top w:val="none" w:sz="0" w:space="0" w:color="auto"/>
                <w:left w:val="none" w:sz="0" w:space="0" w:color="auto"/>
                <w:bottom w:val="none" w:sz="0" w:space="0" w:color="auto"/>
                <w:right w:val="none" w:sz="0" w:space="0" w:color="auto"/>
                <w:between w:val="none" w:sz="0" w:space="0" w:color="auto"/>
                <w:bar w:val="none" w:sz="0" w:color="auto"/>
              </w:pBdr>
              <w:ind w:right="210"/>
              <w:jc w:val="center"/>
              <w:outlineLvl w:val="9"/>
              <w:rPr>
                <w:rFonts w:eastAsia="Times New Roman"/>
                <w:b/>
                <w:bCs/>
                <w:sz w:val="18"/>
                <w:szCs w:val="18"/>
                <w:bdr w:val="none" w:sz="0" w:space="0" w:color="auto"/>
                <w:lang w:eastAsia="es-ES"/>
              </w:rPr>
            </w:pPr>
            <w:r w:rsidRPr="005644E5">
              <w:rPr>
                <w:rFonts w:eastAsia="Times New Roman"/>
                <w:b/>
                <w:bCs/>
                <w:sz w:val="18"/>
                <w:szCs w:val="18"/>
                <w:bdr w:val="none" w:sz="0" w:space="0" w:color="auto"/>
                <w:lang w:eastAsia="es-ES"/>
              </w:rPr>
              <w:t>Activos financieros a largo plazo</w:t>
            </w:r>
          </w:p>
        </w:tc>
      </w:tr>
      <w:tr w:rsidR="008D42A8" w:rsidRPr="005644E5" w14:paraId="1CB7C9FC" w14:textId="77777777" w:rsidTr="007E7835">
        <w:trPr>
          <w:trHeight w:val="227"/>
        </w:trPr>
        <w:tc>
          <w:tcPr>
            <w:tcW w:w="2259" w:type="pct"/>
            <w:tcBorders>
              <w:top w:val="nil"/>
              <w:left w:val="nil"/>
              <w:bottom w:val="nil"/>
              <w:right w:val="nil"/>
            </w:tcBorders>
            <w:shd w:val="clear" w:color="auto" w:fill="auto"/>
            <w:noWrap/>
            <w:vAlign w:val="center"/>
            <w:hideMark/>
          </w:tcPr>
          <w:p w14:paraId="67CF8DAA" w14:textId="77777777" w:rsidR="008D42A8" w:rsidRPr="005644E5" w:rsidRDefault="008D42A8" w:rsidP="005644E5">
            <w:pPr>
              <w:pBdr>
                <w:top w:val="none" w:sz="0" w:space="0" w:color="auto"/>
                <w:left w:val="none" w:sz="0" w:space="0" w:color="auto"/>
                <w:bottom w:val="none" w:sz="0" w:space="0" w:color="auto"/>
                <w:right w:val="none" w:sz="0" w:space="0" w:color="auto"/>
                <w:between w:val="none" w:sz="0" w:space="0" w:color="auto"/>
                <w:bar w:val="none" w:sz="0" w:color="auto"/>
              </w:pBdr>
              <w:ind w:left="217"/>
              <w:jc w:val="center"/>
              <w:outlineLvl w:val="9"/>
              <w:rPr>
                <w:rFonts w:eastAsia="Times New Roman"/>
                <w:b/>
                <w:bCs/>
                <w:sz w:val="18"/>
                <w:szCs w:val="18"/>
                <w:bdr w:val="none" w:sz="0" w:space="0" w:color="auto"/>
                <w:lang w:eastAsia="es-ES"/>
              </w:rPr>
            </w:pPr>
          </w:p>
        </w:tc>
        <w:tc>
          <w:tcPr>
            <w:tcW w:w="2741" w:type="pct"/>
            <w:gridSpan w:val="2"/>
            <w:tcBorders>
              <w:top w:val="single" w:sz="4" w:space="0" w:color="auto"/>
              <w:left w:val="nil"/>
              <w:bottom w:val="single" w:sz="4" w:space="0" w:color="auto"/>
              <w:right w:val="nil"/>
            </w:tcBorders>
            <w:shd w:val="clear" w:color="auto" w:fill="auto"/>
            <w:noWrap/>
            <w:vAlign w:val="bottom"/>
            <w:hideMark/>
          </w:tcPr>
          <w:p w14:paraId="207AA926" w14:textId="77777777" w:rsidR="008D42A8" w:rsidRPr="005644E5" w:rsidRDefault="008D42A8" w:rsidP="005644E5">
            <w:pPr>
              <w:pBdr>
                <w:top w:val="none" w:sz="0" w:space="0" w:color="auto"/>
                <w:left w:val="none" w:sz="0" w:space="0" w:color="auto"/>
                <w:bottom w:val="none" w:sz="0" w:space="0" w:color="auto"/>
                <w:right w:val="none" w:sz="0" w:space="0" w:color="auto"/>
                <w:between w:val="none" w:sz="0" w:space="0" w:color="auto"/>
                <w:bar w:val="none" w:sz="0" w:color="auto"/>
              </w:pBdr>
              <w:ind w:right="210"/>
              <w:jc w:val="center"/>
              <w:outlineLvl w:val="9"/>
              <w:rPr>
                <w:rFonts w:eastAsia="Times New Roman"/>
                <w:b/>
                <w:bCs/>
                <w:sz w:val="18"/>
                <w:szCs w:val="18"/>
                <w:bdr w:val="none" w:sz="0" w:space="0" w:color="auto"/>
                <w:lang w:eastAsia="es-ES"/>
              </w:rPr>
            </w:pPr>
            <w:r w:rsidRPr="005644E5">
              <w:rPr>
                <w:rFonts w:eastAsia="Times New Roman"/>
                <w:b/>
                <w:bCs/>
                <w:sz w:val="18"/>
                <w:szCs w:val="18"/>
                <w:bdr w:val="none" w:sz="0" w:space="0" w:color="auto"/>
                <w:lang w:eastAsia="es-ES"/>
              </w:rPr>
              <w:t>Créditos, Derivados Otros</w:t>
            </w:r>
          </w:p>
        </w:tc>
      </w:tr>
      <w:tr w:rsidR="005D19D6" w:rsidRPr="005644E5" w14:paraId="17400E02" w14:textId="77777777" w:rsidTr="005644E5">
        <w:trPr>
          <w:trHeight w:val="283"/>
        </w:trPr>
        <w:tc>
          <w:tcPr>
            <w:tcW w:w="2259" w:type="pct"/>
            <w:tcBorders>
              <w:top w:val="nil"/>
              <w:left w:val="nil"/>
              <w:bottom w:val="single" w:sz="4" w:space="0" w:color="auto"/>
              <w:right w:val="nil"/>
            </w:tcBorders>
            <w:shd w:val="clear" w:color="auto" w:fill="auto"/>
            <w:noWrap/>
            <w:vAlign w:val="center"/>
            <w:hideMark/>
          </w:tcPr>
          <w:p w14:paraId="51CC7E58" w14:textId="77777777" w:rsidR="005D19D6" w:rsidRPr="005644E5" w:rsidRDefault="005D19D6" w:rsidP="005D19D6">
            <w:pPr>
              <w:pBdr>
                <w:top w:val="none" w:sz="0" w:space="0" w:color="auto"/>
                <w:left w:val="none" w:sz="0" w:space="0" w:color="auto"/>
                <w:bottom w:val="none" w:sz="0" w:space="0" w:color="auto"/>
                <w:right w:val="none" w:sz="0" w:space="0" w:color="auto"/>
                <w:between w:val="none" w:sz="0" w:space="0" w:color="auto"/>
                <w:bar w:val="none" w:sz="0" w:color="auto"/>
              </w:pBdr>
              <w:ind w:left="217"/>
              <w:outlineLvl w:val="9"/>
              <w:rPr>
                <w:rFonts w:eastAsia="Times New Roman"/>
                <w:sz w:val="18"/>
                <w:szCs w:val="18"/>
                <w:bdr w:val="none" w:sz="0" w:space="0" w:color="auto"/>
                <w:lang w:eastAsia="es-ES"/>
              </w:rPr>
            </w:pPr>
            <w:r w:rsidRPr="005644E5">
              <w:rPr>
                <w:rFonts w:eastAsia="Times New Roman"/>
                <w:sz w:val="18"/>
                <w:szCs w:val="18"/>
                <w:bdr w:val="none" w:sz="0" w:space="0" w:color="auto"/>
                <w:lang w:eastAsia="es-ES"/>
              </w:rPr>
              <w:t> </w:t>
            </w:r>
          </w:p>
        </w:tc>
        <w:tc>
          <w:tcPr>
            <w:tcW w:w="1370" w:type="pct"/>
            <w:tcBorders>
              <w:top w:val="nil"/>
              <w:left w:val="nil"/>
              <w:bottom w:val="single" w:sz="4" w:space="0" w:color="auto"/>
              <w:right w:val="nil"/>
            </w:tcBorders>
            <w:shd w:val="clear" w:color="auto" w:fill="auto"/>
            <w:noWrap/>
            <w:vAlign w:val="bottom"/>
            <w:hideMark/>
          </w:tcPr>
          <w:p w14:paraId="2D17DFD8" w14:textId="05C94EFE" w:rsidR="005D19D6" w:rsidRPr="005644E5" w:rsidRDefault="005D19D6" w:rsidP="005D19D6">
            <w:pPr>
              <w:pBdr>
                <w:top w:val="none" w:sz="0" w:space="0" w:color="auto"/>
                <w:left w:val="none" w:sz="0" w:space="0" w:color="auto"/>
                <w:bottom w:val="none" w:sz="0" w:space="0" w:color="auto"/>
                <w:right w:val="none" w:sz="0" w:space="0" w:color="auto"/>
                <w:between w:val="none" w:sz="0" w:space="0" w:color="auto"/>
                <w:bar w:val="none" w:sz="0" w:color="auto"/>
              </w:pBdr>
              <w:ind w:right="210"/>
              <w:jc w:val="center"/>
              <w:outlineLvl w:val="9"/>
              <w:rPr>
                <w:rFonts w:eastAsia="Times New Roman"/>
                <w:b/>
                <w:bCs/>
                <w:sz w:val="18"/>
                <w:szCs w:val="18"/>
                <w:bdr w:val="none" w:sz="0" w:space="0" w:color="auto"/>
                <w:lang w:eastAsia="es-ES"/>
              </w:rPr>
            </w:pPr>
            <w:r w:rsidRPr="005644E5">
              <w:rPr>
                <w:rFonts w:eastAsia="Times New Roman"/>
                <w:b/>
                <w:bCs/>
                <w:sz w:val="18"/>
                <w:szCs w:val="18"/>
                <w:bdr w:val="none" w:sz="0" w:space="0" w:color="auto"/>
                <w:lang w:eastAsia="es-ES"/>
              </w:rPr>
              <w:t>31/12/202</w:t>
            </w:r>
            <w:r w:rsidR="00612A4D">
              <w:rPr>
                <w:rFonts w:eastAsia="Times New Roman"/>
                <w:b/>
                <w:bCs/>
                <w:sz w:val="18"/>
                <w:szCs w:val="18"/>
                <w:bdr w:val="none" w:sz="0" w:space="0" w:color="auto"/>
                <w:lang w:eastAsia="es-ES"/>
              </w:rPr>
              <w:t>4</w:t>
            </w:r>
          </w:p>
        </w:tc>
        <w:tc>
          <w:tcPr>
            <w:tcW w:w="1371" w:type="pct"/>
            <w:tcBorders>
              <w:top w:val="nil"/>
              <w:left w:val="nil"/>
              <w:bottom w:val="single" w:sz="4" w:space="0" w:color="auto"/>
              <w:right w:val="nil"/>
            </w:tcBorders>
            <w:shd w:val="clear" w:color="auto" w:fill="auto"/>
            <w:noWrap/>
            <w:vAlign w:val="bottom"/>
            <w:hideMark/>
          </w:tcPr>
          <w:p w14:paraId="07F32E33" w14:textId="62951C62" w:rsidR="005D19D6" w:rsidRPr="005644E5" w:rsidRDefault="005D19D6" w:rsidP="005D19D6">
            <w:pPr>
              <w:pBdr>
                <w:top w:val="none" w:sz="0" w:space="0" w:color="auto"/>
                <w:left w:val="none" w:sz="0" w:space="0" w:color="auto"/>
                <w:bottom w:val="none" w:sz="0" w:space="0" w:color="auto"/>
                <w:right w:val="none" w:sz="0" w:space="0" w:color="auto"/>
                <w:between w:val="none" w:sz="0" w:space="0" w:color="auto"/>
                <w:bar w:val="none" w:sz="0" w:color="auto"/>
              </w:pBdr>
              <w:ind w:right="210"/>
              <w:jc w:val="center"/>
              <w:outlineLvl w:val="9"/>
              <w:rPr>
                <w:rFonts w:eastAsia="Times New Roman"/>
                <w:b/>
                <w:bCs/>
                <w:sz w:val="18"/>
                <w:szCs w:val="18"/>
                <w:bdr w:val="none" w:sz="0" w:space="0" w:color="auto"/>
                <w:lang w:eastAsia="es-ES"/>
              </w:rPr>
            </w:pPr>
            <w:r w:rsidRPr="005644E5">
              <w:rPr>
                <w:rFonts w:eastAsia="Times New Roman"/>
                <w:b/>
                <w:bCs/>
                <w:sz w:val="18"/>
                <w:szCs w:val="18"/>
                <w:bdr w:val="none" w:sz="0" w:space="0" w:color="auto"/>
                <w:lang w:eastAsia="es-ES"/>
              </w:rPr>
              <w:t>31/12/202</w:t>
            </w:r>
            <w:r w:rsidR="00612A4D">
              <w:rPr>
                <w:rFonts w:eastAsia="Times New Roman"/>
                <w:b/>
                <w:bCs/>
                <w:sz w:val="18"/>
                <w:szCs w:val="18"/>
                <w:bdr w:val="none" w:sz="0" w:space="0" w:color="auto"/>
                <w:lang w:eastAsia="es-ES"/>
              </w:rPr>
              <w:t>3</w:t>
            </w:r>
          </w:p>
        </w:tc>
      </w:tr>
      <w:tr w:rsidR="00782DDC" w:rsidRPr="005644E5" w14:paraId="39E22484" w14:textId="77777777" w:rsidTr="00612A4D">
        <w:trPr>
          <w:trHeight w:val="283"/>
        </w:trPr>
        <w:tc>
          <w:tcPr>
            <w:tcW w:w="2259" w:type="pct"/>
            <w:tcBorders>
              <w:top w:val="nil"/>
              <w:left w:val="nil"/>
              <w:bottom w:val="nil"/>
              <w:right w:val="nil"/>
            </w:tcBorders>
            <w:shd w:val="clear" w:color="auto" w:fill="auto"/>
            <w:noWrap/>
            <w:vAlign w:val="center"/>
            <w:hideMark/>
          </w:tcPr>
          <w:p w14:paraId="0F660E0A" w14:textId="174EAA8E" w:rsidR="00782DDC" w:rsidRPr="005644E5" w:rsidRDefault="00782DDC" w:rsidP="00782DDC">
            <w:pPr>
              <w:pBdr>
                <w:top w:val="none" w:sz="0" w:space="0" w:color="auto"/>
                <w:left w:val="none" w:sz="0" w:space="0" w:color="auto"/>
                <w:bottom w:val="none" w:sz="0" w:space="0" w:color="auto"/>
                <w:right w:val="none" w:sz="0" w:space="0" w:color="auto"/>
                <w:between w:val="none" w:sz="0" w:space="0" w:color="auto"/>
                <w:bar w:val="none" w:sz="0" w:color="auto"/>
              </w:pBdr>
              <w:ind w:left="217"/>
              <w:outlineLvl w:val="9"/>
              <w:rPr>
                <w:rFonts w:eastAsia="Times New Roman"/>
                <w:sz w:val="18"/>
                <w:szCs w:val="18"/>
                <w:bdr w:val="none" w:sz="0" w:space="0" w:color="auto"/>
                <w:lang w:eastAsia="es-ES"/>
              </w:rPr>
            </w:pPr>
            <w:r w:rsidRPr="005644E5">
              <w:rPr>
                <w:rFonts w:eastAsia="Times New Roman"/>
                <w:sz w:val="18"/>
                <w:szCs w:val="18"/>
                <w:bdr w:val="none" w:sz="0" w:space="0" w:color="auto"/>
                <w:lang w:eastAsia="es-ES"/>
              </w:rPr>
              <w:t>Activos financieros a coste amortizado</w:t>
            </w:r>
          </w:p>
        </w:tc>
        <w:tc>
          <w:tcPr>
            <w:tcW w:w="1370" w:type="pct"/>
            <w:tcBorders>
              <w:top w:val="nil"/>
              <w:left w:val="nil"/>
              <w:bottom w:val="single" w:sz="4" w:space="0" w:color="auto"/>
              <w:right w:val="nil"/>
            </w:tcBorders>
            <w:shd w:val="clear" w:color="auto" w:fill="auto"/>
            <w:noWrap/>
            <w:vAlign w:val="center"/>
          </w:tcPr>
          <w:p w14:paraId="593548A8" w14:textId="2097D5DA" w:rsidR="00782DDC" w:rsidRPr="005644E5" w:rsidRDefault="00782DDC" w:rsidP="00782DDC">
            <w:pPr>
              <w:pBdr>
                <w:top w:val="none" w:sz="0" w:space="0" w:color="auto"/>
                <w:left w:val="none" w:sz="0" w:space="0" w:color="auto"/>
                <w:bottom w:val="none" w:sz="0" w:space="0" w:color="auto"/>
                <w:right w:val="none" w:sz="0" w:space="0" w:color="auto"/>
                <w:between w:val="none" w:sz="0" w:space="0" w:color="auto"/>
                <w:bar w:val="none" w:sz="0" w:color="auto"/>
              </w:pBdr>
              <w:ind w:right="210"/>
              <w:jc w:val="right"/>
              <w:outlineLvl w:val="9"/>
              <w:rPr>
                <w:rFonts w:eastAsia="Times New Roman"/>
                <w:sz w:val="18"/>
                <w:szCs w:val="18"/>
                <w:bdr w:val="none" w:sz="0" w:space="0" w:color="auto"/>
                <w:lang w:eastAsia="es-ES"/>
              </w:rPr>
            </w:pPr>
            <w:r>
              <w:rPr>
                <w:sz w:val="18"/>
                <w:szCs w:val="18"/>
              </w:rPr>
              <w:t>9.107,70</w:t>
            </w:r>
          </w:p>
        </w:tc>
        <w:tc>
          <w:tcPr>
            <w:tcW w:w="1371" w:type="pct"/>
            <w:tcBorders>
              <w:top w:val="nil"/>
              <w:left w:val="nil"/>
              <w:bottom w:val="single" w:sz="4" w:space="0" w:color="auto"/>
              <w:right w:val="nil"/>
            </w:tcBorders>
            <w:shd w:val="clear" w:color="auto" w:fill="auto"/>
            <w:noWrap/>
            <w:vAlign w:val="center"/>
            <w:hideMark/>
          </w:tcPr>
          <w:p w14:paraId="6C31499E" w14:textId="1A136B34" w:rsidR="00782DDC" w:rsidRPr="005644E5" w:rsidRDefault="00782DDC" w:rsidP="00782DDC">
            <w:pPr>
              <w:pBdr>
                <w:top w:val="none" w:sz="0" w:space="0" w:color="auto"/>
                <w:left w:val="none" w:sz="0" w:space="0" w:color="auto"/>
                <w:bottom w:val="none" w:sz="0" w:space="0" w:color="auto"/>
                <w:right w:val="none" w:sz="0" w:space="0" w:color="auto"/>
                <w:between w:val="none" w:sz="0" w:space="0" w:color="auto"/>
                <w:bar w:val="none" w:sz="0" w:color="auto"/>
              </w:pBdr>
              <w:ind w:right="210"/>
              <w:jc w:val="right"/>
              <w:outlineLvl w:val="9"/>
              <w:rPr>
                <w:rFonts w:eastAsia="Times New Roman"/>
                <w:sz w:val="18"/>
                <w:szCs w:val="18"/>
                <w:bdr w:val="none" w:sz="0" w:space="0" w:color="auto"/>
                <w:lang w:eastAsia="es-ES"/>
              </w:rPr>
            </w:pPr>
            <w:r>
              <w:rPr>
                <w:rFonts w:eastAsia="Times New Roman"/>
                <w:sz w:val="18"/>
                <w:szCs w:val="18"/>
                <w:bdr w:val="none" w:sz="0" w:space="0" w:color="auto"/>
                <w:lang w:eastAsia="es-ES"/>
              </w:rPr>
              <w:t>15.107,70</w:t>
            </w:r>
          </w:p>
        </w:tc>
      </w:tr>
      <w:tr w:rsidR="00782DDC" w:rsidRPr="005644E5" w14:paraId="19C9BB42" w14:textId="77777777" w:rsidTr="00612A4D">
        <w:trPr>
          <w:trHeight w:val="283"/>
        </w:trPr>
        <w:tc>
          <w:tcPr>
            <w:tcW w:w="2259" w:type="pct"/>
            <w:tcBorders>
              <w:top w:val="single" w:sz="4" w:space="0" w:color="auto"/>
              <w:left w:val="nil"/>
              <w:bottom w:val="single" w:sz="4" w:space="0" w:color="auto"/>
              <w:right w:val="nil"/>
            </w:tcBorders>
            <w:shd w:val="clear" w:color="auto" w:fill="auto"/>
            <w:noWrap/>
            <w:vAlign w:val="center"/>
            <w:hideMark/>
          </w:tcPr>
          <w:p w14:paraId="339FA802" w14:textId="77777777" w:rsidR="00782DDC" w:rsidRPr="005644E5" w:rsidRDefault="00782DDC" w:rsidP="00782DDC">
            <w:pPr>
              <w:pBdr>
                <w:top w:val="none" w:sz="0" w:space="0" w:color="auto"/>
                <w:left w:val="none" w:sz="0" w:space="0" w:color="auto"/>
                <w:bottom w:val="none" w:sz="0" w:space="0" w:color="auto"/>
                <w:right w:val="none" w:sz="0" w:space="0" w:color="auto"/>
                <w:between w:val="none" w:sz="0" w:space="0" w:color="auto"/>
                <w:bar w:val="none" w:sz="0" w:color="auto"/>
              </w:pBdr>
              <w:ind w:left="217"/>
              <w:outlineLvl w:val="9"/>
              <w:rPr>
                <w:rFonts w:eastAsia="Times New Roman"/>
                <w:b/>
                <w:bCs/>
                <w:sz w:val="18"/>
                <w:szCs w:val="18"/>
                <w:bdr w:val="none" w:sz="0" w:space="0" w:color="auto"/>
                <w:lang w:eastAsia="es-ES"/>
              </w:rPr>
            </w:pPr>
            <w:r w:rsidRPr="005644E5">
              <w:rPr>
                <w:rFonts w:eastAsia="Times New Roman"/>
                <w:b/>
                <w:bCs/>
                <w:sz w:val="18"/>
                <w:szCs w:val="18"/>
                <w:bdr w:val="none" w:sz="0" w:space="0" w:color="auto"/>
                <w:lang w:eastAsia="es-ES"/>
              </w:rPr>
              <w:t>Total</w:t>
            </w:r>
          </w:p>
        </w:tc>
        <w:tc>
          <w:tcPr>
            <w:tcW w:w="1370" w:type="pct"/>
            <w:tcBorders>
              <w:top w:val="nil"/>
              <w:left w:val="nil"/>
              <w:bottom w:val="single" w:sz="4" w:space="0" w:color="auto"/>
              <w:right w:val="nil"/>
            </w:tcBorders>
            <w:shd w:val="clear" w:color="auto" w:fill="auto"/>
            <w:noWrap/>
            <w:vAlign w:val="center"/>
          </w:tcPr>
          <w:p w14:paraId="0EFD1638" w14:textId="7BF3CCDB" w:rsidR="00782DDC" w:rsidRPr="00FF1FD2" w:rsidRDefault="00782DDC" w:rsidP="00782DDC">
            <w:pPr>
              <w:pBdr>
                <w:top w:val="none" w:sz="0" w:space="0" w:color="auto"/>
                <w:left w:val="none" w:sz="0" w:space="0" w:color="auto"/>
                <w:bottom w:val="none" w:sz="0" w:space="0" w:color="auto"/>
                <w:right w:val="none" w:sz="0" w:space="0" w:color="auto"/>
                <w:between w:val="none" w:sz="0" w:space="0" w:color="auto"/>
                <w:bar w:val="none" w:sz="0" w:color="auto"/>
              </w:pBdr>
              <w:ind w:right="210"/>
              <w:jc w:val="right"/>
              <w:outlineLvl w:val="9"/>
              <w:rPr>
                <w:rFonts w:eastAsia="Times New Roman"/>
                <w:b/>
                <w:bCs/>
                <w:sz w:val="18"/>
                <w:szCs w:val="18"/>
                <w:bdr w:val="none" w:sz="0" w:space="0" w:color="auto"/>
                <w:lang w:eastAsia="es-ES"/>
              </w:rPr>
            </w:pPr>
            <w:r>
              <w:rPr>
                <w:b/>
                <w:bCs/>
                <w:sz w:val="18"/>
                <w:szCs w:val="18"/>
              </w:rPr>
              <w:t>9.107,70</w:t>
            </w:r>
          </w:p>
        </w:tc>
        <w:tc>
          <w:tcPr>
            <w:tcW w:w="1371" w:type="pct"/>
            <w:tcBorders>
              <w:top w:val="nil"/>
              <w:left w:val="nil"/>
              <w:bottom w:val="single" w:sz="4" w:space="0" w:color="auto"/>
              <w:right w:val="nil"/>
            </w:tcBorders>
            <w:shd w:val="clear" w:color="auto" w:fill="auto"/>
            <w:noWrap/>
            <w:vAlign w:val="center"/>
            <w:hideMark/>
          </w:tcPr>
          <w:p w14:paraId="1E4A0C62" w14:textId="2413A791" w:rsidR="00782DDC" w:rsidRPr="005644E5" w:rsidRDefault="00782DDC" w:rsidP="00782DDC">
            <w:pPr>
              <w:pBdr>
                <w:top w:val="none" w:sz="0" w:space="0" w:color="auto"/>
                <w:left w:val="none" w:sz="0" w:space="0" w:color="auto"/>
                <w:bottom w:val="none" w:sz="0" w:space="0" w:color="auto"/>
                <w:right w:val="none" w:sz="0" w:space="0" w:color="auto"/>
                <w:between w:val="none" w:sz="0" w:space="0" w:color="auto"/>
                <w:bar w:val="none" w:sz="0" w:color="auto"/>
              </w:pBdr>
              <w:ind w:right="210"/>
              <w:jc w:val="right"/>
              <w:outlineLvl w:val="9"/>
              <w:rPr>
                <w:rFonts w:eastAsia="Times New Roman"/>
                <w:b/>
                <w:bCs/>
                <w:sz w:val="18"/>
                <w:szCs w:val="18"/>
                <w:bdr w:val="none" w:sz="0" w:space="0" w:color="auto"/>
                <w:lang w:eastAsia="es-ES"/>
              </w:rPr>
            </w:pPr>
            <w:r w:rsidRPr="00FF1FD2">
              <w:rPr>
                <w:rFonts w:eastAsia="Times New Roman"/>
                <w:b/>
                <w:bCs/>
                <w:sz w:val="18"/>
                <w:szCs w:val="18"/>
                <w:bdr w:val="none" w:sz="0" w:space="0" w:color="auto"/>
                <w:lang w:eastAsia="es-ES"/>
              </w:rPr>
              <w:t>15.107,70</w:t>
            </w:r>
          </w:p>
        </w:tc>
      </w:tr>
    </w:tbl>
    <w:p w14:paraId="03DF40F4" w14:textId="77777777" w:rsidR="008B4936" w:rsidRPr="00573442" w:rsidRDefault="008B4936" w:rsidP="004A41D6">
      <w:pPr>
        <w:widowControl w:val="0"/>
        <w:jc w:val="both"/>
        <w:rPr>
          <w:sz w:val="20"/>
        </w:rPr>
      </w:pPr>
    </w:p>
    <w:tbl>
      <w:tblPr>
        <w:tblW w:w="5000" w:type="pct"/>
        <w:tblCellMar>
          <w:left w:w="70" w:type="dxa"/>
          <w:right w:w="70" w:type="dxa"/>
        </w:tblCellMar>
        <w:tblLook w:val="04A0" w:firstRow="1" w:lastRow="0" w:firstColumn="1" w:lastColumn="0" w:noHBand="0" w:noVBand="1"/>
      </w:tblPr>
      <w:tblGrid>
        <w:gridCol w:w="3967"/>
        <w:gridCol w:w="2406"/>
        <w:gridCol w:w="2408"/>
      </w:tblGrid>
      <w:tr w:rsidR="000A70C7" w:rsidRPr="005644E5" w14:paraId="546531F3" w14:textId="77777777" w:rsidTr="007E7835">
        <w:trPr>
          <w:trHeight w:val="227"/>
        </w:trPr>
        <w:tc>
          <w:tcPr>
            <w:tcW w:w="2259" w:type="pct"/>
            <w:tcBorders>
              <w:top w:val="single" w:sz="4" w:space="0" w:color="auto"/>
              <w:left w:val="nil"/>
              <w:bottom w:val="nil"/>
              <w:right w:val="nil"/>
            </w:tcBorders>
            <w:shd w:val="clear" w:color="auto" w:fill="auto"/>
            <w:noWrap/>
            <w:vAlign w:val="center"/>
            <w:hideMark/>
          </w:tcPr>
          <w:p w14:paraId="03323F28" w14:textId="77777777" w:rsidR="000A70C7" w:rsidRPr="005644E5" w:rsidRDefault="000A70C7" w:rsidP="005644E5">
            <w:pPr>
              <w:pBdr>
                <w:top w:val="none" w:sz="0" w:space="0" w:color="auto"/>
                <w:left w:val="none" w:sz="0" w:space="0" w:color="auto"/>
                <w:bottom w:val="none" w:sz="0" w:space="0" w:color="auto"/>
                <w:right w:val="none" w:sz="0" w:space="0" w:color="auto"/>
                <w:between w:val="none" w:sz="0" w:space="0" w:color="auto"/>
                <w:bar w:val="none" w:sz="0" w:color="auto"/>
              </w:pBdr>
              <w:ind w:left="217"/>
              <w:jc w:val="both"/>
              <w:outlineLvl w:val="9"/>
              <w:rPr>
                <w:rFonts w:eastAsia="Times New Roman"/>
                <w:sz w:val="18"/>
                <w:szCs w:val="18"/>
                <w:bdr w:val="none" w:sz="0" w:space="0" w:color="auto"/>
                <w:lang w:eastAsia="es-ES"/>
              </w:rPr>
            </w:pPr>
            <w:r w:rsidRPr="005644E5">
              <w:rPr>
                <w:rFonts w:eastAsia="Times New Roman"/>
                <w:sz w:val="18"/>
                <w:szCs w:val="18"/>
                <w:bdr w:val="none" w:sz="0" w:space="0" w:color="auto"/>
                <w:lang w:eastAsia="es-ES"/>
              </w:rPr>
              <w:t> </w:t>
            </w:r>
          </w:p>
        </w:tc>
        <w:tc>
          <w:tcPr>
            <w:tcW w:w="2741" w:type="pct"/>
            <w:gridSpan w:val="2"/>
            <w:tcBorders>
              <w:top w:val="single" w:sz="4" w:space="0" w:color="auto"/>
              <w:left w:val="nil"/>
              <w:bottom w:val="single" w:sz="4" w:space="0" w:color="auto"/>
              <w:right w:val="nil"/>
            </w:tcBorders>
            <w:shd w:val="clear" w:color="auto" w:fill="auto"/>
            <w:noWrap/>
            <w:vAlign w:val="bottom"/>
            <w:hideMark/>
          </w:tcPr>
          <w:p w14:paraId="39AD9CCD" w14:textId="77777777" w:rsidR="000A70C7" w:rsidRPr="005644E5" w:rsidRDefault="00CA7AF6" w:rsidP="005644E5">
            <w:pPr>
              <w:pBdr>
                <w:top w:val="none" w:sz="0" w:space="0" w:color="auto"/>
                <w:left w:val="none" w:sz="0" w:space="0" w:color="auto"/>
                <w:bottom w:val="none" w:sz="0" w:space="0" w:color="auto"/>
                <w:right w:val="none" w:sz="0" w:space="0" w:color="auto"/>
                <w:between w:val="none" w:sz="0" w:space="0" w:color="auto"/>
                <w:bar w:val="none" w:sz="0" w:color="auto"/>
              </w:pBdr>
              <w:ind w:right="210"/>
              <w:jc w:val="center"/>
              <w:outlineLvl w:val="9"/>
              <w:rPr>
                <w:rFonts w:eastAsia="Times New Roman"/>
                <w:b/>
                <w:bCs/>
                <w:sz w:val="18"/>
                <w:szCs w:val="18"/>
                <w:bdr w:val="none" w:sz="0" w:space="0" w:color="auto"/>
                <w:lang w:eastAsia="es-ES"/>
              </w:rPr>
            </w:pPr>
            <w:r w:rsidRPr="005644E5">
              <w:rPr>
                <w:rFonts w:eastAsia="Times New Roman"/>
                <w:b/>
                <w:bCs/>
                <w:sz w:val="18"/>
                <w:szCs w:val="18"/>
                <w:bdr w:val="none" w:sz="0" w:space="0" w:color="auto"/>
                <w:lang w:eastAsia="es-ES"/>
              </w:rPr>
              <w:t>Euros</w:t>
            </w:r>
          </w:p>
        </w:tc>
      </w:tr>
      <w:tr w:rsidR="00CA7AF6" w:rsidRPr="005644E5" w14:paraId="4F073E24" w14:textId="77777777" w:rsidTr="00B1370C">
        <w:trPr>
          <w:trHeight w:val="283"/>
        </w:trPr>
        <w:tc>
          <w:tcPr>
            <w:tcW w:w="2259" w:type="pct"/>
            <w:tcBorders>
              <w:top w:val="single" w:sz="4" w:space="0" w:color="auto"/>
              <w:left w:val="nil"/>
              <w:bottom w:val="nil"/>
              <w:right w:val="nil"/>
            </w:tcBorders>
            <w:shd w:val="clear" w:color="auto" w:fill="auto"/>
            <w:noWrap/>
            <w:vAlign w:val="center"/>
          </w:tcPr>
          <w:p w14:paraId="493A2113" w14:textId="77777777" w:rsidR="00CA7AF6" w:rsidRPr="005644E5" w:rsidRDefault="00CA7AF6" w:rsidP="00B1370C">
            <w:pPr>
              <w:pBdr>
                <w:top w:val="none" w:sz="0" w:space="0" w:color="auto"/>
                <w:left w:val="none" w:sz="0" w:space="0" w:color="auto"/>
                <w:bottom w:val="none" w:sz="0" w:space="0" w:color="auto"/>
                <w:right w:val="none" w:sz="0" w:space="0" w:color="auto"/>
                <w:between w:val="none" w:sz="0" w:space="0" w:color="auto"/>
                <w:bar w:val="none" w:sz="0" w:color="auto"/>
              </w:pBdr>
              <w:ind w:left="217"/>
              <w:jc w:val="center"/>
              <w:outlineLvl w:val="9"/>
              <w:rPr>
                <w:rFonts w:eastAsia="Times New Roman"/>
                <w:sz w:val="18"/>
                <w:szCs w:val="18"/>
                <w:bdr w:val="none" w:sz="0" w:space="0" w:color="auto"/>
                <w:lang w:eastAsia="es-ES"/>
              </w:rPr>
            </w:pPr>
          </w:p>
        </w:tc>
        <w:tc>
          <w:tcPr>
            <w:tcW w:w="2741" w:type="pct"/>
            <w:gridSpan w:val="2"/>
            <w:tcBorders>
              <w:top w:val="single" w:sz="4" w:space="0" w:color="auto"/>
              <w:left w:val="nil"/>
              <w:bottom w:val="single" w:sz="4" w:space="0" w:color="auto"/>
              <w:right w:val="nil"/>
            </w:tcBorders>
            <w:shd w:val="clear" w:color="auto" w:fill="auto"/>
            <w:noWrap/>
            <w:vAlign w:val="center"/>
          </w:tcPr>
          <w:p w14:paraId="5613C206" w14:textId="77777777" w:rsidR="00CA7AF6" w:rsidRPr="005644E5" w:rsidRDefault="00CA7AF6" w:rsidP="00B1370C">
            <w:pPr>
              <w:pBdr>
                <w:top w:val="none" w:sz="0" w:space="0" w:color="auto"/>
                <w:left w:val="none" w:sz="0" w:space="0" w:color="auto"/>
                <w:bottom w:val="none" w:sz="0" w:space="0" w:color="auto"/>
                <w:right w:val="none" w:sz="0" w:space="0" w:color="auto"/>
                <w:between w:val="none" w:sz="0" w:space="0" w:color="auto"/>
                <w:bar w:val="none" w:sz="0" w:color="auto"/>
              </w:pBdr>
              <w:ind w:right="210"/>
              <w:jc w:val="center"/>
              <w:outlineLvl w:val="9"/>
              <w:rPr>
                <w:rFonts w:eastAsia="Times New Roman"/>
                <w:b/>
                <w:bCs/>
                <w:sz w:val="18"/>
                <w:szCs w:val="18"/>
                <w:bdr w:val="none" w:sz="0" w:space="0" w:color="auto"/>
                <w:lang w:eastAsia="es-ES"/>
              </w:rPr>
            </w:pPr>
            <w:r w:rsidRPr="005644E5">
              <w:rPr>
                <w:rFonts w:eastAsia="Times New Roman"/>
                <w:b/>
                <w:bCs/>
                <w:sz w:val="18"/>
                <w:szCs w:val="18"/>
                <w:bdr w:val="none" w:sz="0" w:space="0" w:color="auto"/>
                <w:lang w:eastAsia="es-ES"/>
              </w:rPr>
              <w:t>Activos financieros a corto plazo</w:t>
            </w:r>
          </w:p>
        </w:tc>
      </w:tr>
      <w:tr w:rsidR="000A70C7" w:rsidRPr="005644E5" w14:paraId="4A2980DA" w14:textId="77777777" w:rsidTr="007E7835">
        <w:trPr>
          <w:trHeight w:val="227"/>
        </w:trPr>
        <w:tc>
          <w:tcPr>
            <w:tcW w:w="2259" w:type="pct"/>
            <w:tcBorders>
              <w:top w:val="nil"/>
              <w:left w:val="nil"/>
              <w:bottom w:val="nil"/>
              <w:right w:val="nil"/>
            </w:tcBorders>
            <w:shd w:val="clear" w:color="auto" w:fill="auto"/>
            <w:noWrap/>
            <w:vAlign w:val="center"/>
            <w:hideMark/>
          </w:tcPr>
          <w:p w14:paraId="63E7BC60" w14:textId="77777777" w:rsidR="000A70C7" w:rsidRPr="005644E5" w:rsidRDefault="000A70C7" w:rsidP="005644E5">
            <w:pPr>
              <w:pBdr>
                <w:top w:val="none" w:sz="0" w:space="0" w:color="auto"/>
                <w:left w:val="none" w:sz="0" w:space="0" w:color="auto"/>
                <w:bottom w:val="none" w:sz="0" w:space="0" w:color="auto"/>
                <w:right w:val="none" w:sz="0" w:space="0" w:color="auto"/>
                <w:between w:val="none" w:sz="0" w:space="0" w:color="auto"/>
                <w:bar w:val="none" w:sz="0" w:color="auto"/>
              </w:pBdr>
              <w:ind w:left="217"/>
              <w:jc w:val="center"/>
              <w:outlineLvl w:val="9"/>
              <w:rPr>
                <w:rFonts w:eastAsia="Times New Roman"/>
                <w:b/>
                <w:bCs/>
                <w:sz w:val="18"/>
                <w:szCs w:val="18"/>
                <w:bdr w:val="none" w:sz="0" w:space="0" w:color="auto"/>
                <w:lang w:eastAsia="es-ES"/>
              </w:rPr>
            </w:pPr>
          </w:p>
        </w:tc>
        <w:tc>
          <w:tcPr>
            <w:tcW w:w="2741" w:type="pct"/>
            <w:gridSpan w:val="2"/>
            <w:tcBorders>
              <w:top w:val="single" w:sz="4" w:space="0" w:color="auto"/>
              <w:left w:val="nil"/>
              <w:bottom w:val="single" w:sz="4" w:space="0" w:color="auto"/>
              <w:right w:val="nil"/>
            </w:tcBorders>
            <w:shd w:val="clear" w:color="auto" w:fill="auto"/>
            <w:noWrap/>
            <w:vAlign w:val="bottom"/>
            <w:hideMark/>
          </w:tcPr>
          <w:p w14:paraId="4C328BC9" w14:textId="77777777" w:rsidR="000A70C7" w:rsidRPr="005644E5" w:rsidRDefault="00D56777" w:rsidP="005644E5">
            <w:pPr>
              <w:pBdr>
                <w:top w:val="none" w:sz="0" w:space="0" w:color="auto"/>
                <w:left w:val="none" w:sz="0" w:space="0" w:color="auto"/>
                <w:bottom w:val="none" w:sz="0" w:space="0" w:color="auto"/>
                <w:right w:val="none" w:sz="0" w:space="0" w:color="auto"/>
                <w:between w:val="none" w:sz="0" w:space="0" w:color="auto"/>
                <w:bar w:val="none" w:sz="0" w:color="auto"/>
              </w:pBdr>
              <w:ind w:right="210"/>
              <w:jc w:val="center"/>
              <w:outlineLvl w:val="9"/>
              <w:rPr>
                <w:rFonts w:eastAsia="Times New Roman"/>
                <w:b/>
                <w:bCs/>
                <w:sz w:val="18"/>
                <w:szCs w:val="18"/>
                <w:bdr w:val="none" w:sz="0" w:space="0" w:color="auto"/>
                <w:lang w:eastAsia="es-ES"/>
              </w:rPr>
            </w:pPr>
            <w:r w:rsidRPr="005644E5">
              <w:rPr>
                <w:rFonts w:eastAsia="Times New Roman"/>
                <w:b/>
                <w:bCs/>
                <w:sz w:val="18"/>
                <w:szCs w:val="18"/>
                <w:bdr w:val="none" w:sz="0" w:space="0" w:color="auto"/>
                <w:lang w:eastAsia="es-ES"/>
              </w:rPr>
              <w:t>Créditos, Derivados Otros</w:t>
            </w:r>
          </w:p>
        </w:tc>
      </w:tr>
      <w:tr w:rsidR="00B809B7" w:rsidRPr="005644E5" w14:paraId="004DA197" w14:textId="77777777" w:rsidTr="005644E5">
        <w:trPr>
          <w:trHeight w:val="283"/>
        </w:trPr>
        <w:tc>
          <w:tcPr>
            <w:tcW w:w="2259" w:type="pct"/>
            <w:tcBorders>
              <w:top w:val="nil"/>
              <w:left w:val="nil"/>
              <w:bottom w:val="single" w:sz="4" w:space="0" w:color="auto"/>
              <w:right w:val="nil"/>
            </w:tcBorders>
            <w:shd w:val="clear" w:color="auto" w:fill="auto"/>
            <w:noWrap/>
            <w:vAlign w:val="center"/>
            <w:hideMark/>
          </w:tcPr>
          <w:p w14:paraId="3540F513" w14:textId="77777777" w:rsidR="00B809B7" w:rsidRPr="005644E5" w:rsidRDefault="00B809B7" w:rsidP="00B809B7">
            <w:pPr>
              <w:pBdr>
                <w:top w:val="none" w:sz="0" w:space="0" w:color="auto"/>
                <w:left w:val="none" w:sz="0" w:space="0" w:color="auto"/>
                <w:bottom w:val="none" w:sz="0" w:space="0" w:color="auto"/>
                <w:right w:val="none" w:sz="0" w:space="0" w:color="auto"/>
                <w:between w:val="none" w:sz="0" w:space="0" w:color="auto"/>
                <w:bar w:val="none" w:sz="0" w:color="auto"/>
              </w:pBdr>
              <w:ind w:left="217"/>
              <w:outlineLvl w:val="9"/>
              <w:rPr>
                <w:rFonts w:eastAsia="Times New Roman"/>
                <w:sz w:val="18"/>
                <w:szCs w:val="18"/>
                <w:bdr w:val="none" w:sz="0" w:space="0" w:color="auto"/>
                <w:lang w:eastAsia="es-ES"/>
              </w:rPr>
            </w:pPr>
            <w:r w:rsidRPr="005644E5">
              <w:rPr>
                <w:rFonts w:eastAsia="Times New Roman"/>
                <w:sz w:val="18"/>
                <w:szCs w:val="18"/>
                <w:bdr w:val="none" w:sz="0" w:space="0" w:color="auto"/>
                <w:lang w:eastAsia="es-ES"/>
              </w:rPr>
              <w:t> </w:t>
            </w:r>
          </w:p>
        </w:tc>
        <w:tc>
          <w:tcPr>
            <w:tcW w:w="1370" w:type="pct"/>
            <w:tcBorders>
              <w:top w:val="nil"/>
              <w:left w:val="nil"/>
              <w:bottom w:val="single" w:sz="4" w:space="0" w:color="auto"/>
              <w:right w:val="nil"/>
            </w:tcBorders>
            <w:shd w:val="clear" w:color="auto" w:fill="auto"/>
            <w:noWrap/>
            <w:vAlign w:val="bottom"/>
            <w:hideMark/>
          </w:tcPr>
          <w:p w14:paraId="1806B77E" w14:textId="25F28A32" w:rsidR="00B809B7" w:rsidRPr="005644E5" w:rsidRDefault="00B809B7" w:rsidP="00B809B7">
            <w:pPr>
              <w:pBdr>
                <w:top w:val="none" w:sz="0" w:space="0" w:color="auto"/>
                <w:left w:val="none" w:sz="0" w:space="0" w:color="auto"/>
                <w:bottom w:val="none" w:sz="0" w:space="0" w:color="auto"/>
                <w:right w:val="none" w:sz="0" w:space="0" w:color="auto"/>
                <w:between w:val="none" w:sz="0" w:space="0" w:color="auto"/>
                <w:bar w:val="none" w:sz="0" w:color="auto"/>
              </w:pBdr>
              <w:ind w:right="210"/>
              <w:jc w:val="center"/>
              <w:outlineLvl w:val="9"/>
              <w:rPr>
                <w:rFonts w:eastAsia="Times New Roman"/>
                <w:b/>
                <w:bCs/>
                <w:sz w:val="18"/>
                <w:szCs w:val="18"/>
                <w:bdr w:val="none" w:sz="0" w:space="0" w:color="auto"/>
                <w:lang w:eastAsia="es-ES"/>
              </w:rPr>
            </w:pPr>
            <w:r w:rsidRPr="005644E5">
              <w:rPr>
                <w:rFonts w:eastAsia="Times New Roman"/>
                <w:b/>
                <w:bCs/>
                <w:sz w:val="18"/>
                <w:szCs w:val="18"/>
                <w:bdr w:val="none" w:sz="0" w:space="0" w:color="auto"/>
                <w:lang w:eastAsia="es-ES"/>
              </w:rPr>
              <w:t>31/12/202</w:t>
            </w:r>
            <w:r w:rsidR="00612A4D">
              <w:rPr>
                <w:rFonts w:eastAsia="Times New Roman"/>
                <w:b/>
                <w:bCs/>
                <w:sz w:val="18"/>
                <w:szCs w:val="18"/>
                <w:bdr w:val="none" w:sz="0" w:space="0" w:color="auto"/>
                <w:lang w:eastAsia="es-ES"/>
              </w:rPr>
              <w:t>4</w:t>
            </w:r>
          </w:p>
        </w:tc>
        <w:tc>
          <w:tcPr>
            <w:tcW w:w="1371" w:type="pct"/>
            <w:tcBorders>
              <w:top w:val="nil"/>
              <w:left w:val="nil"/>
              <w:bottom w:val="single" w:sz="4" w:space="0" w:color="auto"/>
              <w:right w:val="nil"/>
            </w:tcBorders>
            <w:shd w:val="clear" w:color="auto" w:fill="auto"/>
            <w:noWrap/>
            <w:vAlign w:val="bottom"/>
            <w:hideMark/>
          </w:tcPr>
          <w:p w14:paraId="54BA0B3A" w14:textId="440E555C" w:rsidR="00B809B7" w:rsidRPr="005644E5" w:rsidRDefault="00B809B7" w:rsidP="00B809B7">
            <w:pPr>
              <w:pBdr>
                <w:top w:val="none" w:sz="0" w:space="0" w:color="auto"/>
                <w:left w:val="none" w:sz="0" w:space="0" w:color="auto"/>
                <w:bottom w:val="none" w:sz="0" w:space="0" w:color="auto"/>
                <w:right w:val="none" w:sz="0" w:space="0" w:color="auto"/>
                <w:between w:val="none" w:sz="0" w:space="0" w:color="auto"/>
                <w:bar w:val="none" w:sz="0" w:color="auto"/>
              </w:pBdr>
              <w:ind w:right="210"/>
              <w:jc w:val="center"/>
              <w:outlineLvl w:val="9"/>
              <w:rPr>
                <w:rFonts w:eastAsia="Times New Roman"/>
                <w:b/>
                <w:bCs/>
                <w:sz w:val="18"/>
                <w:szCs w:val="18"/>
                <w:bdr w:val="none" w:sz="0" w:space="0" w:color="auto"/>
                <w:lang w:eastAsia="es-ES"/>
              </w:rPr>
            </w:pPr>
            <w:r w:rsidRPr="005644E5">
              <w:rPr>
                <w:rFonts w:eastAsia="Times New Roman"/>
                <w:b/>
                <w:bCs/>
                <w:sz w:val="18"/>
                <w:szCs w:val="18"/>
                <w:bdr w:val="none" w:sz="0" w:space="0" w:color="auto"/>
                <w:lang w:eastAsia="es-ES"/>
              </w:rPr>
              <w:t>31/12/202</w:t>
            </w:r>
            <w:r w:rsidR="00612A4D">
              <w:rPr>
                <w:rFonts w:eastAsia="Times New Roman"/>
                <w:b/>
                <w:bCs/>
                <w:sz w:val="18"/>
                <w:szCs w:val="18"/>
                <w:bdr w:val="none" w:sz="0" w:space="0" w:color="auto"/>
                <w:lang w:eastAsia="es-ES"/>
              </w:rPr>
              <w:t>3</w:t>
            </w:r>
          </w:p>
        </w:tc>
      </w:tr>
      <w:tr w:rsidR="00782DDC" w:rsidRPr="005644E5" w14:paraId="4C7064B1" w14:textId="77777777" w:rsidTr="005644E5">
        <w:trPr>
          <w:trHeight w:val="283"/>
        </w:trPr>
        <w:tc>
          <w:tcPr>
            <w:tcW w:w="2259" w:type="pct"/>
            <w:tcBorders>
              <w:top w:val="nil"/>
              <w:left w:val="nil"/>
              <w:bottom w:val="nil"/>
              <w:right w:val="nil"/>
            </w:tcBorders>
            <w:shd w:val="clear" w:color="auto" w:fill="auto"/>
            <w:noWrap/>
            <w:vAlign w:val="center"/>
            <w:hideMark/>
          </w:tcPr>
          <w:p w14:paraId="3D3CD873" w14:textId="7D62D8DD" w:rsidR="00782DDC" w:rsidRPr="005644E5" w:rsidRDefault="00782DDC" w:rsidP="00782DDC">
            <w:pPr>
              <w:pBdr>
                <w:top w:val="none" w:sz="0" w:space="0" w:color="auto"/>
                <w:left w:val="none" w:sz="0" w:space="0" w:color="auto"/>
                <w:bottom w:val="none" w:sz="0" w:space="0" w:color="auto"/>
                <w:right w:val="none" w:sz="0" w:space="0" w:color="auto"/>
                <w:between w:val="none" w:sz="0" w:space="0" w:color="auto"/>
                <w:bar w:val="none" w:sz="0" w:color="auto"/>
              </w:pBdr>
              <w:ind w:left="217"/>
              <w:outlineLvl w:val="9"/>
              <w:rPr>
                <w:rFonts w:eastAsia="Times New Roman"/>
                <w:sz w:val="18"/>
                <w:szCs w:val="18"/>
                <w:bdr w:val="none" w:sz="0" w:space="0" w:color="auto"/>
                <w:lang w:eastAsia="es-ES"/>
              </w:rPr>
            </w:pPr>
            <w:r w:rsidRPr="005644E5">
              <w:rPr>
                <w:rFonts w:eastAsia="Times New Roman"/>
                <w:sz w:val="18"/>
                <w:szCs w:val="18"/>
                <w:bdr w:val="none" w:sz="0" w:space="0" w:color="auto"/>
                <w:lang w:eastAsia="es-ES"/>
              </w:rPr>
              <w:t>Activos financieros a coste amortizado</w:t>
            </w:r>
          </w:p>
        </w:tc>
        <w:tc>
          <w:tcPr>
            <w:tcW w:w="1370" w:type="pct"/>
            <w:tcBorders>
              <w:top w:val="nil"/>
              <w:left w:val="nil"/>
              <w:bottom w:val="single" w:sz="4" w:space="0" w:color="auto"/>
              <w:right w:val="nil"/>
            </w:tcBorders>
            <w:shd w:val="clear" w:color="auto" w:fill="auto"/>
            <w:noWrap/>
            <w:vAlign w:val="center"/>
          </w:tcPr>
          <w:p w14:paraId="62488F44" w14:textId="0F093364" w:rsidR="00782DDC" w:rsidRPr="00D73022" w:rsidRDefault="00782DDC" w:rsidP="00782DDC">
            <w:pPr>
              <w:pBdr>
                <w:top w:val="none" w:sz="0" w:space="0" w:color="auto"/>
                <w:left w:val="none" w:sz="0" w:space="0" w:color="auto"/>
                <w:bottom w:val="none" w:sz="0" w:space="0" w:color="auto"/>
                <w:right w:val="none" w:sz="0" w:space="0" w:color="auto"/>
                <w:between w:val="none" w:sz="0" w:space="0" w:color="auto"/>
                <w:bar w:val="none" w:sz="0" w:color="auto"/>
              </w:pBdr>
              <w:ind w:right="210"/>
              <w:jc w:val="right"/>
              <w:outlineLvl w:val="9"/>
              <w:rPr>
                <w:sz w:val="18"/>
                <w:szCs w:val="18"/>
              </w:rPr>
            </w:pPr>
            <w:r>
              <w:rPr>
                <w:sz w:val="18"/>
                <w:szCs w:val="18"/>
              </w:rPr>
              <w:t>578.021,05</w:t>
            </w:r>
          </w:p>
        </w:tc>
        <w:tc>
          <w:tcPr>
            <w:tcW w:w="1371" w:type="pct"/>
            <w:tcBorders>
              <w:top w:val="nil"/>
              <w:left w:val="nil"/>
              <w:bottom w:val="single" w:sz="4" w:space="0" w:color="auto"/>
              <w:right w:val="nil"/>
            </w:tcBorders>
            <w:shd w:val="clear" w:color="auto" w:fill="auto"/>
            <w:noWrap/>
            <w:vAlign w:val="center"/>
            <w:hideMark/>
          </w:tcPr>
          <w:p w14:paraId="14AD039D" w14:textId="424D9985" w:rsidR="00782DDC" w:rsidRPr="005644E5" w:rsidRDefault="00782DDC" w:rsidP="00782DDC">
            <w:pPr>
              <w:pBdr>
                <w:top w:val="none" w:sz="0" w:space="0" w:color="auto"/>
                <w:left w:val="none" w:sz="0" w:space="0" w:color="auto"/>
                <w:bottom w:val="none" w:sz="0" w:space="0" w:color="auto"/>
                <w:right w:val="none" w:sz="0" w:space="0" w:color="auto"/>
                <w:between w:val="none" w:sz="0" w:space="0" w:color="auto"/>
                <w:bar w:val="none" w:sz="0" w:color="auto"/>
              </w:pBdr>
              <w:ind w:right="210"/>
              <w:jc w:val="right"/>
              <w:outlineLvl w:val="9"/>
              <w:rPr>
                <w:rFonts w:eastAsia="Times New Roman"/>
                <w:sz w:val="18"/>
                <w:szCs w:val="18"/>
                <w:bdr w:val="none" w:sz="0" w:space="0" w:color="auto"/>
                <w:lang w:eastAsia="es-ES"/>
              </w:rPr>
            </w:pPr>
            <w:r>
              <w:rPr>
                <w:sz w:val="18"/>
                <w:szCs w:val="18"/>
              </w:rPr>
              <w:t>309.142,25</w:t>
            </w:r>
          </w:p>
        </w:tc>
      </w:tr>
      <w:tr w:rsidR="00782DDC" w:rsidRPr="005644E5" w14:paraId="1389EE1D" w14:textId="77777777" w:rsidTr="005644E5">
        <w:trPr>
          <w:trHeight w:val="283"/>
        </w:trPr>
        <w:tc>
          <w:tcPr>
            <w:tcW w:w="2259" w:type="pct"/>
            <w:tcBorders>
              <w:top w:val="single" w:sz="4" w:space="0" w:color="auto"/>
              <w:left w:val="nil"/>
              <w:bottom w:val="single" w:sz="4" w:space="0" w:color="auto"/>
              <w:right w:val="nil"/>
            </w:tcBorders>
            <w:shd w:val="clear" w:color="auto" w:fill="auto"/>
            <w:noWrap/>
            <w:vAlign w:val="center"/>
            <w:hideMark/>
          </w:tcPr>
          <w:p w14:paraId="0ED3BF28" w14:textId="77777777" w:rsidR="00782DDC" w:rsidRPr="005644E5" w:rsidRDefault="00782DDC" w:rsidP="00782DDC">
            <w:pPr>
              <w:pBdr>
                <w:top w:val="none" w:sz="0" w:space="0" w:color="auto"/>
                <w:left w:val="none" w:sz="0" w:space="0" w:color="auto"/>
                <w:bottom w:val="none" w:sz="0" w:space="0" w:color="auto"/>
                <w:right w:val="none" w:sz="0" w:space="0" w:color="auto"/>
                <w:between w:val="none" w:sz="0" w:space="0" w:color="auto"/>
                <w:bar w:val="none" w:sz="0" w:color="auto"/>
              </w:pBdr>
              <w:ind w:left="217"/>
              <w:outlineLvl w:val="9"/>
              <w:rPr>
                <w:rFonts w:eastAsia="Times New Roman"/>
                <w:b/>
                <w:bCs/>
                <w:sz w:val="18"/>
                <w:szCs w:val="18"/>
                <w:bdr w:val="none" w:sz="0" w:space="0" w:color="auto"/>
                <w:lang w:eastAsia="es-ES"/>
              </w:rPr>
            </w:pPr>
            <w:r w:rsidRPr="005644E5">
              <w:rPr>
                <w:rFonts w:eastAsia="Times New Roman"/>
                <w:b/>
                <w:bCs/>
                <w:sz w:val="18"/>
                <w:szCs w:val="18"/>
                <w:bdr w:val="none" w:sz="0" w:space="0" w:color="auto"/>
                <w:lang w:eastAsia="es-ES"/>
              </w:rPr>
              <w:t>Total</w:t>
            </w:r>
          </w:p>
        </w:tc>
        <w:tc>
          <w:tcPr>
            <w:tcW w:w="1370" w:type="pct"/>
            <w:tcBorders>
              <w:top w:val="nil"/>
              <w:left w:val="nil"/>
              <w:bottom w:val="single" w:sz="4" w:space="0" w:color="auto"/>
              <w:right w:val="nil"/>
            </w:tcBorders>
            <w:shd w:val="clear" w:color="auto" w:fill="auto"/>
            <w:noWrap/>
            <w:vAlign w:val="center"/>
          </w:tcPr>
          <w:p w14:paraId="6C5927BD" w14:textId="6F054231" w:rsidR="00782DDC" w:rsidRPr="005644E5" w:rsidRDefault="00782DDC" w:rsidP="00782DDC">
            <w:pPr>
              <w:ind w:right="210"/>
              <w:jc w:val="right"/>
              <w:rPr>
                <w:b/>
                <w:bCs/>
                <w:sz w:val="18"/>
                <w:szCs w:val="18"/>
              </w:rPr>
            </w:pPr>
            <w:r>
              <w:rPr>
                <w:b/>
                <w:bCs/>
                <w:sz w:val="18"/>
                <w:szCs w:val="18"/>
              </w:rPr>
              <w:t>578.021,05</w:t>
            </w:r>
          </w:p>
        </w:tc>
        <w:tc>
          <w:tcPr>
            <w:tcW w:w="1371" w:type="pct"/>
            <w:tcBorders>
              <w:top w:val="nil"/>
              <w:left w:val="nil"/>
              <w:bottom w:val="single" w:sz="4" w:space="0" w:color="auto"/>
              <w:right w:val="nil"/>
            </w:tcBorders>
            <w:shd w:val="clear" w:color="auto" w:fill="auto"/>
            <w:noWrap/>
            <w:vAlign w:val="center"/>
            <w:hideMark/>
          </w:tcPr>
          <w:p w14:paraId="33565F11" w14:textId="5608DC9F" w:rsidR="00782DDC" w:rsidRPr="005644E5" w:rsidRDefault="00782DDC" w:rsidP="00782DDC">
            <w:pPr>
              <w:pBdr>
                <w:top w:val="none" w:sz="0" w:space="0" w:color="auto"/>
                <w:left w:val="none" w:sz="0" w:space="0" w:color="auto"/>
                <w:bottom w:val="none" w:sz="0" w:space="0" w:color="auto"/>
                <w:right w:val="none" w:sz="0" w:space="0" w:color="auto"/>
                <w:between w:val="none" w:sz="0" w:space="0" w:color="auto"/>
                <w:bar w:val="none" w:sz="0" w:color="auto"/>
              </w:pBdr>
              <w:ind w:right="210"/>
              <w:jc w:val="right"/>
              <w:outlineLvl w:val="9"/>
              <w:rPr>
                <w:rFonts w:eastAsia="Times New Roman"/>
                <w:b/>
                <w:bCs/>
                <w:sz w:val="18"/>
                <w:szCs w:val="18"/>
                <w:bdr w:val="none" w:sz="0" w:space="0" w:color="auto"/>
                <w:lang w:eastAsia="es-ES"/>
              </w:rPr>
            </w:pPr>
            <w:r>
              <w:rPr>
                <w:b/>
                <w:bCs/>
                <w:sz w:val="18"/>
                <w:szCs w:val="18"/>
              </w:rPr>
              <w:t>309.142,25</w:t>
            </w:r>
          </w:p>
        </w:tc>
      </w:tr>
    </w:tbl>
    <w:p w14:paraId="2D808755" w14:textId="7346ABF4" w:rsidR="006220A2" w:rsidRPr="0083433F" w:rsidRDefault="00B84071">
      <w:pPr>
        <w:widowControl w:val="0"/>
        <w:numPr>
          <w:ilvl w:val="0"/>
          <w:numId w:val="13"/>
        </w:numPr>
        <w:pBdr>
          <w:top w:val="none" w:sz="0" w:space="0" w:color="auto"/>
          <w:left w:val="none" w:sz="0" w:space="0" w:color="auto"/>
          <w:bottom w:val="none" w:sz="0" w:space="0" w:color="auto"/>
          <w:right w:val="none" w:sz="0" w:space="0" w:color="auto"/>
          <w:between w:val="none" w:sz="0" w:space="0" w:color="auto"/>
          <w:bar w:val="none" w:sz="0" w:color="auto"/>
        </w:pBdr>
        <w:tabs>
          <w:tab w:val="left" w:pos="284"/>
        </w:tabs>
        <w:spacing w:before="240"/>
        <w:ind w:left="0" w:firstLine="0"/>
        <w:outlineLvl w:val="9"/>
        <w:rPr>
          <w:i/>
          <w:sz w:val="20"/>
          <w:szCs w:val="22"/>
          <w:u w:val="single"/>
        </w:rPr>
      </w:pPr>
      <w:r>
        <w:rPr>
          <w:i/>
          <w:sz w:val="20"/>
          <w:szCs w:val="22"/>
          <w:u w:val="single"/>
        </w:rPr>
        <w:t>Activos financieros a coste amortizado</w:t>
      </w:r>
    </w:p>
    <w:p w14:paraId="36D49595" w14:textId="5D1B36F0" w:rsidR="006220A2" w:rsidRPr="005644E5" w:rsidRDefault="006220A2" w:rsidP="00D67C6B">
      <w:pPr>
        <w:widowControl w:val="0"/>
        <w:spacing w:before="120" w:after="120" w:line="260" w:lineRule="exact"/>
        <w:jc w:val="both"/>
        <w:outlineLvl w:val="9"/>
        <w:rPr>
          <w:snapToGrid w:val="0"/>
          <w:sz w:val="20"/>
          <w:szCs w:val="22"/>
        </w:rPr>
      </w:pPr>
      <w:r w:rsidRPr="005644E5">
        <w:rPr>
          <w:snapToGrid w:val="0"/>
          <w:sz w:val="20"/>
          <w:szCs w:val="22"/>
        </w:rPr>
        <w:t xml:space="preserve">El detalle de los </w:t>
      </w:r>
      <w:r w:rsidR="007B20B9" w:rsidRPr="005644E5">
        <w:rPr>
          <w:snapToGrid w:val="0"/>
          <w:sz w:val="20"/>
          <w:szCs w:val="22"/>
        </w:rPr>
        <w:t>activos financieros a coste amortizado</w:t>
      </w:r>
      <w:r w:rsidRPr="005644E5">
        <w:rPr>
          <w:snapToGrid w:val="0"/>
          <w:sz w:val="20"/>
          <w:szCs w:val="22"/>
        </w:rPr>
        <w:t xml:space="preserve"> es el siguiente:</w:t>
      </w:r>
    </w:p>
    <w:tbl>
      <w:tblPr>
        <w:tblW w:w="5000" w:type="pct"/>
        <w:tblCellMar>
          <w:left w:w="70" w:type="dxa"/>
          <w:right w:w="70" w:type="dxa"/>
        </w:tblCellMar>
        <w:tblLook w:val="04A0" w:firstRow="1" w:lastRow="0" w:firstColumn="1" w:lastColumn="0" w:noHBand="0" w:noVBand="1"/>
      </w:tblPr>
      <w:tblGrid>
        <w:gridCol w:w="4729"/>
        <w:gridCol w:w="2025"/>
        <w:gridCol w:w="2027"/>
      </w:tblGrid>
      <w:tr w:rsidR="00A1201B" w:rsidRPr="005644E5" w14:paraId="5B096358" w14:textId="77777777" w:rsidTr="007E7835">
        <w:trPr>
          <w:trHeight w:val="227"/>
        </w:trPr>
        <w:tc>
          <w:tcPr>
            <w:tcW w:w="2693" w:type="pct"/>
            <w:tcBorders>
              <w:top w:val="single" w:sz="4" w:space="0" w:color="auto"/>
              <w:left w:val="nil"/>
              <w:bottom w:val="nil"/>
              <w:right w:val="nil"/>
            </w:tcBorders>
            <w:shd w:val="clear" w:color="auto" w:fill="auto"/>
            <w:noWrap/>
            <w:vAlign w:val="center"/>
            <w:hideMark/>
          </w:tcPr>
          <w:p w14:paraId="147B3678" w14:textId="77777777" w:rsidR="00A1201B" w:rsidRPr="005644E5" w:rsidRDefault="00A1201B" w:rsidP="005644E5">
            <w:pPr>
              <w:pBdr>
                <w:top w:val="none" w:sz="0" w:space="0" w:color="auto"/>
                <w:left w:val="none" w:sz="0" w:space="0" w:color="auto"/>
                <w:bottom w:val="none" w:sz="0" w:space="0" w:color="auto"/>
                <w:right w:val="none" w:sz="0" w:space="0" w:color="auto"/>
                <w:between w:val="none" w:sz="0" w:space="0" w:color="auto"/>
                <w:bar w:val="none" w:sz="0" w:color="auto"/>
              </w:pBdr>
              <w:ind w:left="217"/>
              <w:jc w:val="center"/>
              <w:outlineLvl w:val="9"/>
              <w:rPr>
                <w:rFonts w:ascii="Times New Roman" w:eastAsia="Times New Roman" w:hAnsi="Times New Roman" w:cs="Times New Roman"/>
                <w:color w:val="auto"/>
                <w:sz w:val="18"/>
                <w:szCs w:val="18"/>
                <w:bdr w:val="none" w:sz="0" w:space="0" w:color="auto"/>
                <w:lang w:eastAsia="es-ES"/>
              </w:rPr>
            </w:pPr>
          </w:p>
        </w:tc>
        <w:tc>
          <w:tcPr>
            <w:tcW w:w="2307" w:type="pct"/>
            <w:gridSpan w:val="2"/>
            <w:tcBorders>
              <w:top w:val="single" w:sz="4" w:space="0" w:color="auto"/>
              <w:left w:val="nil"/>
              <w:bottom w:val="single" w:sz="4" w:space="0" w:color="auto"/>
              <w:right w:val="nil"/>
            </w:tcBorders>
            <w:shd w:val="clear" w:color="auto" w:fill="auto"/>
            <w:noWrap/>
            <w:vAlign w:val="bottom"/>
            <w:hideMark/>
          </w:tcPr>
          <w:p w14:paraId="55E55C0E" w14:textId="77777777" w:rsidR="00A1201B" w:rsidRPr="005644E5" w:rsidRDefault="00A1201B" w:rsidP="005644E5">
            <w:pPr>
              <w:pBdr>
                <w:top w:val="none" w:sz="0" w:space="0" w:color="auto"/>
                <w:left w:val="none" w:sz="0" w:space="0" w:color="auto"/>
                <w:bottom w:val="none" w:sz="0" w:space="0" w:color="auto"/>
                <w:right w:val="none" w:sz="0" w:space="0" w:color="auto"/>
                <w:between w:val="none" w:sz="0" w:space="0" w:color="auto"/>
                <w:bar w:val="none" w:sz="0" w:color="auto"/>
              </w:pBdr>
              <w:ind w:right="159"/>
              <w:jc w:val="center"/>
              <w:outlineLvl w:val="9"/>
              <w:rPr>
                <w:rFonts w:eastAsia="Times New Roman"/>
                <w:b/>
                <w:bCs/>
                <w:sz w:val="18"/>
                <w:szCs w:val="18"/>
                <w:bdr w:val="none" w:sz="0" w:space="0" w:color="auto"/>
                <w:lang w:eastAsia="es-ES"/>
              </w:rPr>
            </w:pPr>
            <w:r w:rsidRPr="005644E5">
              <w:rPr>
                <w:rFonts w:eastAsia="Times New Roman"/>
                <w:b/>
                <w:bCs/>
                <w:sz w:val="18"/>
                <w:szCs w:val="18"/>
                <w:bdr w:val="none" w:sz="0" w:space="0" w:color="auto"/>
                <w:lang w:eastAsia="es-ES"/>
              </w:rPr>
              <w:t>Euros</w:t>
            </w:r>
          </w:p>
        </w:tc>
      </w:tr>
      <w:tr w:rsidR="00A1201B" w:rsidRPr="005644E5" w14:paraId="4B5DCBF5" w14:textId="77777777" w:rsidTr="005644E5">
        <w:trPr>
          <w:trHeight w:val="283"/>
        </w:trPr>
        <w:tc>
          <w:tcPr>
            <w:tcW w:w="2693" w:type="pct"/>
            <w:tcBorders>
              <w:top w:val="nil"/>
              <w:left w:val="nil"/>
              <w:bottom w:val="single" w:sz="4" w:space="0" w:color="auto"/>
              <w:right w:val="nil"/>
            </w:tcBorders>
            <w:shd w:val="clear" w:color="auto" w:fill="auto"/>
            <w:noWrap/>
            <w:vAlign w:val="center"/>
            <w:hideMark/>
          </w:tcPr>
          <w:p w14:paraId="12351424" w14:textId="77777777" w:rsidR="00A1201B" w:rsidRPr="005644E5" w:rsidRDefault="00A1201B" w:rsidP="005644E5">
            <w:pPr>
              <w:pBdr>
                <w:top w:val="none" w:sz="0" w:space="0" w:color="auto"/>
                <w:left w:val="none" w:sz="0" w:space="0" w:color="auto"/>
                <w:bottom w:val="none" w:sz="0" w:space="0" w:color="auto"/>
                <w:right w:val="none" w:sz="0" w:space="0" w:color="auto"/>
                <w:between w:val="none" w:sz="0" w:space="0" w:color="auto"/>
                <w:bar w:val="none" w:sz="0" w:color="auto"/>
              </w:pBdr>
              <w:ind w:left="217"/>
              <w:outlineLvl w:val="9"/>
              <w:rPr>
                <w:rFonts w:eastAsia="Times New Roman"/>
                <w:sz w:val="18"/>
                <w:szCs w:val="18"/>
                <w:bdr w:val="none" w:sz="0" w:space="0" w:color="auto"/>
                <w:lang w:eastAsia="es-ES"/>
              </w:rPr>
            </w:pPr>
            <w:r w:rsidRPr="005644E5">
              <w:rPr>
                <w:rFonts w:eastAsia="Times New Roman"/>
                <w:sz w:val="18"/>
                <w:szCs w:val="18"/>
                <w:bdr w:val="none" w:sz="0" w:space="0" w:color="auto"/>
                <w:lang w:eastAsia="es-ES"/>
              </w:rPr>
              <w:t> </w:t>
            </w:r>
          </w:p>
        </w:tc>
        <w:tc>
          <w:tcPr>
            <w:tcW w:w="1153" w:type="pct"/>
            <w:tcBorders>
              <w:top w:val="nil"/>
              <w:left w:val="nil"/>
              <w:bottom w:val="single" w:sz="4" w:space="0" w:color="auto"/>
              <w:right w:val="nil"/>
            </w:tcBorders>
            <w:shd w:val="clear" w:color="auto" w:fill="auto"/>
            <w:noWrap/>
            <w:vAlign w:val="center"/>
            <w:hideMark/>
          </w:tcPr>
          <w:p w14:paraId="19527582" w14:textId="2A80F625" w:rsidR="00A1201B" w:rsidRPr="005644E5" w:rsidRDefault="00A1201B" w:rsidP="005644E5">
            <w:pPr>
              <w:pBdr>
                <w:top w:val="none" w:sz="0" w:space="0" w:color="auto"/>
                <w:left w:val="none" w:sz="0" w:space="0" w:color="auto"/>
                <w:bottom w:val="none" w:sz="0" w:space="0" w:color="auto"/>
                <w:right w:val="none" w:sz="0" w:space="0" w:color="auto"/>
                <w:between w:val="none" w:sz="0" w:space="0" w:color="auto"/>
                <w:bar w:val="none" w:sz="0" w:color="auto"/>
              </w:pBdr>
              <w:ind w:right="159"/>
              <w:jc w:val="center"/>
              <w:outlineLvl w:val="9"/>
              <w:rPr>
                <w:rFonts w:eastAsia="Times New Roman"/>
                <w:b/>
                <w:bCs/>
                <w:sz w:val="18"/>
                <w:szCs w:val="18"/>
                <w:bdr w:val="none" w:sz="0" w:space="0" w:color="auto"/>
                <w:lang w:eastAsia="es-ES"/>
              </w:rPr>
            </w:pPr>
            <w:r w:rsidRPr="005644E5">
              <w:rPr>
                <w:rFonts w:eastAsia="Times New Roman"/>
                <w:b/>
                <w:bCs/>
                <w:sz w:val="18"/>
                <w:szCs w:val="18"/>
                <w:bdr w:val="none" w:sz="0" w:space="0" w:color="auto"/>
                <w:lang w:eastAsia="es-ES"/>
              </w:rPr>
              <w:t>31/12/202</w:t>
            </w:r>
            <w:r w:rsidR="00612A4D">
              <w:rPr>
                <w:rFonts w:eastAsia="Times New Roman"/>
                <w:b/>
                <w:bCs/>
                <w:sz w:val="18"/>
                <w:szCs w:val="18"/>
                <w:bdr w:val="none" w:sz="0" w:space="0" w:color="auto"/>
                <w:lang w:eastAsia="es-ES"/>
              </w:rPr>
              <w:t>4</w:t>
            </w:r>
          </w:p>
        </w:tc>
        <w:tc>
          <w:tcPr>
            <w:tcW w:w="1154" w:type="pct"/>
            <w:tcBorders>
              <w:top w:val="nil"/>
              <w:left w:val="nil"/>
              <w:bottom w:val="single" w:sz="4" w:space="0" w:color="auto"/>
              <w:right w:val="nil"/>
            </w:tcBorders>
            <w:shd w:val="clear" w:color="auto" w:fill="auto"/>
            <w:noWrap/>
            <w:vAlign w:val="center"/>
            <w:hideMark/>
          </w:tcPr>
          <w:p w14:paraId="0B72BA32" w14:textId="49058573" w:rsidR="00A1201B" w:rsidRPr="005644E5" w:rsidRDefault="00A1201B" w:rsidP="005644E5">
            <w:pPr>
              <w:pBdr>
                <w:top w:val="none" w:sz="0" w:space="0" w:color="auto"/>
                <w:left w:val="none" w:sz="0" w:space="0" w:color="auto"/>
                <w:bottom w:val="none" w:sz="0" w:space="0" w:color="auto"/>
                <w:right w:val="none" w:sz="0" w:space="0" w:color="auto"/>
                <w:between w:val="none" w:sz="0" w:space="0" w:color="auto"/>
                <w:bar w:val="none" w:sz="0" w:color="auto"/>
              </w:pBdr>
              <w:ind w:right="159"/>
              <w:jc w:val="center"/>
              <w:outlineLvl w:val="9"/>
              <w:rPr>
                <w:rFonts w:eastAsia="Times New Roman"/>
                <w:b/>
                <w:bCs/>
                <w:sz w:val="18"/>
                <w:szCs w:val="18"/>
                <w:bdr w:val="none" w:sz="0" w:space="0" w:color="auto"/>
                <w:lang w:eastAsia="es-ES"/>
              </w:rPr>
            </w:pPr>
            <w:r w:rsidRPr="005644E5">
              <w:rPr>
                <w:rFonts w:eastAsia="Times New Roman"/>
                <w:b/>
                <w:bCs/>
                <w:sz w:val="18"/>
                <w:szCs w:val="18"/>
                <w:bdr w:val="none" w:sz="0" w:space="0" w:color="auto"/>
                <w:lang w:eastAsia="es-ES"/>
              </w:rPr>
              <w:t>31/12/20</w:t>
            </w:r>
            <w:r w:rsidR="004772D1" w:rsidRPr="005644E5">
              <w:rPr>
                <w:rFonts w:eastAsia="Times New Roman"/>
                <w:b/>
                <w:bCs/>
                <w:sz w:val="18"/>
                <w:szCs w:val="18"/>
                <w:bdr w:val="none" w:sz="0" w:space="0" w:color="auto"/>
                <w:lang w:eastAsia="es-ES"/>
              </w:rPr>
              <w:t>2</w:t>
            </w:r>
            <w:r w:rsidR="00612A4D">
              <w:rPr>
                <w:rFonts w:eastAsia="Times New Roman"/>
                <w:b/>
                <w:bCs/>
                <w:sz w:val="18"/>
                <w:szCs w:val="18"/>
                <w:bdr w:val="none" w:sz="0" w:space="0" w:color="auto"/>
                <w:lang w:eastAsia="es-ES"/>
              </w:rPr>
              <w:t>3</w:t>
            </w:r>
          </w:p>
        </w:tc>
      </w:tr>
      <w:tr w:rsidR="00A1201B" w:rsidRPr="005644E5" w14:paraId="37C72681" w14:textId="77777777" w:rsidTr="005644E5">
        <w:tblPrEx>
          <w:jc w:val="center"/>
        </w:tblPrEx>
        <w:trPr>
          <w:trHeight w:val="283"/>
          <w:jc w:val="center"/>
        </w:trPr>
        <w:tc>
          <w:tcPr>
            <w:tcW w:w="5000" w:type="pct"/>
            <w:gridSpan w:val="3"/>
            <w:tcBorders>
              <w:top w:val="nil"/>
              <w:left w:val="nil"/>
              <w:bottom w:val="nil"/>
              <w:right w:val="nil"/>
            </w:tcBorders>
            <w:shd w:val="clear" w:color="auto" w:fill="auto"/>
            <w:noWrap/>
            <w:vAlign w:val="center"/>
            <w:hideMark/>
          </w:tcPr>
          <w:p w14:paraId="68664DE5" w14:textId="5955F9F0" w:rsidR="00A1201B" w:rsidRPr="005644E5" w:rsidRDefault="00B84071" w:rsidP="005644E5">
            <w:pPr>
              <w:pBdr>
                <w:top w:val="none" w:sz="0" w:space="0" w:color="auto"/>
                <w:left w:val="none" w:sz="0" w:space="0" w:color="auto"/>
                <w:bottom w:val="none" w:sz="0" w:space="0" w:color="auto"/>
                <w:right w:val="none" w:sz="0" w:space="0" w:color="auto"/>
                <w:between w:val="none" w:sz="0" w:space="0" w:color="auto"/>
                <w:bar w:val="none" w:sz="0" w:color="auto"/>
              </w:pBdr>
              <w:ind w:left="217" w:right="159"/>
              <w:outlineLvl w:val="9"/>
              <w:rPr>
                <w:rFonts w:eastAsia="Times New Roman"/>
                <w:b/>
                <w:bCs/>
                <w:sz w:val="18"/>
                <w:szCs w:val="18"/>
                <w:bdr w:val="none" w:sz="0" w:space="0" w:color="auto"/>
                <w:lang w:eastAsia="es-ES"/>
              </w:rPr>
            </w:pPr>
            <w:r w:rsidRPr="005644E5">
              <w:rPr>
                <w:rFonts w:eastAsia="Times New Roman"/>
                <w:b/>
                <w:bCs/>
                <w:sz w:val="18"/>
                <w:szCs w:val="18"/>
                <w:bdr w:val="none" w:sz="0" w:space="0" w:color="auto"/>
                <w:lang w:eastAsia="es-ES"/>
              </w:rPr>
              <w:t>Activos financieros a coste amortizado</w:t>
            </w:r>
            <w:r w:rsidR="00A1201B" w:rsidRPr="005644E5">
              <w:rPr>
                <w:rFonts w:eastAsia="Times New Roman"/>
                <w:b/>
                <w:bCs/>
                <w:sz w:val="18"/>
                <w:szCs w:val="18"/>
                <w:bdr w:val="none" w:sz="0" w:space="0" w:color="auto"/>
                <w:lang w:eastAsia="es-ES"/>
              </w:rPr>
              <w:t xml:space="preserve"> a l</w:t>
            </w:r>
            <w:r w:rsidR="008063DC" w:rsidRPr="005644E5">
              <w:rPr>
                <w:rFonts w:eastAsia="Times New Roman"/>
                <w:b/>
                <w:bCs/>
                <w:sz w:val="18"/>
                <w:szCs w:val="18"/>
                <w:bdr w:val="none" w:sz="0" w:space="0" w:color="auto"/>
                <w:lang w:eastAsia="es-ES"/>
              </w:rPr>
              <w:t>/p</w:t>
            </w:r>
            <w:r w:rsidR="00A1201B" w:rsidRPr="005644E5">
              <w:rPr>
                <w:rFonts w:eastAsia="Times New Roman"/>
                <w:b/>
                <w:bCs/>
                <w:sz w:val="18"/>
                <w:szCs w:val="18"/>
                <w:bdr w:val="none" w:sz="0" w:space="0" w:color="auto"/>
                <w:lang w:eastAsia="es-ES"/>
              </w:rPr>
              <w:t>:</w:t>
            </w:r>
          </w:p>
        </w:tc>
      </w:tr>
      <w:tr w:rsidR="00782DDC" w:rsidRPr="005644E5" w14:paraId="69297425" w14:textId="77777777" w:rsidTr="005644E5">
        <w:tblPrEx>
          <w:jc w:val="center"/>
        </w:tblPrEx>
        <w:trPr>
          <w:trHeight w:val="283"/>
          <w:jc w:val="center"/>
        </w:trPr>
        <w:tc>
          <w:tcPr>
            <w:tcW w:w="2693" w:type="pct"/>
            <w:tcBorders>
              <w:top w:val="nil"/>
              <w:left w:val="nil"/>
              <w:bottom w:val="nil"/>
              <w:right w:val="nil"/>
            </w:tcBorders>
            <w:shd w:val="clear" w:color="auto" w:fill="auto"/>
            <w:noWrap/>
            <w:vAlign w:val="center"/>
            <w:hideMark/>
          </w:tcPr>
          <w:p w14:paraId="6E1CF44F" w14:textId="77777777" w:rsidR="00782DDC" w:rsidRPr="005644E5" w:rsidRDefault="00782DDC" w:rsidP="00782DDC">
            <w:pPr>
              <w:pBdr>
                <w:top w:val="none" w:sz="0" w:space="0" w:color="auto"/>
                <w:left w:val="none" w:sz="0" w:space="0" w:color="auto"/>
                <w:bottom w:val="none" w:sz="0" w:space="0" w:color="auto"/>
                <w:right w:val="none" w:sz="0" w:space="0" w:color="auto"/>
                <w:between w:val="none" w:sz="0" w:space="0" w:color="auto"/>
                <w:bar w:val="none" w:sz="0" w:color="auto"/>
              </w:pBdr>
              <w:ind w:left="217"/>
              <w:outlineLvl w:val="9"/>
              <w:rPr>
                <w:rFonts w:eastAsia="Times New Roman"/>
                <w:sz w:val="18"/>
                <w:szCs w:val="18"/>
                <w:bdr w:val="none" w:sz="0" w:space="0" w:color="auto"/>
                <w:lang w:eastAsia="es-ES"/>
              </w:rPr>
            </w:pPr>
            <w:r w:rsidRPr="005644E5">
              <w:rPr>
                <w:rFonts w:eastAsia="Times New Roman"/>
                <w:sz w:val="18"/>
                <w:szCs w:val="18"/>
                <w:bdr w:val="none" w:sz="0" w:space="0" w:color="auto"/>
                <w:lang w:eastAsia="es-ES"/>
              </w:rPr>
              <w:t>Fianzas</w:t>
            </w:r>
          </w:p>
        </w:tc>
        <w:tc>
          <w:tcPr>
            <w:tcW w:w="1153" w:type="pct"/>
            <w:tcBorders>
              <w:top w:val="nil"/>
              <w:left w:val="nil"/>
              <w:bottom w:val="nil"/>
              <w:right w:val="nil"/>
            </w:tcBorders>
            <w:shd w:val="clear" w:color="auto" w:fill="auto"/>
            <w:noWrap/>
            <w:vAlign w:val="center"/>
          </w:tcPr>
          <w:p w14:paraId="67D5658B" w14:textId="0135E11F" w:rsidR="00782DDC" w:rsidRPr="005644E5" w:rsidRDefault="00782DDC" w:rsidP="00782DDC">
            <w:pPr>
              <w:pBdr>
                <w:top w:val="none" w:sz="0" w:space="0" w:color="auto"/>
                <w:left w:val="none" w:sz="0" w:space="0" w:color="auto"/>
                <w:bottom w:val="none" w:sz="0" w:space="0" w:color="auto"/>
                <w:right w:val="none" w:sz="0" w:space="0" w:color="auto"/>
                <w:between w:val="none" w:sz="0" w:space="0" w:color="auto"/>
                <w:bar w:val="none" w:sz="0" w:color="auto"/>
              </w:pBdr>
              <w:ind w:right="159"/>
              <w:jc w:val="right"/>
              <w:outlineLvl w:val="9"/>
              <w:rPr>
                <w:rFonts w:eastAsia="Times New Roman"/>
                <w:sz w:val="18"/>
                <w:szCs w:val="18"/>
                <w:bdr w:val="none" w:sz="0" w:space="0" w:color="auto"/>
                <w:lang w:eastAsia="es-ES"/>
              </w:rPr>
            </w:pPr>
            <w:r>
              <w:rPr>
                <w:sz w:val="18"/>
                <w:szCs w:val="18"/>
              </w:rPr>
              <w:t>9.107,70</w:t>
            </w:r>
          </w:p>
        </w:tc>
        <w:tc>
          <w:tcPr>
            <w:tcW w:w="1154" w:type="pct"/>
            <w:tcBorders>
              <w:top w:val="nil"/>
              <w:left w:val="nil"/>
              <w:bottom w:val="nil"/>
              <w:right w:val="nil"/>
            </w:tcBorders>
            <w:shd w:val="clear" w:color="auto" w:fill="auto"/>
            <w:noWrap/>
            <w:vAlign w:val="center"/>
            <w:hideMark/>
          </w:tcPr>
          <w:p w14:paraId="00A5869A" w14:textId="35AB8F58" w:rsidR="00782DDC" w:rsidRPr="005644E5" w:rsidRDefault="00782DDC" w:rsidP="00782DDC">
            <w:pPr>
              <w:pBdr>
                <w:top w:val="none" w:sz="0" w:space="0" w:color="auto"/>
                <w:left w:val="none" w:sz="0" w:space="0" w:color="auto"/>
                <w:bottom w:val="none" w:sz="0" w:space="0" w:color="auto"/>
                <w:right w:val="none" w:sz="0" w:space="0" w:color="auto"/>
                <w:between w:val="none" w:sz="0" w:space="0" w:color="auto"/>
                <w:bar w:val="none" w:sz="0" w:color="auto"/>
              </w:pBdr>
              <w:ind w:right="159"/>
              <w:jc w:val="right"/>
              <w:outlineLvl w:val="9"/>
              <w:rPr>
                <w:rFonts w:eastAsia="Times New Roman"/>
                <w:sz w:val="18"/>
                <w:szCs w:val="18"/>
                <w:bdr w:val="none" w:sz="0" w:space="0" w:color="auto"/>
                <w:lang w:eastAsia="es-ES"/>
              </w:rPr>
            </w:pPr>
            <w:r>
              <w:rPr>
                <w:rFonts w:eastAsia="Times New Roman"/>
                <w:sz w:val="18"/>
                <w:szCs w:val="18"/>
                <w:bdr w:val="none" w:sz="0" w:space="0" w:color="auto"/>
                <w:lang w:eastAsia="es-ES"/>
              </w:rPr>
              <w:t>15.107,70</w:t>
            </w:r>
          </w:p>
        </w:tc>
      </w:tr>
      <w:tr w:rsidR="00782DDC" w:rsidRPr="005644E5" w14:paraId="67F97DFE" w14:textId="77777777" w:rsidTr="005644E5">
        <w:tblPrEx>
          <w:jc w:val="center"/>
        </w:tblPrEx>
        <w:trPr>
          <w:trHeight w:val="283"/>
          <w:jc w:val="center"/>
        </w:trPr>
        <w:tc>
          <w:tcPr>
            <w:tcW w:w="5000" w:type="pct"/>
            <w:gridSpan w:val="3"/>
            <w:tcBorders>
              <w:top w:val="nil"/>
              <w:left w:val="nil"/>
              <w:bottom w:val="nil"/>
              <w:right w:val="nil"/>
            </w:tcBorders>
            <w:shd w:val="clear" w:color="auto" w:fill="auto"/>
            <w:noWrap/>
            <w:vAlign w:val="center"/>
            <w:hideMark/>
          </w:tcPr>
          <w:p w14:paraId="7659A41A" w14:textId="66BFAB2C" w:rsidR="00782DDC" w:rsidRPr="005644E5" w:rsidRDefault="00782DDC" w:rsidP="00782DDC">
            <w:pPr>
              <w:pBdr>
                <w:top w:val="none" w:sz="0" w:space="0" w:color="auto"/>
                <w:left w:val="none" w:sz="0" w:space="0" w:color="auto"/>
                <w:bottom w:val="none" w:sz="0" w:space="0" w:color="auto"/>
                <w:right w:val="none" w:sz="0" w:space="0" w:color="auto"/>
                <w:between w:val="none" w:sz="0" w:space="0" w:color="auto"/>
                <w:bar w:val="none" w:sz="0" w:color="auto"/>
              </w:pBdr>
              <w:ind w:left="217" w:right="159"/>
              <w:outlineLvl w:val="9"/>
              <w:rPr>
                <w:rFonts w:eastAsia="Times New Roman"/>
                <w:b/>
                <w:bCs/>
                <w:sz w:val="18"/>
                <w:szCs w:val="18"/>
                <w:bdr w:val="none" w:sz="0" w:space="0" w:color="auto"/>
                <w:lang w:eastAsia="es-ES"/>
              </w:rPr>
            </w:pPr>
            <w:r w:rsidRPr="005644E5">
              <w:rPr>
                <w:rFonts w:eastAsia="Times New Roman"/>
                <w:b/>
                <w:bCs/>
                <w:sz w:val="18"/>
                <w:szCs w:val="18"/>
                <w:bdr w:val="none" w:sz="0" w:space="0" w:color="auto"/>
                <w:lang w:eastAsia="es-ES"/>
              </w:rPr>
              <w:t>Activos financieros a coste amortizado a c/p:</w:t>
            </w:r>
          </w:p>
        </w:tc>
      </w:tr>
      <w:tr w:rsidR="00782DDC" w:rsidRPr="005644E5" w14:paraId="7E6F84D3" w14:textId="77777777" w:rsidTr="005644E5">
        <w:tblPrEx>
          <w:jc w:val="center"/>
        </w:tblPrEx>
        <w:trPr>
          <w:trHeight w:val="283"/>
          <w:jc w:val="center"/>
        </w:trPr>
        <w:tc>
          <w:tcPr>
            <w:tcW w:w="2693" w:type="pct"/>
            <w:tcBorders>
              <w:top w:val="nil"/>
              <w:left w:val="nil"/>
              <w:bottom w:val="nil"/>
              <w:right w:val="nil"/>
            </w:tcBorders>
            <w:shd w:val="clear" w:color="auto" w:fill="auto"/>
            <w:noWrap/>
            <w:vAlign w:val="center"/>
            <w:hideMark/>
          </w:tcPr>
          <w:p w14:paraId="69635F8C" w14:textId="4F3DA38C" w:rsidR="00782DDC" w:rsidRPr="005644E5" w:rsidRDefault="00782DDC" w:rsidP="00782DDC">
            <w:pPr>
              <w:pBdr>
                <w:top w:val="none" w:sz="0" w:space="0" w:color="auto"/>
                <w:left w:val="none" w:sz="0" w:space="0" w:color="auto"/>
                <w:bottom w:val="none" w:sz="0" w:space="0" w:color="auto"/>
                <w:right w:val="none" w:sz="0" w:space="0" w:color="auto"/>
                <w:between w:val="none" w:sz="0" w:space="0" w:color="auto"/>
                <w:bar w:val="none" w:sz="0" w:color="auto"/>
              </w:pBdr>
              <w:ind w:left="217"/>
              <w:outlineLvl w:val="9"/>
              <w:rPr>
                <w:rFonts w:eastAsia="Times New Roman"/>
                <w:sz w:val="18"/>
                <w:szCs w:val="18"/>
                <w:highlight w:val="yellow"/>
                <w:bdr w:val="none" w:sz="0" w:space="0" w:color="auto"/>
                <w:lang w:eastAsia="es-ES"/>
              </w:rPr>
            </w:pPr>
            <w:r w:rsidRPr="005644E5">
              <w:rPr>
                <w:sz w:val="18"/>
                <w:szCs w:val="18"/>
              </w:rPr>
              <w:t>Clientes por ventas y prestación de servicios</w:t>
            </w:r>
          </w:p>
        </w:tc>
        <w:tc>
          <w:tcPr>
            <w:tcW w:w="1153" w:type="pct"/>
            <w:tcBorders>
              <w:top w:val="nil"/>
              <w:left w:val="nil"/>
              <w:bottom w:val="nil"/>
              <w:right w:val="nil"/>
            </w:tcBorders>
            <w:shd w:val="clear" w:color="auto" w:fill="auto"/>
            <w:noWrap/>
            <w:vAlign w:val="center"/>
          </w:tcPr>
          <w:p w14:paraId="24557BBE" w14:textId="0B0A1571" w:rsidR="00782DDC" w:rsidRPr="005644E5" w:rsidRDefault="00782DDC" w:rsidP="00782DDC">
            <w:pPr>
              <w:pBdr>
                <w:top w:val="none" w:sz="0" w:space="0" w:color="auto"/>
                <w:left w:val="none" w:sz="0" w:space="0" w:color="auto"/>
                <w:bottom w:val="none" w:sz="0" w:space="0" w:color="auto"/>
                <w:right w:val="none" w:sz="0" w:space="0" w:color="auto"/>
                <w:between w:val="none" w:sz="0" w:space="0" w:color="auto"/>
                <w:bar w:val="none" w:sz="0" w:color="auto"/>
              </w:pBdr>
              <w:ind w:right="159"/>
              <w:jc w:val="right"/>
              <w:outlineLvl w:val="9"/>
              <w:rPr>
                <w:rFonts w:eastAsia="Times New Roman"/>
                <w:sz w:val="18"/>
                <w:szCs w:val="18"/>
                <w:bdr w:val="none" w:sz="0" w:space="0" w:color="auto"/>
                <w:lang w:eastAsia="es-ES"/>
              </w:rPr>
            </w:pPr>
            <w:r>
              <w:rPr>
                <w:sz w:val="18"/>
                <w:szCs w:val="18"/>
              </w:rPr>
              <w:t>562.151,85</w:t>
            </w:r>
          </w:p>
        </w:tc>
        <w:tc>
          <w:tcPr>
            <w:tcW w:w="1154" w:type="pct"/>
            <w:tcBorders>
              <w:top w:val="nil"/>
              <w:left w:val="nil"/>
              <w:bottom w:val="nil"/>
              <w:right w:val="nil"/>
            </w:tcBorders>
            <w:shd w:val="clear" w:color="auto" w:fill="auto"/>
            <w:noWrap/>
            <w:vAlign w:val="center"/>
            <w:hideMark/>
          </w:tcPr>
          <w:p w14:paraId="7E78E17D" w14:textId="3800F402" w:rsidR="00782DDC" w:rsidRPr="005644E5" w:rsidRDefault="00782DDC" w:rsidP="00782DDC">
            <w:pPr>
              <w:pBdr>
                <w:top w:val="none" w:sz="0" w:space="0" w:color="auto"/>
                <w:left w:val="none" w:sz="0" w:space="0" w:color="auto"/>
                <w:bottom w:val="none" w:sz="0" w:space="0" w:color="auto"/>
                <w:right w:val="none" w:sz="0" w:space="0" w:color="auto"/>
                <w:between w:val="none" w:sz="0" w:space="0" w:color="auto"/>
                <w:bar w:val="none" w:sz="0" w:color="auto"/>
              </w:pBdr>
              <w:ind w:right="159"/>
              <w:jc w:val="right"/>
              <w:outlineLvl w:val="9"/>
              <w:rPr>
                <w:rFonts w:eastAsia="Times New Roman"/>
                <w:sz w:val="18"/>
                <w:szCs w:val="18"/>
                <w:bdr w:val="none" w:sz="0" w:space="0" w:color="auto"/>
                <w:lang w:eastAsia="es-ES"/>
              </w:rPr>
            </w:pPr>
            <w:r>
              <w:rPr>
                <w:sz w:val="18"/>
                <w:szCs w:val="18"/>
              </w:rPr>
              <w:t>278.650,74</w:t>
            </w:r>
          </w:p>
        </w:tc>
      </w:tr>
      <w:tr w:rsidR="00782DDC" w:rsidRPr="005644E5" w14:paraId="40A4B433" w14:textId="77777777" w:rsidTr="005644E5">
        <w:tblPrEx>
          <w:jc w:val="center"/>
        </w:tblPrEx>
        <w:trPr>
          <w:trHeight w:val="283"/>
          <w:jc w:val="center"/>
        </w:trPr>
        <w:tc>
          <w:tcPr>
            <w:tcW w:w="2693" w:type="pct"/>
            <w:tcBorders>
              <w:top w:val="nil"/>
              <w:left w:val="nil"/>
              <w:bottom w:val="nil"/>
              <w:right w:val="nil"/>
            </w:tcBorders>
            <w:shd w:val="clear" w:color="auto" w:fill="auto"/>
            <w:noWrap/>
            <w:vAlign w:val="center"/>
          </w:tcPr>
          <w:p w14:paraId="048E6A49" w14:textId="13CFFE60" w:rsidR="00782DDC" w:rsidRPr="005644E5" w:rsidRDefault="00782DDC" w:rsidP="00782DDC">
            <w:pPr>
              <w:pBdr>
                <w:top w:val="none" w:sz="0" w:space="0" w:color="auto"/>
                <w:left w:val="none" w:sz="0" w:space="0" w:color="auto"/>
                <w:bottom w:val="none" w:sz="0" w:space="0" w:color="auto"/>
                <w:right w:val="none" w:sz="0" w:space="0" w:color="auto"/>
                <w:between w:val="none" w:sz="0" w:space="0" w:color="auto"/>
                <w:bar w:val="none" w:sz="0" w:color="auto"/>
              </w:pBdr>
              <w:ind w:left="217"/>
              <w:outlineLvl w:val="9"/>
              <w:rPr>
                <w:sz w:val="18"/>
                <w:szCs w:val="18"/>
              </w:rPr>
            </w:pPr>
            <w:r w:rsidRPr="005644E5">
              <w:rPr>
                <w:sz w:val="18"/>
                <w:szCs w:val="18"/>
              </w:rPr>
              <w:t>Deudores</w:t>
            </w:r>
          </w:p>
        </w:tc>
        <w:tc>
          <w:tcPr>
            <w:tcW w:w="1153" w:type="pct"/>
            <w:tcBorders>
              <w:top w:val="nil"/>
              <w:left w:val="nil"/>
              <w:bottom w:val="nil"/>
              <w:right w:val="nil"/>
            </w:tcBorders>
            <w:shd w:val="clear" w:color="auto" w:fill="auto"/>
            <w:noWrap/>
            <w:vAlign w:val="center"/>
          </w:tcPr>
          <w:p w14:paraId="66902AB7" w14:textId="1CE545DA" w:rsidR="00782DDC" w:rsidRPr="005644E5" w:rsidRDefault="00782DDC" w:rsidP="00782DDC">
            <w:pPr>
              <w:pBdr>
                <w:top w:val="none" w:sz="0" w:space="0" w:color="auto"/>
                <w:left w:val="none" w:sz="0" w:space="0" w:color="auto"/>
                <w:bottom w:val="none" w:sz="0" w:space="0" w:color="auto"/>
                <w:right w:val="none" w:sz="0" w:space="0" w:color="auto"/>
                <w:between w:val="none" w:sz="0" w:space="0" w:color="auto"/>
                <w:bar w:val="none" w:sz="0" w:color="auto"/>
              </w:pBdr>
              <w:ind w:right="159"/>
              <w:jc w:val="right"/>
              <w:outlineLvl w:val="9"/>
              <w:rPr>
                <w:rFonts w:eastAsia="Times New Roman"/>
                <w:sz w:val="18"/>
                <w:szCs w:val="18"/>
                <w:bdr w:val="none" w:sz="0" w:space="0" w:color="auto"/>
                <w:lang w:eastAsia="es-ES"/>
              </w:rPr>
            </w:pPr>
            <w:r>
              <w:rPr>
                <w:sz w:val="18"/>
                <w:szCs w:val="18"/>
              </w:rPr>
              <w:t>15.433,93</w:t>
            </w:r>
          </w:p>
        </w:tc>
        <w:tc>
          <w:tcPr>
            <w:tcW w:w="1154" w:type="pct"/>
            <w:tcBorders>
              <w:top w:val="nil"/>
              <w:left w:val="nil"/>
              <w:bottom w:val="nil"/>
              <w:right w:val="nil"/>
            </w:tcBorders>
            <w:shd w:val="clear" w:color="auto" w:fill="auto"/>
            <w:noWrap/>
            <w:vAlign w:val="center"/>
          </w:tcPr>
          <w:p w14:paraId="43C39129" w14:textId="18A80E6C" w:rsidR="00782DDC" w:rsidRPr="005644E5" w:rsidRDefault="00782DDC" w:rsidP="00782DDC">
            <w:pPr>
              <w:pBdr>
                <w:top w:val="none" w:sz="0" w:space="0" w:color="auto"/>
                <w:left w:val="none" w:sz="0" w:space="0" w:color="auto"/>
                <w:bottom w:val="none" w:sz="0" w:space="0" w:color="auto"/>
                <w:right w:val="none" w:sz="0" w:space="0" w:color="auto"/>
                <w:between w:val="none" w:sz="0" w:space="0" w:color="auto"/>
                <w:bar w:val="none" w:sz="0" w:color="auto"/>
              </w:pBdr>
              <w:ind w:right="159"/>
              <w:jc w:val="right"/>
              <w:outlineLvl w:val="9"/>
              <w:rPr>
                <w:sz w:val="18"/>
                <w:szCs w:val="18"/>
              </w:rPr>
            </w:pPr>
            <w:r>
              <w:rPr>
                <w:sz w:val="18"/>
                <w:szCs w:val="18"/>
              </w:rPr>
              <w:t>22.867,31</w:t>
            </w:r>
          </w:p>
        </w:tc>
      </w:tr>
      <w:tr w:rsidR="00782DDC" w:rsidRPr="005644E5" w14:paraId="1B7B6A22" w14:textId="77777777" w:rsidTr="005644E5">
        <w:tblPrEx>
          <w:jc w:val="center"/>
        </w:tblPrEx>
        <w:trPr>
          <w:trHeight w:val="283"/>
          <w:jc w:val="center"/>
        </w:trPr>
        <w:tc>
          <w:tcPr>
            <w:tcW w:w="2693" w:type="pct"/>
            <w:tcBorders>
              <w:top w:val="nil"/>
              <w:left w:val="nil"/>
              <w:bottom w:val="nil"/>
              <w:right w:val="nil"/>
            </w:tcBorders>
            <w:shd w:val="clear" w:color="auto" w:fill="auto"/>
            <w:noWrap/>
            <w:vAlign w:val="center"/>
          </w:tcPr>
          <w:p w14:paraId="72BDA323" w14:textId="430F7344" w:rsidR="00782DDC" w:rsidRPr="00A61EB2" w:rsidRDefault="00782DDC" w:rsidP="00782DDC">
            <w:pPr>
              <w:pBdr>
                <w:top w:val="none" w:sz="0" w:space="0" w:color="auto"/>
                <w:left w:val="none" w:sz="0" w:space="0" w:color="auto"/>
                <w:bottom w:val="none" w:sz="0" w:space="0" w:color="auto"/>
                <w:right w:val="none" w:sz="0" w:space="0" w:color="auto"/>
                <w:between w:val="none" w:sz="0" w:space="0" w:color="auto"/>
                <w:bar w:val="none" w:sz="0" w:color="auto"/>
              </w:pBdr>
              <w:ind w:left="213"/>
              <w:outlineLvl w:val="9"/>
              <w:rPr>
                <w:rFonts w:eastAsia="Times New Roman"/>
                <w:sz w:val="18"/>
                <w:szCs w:val="18"/>
                <w:bdr w:val="none" w:sz="0" w:space="0" w:color="auto"/>
                <w:lang w:eastAsia="es-ES"/>
              </w:rPr>
            </w:pPr>
            <w:r>
              <w:rPr>
                <w:sz w:val="18"/>
                <w:szCs w:val="18"/>
              </w:rPr>
              <w:t>Otros créditos</w:t>
            </w:r>
          </w:p>
        </w:tc>
        <w:tc>
          <w:tcPr>
            <w:tcW w:w="1153" w:type="pct"/>
            <w:tcBorders>
              <w:top w:val="nil"/>
              <w:left w:val="nil"/>
              <w:bottom w:val="nil"/>
              <w:right w:val="nil"/>
            </w:tcBorders>
            <w:shd w:val="clear" w:color="auto" w:fill="auto"/>
            <w:noWrap/>
            <w:vAlign w:val="center"/>
          </w:tcPr>
          <w:p w14:paraId="70285F70" w14:textId="22B58B36" w:rsidR="00782DDC" w:rsidRDefault="00782DDC" w:rsidP="00782DDC">
            <w:pPr>
              <w:pBdr>
                <w:top w:val="none" w:sz="0" w:space="0" w:color="auto"/>
                <w:left w:val="none" w:sz="0" w:space="0" w:color="auto"/>
                <w:bottom w:val="none" w:sz="0" w:space="0" w:color="auto"/>
                <w:right w:val="none" w:sz="0" w:space="0" w:color="auto"/>
                <w:between w:val="none" w:sz="0" w:space="0" w:color="auto"/>
                <w:bar w:val="none" w:sz="0" w:color="auto"/>
              </w:pBdr>
              <w:ind w:right="159"/>
              <w:jc w:val="right"/>
              <w:outlineLvl w:val="9"/>
              <w:rPr>
                <w:sz w:val="18"/>
                <w:szCs w:val="18"/>
              </w:rPr>
            </w:pPr>
            <w:r>
              <w:rPr>
                <w:sz w:val="18"/>
                <w:szCs w:val="18"/>
              </w:rPr>
              <w:t>435,27</w:t>
            </w:r>
          </w:p>
        </w:tc>
        <w:tc>
          <w:tcPr>
            <w:tcW w:w="1154" w:type="pct"/>
            <w:tcBorders>
              <w:top w:val="nil"/>
              <w:left w:val="nil"/>
              <w:bottom w:val="nil"/>
              <w:right w:val="nil"/>
            </w:tcBorders>
            <w:shd w:val="clear" w:color="auto" w:fill="auto"/>
            <w:noWrap/>
            <w:vAlign w:val="center"/>
          </w:tcPr>
          <w:p w14:paraId="57E230EA" w14:textId="2218C626" w:rsidR="00782DDC" w:rsidRDefault="00782DDC" w:rsidP="00782DDC">
            <w:pPr>
              <w:pBdr>
                <w:top w:val="none" w:sz="0" w:space="0" w:color="auto"/>
                <w:left w:val="none" w:sz="0" w:space="0" w:color="auto"/>
                <w:bottom w:val="none" w:sz="0" w:space="0" w:color="auto"/>
                <w:right w:val="none" w:sz="0" w:space="0" w:color="auto"/>
                <w:between w:val="none" w:sz="0" w:space="0" w:color="auto"/>
                <w:bar w:val="none" w:sz="0" w:color="auto"/>
              </w:pBdr>
              <w:ind w:right="159"/>
              <w:jc w:val="right"/>
              <w:outlineLvl w:val="9"/>
              <w:rPr>
                <w:sz w:val="18"/>
                <w:szCs w:val="18"/>
              </w:rPr>
            </w:pPr>
            <w:r>
              <w:rPr>
                <w:sz w:val="18"/>
                <w:szCs w:val="18"/>
              </w:rPr>
              <w:t>7.624,20</w:t>
            </w:r>
          </w:p>
        </w:tc>
      </w:tr>
      <w:tr w:rsidR="00782DDC" w:rsidRPr="005644E5" w14:paraId="7A451D50" w14:textId="77777777" w:rsidTr="005644E5">
        <w:tblPrEx>
          <w:jc w:val="center"/>
        </w:tblPrEx>
        <w:trPr>
          <w:trHeight w:val="283"/>
          <w:jc w:val="center"/>
        </w:trPr>
        <w:tc>
          <w:tcPr>
            <w:tcW w:w="2693" w:type="pct"/>
            <w:tcBorders>
              <w:top w:val="single" w:sz="4" w:space="0" w:color="auto"/>
              <w:left w:val="nil"/>
              <w:bottom w:val="single" w:sz="4" w:space="0" w:color="auto"/>
              <w:right w:val="nil"/>
            </w:tcBorders>
            <w:shd w:val="clear" w:color="auto" w:fill="auto"/>
            <w:noWrap/>
            <w:vAlign w:val="center"/>
            <w:hideMark/>
          </w:tcPr>
          <w:p w14:paraId="17477BC8" w14:textId="77777777" w:rsidR="00782DDC" w:rsidRPr="005644E5" w:rsidRDefault="00782DDC" w:rsidP="00782DDC">
            <w:pPr>
              <w:ind w:left="217"/>
              <w:rPr>
                <w:b/>
                <w:bCs/>
                <w:sz w:val="18"/>
                <w:szCs w:val="18"/>
                <w:highlight w:val="yellow"/>
              </w:rPr>
            </w:pPr>
            <w:r w:rsidRPr="005644E5">
              <w:rPr>
                <w:b/>
                <w:bCs/>
                <w:sz w:val="18"/>
                <w:szCs w:val="18"/>
              </w:rPr>
              <w:t>Total</w:t>
            </w:r>
          </w:p>
        </w:tc>
        <w:tc>
          <w:tcPr>
            <w:tcW w:w="1153" w:type="pct"/>
            <w:tcBorders>
              <w:top w:val="single" w:sz="4" w:space="0" w:color="auto"/>
              <w:left w:val="nil"/>
              <w:bottom w:val="single" w:sz="4" w:space="0" w:color="auto"/>
              <w:right w:val="nil"/>
            </w:tcBorders>
            <w:shd w:val="clear" w:color="auto" w:fill="auto"/>
            <w:noWrap/>
            <w:vAlign w:val="center"/>
          </w:tcPr>
          <w:p w14:paraId="2C645524" w14:textId="29AA4BA1" w:rsidR="00782DDC" w:rsidRPr="003539EC" w:rsidRDefault="00782DDC" w:rsidP="00782DDC">
            <w:pPr>
              <w:pBdr>
                <w:top w:val="none" w:sz="0" w:space="0" w:color="auto"/>
                <w:left w:val="none" w:sz="0" w:space="0" w:color="auto"/>
                <w:bottom w:val="none" w:sz="0" w:space="0" w:color="auto"/>
                <w:right w:val="none" w:sz="0" w:space="0" w:color="auto"/>
                <w:between w:val="none" w:sz="0" w:space="0" w:color="auto"/>
                <w:bar w:val="none" w:sz="0" w:color="auto"/>
              </w:pBdr>
              <w:ind w:right="161"/>
              <w:jc w:val="right"/>
              <w:outlineLvl w:val="9"/>
              <w:rPr>
                <w:rFonts w:eastAsia="Times New Roman"/>
                <w:b/>
                <w:bCs/>
                <w:sz w:val="18"/>
                <w:szCs w:val="18"/>
                <w:bdr w:val="none" w:sz="0" w:space="0" w:color="auto"/>
                <w:lang w:eastAsia="es-ES"/>
              </w:rPr>
            </w:pPr>
            <w:r>
              <w:rPr>
                <w:b/>
                <w:bCs/>
                <w:sz w:val="18"/>
                <w:szCs w:val="18"/>
              </w:rPr>
              <w:t>587.128,75</w:t>
            </w:r>
          </w:p>
        </w:tc>
        <w:tc>
          <w:tcPr>
            <w:tcW w:w="1154" w:type="pct"/>
            <w:tcBorders>
              <w:top w:val="single" w:sz="4" w:space="0" w:color="auto"/>
              <w:left w:val="nil"/>
              <w:bottom w:val="single" w:sz="4" w:space="0" w:color="auto"/>
              <w:right w:val="nil"/>
            </w:tcBorders>
            <w:shd w:val="clear" w:color="auto" w:fill="auto"/>
            <w:noWrap/>
            <w:vAlign w:val="center"/>
            <w:hideMark/>
          </w:tcPr>
          <w:p w14:paraId="2023035F" w14:textId="77B03F72" w:rsidR="00782DDC" w:rsidRPr="005644E5" w:rsidRDefault="00782DDC" w:rsidP="00782DDC">
            <w:pPr>
              <w:pBdr>
                <w:top w:val="none" w:sz="0" w:space="0" w:color="auto"/>
                <w:left w:val="none" w:sz="0" w:space="0" w:color="auto"/>
                <w:bottom w:val="none" w:sz="0" w:space="0" w:color="auto"/>
                <w:right w:val="none" w:sz="0" w:space="0" w:color="auto"/>
                <w:between w:val="none" w:sz="0" w:space="0" w:color="auto"/>
                <w:bar w:val="none" w:sz="0" w:color="auto"/>
              </w:pBdr>
              <w:ind w:right="159"/>
              <w:jc w:val="right"/>
              <w:outlineLvl w:val="9"/>
              <w:rPr>
                <w:rFonts w:eastAsia="Times New Roman"/>
                <w:b/>
                <w:bCs/>
                <w:sz w:val="18"/>
                <w:szCs w:val="18"/>
                <w:bdr w:val="none" w:sz="0" w:space="0" w:color="auto"/>
                <w:lang w:eastAsia="es-ES"/>
              </w:rPr>
            </w:pPr>
            <w:r>
              <w:rPr>
                <w:b/>
                <w:bCs/>
                <w:sz w:val="18"/>
                <w:szCs w:val="18"/>
              </w:rPr>
              <w:t>324.249,95</w:t>
            </w:r>
          </w:p>
        </w:tc>
      </w:tr>
    </w:tbl>
    <w:p w14:paraId="4882830B" w14:textId="24B18C6C" w:rsidR="006220A2" w:rsidRPr="0083433F" w:rsidRDefault="00F0148C" w:rsidP="00401B91">
      <w:pPr>
        <w:widowControl w:val="0"/>
        <w:spacing w:before="240" w:after="120" w:line="260" w:lineRule="exact"/>
        <w:jc w:val="both"/>
        <w:outlineLvl w:val="9"/>
        <w:rPr>
          <w:snapToGrid w:val="0"/>
          <w:sz w:val="20"/>
          <w:szCs w:val="22"/>
        </w:rPr>
      </w:pPr>
      <w:r w:rsidRPr="001B5A15">
        <w:rPr>
          <w:snapToGrid w:val="0"/>
          <w:sz w:val="20"/>
          <w:szCs w:val="22"/>
        </w:rPr>
        <w:t xml:space="preserve">En el ejercicio </w:t>
      </w:r>
      <w:r w:rsidR="00401B91">
        <w:rPr>
          <w:snapToGrid w:val="0"/>
          <w:sz w:val="20"/>
          <w:szCs w:val="22"/>
        </w:rPr>
        <w:t xml:space="preserve">2024 y </w:t>
      </w:r>
      <w:r w:rsidRPr="001B5A15">
        <w:rPr>
          <w:snapToGrid w:val="0"/>
          <w:sz w:val="20"/>
          <w:szCs w:val="22"/>
        </w:rPr>
        <w:t>202</w:t>
      </w:r>
      <w:r w:rsidR="00392703" w:rsidRPr="001B5A15">
        <w:rPr>
          <w:snapToGrid w:val="0"/>
          <w:sz w:val="20"/>
          <w:szCs w:val="22"/>
        </w:rPr>
        <w:t>3 no se</w:t>
      </w:r>
      <w:r w:rsidRPr="001B5A15">
        <w:rPr>
          <w:snapToGrid w:val="0"/>
          <w:sz w:val="20"/>
          <w:szCs w:val="22"/>
        </w:rPr>
        <w:t xml:space="preserve"> ha</w:t>
      </w:r>
      <w:r w:rsidR="00156559" w:rsidRPr="001B5A15">
        <w:rPr>
          <w:snapToGrid w:val="0"/>
          <w:sz w:val="20"/>
          <w:szCs w:val="22"/>
        </w:rPr>
        <w:t>n</w:t>
      </w:r>
      <w:r w:rsidRPr="001B5A15">
        <w:rPr>
          <w:snapToGrid w:val="0"/>
          <w:sz w:val="20"/>
          <w:szCs w:val="22"/>
        </w:rPr>
        <w:t xml:space="preserve"> </w:t>
      </w:r>
      <w:r w:rsidR="00156559" w:rsidRPr="001B5A15">
        <w:rPr>
          <w:snapToGrid w:val="0"/>
          <w:sz w:val="20"/>
          <w:szCs w:val="22"/>
        </w:rPr>
        <w:t xml:space="preserve">reconocido </w:t>
      </w:r>
      <w:r w:rsidR="00B74897" w:rsidRPr="001B5A15">
        <w:rPr>
          <w:snapToGrid w:val="0"/>
          <w:sz w:val="20"/>
          <w:szCs w:val="22"/>
        </w:rPr>
        <w:t xml:space="preserve">pérdidas y ganancias </w:t>
      </w:r>
      <w:r w:rsidR="00392703" w:rsidRPr="001B5A15">
        <w:rPr>
          <w:snapToGrid w:val="0"/>
          <w:sz w:val="20"/>
          <w:szCs w:val="22"/>
        </w:rPr>
        <w:t xml:space="preserve">por </w:t>
      </w:r>
      <w:r w:rsidR="00156559" w:rsidRPr="001B5A15">
        <w:rPr>
          <w:snapToGrid w:val="0"/>
          <w:sz w:val="20"/>
          <w:szCs w:val="22"/>
        </w:rPr>
        <w:t>saldos</w:t>
      </w:r>
      <w:r w:rsidRPr="001B5A15">
        <w:rPr>
          <w:snapToGrid w:val="0"/>
          <w:sz w:val="20"/>
          <w:szCs w:val="22"/>
        </w:rPr>
        <w:t xml:space="preserve"> incobrables</w:t>
      </w:r>
      <w:r w:rsidR="005C4CF5" w:rsidRPr="001B5A15">
        <w:rPr>
          <w:snapToGrid w:val="0"/>
          <w:sz w:val="20"/>
          <w:szCs w:val="22"/>
        </w:rPr>
        <w:t xml:space="preserve">. </w:t>
      </w:r>
    </w:p>
    <w:p w14:paraId="51EA15EF" w14:textId="5B5D4BB9" w:rsidR="005644E5" w:rsidRDefault="006220A2" w:rsidP="00D67C6B">
      <w:pPr>
        <w:widowControl w:val="0"/>
        <w:spacing w:before="120" w:after="120" w:line="260" w:lineRule="exact"/>
        <w:jc w:val="both"/>
        <w:outlineLvl w:val="9"/>
        <w:rPr>
          <w:snapToGrid w:val="0"/>
          <w:sz w:val="20"/>
          <w:szCs w:val="22"/>
        </w:rPr>
      </w:pPr>
      <w:r w:rsidRPr="0083433F">
        <w:rPr>
          <w:snapToGrid w:val="0"/>
          <w:sz w:val="20"/>
          <w:szCs w:val="22"/>
        </w:rPr>
        <w:t>La exposición máxima al riesgo de crédito a la fecha de presentación de la información es el valor razonable de cada una de las categorías de cuentas a cobrar indicadas anteriormente. La Sociedad no mantiene ninguna garantía como seguro.</w:t>
      </w:r>
    </w:p>
    <w:p w14:paraId="252ECEFA" w14:textId="77777777" w:rsidR="005644E5" w:rsidRDefault="005644E5">
      <w:pPr>
        <w:pBdr>
          <w:top w:val="none" w:sz="0" w:space="0" w:color="auto"/>
          <w:left w:val="none" w:sz="0" w:space="0" w:color="auto"/>
          <w:bottom w:val="none" w:sz="0" w:space="0" w:color="auto"/>
          <w:right w:val="none" w:sz="0" w:space="0" w:color="auto"/>
          <w:between w:val="none" w:sz="0" w:space="0" w:color="auto"/>
          <w:bar w:val="none" w:sz="0" w:color="auto"/>
        </w:pBdr>
        <w:outlineLvl w:val="9"/>
        <w:rPr>
          <w:snapToGrid w:val="0"/>
          <w:sz w:val="20"/>
          <w:szCs w:val="22"/>
        </w:rPr>
      </w:pPr>
      <w:r>
        <w:rPr>
          <w:snapToGrid w:val="0"/>
          <w:sz w:val="20"/>
          <w:szCs w:val="22"/>
        </w:rPr>
        <w:br w:type="page"/>
      </w:r>
    </w:p>
    <w:p w14:paraId="5A8846E5" w14:textId="77777777" w:rsidR="00EC29B8" w:rsidRPr="0083433F" w:rsidRDefault="00EC29B8" w:rsidP="005644E5">
      <w:pPr>
        <w:keepNext/>
        <w:keepLines/>
        <w:widowControl w:val="0"/>
        <w:spacing w:before="120" w:line="276" w:lineRule="auto"/>
        <w:ind w:left="284"/>
        <w:jc w:val="both"/>
        <w:rPr>
          <w:i/>
          <w:snapToGrid w:val="0"/>
          <w:sz w:val="20"/>
          <w:szCs w:val="22"/>
          <w:u w:val="single"/>
        </w:rPr>
      </w:pPr>
      <w:r w:rsidRPr="0083433F">
        <w:rPr>
          <w:i/>
          <w:sz w:val="20"/>
          <w:szCs w:val="22"/>
          <w:u w:val="single"/>
        </w:rPr>
        <w:lastRenderedPageBreak/>
        <w:t>Clasificación por vencimiento</w:t>
      </w:r>
    </w:p>
    <w:p w14:paraId="39149A15" w14:textId="30F63D39" w:rsidR="00EC29B8" w:rsidRPr="005644E5" w:rsidRDefault="00EC29B8" w:rsidP="00D67C6B">
      <w:pPr>
        <w:widowControl w:val="0"/>
        <w:spacing w:before="120" w:after="120" w:line="260" w:lineRule="exact"/>
        <w:jc w:val="both"/>
        <w:outlineLvl w:val="9"/>
        <w:rPr>
          <w:snapToGrid w:val="0"/>
          <w:sz w:val="20"/>
          <w:szCs w:val="22"/>
        </w:rPr>
      </w:pPr>
      <w:r w:rsidRPr="005644E5">
        <w:rPr>
          <w:snapToGrid w:val="0"/>
          <w:sz w:val="20"/>
          <w:szCs w:val="22"/>
        </w:rPr>
        <w:t>Los importes de los instrumentos financieros de activo al cierre del ejercicio 202</w:t>
      </w:r>
      <w:r w:rsidR="00DE5FC3">
        <w:rPr>
          <w:snapToGrid w:val="0"/>
          <w:sz w:val="20"/>
          <w:szCs w:val="22"/>
        </w:rPr>
        <w:t>4</w:t>
      </w:r>
      <w:r w:rsidRPr="005644E5">
        <w:rPr>
          <w:snapToGrid w:val="0"/>
          <w:sz w:val="20"/>
          <w:szCs w:val="22"/>
        </w:rPr>
        <w:t xml:space="preserve"> es el siguiente:</w:t>
      </w:r>
    </w:p>
    <w:tbl>
      <w:tblPr>
        <w:tblW w:w="5000" w:type="pct"/>
        <w:tblCellMar>
          <w:left w:w="70" w:type="dxa"/>
          <w:right w:w="70" w:type="dxa"/>
        </w:tblCellMar>
        <w:tblLook w:val="04A0" w:firstRow="1" w:lastRow="0" w:firstColumn="1" w:lastColumn="0" w:noHBand="0" w:noVBand="1"/>
      </w:tblPr>
      <w:tblGrid>
        <w:gridCol w:w="2449"/>
        <w:gridCol w:w="1041"/>
        <w:gridCol w:w="952"/>
        <w:gridCol w:w="954"/>
        <w:gridCol w:w="954"/>
        <w:gridCol w:w="695"/>
        <w:gridCol w:w="695"/>
        <w:gridCol w:w="1041"/>
      </w:tblGrid>
      <w:tr w:rsidR="00EC29B8" w:rsidRPr="007E7835" w14:paraId="38CD66A0" w14:textId="77777777" w:rsidTr="001B5A15">
        <w:trPr>
          <w:trHeight w:val="283"/>
        </w:trPr>
        <w:tc>
          <w:tcPr>
            <w:tcW w:w="5000" w:type="pct"/>
            <w:gridSpan w:val="8"/>
            <w:tcBorders>
              <w:top w:val="single" w:sz="4" w:space="0" w:color="auto"/>
              <w:left w:val="nil"/>
              <w:bottom w:val="nil"/>
              <w:right w:val="nil"/>
            </w:tcBorders>
            <w:shd w:val="clear" w:color="auto" w:fill="auto"/>
            <w:vAlign w:val="center"/>
            <w:hideMark/>
          </w:tcPr>
          <w:p w14:paraId="6667D7C4" w14:textId="77777777" w:rsidR="00EC29B8" w:rsidRPr="007E7835" w:rsidRDefault="00EC29B8" w:rsidP="001B5A15">
            <w:pPr>
              <w:pBdr>
                <w:top w:val="none" w:sz="0" w:space="0" w:color="auto"/>
                <w:left w:val="none" w:sz="0" w:space="0" w:color="auto"/>
                <w:bottom w:val="none" w:sz="0" w:space="0" w:color="auto"/>
                <w:right w:val="none" w:sz="0" w:space="0" w:color="auto"/>
                <w:between w:val="none" w:sz="0" w:space="0" w:color="auto"/>
                <w:bar w:val="none" w:sz="0" w:color="auto"/>
              </w:pBdr>
              <w:jc w:val="center"/>
              <w:outlineLvl w:val="9"/>
              <w:rPr>
                <w:rFonts w:eastAsia="Times New Roman"/>
                <w:b/>
                <w:bCs/>
                <w:sz w:val="16"/>
                <w:szCs w:val="16"/>
                <w:bdr w:val="none" w:sz="0" w:space="0" w:color="auto"/>
                <w:lang w:eastAsia="es-ES"/>
              </w:rPr>
            </w:pPr>
            <w:r w:rsidRPr="007E7835">
              <w:rPr>
                <w:rFonts w:eastAsia="Times New Roman"/>
                <w:b/>
                <w:bCs/>
                <w:sz w:val="16"/>
                <w:szCs w:val="16"/>
                <w:bdr w:val="none" w:sz="0" w:space="0" w:color="auto"/>
                <w:lang w:eastAsia="es-ES"/>
              </w:rPr>
              <w:t>ACTIVOS FINANCIEROS</w:t>
            </w:r>
          </w:p>
        </w:tc>
      </w:tr>
      <w:tr w:rsidR="00DE5FC3" w:rsidRPr="007E7835" w14:paraId="28EDFBF3" w14:textId="77777777" w:rsidTr="001B5A15">
        <w:trPr>
          <w:trHeight w:val="283"/>
        </w:trPr>
        <w:tc>
          <w:tcPr>
            <w:tcW w:w="1394" w:type="pct"/>
            <w:tcBorders>
              <w:top w:val="single" w:sz="4" w:space="0" w:color="auto"/>
              <w:left w:val="nil"/>
              <w:bottom w:val="single" w:sz="4" w:space="0" w:color="auto"/>
              <w:right w:val="nil"/>
            </w:tcBorders>
            <w:shd w:val="clear" w:color="auto" w:fill="auto"/>
            <w:vAlign w:val="center"/>
            <w:hideMark/>
          </w:tcPr>
          <w:p w14:paraId="3AE6DB99" w14:textId="77777777" w:rsidR="00DE5FC3" w:rsidRPr="007E7835" w:rsidRDefault="00DE5FC3" w:rsidP="00DE5FC3">
            <w:pPr>
              <w:pBdr>
                <w:top w:val="none" w:sz="0" w:space="0" w:color="auto"/>
                <w:left w:val="none" w:sz="0" w:space="0" w:color="auto"/>
                <w:bottom w:val="none" w:sz="0" w:space="0" w:color="auto"/>
                <w:right w:val="none" w:sz="0" w:space="0" w:color="auto"/>
                <w:between w:val="none" w:sz="0" w:space="0" w:color="auto"/>
                <w:bar w:val="none" w:sz="0" w:color="auto"/>
              </w:pBdr>
              <w:jc w:val="center"/>
              <w:outlineLvl w:val="9"/>
              <w:rPr>
                <w:rFonts w:eastAsia="Times New Roman"/>
                <w:sz w:val="16"/>
                <w:szCs w:val="16"/>
                <w:bdr w:val="none" w:sz="0" w:space="0" w:color="auto"/>
                <w:lang w:eastAsia="es-ES"/>
              </w:rPr>
            </w:pPr>
          </w:p>
        </w:tc>
        <w:tc>
          <w:tcPr>
            <w:tcW w:w="593" w:type="pct"/>
            <w:tcBorders>
              <w:top w:val="single" w:sz="4" w:space="0" w:color="auto"/>
              <w:left w:val="nil"/>
              <w:bottom w:val="single" w:sz="4" w:space="0" w:color="auto"/>
              <w:right w:val="nil"/>
            </w:tcBorders>
            <w:shd w:val="clear" w:color="auto" w:fill="auto"/>
            <w:vAlign w:val="center"/>
            <w:hideMark/>
          </w:tcPr>
          <w:p w14:paraId="45833D65" w14:textId="04D3E19D" w:rsidR="00DE5FC3" w:rsidRPr="007E7835" w:rsidRDefault="00DE5FC3" w:rsidP="00DE5FC3">
            <w:pPr>
              <w:pBdr>
                <w:top w:val="none" w:sz="0" w:space="0" w:color="auto"/>
                <w:left w:val="none" w:sz="0" w:space="0" w:color="auto"/>
                <w:bottom w:val="none" w:sz="0" w:space="0" w:color="auto"/>
                <w:right w:val="none" w:sz="0" w:space="0" w:color="auto"/>
                <w:between w:val="none" w:sz="0" w:space="0" w:color="auto"/>
                <w:bar w:val="none" w:sz="0" w:color="auto"/>
              </w:pBdr>
              <w:jc w:val="center"/>
              <w:outlineLvl w:val="9"/>
              <w:rPr>
                <w:rFonts w:eastAsia="Times New Roman"/>
                <w:b/>
                <w:bCs/>
                <w:sz w:val="16"/>
                <w:szCs w:val="16"/>
                <w:bdr w:val="none" w:sz="0" w:space="0" w:color="auto"/>
                <w:lang w:eastAsia="es-ES"/>
              </w:rPr>
            </w:pPr>
            <w:r>
              <w:rPr>
                <w:rFonts w:eastAsia="Times New Roman"/>
                <w:b/>
                <w:bCs/>
                <w:sz w:val="16"/>
                <w:szCs w:val="16"/>
                <w:bdr w:val="none" w:sz="0" w:space="0" w:color="auto"/>
                <w:lang w:eastAsia="es-ES"/>
              </w:rPr>
              <w:t>2025</w:t>
            </w:r>
          </w:p>
        </w:tc>
        <w:tc>
          <w:tcPr>
            <w:tcW w:w="542" w:type="pct"/>
            <w:tcBorders>
              <w:top w:val="single" w:sz="4" w:space="0" w:color="auto"/>
              <w:left w:val="nil"/>
              <w:bottom w:val="single" w:sz="4" w:space="0" w:color="auto"/>
              <w:right w:val="nil"/>
            </w:tcBorders>
            <w:shd w:val="clear" w:color="auto" w:fill="auto"/>
            <w:vAlign w:val="center"/>
            <w:hideMark/>
          </w:tcPr>
          <w:p w14:paraId="56D72A1A" w14:textId="6BEB8A74" w:rsidR="00DE5FC3" w:rsidRPr="007E7835" w:rsidRDefault="00DE5FC3" w:rsidP="00DE5FC3">
            <w:pPr>
              <w:pBdr>
                <w:top w:val="none" w:sz="0" w:space="0" w:color="auto"/>
                <w:left w:val="none" w:sz="0" w:space="0" w:color="auto"/>
                <w:bottom w:val="none" w:sz="0" w:space="0" w:color="auto"/>
                <w:right w:val="none" w:sz="0" w:space="0" w:color="auto"/>
                <w:between w:val="none" w:sz="0" w:space="0" w:color="auto"/>
                <w:bar w:val="none" w:sz="0" w:color="auto"/>
              </w:pBdr>
              <w:jc w:val="center"/>
              <w:outlineLvl w:val="9"/>
              <w:rPr>
                <w:rFonts w:eastAsia="Times New Roman"/>
                <w:b/>
                <w:bCs/>
                <w:sz w:val="16"/>
                <w:szCs w:val="16"/>
                <w:bdr w:val="none" w:sz="0" w:space="0" w:color="auto"/>
                <w:lang w:eastAsia="es-ES"/>
              </w:rPr>
            </w:pPr>
            <w:r>
              <w:rPr>
                <w:rFonts w:eastAsia="Times New Roman"/>
                <w:b/>
                <w:bCs/>
                <w:sz w:val="16"/>
                <w:szCs w:val="16"/>
                <w:bdr w:val="none" w:sz="0" w:space="0" w:color="auto"/>
                <w:lang w:eastAsia="es-ES"/>
              </w:rPr>
              <w:t>2026</w:t>
            </w:r>
          </w:p>
        </w:tc>
        <w:tc>
          <w:tcPr>
            <w:tcW w:w="543" w:type="pct"/>
            <w:tcBorders>
              <w:top w:val="single" w:sz="4" w:space="0" w:color="auto"/>
              <w:left w:val="nil"/>
              <w:bottom w:val="single" w:sz="4" w:space="0" w:color="auto"/>
              <w:right w:val="nil"/>
            </w:tcBorders>
            <w:shd w:val="clear" w:color="auto" w:fill="auto"/>
            <w:vAlign w:val="center"/>
            <w:hideMark/>
          </w:tcPr>
          <w:p w14:paraId="1776FC31" w14:textId="0B171D09" w:rsidR="00DE5FC3" w:rsidRPr="007E7835" w:rsidRDefault="00DE5FC3" w:rsidP="00DE5FC3">
            <w:pPr>
              <w:pBdr>
                <w:top w:val="none" w:sz="0" w:space="0" w:color="auto"/>
                <w:left w:val="none" w:sz="0" w:space="0" w:color="auto"/>
                <w:bottom w:val="none" w:sz="0" w:space="0" w:color="auto"/>
                <w:right w:val="none" w:sz="0" w:space="0" w:color="auto"/>
                <w:between w:val="none" w:sz="0" w:space="0" w:color="auto"/>
                <w:bar w:val="none" w:sz="0" w:color="auto"/>
              </w:pBdr>
              <w:jc w:val="center"/>
              <w:outlineLvl w:val="9"/>
              <w:rPr>
                <w:rFonts w:eastAsia="Times New Roman"/>
                <w:b/>
                <w:bCs/>
                <w:sz w:val="16"/>
                <w:szCs w:val="16"/>
                <w:bdr w:val="none" w:sz="0" w:space="0" w:color="auto"/>
                <w:lang w:eastAsia="es-ES"/>
              </w:rPr>
            </w:pPr>
            <w:r>
              <w:rPr>
                <w:rFonts w:eastAsia="Times New Roman"/>
                <w:b/>
                <w:bCs/>
                <w:sz w:val="16"/>
                <w:szCs w:val="16"/>
                <w:bdr w:val="none" w:sz="0" w:space="0" w:color="auto"/>
                <w:lang w:eastAsia="es-ES"/>
              </w:rPr>
              <w:t>2027</w:t>
            </w:r>
          </w:p>
        </w:tc>
        <w:tc>
          <w:tcPr>
            <w:tcW w:w="543" w:type="pct"/>
            <w:tcBorders>
              <w:top w:val="single" w:sz="4" w:space="0" w:color="auto"/>
              <w:left w:val="nil"/>
              <w:bottom w:val="single" w:sz="4" w:space="0" w:color="auto"/>
              <w:right w:val="nil"/>
            </w:tcBorders>
            <w:shd w:val="clear" w:color="auto" w:fill="auto"/>
            <w:vAlign w:val="center"/>
            <w:hideMark/>
          </w:tcPr>
          <w:p w14:paraId="4AB5A7FC" w14:textId="6C9ABD91" w:rsidR="00DE5FC3" w:rsidRPr="007E7835" w:rsidRDefault="00DE5FC3" w:rsidP="00DE5FC3">
            <w:pPr>
              <w:pBdr>
                <w:top w:val="none" w:sz="0" w:space="0" w:color="auto"/>
                <w:left w:val="none" w:sz="0" w:space="0" w:color="auto"/>
                <w:bottom w:val="none" w:sz="0" w:space="0" w:color="auto"/>
                <w:right w:val="none" w:sz="0" w:space="0" w:color="auto"/>
                <w:between w:val="none" w:sz="0" w:space="0" w:color="auto"/>
                <w:bar w:val="none" w:sz="0" w:color="auto"/>
              </w:pBdr>
              <w:jc w:val="center"/>
              <w:outlineLvl w:val="9"/>
              <w:rPr>
                <w:rFonts w:eastAsia="Times New Roman"/>
                <w:b/>
                <w:bCs/>
                <w:sz w:val="16"/>
                <w:szCs w:val="16"/>
                <w:bdr w:val="none" w:sz="0" w:space="0" w:color="auto"/>
                <w:lang w:eastAsia="es-ES"/>
              </w:rPr>
            </w:pPr>
            <w:r>
              <w:rPr>
                <w:rFonts w:eastAsia="Times New Roman"/>
                <w:b/>
                <w:bCs/>
                <w:sz w:val="16"/>
                <w:szCs w:val="16"/>
                <w:bdr w:val="none" w:sz="0" w:space="0" w:color="auto"/>
                <w:lang w:eastAsia="es-ES"/>
              </w:rPr>
              <w:t>2028</w:t>
            </w:r>
          </w:p>
        </w:tc>
        <w:tc>
          <w:tcPr>
            <w:tcW w:w="396" w:type="pct"/>
            <w:tcBorders>
              <w:top w:val="single" w:sz="4" w:space="0" w:color="auto"/>
              <w:left w:val="nil"/>
              <w:bottom w:val="single" w:sz="4" w:space="0" w:color="auto"/>
              <w:right w:val="nil"/>
            </w:tcBorders>
            <w:shd w:val="clear" w:color="auto" w:fill="auto"/>
            <w:vAlign w:val="center"/>
            <w:hideMark/>
          </w:tcPr>
          <w:p w14:paraId="35FA53A0" w14:textId="21D77E49" w:rsidR="00DE5FC3" w:rsidRPr="007E7835" w:rsidRDefault="00DE5FC3" w:rsidP="00DE5FC3">
            <w:pPr>
              <w:pBdr>
                <w:top w:val="none" w:sz="0" w:space="0" w:color="auto"/>
                <w:left w:val="none" w:sz="0" w:space="0" w:color="auto"/>
                <w:bottom w:val="none" w:sz="0" w:space="0" w:color="auto"/>
                <w:right w:val="none" w:sz="0" w:space="0" w:color="auto"/>
                <w:between w:val="none" w:sz="0" w:space="0" w:color="auto"/>
                <w:bar w:val="none" w:sz="0" w:color="auto"/>
              </w:pBdr>
              <w:jc w:val="center"/>
              <w:outlineLvl w:val="9"/>
              <w:rPr>
                <w:rFonts w:eastAsia="Times New Roman"/>
                <w:b/>
                <w:bCs/>
                <w:sz w:val="16"/>
                <w:szCs w:val="16"/>
                <w:bdr w:val="none" w:sz="0" w:space="0" w:color="auto"/>
                <w:lang w:eastAsia="es-ES"/>
              </w:rPr>
            </w:pPr>
            <w:r>
              <w:rPr>
                <w:rFonts w:eastAsia="Times New Roman"/>
                <w:b/>
                <w:bCs/>
                <w:sz w:val="16"/>
                <w:szCs w:val="16"/>
                <w:bdr w:val="none" w:sz="0" w:space="0" w:color="auto"/>
                <w:lang w:eastAsia="es-ES"/>
              </w:rPr>
              <w:t>2029</w:t>
            </w:r>
          </w:p>
        </w:tc>
        <w:tc>
          <w:tcPr>
            <w:tcW w:w="396" w:type="pct"/>
            <w:tcBorders>
              <w:top w:val="single" w:sz="4" w:space="0" w:color="auto"/>
              <w:left w:val="nil"/>
              <w:bottom w:val="single" w:sz="4" w:space="0" w:color="auto"/>
              <w:right w:val="nil"/>
            </w:tcBorders>
            <w:shd w:val="clear" w:color="auto" w:fill="auto"/>
            <w:vAlign w:val="center"/>
            <w:hideMark/>
          </w:tcPr>
          <w:p w14:paraId="5F66FC3C" w14:textId="3808AF0F" w:rsidR="00DE5FC3" w:rsidRPr="007E7835" w:rsidRDefault="00DE5FC3" w:rsidP="00DE5FC3">
            <w:pPr>
              <w:pBdr>
                <w:top w:val="none" w:sz="0" w:space="0" w:color="auto"/>
                <w:left w:val="none" w:sz="0" w:space="0" w:color="auto"/>
                <w:bottom w:val="none" w:sz="0" w:space="0" w:color="auto"/>
                <w:right w:val="none" w:sz="0" w:space="0" w:color="auto"/>
                <w:between w:val="none" w:sz="0" w:space="0" w:color="auto"/>
                <w:bar w:val="none" w:sz="0" w:color="auto"/>
              </w:pBdr>
              <w:jc w:val="center"/>
              <w:outlineLvl w:val="9"/>
              <w:rPr>
                <w:rFonts w:eastAsia="Times New Roman"/>
                <w:b/>
                <w:bCs/>
                <w:sz w:val="16"/>
                <w:szCs w:val="16"/>
                <w:bdr w:val="none" w:sz="0" w:space="0" w:color="auto"/>
                <w:lang w:eastAsia="es-ES"/>
              </w:rPr>
            </w:pPr>
            <w:r>
              <w:rPr>
                <w:rFonts w:eastAsia="Times New Roman"/>
                <w:b/>
                <w:bCs/>
                <w:sz w:val="16"/>
                <w:szCs w:val="16"/>
                <w:bdr w:val="none" w:sz="0" w:space="0" w:color="auto"/>
                <w:lang w:eastAsia="es-ES"/>
              </w:rPr>
              <w:t>2030</w:t>
            </w:r>
          </w:p>
        </w:tc>
        <w:tc>
          <w:tcPr>
            <w:tcW w:w="593" w:type="pct"/>
            <w:tcBorders>
              <w:top w:val="single" w:sz="4" w:space="0" w:color="auto"/>
              <w:left w:val="nil"/>
              <w:bottom w:val="single" w:sz="4" w:space="0" w:color="auto"/>
              <w:right w:val="nil"/>
            </w:tcBorders>
            <w:shd w:val="clear" w:color="auto" w:fill="auto"/>
            <w:vAlign w:val="center"/>
            <w:hideMark/>
          </w:tcPr>
          <w:p w14:paraId="0CE78535" w14:textId="77777777" w:rsidR="00DE5FC3" w:rsidRPr="007E7835" w:rsidRDefault="00DE5FC3" w:rsidP="00DE5FC3">
            <w:pPr>
              <w:pBdr>
                <w:top w:val="none" w:sz="0" w:space="0" w:color="auto"/>
                <w:left w:val="none" w:sz="0" w:space="0" w:color="auto"/>
                <w:bottom w:val="none" w:sz="0" w:space="0" w:color="auto"/>
                <w:right w:val="none" w:sz="0" w:space="0" w:color="auto"/>
                <w:between w:val="none" w:sz="0" w:space="0" w:color="auto"/>
                <w:bar w:val="none" w:sz="0" w:color="auto"/>
              </w:pBdr>
              <w:jc w:val="center"/>
              <w:outlineLvl w:val="9"/>
              <w:rPr>
                <w:rFonts w:eastAsia="Times New Roman"/>
                <w:b/>
                <w:bCs/>
                <w:sz w:val="16"/>
                <w:szCs w:val="16"/>
                <w:bdr w:val="none" w:sz="0" w:space="0" w:color="auto"/>
                <w:lang w:eastAsia="es-ES"/>
              </w:rPr>
            </w:pPr>
            <w:r w:rsidRPr="007E7835">
              <w:rPr>
                <w:rFonts w:eastAsia="Times New Roman"/>
                <w:b/>
                <w:bCs/>
                <w:sz w:val="16"/>
                <w:szCs w:val="16"/>
                <w:bdr w:val="none" w:sz="0" w:space="0" w:color="auto"/>
                <w:lang w:eastAsia="es-ES"/>
              </w:rPr>
              <w:t>Total</w:t>
            </w:r>
          </w:p>
        </w:tc>
      </w:tr>
      <w:tr w:rsidR="00941E50" w:rsidRPr="00EC29B8" w14:paraId="12C2A472" w14:textId="77777777" w:rsidTr="00941E50">
        <w:trPr>
          <w:trHeight w:val="283"/>
        </w:trPr>
        <w:tc>
          <w:tcPr>
            <w:tcW w:w="1394" w:type="pct"/>
            <w:tcBorders>
              <w:top w:val="nil"/>
              <w:left w:val="nil"/>
              <w:bottom w:val="nil"/>
              <w:right w:val="nil"/>
            </w:tcBorders>
            <w:shd w:val="clear" w:color="auto" w:fill="auto"/>
            <w:vAlign w:val="center"/>
            <w:hideMark/>
          </w:tcPr>
          <w:p w14:paraId="4CE76DDF" w14:textId="77777777" w:rsidR="00941E50" w:rsidRPr="00EC29B8" w:rsidRDefault="00941E50" w:rsidP="00941E50">
            <w:pPr>
              <w:pBdr>
                <w:top w:val="none" w:sz="0" w:space="0" w:color="auto"/>
                <w:left w:val="none" w:sz="0" w:space="0" w:color="auto"/>
                <w:bottom w:val="none" w:sz="0" w:space="0" w:color="auto"/>
                <w:right w:val="none" w:sz="0" w:space="0" w:color="auto"/>
                <w:between w:val="none" w:sz="0" w:space="0" w:color="auto"/>
                <w:bar w:val="none" w:sz="0" w:color="auto"/>
              </w:pBdr>
              <w:outlineLvl w:val="9"/>
              <w:rPr>
                <w:rFonts w:eastAsia="Times New Roman"/>
                <w:sz w:val="16"/>
                <w:szCs w:val="16"/>
                <w:bdr w:val="none" w:sz="0" w:space="0" w:color="auto"/>
                <w:lang w:eastAsia="es-ES"/>
              </w:rPr>
            </w:pPr>
            <w:r w:rsidRPr="00EC29B8">
              <w:rPr>
                <w:rFonts w:eastAsia="Times New Roman"/>
                <w:sz w:val="16"/>
                <w:szCs w:val="16"/>
                <w:bdr w:val="none" w:sz="0" w:space="0" w:color="auto"/>
                <w:lang w:eastAsia="es-ES"/>
              </w:rPr>
              <w:t>Activos financieros a coste amortizado (Nota 8.1.a)</w:t>
            </w:r>
          </w:p>
        </w:tc>
        <w:tc>
          <w:tcPr>
            <w:tcW w:w="593" w:type="pct"/>
            <w:tcBorders>
              <w:top w:val="nil"/>
              <w:left w:val="nil"/>
              <w:bottom w:val="nil"/>
              <w:right w:val="nil"/>
            </w:tcBorders>
            <w:shd w:val="clear" w:color="auto" w:fill="auto"/>
            <w:vAlign w:val="center"/>
          </w:tcPr>
          <w:p w14:paraId="656EE09F" w14:textId="45E00B23" w:rsidR="00941E50" w:rsidRPr="00EC29B8" w:rsidRDefault="00941E50" w:rsidP="00941E50">
            <w:pPr>
              <w:pBdr>
                <w:top w:val="none" w:sz="0" w:space="0" w:color="auto"/>
                <w:left w:val="none" w:sz="0" w:space="0" w:color="auto"/>
                <w:bottom w:val="none" w:sz="0" w:space="0" w:color="auto"/>
                <w:right w:val="none" w:sz="0" w:space="0" w:color="auto"/>
                <w:between w:val="none" w:sz="0" w:space="0" w:color="auto"/>
                <w:bar w:val="none" w:sz="0" w:color="auto"/>
              </w:pBdr>
              <w:jc w:val="right"/>
              <w:outlineLvl w:val="9"/>
              <w:rPr>
                <w:rFonts w:eastAsia="Times New Roman"/>
                <w:sz w:val="16"/>
                <w:szCs w:val="16"/>
                <w:bdr w:val="none" w:sz="0" w:space="0" w:color="auto"/>
                <w:lang w:eastAsia="es-ES"/>
              </w:rPr>
            </w:pPr>
            <w:r>
              <w:rPr>
                <w:sz w:val="16"/>
                <w:szCs w:val="16"/>
              </w:rPr>
              <w:t>578.021,05</w:t>
            </w:r>
          </w:p>
        </w:tc>
        <w:tc>
          <w:tcPr>
            <w:tcW w:w="542" w:type="pct"/>
            <w:tcBorders>
              <w:top w:val="nil"/>
              <w:left w:val="nil"/>
              <w:bottom w:val="nil"/>
              <w:right w:val="nil"/>
            </w:tcBorders>
            <w:shd w:val="clear" w:color="auto" w:fill="auto"/>
            <w:noWrap/>
            <w:vAlign w:val="center"/>
          </w:tcPr>
          <w:p w14:paraId="69AC2114" w14:textId="1877E957" w:rsidR="00941E50" w:rsidRPr="00EC29B8" w:rsidRDefault="00941E50" w:rsidP="00941E50">
            <w:pPr>
              <w:pBdr>
                <w:top w:val="none" w:sz="0" w:space="0" w:color="auto"/>
                <w:left w:val="none" w:sz="0" w:space="0" w:color="auto"/>
                <w:bottom w:val="none" w:sz="0" w:space="0" w:color="auto"/>
                <w:right w:val="none" w:sz="0" w:space="0" w:color="auto"/>
                <w:between w:val="none" w:sz="0" w:space="0" w:color="auto"/>
                <w:bar w:val="none" w:sz="0" w:color="auto"/>
              </w:pBdr>
              <w:jc w:val="right"/>
              <w:outlineLvl w:val="9"/>
              <w:rPr>
                <w:rFonts w:eastAsia="Times New Roman"/>
                <w:sz w:val="16"/>
                <w:szCs w:val="16"/>
                <w:bdr w:val="none" w:sz="0" w:space="0" w:color="auto"/>
                <w:lang w:eastAsia="es-ES"/>
              </w:rPr>
            </w:pPr>
            <w:r>
              <w:rPr>
                <w:sz w:val="16"/>
                <w:szCs w:val="16"/>
              </w:rPr>
              <w:t>9.107,70</w:t>
            </w:r>
          </w:p>
        </w:tc>
        <w:tc>
          <w:tcPr>
            <w:tcW w:w="543" w:type="pct"/>
            <w:tcBorders>
              <w:top w:val="nil"/>
              <w:left w:val="nil"/>
              <w:bottom w:val="nil"/>
              <w:right w:val="nil"/>
            </w:tcBorders>
            <w:shd w:val="clear" w:color="auto" w:fill="auto"/>
            <w:noWrap/>
            <w:vAlign w:val="center"/>
          </w:tcPr>
          <w:p w14:paraId="0B7DFCFF" w14:textId="63B7599B" w:rsidR="00941E50" w:rsidRPr="00EC29B8" w:rsidRDefault="00B1370C" w:rsidP="00941E50">
            <w:pPr>
              <w:pBdr>
                <w:top w:val="none" w:sz="0" w:space="0" w:color="auto"/>
                <w:left w:val="none" w:sz="0" w:space="0" w:color="auto"/>
                <w:bottom w:val="none" w:sz="0" w:space="0" w:color="auto"/>
                <w:right w:val="none" w:sz="0" w:space="0" w:color="auto"/>
                <w:between w:val="none" w:sz="0" w:space="0" w:color="auto"/>
                <w:bar w:val="none" w:sz="0" w:color="auto"/>
              </w:pBdr>
              <w:jc w:val="right"/>
              <w:outlineLvl w:val="9"/>
              <w:rPr>
                <w:rFonts w:eastAsia="Times New Roman"/>
                <w:sz w:val="16"/>
                <w:szCs w:val="16"/>
                <w:bdr w:val="none" w:sz="0" w:space="0" w:color="auto"/>
                <w:lang w:eastAsia="es-ES"/>
              </w:rPr>
            </w:pPr>
            <w:r>
              <w:rPr>
                <w:rFonts w:eastAsia="Times New Roman"/>
                <w:sz w:val="16"/>
                <w:szCs w:val="16"/>
                <w:bdr w:val="none" w:sz="0" w:space="0" w:color="auto"/>
                <w:lang w:eastAsia="es-ES"/>
              </w:rPr>
              <w:t>-</w:t>
            </w:r>
          </w:p>
        </w:tc>
        <w:tc>
          <w:tcPr>
            <w:tcW w:w="543" w:type="pct"/>
            <w:tcBorders>
              <w:top w:val="nil"/>
              <w:left w:val="nil"/>
              <w:bottom w:val="nil"/>
              <w:right w:val="nil"/>
            </w:tcBorders>
            <w:shd w:val="clear" w:color="auto" w:fill="auto"/>
            <w:vAlign w:val="center"/>
          </w:tcPr>
          <w:p w14:paraId="7B5F785B" w14:textId="1B98C4A1" w:rsidR="00941E50" w:rsidRPr="00EC29B8" w:rsidRDefault="00941E50" w:rsidP="00941E50">
            <w:pPr>
              <w:pBdr>
                <w:top w:val="none" w:sz="0" w:space="0" w:color="auto"/>
                <w:left w:val="none" w:sz="0" w:space="0" w:color="auto"/>
                <w:bottom w:val="none" w:sz="0" w:space="0" w:color="auto"/>
                <w:right w:val="none" w:sz="0" w:space="0" w:color="auto"/>
                <w:between w:val="none" w:sz="0" w:space="0" w:color="auto"/>
                <w:bar w:val="none" w:sz="0" w:color="auto"/>
              </w:pBdr>
              <w:jc w:val="right"/>
              <w:outlineLvl w:val="9"/>
              <w:rPr>
                <w:rFonts w:eastAsia="Times New Roman"/>
                <w:sz w:val="16"/>
                <w:szCs w:val="16"/>
                <w:bdr w:val="none" w:sz="0" w:space="0" w:color="auto"/>
                <w:lang w:eastAsia="es-ES"/>
              </w:rPr>
            </w:pPr>
            <w:r>
              <w:rPr>
                <w:sz w:val="16"/>
                <w:szCs w:val="16"/>
              </w:rPr>
              <w:t xml:space="preserve"> -</w:t>
            </w:r>
          </w:p>
        </w:tc>
        <w:tc>
          <w:tcPr>
            <w:tcW w:w="396" w:type="pct"/>
            <w:tcBorders>
              <w:top w:val="nil"/>
              <w:left w:val="nil"/>
              <w:bottom w:val="nil"/>
              <w:right w:val="nil"/>
            </w:tcBorders>
            <w:shd w:val="clear" w:color="auto" w:fill="auto"/>
            <w:noWrap/>
            <w:vAlign w:val="center"/>
          </w:tcPr>
          <w:p w14:paraId="18994454" w14:textId="1FFD2FB9" w:rsidR="00941E50" w:rsidRPr="00EC29B8" w:rsidRDefault="00941E50" w:rsidP="00941E50">
            <w:pPr>
              <w:pBdr>
                <w:top w:val="none" w:sz="0" w:space="0" w:color="auto"/>
                <w:left w:val="none" w:sz="0" w:space="0" w:color="auto"/>
                <w:bottom w:val="none" w:sz="0" w:space="0" w:color="auto"/>
                <w:right w:val="none" w:sz="0" w:space="0" w:color="auto"/>
                <w:between w:val="none" w:sz="0" w:space="0" w:color="auto"/>
                <w:bar w:val="none" w:sz="0" w:color="auto"/>
              </w:pBdr>
              <w:jc w:val="right"/>
              <w:outlineLvl w:val="9"/>
              <w:rPr>
                <w:rFonts w:eastAsia="Times New Roman"/>
                <w:sz w:val="16"/>
                <w:szCs w:val="16"/>
                <w:bdr w:val="none" w:sz="0" w:space="0" w:color="auto"/>
                <w:lang w:eastAsia="es-ES"/>
              </w:rPr>
            </w:pPr>
            <w:r>
              <w:rPr>
                <w:sz w:val="16"/>
                <w:szCs w:val="16"/>
              </w:rPr>
              <w:t xml:space="preserve">-     </w:t>
            </w:r>
          </w:p>
        </w:tc>
        <w:tc>
          <w:tcPr>
            <w:tcW w:w="396" w:type="pct"/>
            <w:tcBorders>
              <w:top w:val="nil"/>
              <w:left w:val="nil"/>
              <w:bottom w:val="nil"/>
              <w:right w:val="nil"/>
            </w:tcBorders>
            <w:shd w:val="clear" w:color="auto" w:fill="auto"/>
            <w:vAlign w:val="center"/>
          </w:tcPr>
          <w:p w14:paraId="4ADF1B5D" w14:textId="10977797" w:rsidR="00941E50" w:rsidRPr="00EC29B8" w:rsidRDefault="00941E50" w:rsidP="00941E50">
            <w:pPr>
              <w:pBdr>
                <w:top w:val="none" w:sz="0" w:space="0" w:color="auto"/>
                <w:left w:val="none" w:sz="0" w:space="0" w:color="auto"/>
                <w:bottom w:val="none" w:sz="0" w:space="0" w:color="auto"/>
                <w:right w:val="none" w:sz="0" w:space="0" w:color="auto"/>
                <w:between w:val="none" w:sz="0" w:space="0" w:color="auto"/>
                <w:bar w:val="none" w:sz="0" w:color="auto"/>
              </w:pBdr>
              <w:jc w:val="right"/>
              <w:outlineLvl w:val="9"/>
              <w:rPr>
                <w:rFonts w:eastAsia="Times New Roman"/>
                <w:sz w:val="16"/>
                <w:szCs w:val="16"/>
                <w:bdr w:val="none" w:sz="0" w:space="0" w:color="auto"/>
                <w:lang w:eastAsia="es-ES"/>
              </w:rPr>
            </w:pPr>
            <w:r>
              <w:rPr>
                <w:sz w:val="16"/>
                <w:szCs w:val="16"/>
              </w:rPr>
              <w:t xml:space="preserve">-     </w:t>
            </w:r>
          </w:p>
        </w:tc>
        <w:tc>
          <w:tcPr>
            <w:tcW w:w="593" w:type="pct"/>
            <w:tcBorders>
              <w:top w:val="nil"/>
              <w:left w:val="nil"/>
              <w:bottom w:val="nil"/>
              <w:right w:val="nil"/>
            </w:tcBorders>
            <w:shd w:val="clear" w:color="auto" w:fill="auto"/>
            <w:vAlign w:val="center"/>
          </w:tcPr>
          <w:p w14:paraId="6C29983F" w14:textId="1917BFF6" w:rsidR="00941E50" w:rsidRPr="00EC29B8" w:rsidRDefault="00941E50" w:rsidP="00941E50">
            <w:pPr>
              <w:pBdr>
                <w:top w:val="none" w:sz="0" w:space="0" w:color="auto"/>
                <w:left w:val="none" w:sz="0" w:space="0" w:color="auto"/>
                <w:bottom w:val="none" w:sz="0" w:space="0" w:color="auto"/>
                <w:right w:val="none" w:sz="0" w:space="0" w:color="auto"/>
                <w:between w:val="none" w:sz="0" w:space="0" w:color="auto"/>
                <w:bar w:val="none" w:sz="0" w:color="auto"/>
              </w:pBdr>
              <w:jc w:val="right"/>
              <w:outlineLvl w:val="9"/>
              <w:rPr>
                <w:b/>
                <w:bCs/>
                <w:sz w:val="16"/>
                <w:szCs w:val="16"/>
              </w:rPr>
            </w:pPr>
            <w:r>
              <w:rPr>
                <w:b/>
                <w:bCs/>
                <w:sz w:val="16"/>
                <w:szCs w:val="16"/>
              </w:rPr>
              <w:t xml:space="preserve">587.128,75   </w:t>
            </w:r>
          </w:p>
        </w:tc>
      </w:tr>
      <w:tr w:rsidR="00941E50" w:rsidRPr="00EC29B8" w14:paraId="35A653B4" w14:textId="77777777" w:rsidTr="00941E50">
        <w:trPr>
          <w:trHeight w:val="283"/>
        </w:trPr>
        <w:tc>
          <w:tcPr>
            <w:tcW w:w="1394" w:type="pct"/>
            <w:tcBorders>
              <w:top w:val="single" w:sz="4" w:space="0" w:color="auto"/>
              <w:left w:val="nil"/>
              <w:bottom w:val="single" w:sz="4" w:space="0" w:color="auto"/>
              <w:right w:val="nil"/>
            </w:tcBorders>
            <w:shd w:val="clear" w:color="auto" w:fill="auto"/>
            <w:vAlign w:val="center"/>
            <w:hideMark/>
          </w:tcPr>
          <w:p w14:paraId="502B711F" w14:textId="6A381FCE" w:rsidR="00941E50" w:rsidRPr="005644E5" w:rsidRDefault="00941E50" w:rsidP="00941E50">
            <w:pPr>
              <w:pBdr>
                <w:top w:val="none" w:sz="0" w:space="0" w:color="auto"/>
                <w:left w:val="none" w:sz="0" w:space="0" w:color="auto"/>
                <w:bottom w:val="none" w:sz="0" w:space="0" w:color="auto"/>
                <w:right w:val="none" w:sz="0" w:space="0" w:color="auto"/>
                <w:between w:val="none" w:sz="0" w:space="0" w:color="auto"/>
                <w:bar w:val="none" w:sz="0" w:color="auto"/>
              </w:pBdr>
              <w:outlineLvl w:val="9"/>
              <w:rPr>
                <w:rFonts w:eastAsia="Times New Roman"/>
                <w:b/>
                <w:bCs/>
                <w:sz w:val="16"/>
                <w:szCs w:val="16"/>
                <w:bdr w:val="none" w:sz="0" w:space="0" w:color="auto"/>
                <w:lang w:eastAsia="es-ES"/>
              </w:rPr>
            </w:pPr>
            <w:r w:rsidRPr="005644E5">
              <w:rPr>
                <w:rFonts w:eastAsia="Times New Roman"/>
                <w:b/>
                <w:bCs/>
                <w:sz w:val="16"/>
                <w:szCs w:val="16"/>
                <w:bdr w:val="none" w:sz="0" w:space="0" w:color="auto"/>
                <w:lang w:eastAsia="es-ES"/>
              </w:rPr>
              <w:t> Total</w:t>
            </w:r>
          </w:p>
        </w:tc>
        <w:tc>
          <w:tcPr>
            <w:tcW w:w="593" w:type="pct"/>
            <w:tcBorders>
              <w:top w:val="single" w:sz="4" w:space="0" w:color="auto"/>
              <w:left w:val="nil"/>
              <w:bottom w:val="single" w:sz="4" w:space="0" w:color="auto"/>
              <w:right w:val="nil"/>
            </w:tcBorders>
            <w:shd w:val="clear" w:color="auto" w:fill="auto"/>
            <w:vAlign w:val="center"/>
          </w:tcPr>
          <w:p w14:paraId="2D9F8595" w14:textId="5C7F9052" w:rsidR="00941E50" w:rsidRPr="00DA7911" w:rsidRDefault="00941E50" w:rsidP="00941E50">
            <w:pPr>
              <w:pBdr>
                <w:top w:val="none" w:sz="0" w:space="0" w:color="auto"/>
                <w:left w:val="none" w:sz="0" w:space="0" w:color="auto"/>
                <w:bottom w:val="none" w:sz="0" w:space="0" w:color="auto"/>
                <w:right w:val="none" w:sz="0" w:space="0" w:color="auto"/>
                <w:between w:val="none" w:sz="0" w:space="0" w:color="auto"/>
                <w:bar w:val="none" w:sz="0" w:color="auto"/>
              </w:pBdr>
              <w:jc w:val="right"/>
              <w:outlineLvl w:val="9"/>
              <w:rPr>
                <w:rFonts w:eastAsia="Times New Roman"/>
                <w:b/>
                <w:bCs/>
                <w:sz w:val="16"/>
                <w:szCs w:val="16"/>
                <w:bdr w:val="none" w:sz="0" w:space="0" w:color="auto"/>
                <w:lang w:eastAsia="es-ES"/>
              </w:rPr>
            </w:pPr>
            <w:r>
              <w:rPr>
                <w:b/>
                <w:bCs/>
                <w:sz w:val="16"/>
                <w:szCs w:val="16"/>
              </w:rPr>
              <w:t>578.021,05</w:t>
            </w:r>
          </w:p>
        </w:tc>
        <w:tc>
          <w:tcPr>
            <w:tcW w:w="542" w:type="pct"/>
            <w:tcBorders>
              <w:top w:val="single" w:sz="4" w:space="0" w:color="auto"/>
              <w:left w:val="nil"/>
              <w:bottom w:val="single" w:sz="4" w:space="0" w:color="auto"/>
              <w:right w:val="nil"/>
            </w:tcBorders>
            <w:shd w:val="clear" w:color="auto" w:fill="auto"/>
            <w:noWrap/>
            <w:vAlign w:val="center"/>
          </w:tcPr>
          <w:p w14:paraId="5BD47E5E" w14:textId="6F5D71B7" w:rsidR="00941E50" w:rsidRPr="00DA7911" w:rsidRDefault="00941E50" w:rsidP="00941E50">
            <w:pPr>
              <w:pBdr>
                <w:top w:val="none" w:sz="0" w:space="0" w:color="auto"/>
                <w:left w:val="none" w:sz="0" w:space="0" w:color="auto"/>
                <w:bottom w:val="none" w:sz="0" w:space="0" w:color="auto"/>
                <w:right w:val="none" w:sz="0" w:space="0" w:color="auto"/>
                <w:between w:val="none" w:sz="0" w:space="0" w:color="auto"/>
                <w:bar w:val="none" w:sz="0" w:color="auto"/>
              </w:pBdr>
              <w:jc w:val="right"/>
              <w:outlineLvl w:val="9"/>
              <w:rPr>
                <w:rFonts w:eastAsia="Times New Roman"/>
                <w:b/>
                <w:bCs/>
                <w:sz w:val="16"/>
                <w:szCs w:val="16"/>
                <w:bdr w:val="none" w:sz="0" w:space="0" w:color="auto"/>
                <w:lang w:eastAsia="es-ES"/>
              </w:rPr>
            </w:pPr>
            <w:r>
              <w:rPr>
                <w:b/>
                <w:bCs/>
                <w:sz w:val="16"/>
                <w:szCs w:val="16"/>
              </w:rPr>
              <w:t>9.107,70</w:t>
            </w:r>
          </w:p>
        </w:tc>
        <w:tc>
          <w:tcPr>
            <w:tcW w:w="543" w:type="pct"/>
            <w:tcBorders>
              <w:top w:val="single" w:sz="4" w:space="0" w:color="auto"/>
              <w:left w:val="nil"/>
              <w:bottom w:val="single" w:sz="4" w:space="0" w:color="auto"/>
              <w:right w:val="nil"/>
            </w:tcBorders>
            <w:shd w:val="clear" w:color="auto" w:fill="auto"/>
            <w:noWrap/>
            <w:vAlign w:val="center"/>
          </w:tcPr>
          <w:p w14:paraId="0200C2CE" w14:textId="333830E6" w:rsidR="00941E50" w:rsidRPr="00DA7911" w:rsidRDefault="00941E50" w:rsidP="00941E50">
            <w:pPr>
              <w:pBdr>
                <w:top w:val="none" w:sz="0" w:space="0" w:color="auto"/>
                <w:left w:val="none" w:sz="0" w:space="0" w:color="auto"/>
                <w:bottom w:val="none" w:sz="0" w:space="0" w:color="auto"/>
                <w:right w:val="none" w:sz="0" w:space="0" w:color="auto"/>
                <w:between w:val="none" w:sz="0" w:space="0" w:color="auto"/>
                <w:bar w:val="none" w:sz="0" w:color="auto"/>
              </w:pBdr>
              <w:jc w:val="right"/>
              <w:outlineLvl w:val="9"/>
              <w:rPr>
                <w:rFonts w:eastAsia="Times New Roman"/>
                <w:b/>
                <w:bCs/>
                <w:sz w:val="16"/>
                <w:szCs w:val="16"/>
                <w:bdr w:val="none" w:sz="0" w:space="0" w:color="auto"/>
                <w:lang w:eastAsia="es-ES"/>
              </w:rPr>
            </w:pPr>
            <w:r>
              <w:rPr>
                <w:b/>
                <w:bCs/>
                <w:sz w:val="16"/>
                <w:szCs w:val="16"/>
              </w:rPr>
              <w:t xml:space="preserve"> -</w:t>
            </w:r>
          </w:p>
        </w:tc>
        <w:tc>
          <w:tcPr>
            <w:tcW w:w="543" w:type="pct"/>
            <w:tcBorders>
              <w:top w:val="single" w:sz="4" w:space="0" w:color="auto"/>
              <w:left w:val="nil"/>
              <w:bottom w:val="single" w:sz="4" w:space="0" w:color="auto"/>
              <w:right w:val="nil"/>
            </w:tcBorders>
            <w:shd w:val="clear" w:color="auto" w:fill="auto"/>
            <w:vAlign w:val="center"/>
          </w:tcPr>
          <w:p w14:paraId="723E0677" w14:textId="02D4BD65" w:rsidR="00941E50" w:rsidRPr="00DA7911" w:rsidRDefault="00941E50" w:rsidP="00941E50">
            <w:pPr>
              <w:pBdr>
                <w:top w:val="none" w:sz="0" w:space="0" w:color="auto"/>
                <w:left w:val="none" w:sz="0" w:space="0" w:color="auto"/>
                <w:bottom w:val="none" w:sz="0" w:space="0" w:color="auto"/>
                <w:right w:val="none" w:sz="0" w:space="0" w:color="auto"/>
                <w:between w:val="none" w:sz="0" w:space="0" w:color="auto"/>
                <w:bar w:val="none" w:sz="0" w:color="auto"/>
              </w:pBdr>
              <w:jc w:val="right"/>
              <w:outlineLvl w:val="9"/>
              <w:rPr>
                <w:rFonts w:eastAsia="Times New Roman"/>
                <w:b/>
                <w:bCs/>
                <w:sz w:val="16"/>
                <w:szCs w:val="16"/>
                <w:bdr w:val="none" w:sz="0" w:space="0" w:color="auto"/>
                <w:lang w:eastAsia="es-ES"/>
              </w:rPr>
            </w:pPr>
            <w:r>
              <w:rPr>
                <w:b/>
                <w:bCs/>
                <w:sz w:val="16"/>
                <w:szCs w:val="16"/>
              </w:rPr>
              <w:t xml:space="preserve"> -</w:t>
            </w:r>
          </w:p>
        </w:tc>
        <w:tc>
          <w:tcPr>
            <w:tcW w:w="396" w:type="pct"/>
            <w:tcBorders>
              <w:top w:val="single" w:sz="4" w:space="0" w:color="auto"/>
              <w:left w:val="nil"/>
              <w:bottom w:val="single" w:sz="4" w:space="0" w:color="auto"/>
              <w:right w:val="nil"/>
            </w:tcBorders>
            <w:shd w:val="clear" w:color="auto" w:fill="auto"/>
            <w:noWrap/>
            <w:vAlign w:val="center"/>
          </w:tcPr>
          <w:p w14:paraId="508AF4D3" w14:textId="6165C7B7" w:rsidR="00941E50" w:rsidRPr="00DA7911" w:rsidRDefault="00941E50" w:rsidP="00941E50">
            <w:pPr>
              <w:pBdr>
                <w:top w:val="none" w:sz="0" w:space="0" w:color="auto"/>
                <w:left w:val="none" w:sz="0" w:space="0" w:color="auto"/>
                <w:bottom w:val="none" w:sz="0" w:space="0" w:color="auto"/>
                <w:right w:val="none" w:sz="0" w:space="0" w:color="auto"/>
                <w:between w:val="none" w:sz="0" w:space="0" w:color="auto"/>
                <w:bar w:val="none" w:sz="0" w:color="auto"/>
              </w:pBdr>
              <w:jc w:val="right"/>
              <w:outlineLvl w:val="9"/>
              <w:rPr>
                <w:rFonts w:eastAsia="Times New Roman"/>
                <w:b/>
                <w:bCs/>
                <w:sz w:val="16"/>
                <w:szCs w:val="16"/>
                <w:bdr w:val="none" w:sz="0" w:space="0" w:color="auto"/>
                <w:lang w:eastAsia="es-ES"/>
              </w:rPr>
            </w:pPr>
            <w:r>
              <w:rPr>
                <w:b/>
                <w:bCs/>
                <w:sz w:val="16"/>
                <w:szCs w:val="16"/>
              </w:rPr>
              <w:t xml:space="preserve">-     </w:t>
            </w:r>
          </w:p>
        </w:tc>
        <w:tc>
          <w:tcPr>
            <w:tcW w:w="396" w:type="pct"/>
            <w:tcBorders>
              <w:top w:val="single" w:sz="4" w:space="0" w:color="auto"/>
              <w:left w:val="nil"/>
              <w:bottom w:val="single" w:sz="4" w:space="0" w:color="auto"/>
              <w:right w:val="nil"/>
            </w:tcBorders>
            <w:shd w:val="clear" w:color="auto" w:fill="auto"/>
            <w:vAlign w:val="center"/>
          </w:tcPr>
          <w:p w14:paraId="7DDF1B4A" w14:textId="27619B04" w:rsidR="00941E50" w:rsidRPr="00DA7911" w:rsidRDefault="00941E50" w:rsidP="00941E50">
            <w:pPr>
              <w:pBdr>
                <w:top w:val="none" w:sz="0" w:space="0" w:color="auto"/>
                <w:left w:val="none" w:sz="0" w:space="0" w:color="auto"/>
                <w:bottom w:val="none" w:sz="0" w:space="0" w:color="auto"/>
                <w:right w:val="none" w:sz="0" w:space="0" w:color="auto"/>
                <w:between w:val="none" w:sz="0" w:space="0" w:color="auto"/>
                <w:bar w:val="none" w:sz="0" w:color="auto"/>
              </w:pBdr>
              <w:jc w:val="right"/>
              <w:outlineLvl w:val="9"/>
              <w:rPr>
                <w:rFonts w:eastAsia="Times New Roman"/>
                <w:b/>
                <w:bCs/>
                <w:sz w:val="16"/>
                <w:szCs w:val="16"/>
                <w:bdr w:val="none" w:sz="0" w:space="0" w:color="auto"/>
                <w:lang w:eastAsia="es-ES"/>
              </w:rPr>
            </w:pPr>
            <w:r>
              <w:rPr>
                <w:b/>
                <w:bCs/>
                <w:sz w:val="16"/>
                <w:szCs w:val="16"/>
              </w:rPr>
              <w:t xml:space="preserve">-     </w:t>
            </w:r>
          </w:p>
        </w:tc>
        <w:tc>
          <w:tcPr>
            <w:tcW w:w="593" w:type="pct"/>
            <w:tcBorders>
              <w:top w:val="single" w:sz="4" w:space="0" w:color="auto"/>
              <w:left w:val="nil"/>
              <w:bottom w:val="single" w:sz="4" w:space="0" w:color="auto"/>
              <w:right w:val="nil"/>
            </w:tcBorders>
            <w:shd w:val="clear" w:color="auto" w:fill="auto"/>
            <w:vAlign w:val="center"/>
          </w:tcPr>
          <w:p w14:paraId="7326E183" w14:textId="6689CB8B" w:rsidR="00941E50" w:rsidRPr="00DA7911" w:rsidRDefault="00941E50" w:rsidP="00941E50">
            <w:pPr>
              <w:jc w:val="right"/>
              <w:rPr>
                <w:b/>
                <w:bCs/>
                <w:sz w:val="16"/>
                <w:szCs w:val="16"/>
              </w:rPr>
            </w:pPr>
            <w:r>
              <w:rPr>
                <w:b/>
                <w:bCs/>
                <w:sz w:val="16"/>
                <w:szCs w:val="16"/>
              </w:rPr>
              <w:t>587.128,75</w:t>
            </w:r>
          </w:p>
        </w:tc>
      </w:tr>
    </w:tbl>
    <w:p w14:paraId="685382BD" w14:textId="77777777" w:rsidR="00DE5FC3" w:rsidRPr="005644E5" w:rsidRDefault="00DE5FC3" w:rsidP="00DE5FC3">
      <w:pPr>
        <w:widowControl w:val="0"/>
        <w:spacing w:before="120" w:after="120" w:line="260" w:lineRule="exact"/>
        <w:jc w:val="both"/>
        <w:outlineLvl w:val="9"/>
        <w:rPr>
          <w:snapToGrid w:val="0"/>
          <w:sz w:val="20"/>
          <w:szCs w:val="22"/>
        </w:rPr>
      </w:pPr>
      <w:r w:rsidRPr="005644E5">
        <w:rPr>
          <w:snapToGrid w:val="0"/>
          <w:sz w:val="20"/>
          <w:szCs w:val="22"/>
        </w:rPr>
        <w:t>Los importes de los instrumentos financieros de activo al cierre del ejercicio 202</w:t>
      </w:r>
      <w:r>
        <w:rPr>
          <w:snapToGrid w:val="0"/>
          <w:sz w:val="20"/>
          <w:szCs w:val="22"/>
        </w:rPr>
        <w:t>3</w:t>
      </w:r>
      <w:r w:rsidRPr="005644E5">
        <w:rPr>
          <w:snapToGrid w:val="0"/>
          <w:sz w:val="20"/>
          <w:szCs w:val="22"/>
        </w:rPr>
        <w:t xml:space="preserve"> es el siguiente:</w:t>
      </w:r>
    </w:p>
    <w:tbl>
      <w:tblPr>
        <w:tblW w:w="5000" w:type="pct"/>
        <w:tblCellMar>
          <w:left w:w="70" w:type="dxa"/>
          <w:right w:w="70" w:type="dxa"/>
        </w:tblCellMar>
        <w:tblLook w:val="04A0" w:firstRow="1" w:lastRow="0" w:firstColumn="1" w:lastColumn="0" w:noHBand="0" w:noVBand="1"/>
      </w:tblPr>
      <w:tblGrid>
        <w:gridCol w:w="2449"/>
        <w:gridCol w:w="1041"/>
        <w:gridCol w:w="952"/>
        <w:gridCol w:w="954"/>
        <w:gridCol w:w="954"/>
        <w:gridCol w:w="695"/>
        <w:gridCol w:w="695"/>
        <w:gridCol w:w="1041"/>
      </w:tblGrid>
      <w:tr w:rsidR="00DE5FC3" w:rsidRPr="007E7835" w14:paraId="26613491" w14:textId="77777777" w:rsidTr="0098422D">
        <w:trPr>
          <w:trHeight w:val="283"/>
        </w:trPr>
        <w:tc>
          <w:tcPr>
            <w:tcW w:w="5000" w:type="pct"/>
            <w:gridSpan w:val="8"/>
            <w:tcBorders>
              <w:top w:val="single" w:sz="4" w:space="0" w:color="auto"/>
              <w:left w:val="nil"/>
              <w:bottom w:val="nil"/>
              <w:right w:val="nil"/>
            </w:tcBorders>
            <w:shd w:val="clear" w:color="auto" w:fill="auto"/>
            <w:vAlign w:val="center"/>
            <w:hideMark/>
          </w:tcPr>
          <w:p w14:paraId="66CB7555" w14:textId="77777777" w:rsidR="00DE5FC3" w:rsidRPr="007E7835" w:rsidRDefault="00DE5FC3" w:rsidP="0098422D">
            <w:pPr>
              <w:pBdr>
                <w:top w:val="none" w:sz="0" w:space="0" w:color="auto"/>
                <w:left w:val="none" w:sz="0" w:space="0" w:color="auto"/>
                <w:bottom w:val="none" w:sz="0" w:space="0" w:color="auto"/>
                <w:right w:val="none" w:sz="0" w:space="0" w:color="auto"/>
                <w:between w:val="none" w:sz="0" w:space="0" w:color="auto"/>
                <w:bar w:val="none" w:sz="0" w:color="auto"/>
              </w:pBdr>
              <w:jc w:val="center"/>
              <w:outlineLvl w:val="9"/>
              <w:rPr>
                <w:rFonts w:eastAsia="Times New Roman"/>
                <w:b/>
                <w:bCs/>
                <w:sz w:val="16"/>
                <w:szCs w:val="16"/>
                <w:bdr w:val="none" w:sz="0" w:space="0" w:color="auto"/>
                <w:lang w:eastAsia="es-ES"/>
              </w:rPr>
            </w:pPr>
            <w:r w:rsidRPr="007E7835">
              <w:rPr>
                <w:rFonts w:eastAsia="Times New Roman"/>
                <w:b/>
                <w:bCs/>
                <w:sz w:val="16"/>
                <w:szCs w:val="16"/>
                <w:bdr w:val="none" w:sz="0" w:space="0" w:color="auto"/>
                <w:lang w:eastAsia="es-ES"/>
              </w:rPr>
              <w:t>ACTIVOS FINANCIEROS</w:t>
            </w:r>
          </w:p>
        </w:tc>
      </w:tr>
      <w:tr w:rsidR="00DE5FC3" w:rsidRPr="007E7835" w14:paraId="3C3C2CDD" w14:textId="77777777" w:rsidTr="0098422D">
        <w:trPr>
          <w:trHeight w:val="283"/>
        </w:trPr>
        <w:tc>
          <w:tcPr>
            <w:tcW w:w="1394" w:type="pct"/>
            <w:tcBorders>
              <w:top w:val="single" w:sz="4" w:space="0" w:color="auto"/>
              <w:left w:val="nil"/>
              <w:bottom w:val="single" w:sz="4" w:space="0" w:color="auto"/>
              <w:right w:val="nil"/>
            </w:tcBorders>
            <w:shd w:val="clear" w:color="auto" w:fill="auto"/>
            <w:vAlign w:val="center"/>
            <w:hideMark/>
          </w:tcPr>
          <w:p w14:paraId="7A2A6DB9" w14:textId="77777777" w:rsidR="00DE5FC3" w:rsidRPr="007E7835" w:rsidRDefault="00DE5FC3" w:rsidP="0098422D">
            <w:pPr>
              <w:pBdr>
                <w:top w:val="none" w:sz="0" w:space="0" w:color="auto"/>
                <w:left w:val="none" w:sz="0" w:space="0" w:color="auto"/>
                <w:bottom w:val="none" w:sz="0" w:space="0" w:color="auto"/>
                <w:right w:val="none" w:sz="0" w:space="0" w:color="auto"/>
                <w:between w:val="none" w:sz="0" w:space="0" w:color="auto"/>
                <w:bar w:val="none" w:sz="0" w:color="auto"/>
              </w:pBdr>
              <w:jc w:val="center"/>
              <w:outlineLvl w:val="9"/>
              <w:rPr>
                <w:rFonts w:eastAsia="Times New Roman"/>
                <w:sz w:val="16"/>
                <w:szCs w:val="16"/>
                <w:bdr w:val="none" w:sz="0" w:space="0" w:color="auto"/>
                <w:lang w:eastAsia="es-ES"/>
              </w:rPr>
            </w:pPr>
          </w:p>
        </w:tc>
        <w:tc>
          <w:tcPr>
            <w:tcW w:w="593" w:type="pct"/>
            <w:tcBorders>
              <w:top w:val="single" w:sz="4" w:space="0" w:color="auto"/>
              <w:left w:val="nil"/>
              <w:bottom w:val="single" w:sz="4" w:space="0" w:color="auto"/>
              <w:right w:val="nil"/>
            </w:tcBorders>
            <w:shd w:val="clear" w:color="auto" w:fill="auto"/>
            <w:vAlign w:val="center"/>
            <w:hideMark/>
          </w:tcPr>
          <w:p w14:paraId="48C0443F" w14:textId="77777777" w:rsidR="00DE5FC3" w:rsidRPr="007E7835" w:rsidRDefault="00DE5FC3" w:rsidP="0098422D">
            <w:pPr>
              <w:pBdr>
                <w:top w:val="none" w:sz="0" w:space="0" w:color="auto"/>
                <w:left w:val="none" w:sz="0" w:space="0" w:color="auto"/>
                <w:bottom w:val="none" w:sz="0" w:space="0" w:color="auto"/>
                <w:right w:val="none" w:sz="0" w:space="0" w:color="auto"/>
                <w:between w:val="none" w:sz="0" w:space="0" w:color="auto"/>
                <w:bar w:val="none" w:sz="0" w:color="auto"/>
              </w:pBdr>
              <w:jc w:val="center"/>
              <w:outlineLvl w:val="9"/>
              <w:rPr>
                <w:rFonts w:eastAsia="Times New Roman"/>
                <w:b/>
                <w:bCs/>
                <w:sz w:val="16"/>
                <w:szCs w:val="16"/>
                <w:bdr w:val="none" w:sz="0" w:space="0" w:color="auto"/>
                <w:lang w:eastAsia="es-ES"/>
              </w:rPr>
            </w:pPr>
            <w:r>
              <w:rPr>
                <w:rFonts w:eastAsia="Times New Roman"/>
                <w:b/>
                <w:bCs/>
                <w:sz w:val="16"/>
                <w:szCs w:val="16"/>
                <w:bdr w:val="none" w:sz="0" w:space="0" w:color="auto"/>
                <w:lang w:eastAsia="es-ES"/>
              </w:rPr>
              <w:t>2024</w:t>
            </w:r>
          </w:p>
        </w:tc>
        <w:tc>
          <w:tcPr>
            <w:tcW w:w="542" w:type="pct"/>
            <w:tcBorders>
              <w:top w:val="single" w:sz="4" w:space="0" w:color="auto"/>
              <w:left w:val="nil"/>
              <w:bottom w:val="single" w:sz="4" w:space="0" w:color="auto"/>
              <w:right w:val="nil"/>
            </w:tcBorders>
            <w:shd w:val="clear" w:color="auto" w:fill="auto"/>
            <w:vAlign w:val="center"/>
            <w:hideMark/>
          </w:tcPr>
          <w:p w14:paraId="13071069" w14:textId="77777777" w:rsidR="00DE5FC3" w:rsidRPr="007E7835" w:rsidRDefault="00DE5FC3" w:rsidP="0098422D">
            <w:pPr>
              <w:pBdr>
                <w:top w:val="none" w:sz="0" w:space="0" w:color="auto"/>
                <w:left w:val="none" w:sz="0" w:space="0" w:color="auto"/>
                <w:bottom w:val="none" w:sz="0" w:space="0" w:color="auto"/>
                <w:right w:val="none" w:sz="0" w:space="0" w:color="auto"/>
                <w:between w:val="none" w:sz="0" w:space="0" w:color="auto"/>
                <w:bar w:val="none" w:sz="0" w:color="auto"/>
              </w:pBdr>
              <w:jc w:val="center"/>
              <w:outlineLvl w:val="9"/>
              <w:rPr>
                <w:rFonts w:eastAsia="Times New Roman"/>
                <w:b/>
                <w:bCs/>
                <w:sz w:val="16"/>
                <w:szCs w:val="16"/>
                <w:bdr w:val="none" w:sz="0" w:space="0" w:color="auto"/>
                <w:lang w:eastAsia="es-ES"/>
              </w:rPr>
            </w:pPr>
            <w:r>
              <w:rPr>
                <w:rFonts w:eastAsia="Times New Roman"/>
                <w:b/>
                <w:bCs/>
                <w:sz w:val="16"/>
                <w:szCs w:val="16"/>
                <w:bdr w:val="none" w:sz="0" w:space="0" w:color="auto"/>
                <w:lang w:eastAsia="es-ES"/>
              </w:rPr>
              <w:t>2025</w:t>
            </w:r>
          </w:p>
        </w:tc>
        <w:tc>
          <w:tcPr>
            <w:tcW w:w="543" w:type="pct"/>
            <w:tcBorders>
              <w:top w:val="single" w:sz="4" w:space="0" w:color="auto"/>
              <w:left w:val="nil"/>
              <w:bottom w:val="single" w:sz="4" w:space="0" w:color="auto"/>
              <w:right w:val="nil"/>
            </w:tcBorders>
            <w:shd w:val="clear" w:color="auto" w:fill="auto"/>
            <w:vAlign w:val="center"/>
            <w:hideMark/>
          </w:tcPr>
          <w:p w14:paraId="110D58B9" w14:textId="77777777" w:rsidR="00DE5FC3" w:rsidRPr="007E7835" w:rsidRDefault="00DE5FC3" w:rsidP="0098422D">
            <w:pPr>
              <w:pBdr>
                <w:top w:val="none" w:sz="0" w:space="0" w:color="auto"/>
                <w:left w:val="none" w:sz="0" w:space="0" w:color="auto"/>
                <w:bottom w:val="none" w:sz="0" w:space="0" w:color="auto"/>
                <w:right w:val="none" w:sz="0" w:space="0" w:color="auto"/>
                <w:between w:val="none" w:sz="0" w:space="0" w:color="auto"/>
                <w:bar w:val="none" w:sz="0" w:color="auto"/>
              </w:pBdr>
              <w:jc w:val="center"/>
              <w:outlineLvl w:val="9"/>
              <w:rPr>
                <w:rFonts w:eastAsia="Times New Roman"/>
                <w:b/>
                <w:bCs/>
                <w:sz w:val="16"/>
                <w:szCs w:val="16"/>
                <w:bdr w:val="none" w:sz="0" w:space="0" w:color="auto"/>
                <w:lang w:eastAsia="es-ES"/>
              </w:rPr>
            </w:pPr>
            <w:r>
              <w:rPr>
                <w:rFonts w:eastAsia="Times New Roman"/>
                <w:b/>
                <w:bCs/>
                <w:sz w:val="16"/>
                <w:szCs w:val="16"/>
                <w:bdr w:val="none" w:sz="0" w:space="0" w:color="auto"/>
                <w:lang w:eastAsia="es-ES"/>
              </w:rPr>
              <w:t>2026</w:t>
            </w:r>
          </w:p>
        </w:tc>
        <w:tc>
          <w:tcPr>
            <w:tcW w:w="543" w:type="pct"/>
            <w:tcBorders>
              <w:top w:val="single" w:sz="4" w:space="0" w:color="auto"/>
              <w:left w:val="nil"/>
              <w:bottom w:val="single" w:sz="4" w:space="0" w:color="auto"/>
              <w:right w:val="nil"/>
            </w:tcBorders>
            <w:shd w:val="clear" w:color="auto" w:fill="auto"/>
            <w:vAlign w:val="center"/>
            <w:hideMark/>
          </w:tcPr>
          <w:p w14:paraId="48117D1C" w14:textId="77777777" w:rsidR="00DE5FC3" w:rsidRPr="007E7835" w:rsidRDefault="00DE5FC3" w:rsidP="0098422D">
            <w:pPr>
              <w:pBdr>
                <w:top w:val="none" w:sz="0" w:space="0" w:color="auto"/>
                <w:left w:val="none" w:sz="0" w:space="0" w:color="auto"/>
                <w:bottom w:val="none" w:sz="0" w:space="0" w:color="auto"/>
                <w:right w:val="none" w:sz="0" w:space="0" w:color="auto"/>
                <w:between w:val="none" w:sz="0" w:space="0" w:color="auto"/>
                <w:bar w:val="none" w:sz="0" w:color="auto"/>
              </w:pBdr>
              <w:jc w:val="center"/>
              <w:outlineLvl w:val="9"/>
              <w:rPr>
                <w:rFonts w:eastAsia="Times New Roman"/>
                <w:b/>
                <w:bCs/>
                <w:sz w:val="16"/>
                <w:szCs w:val="16"/>
                <w:bdr w:val="none" w:sz="0" w:space="0" w:color="auto"/>
                <w:lang w:eastAsia="es-ES"/>
              </w:rPr>
            </w:pPr>
            <w:r>
              <w:rPr>
                <w:rFonts w:eastAsia="Times New Roman"/>
                <w:b/>
                <w:bCs/>
                <w:sz w:val="16"/>
                <w:szCs w:val="16"/>
                <w:bdr w:val="none" w:sz="0" w:space="0" w:color="auto"/>
                <w:lang w:eastAsia="es-ES"/>
              </w:rPr>
              <w:t>2027</w:t>
            </w:r>
          </w:p>
        </w:tc>
        <w:tc>
          <w:tcPr>
            <w:tcW w:w="396" w:type="pct"/>
            <w:tcBorders>
              <w:top w:val="single" w:sz="4" w:space="0" w:color="auto"/>
              <w:left w:val="nil"/>
              <w:bottom w:val="single" w:sz="4" w:space="0" w:color="auto"/>
              <w:right w:val="nil"/>
            </w:tcBorders>
            <w:shd w:val="clear" w:color="auto" w:fill="auto"/>
            <w:vAlign w:val="center"/>
            <w:hideMark/>
          </w:tcPr>
          <w:p w14:paraId="61F97516" w14:textId="77777777" w:rsidR="00DE5FC3" w:rsidRPr="007E7835" w:rsidRDefault="00DE5FC3" w:rsidP="0098422D">
            <w:pPr>
              <w:pBdr>
                <w:top w:val="none" w:sz="0" w:space="0" w:color="auto"/>
                <w:left w:val="none" w:sz="0" w:space="0" w:color="auto"/>
                <w:bottom w:val="none" w:sz="0" w:space="0" w:color="auto"/>
                <w:right w:val="none" w:sz="0" w:space="0" w:color="auto"/>
                <w:between w:val="none" w:sz="0" w:space="0" w:color="auto"/>
                <w:bar w:val="none" w:sz="0" w:color="auto"/>
              </w:pBdr>
              <w:jc w:val="center"/>
              <w:outlineLvl w:val="9"/>
              <w:rPr>
                <w:rFonts w:eastAsia="Times New Roman"/>
                <w:b/>
                <w:bCs/>
                <w:sz w:val="16"/>
                <w:szCs w:val="16"/>
                <w:bdr w:val="none" w:sz="0" w:space="0" w:color="auto"/>
                <w:lang w:eastAsia="es-ES"/>
              </w:rPr>
            </w:pPr>
            <w:r>
              <w:rPr>
                <w:rFonts w:eastAsia="Times New Roman"/>
                <w:b/>
                <w:bCs/>
                <w:sz w:val="16"/>
                <w:szCs w:val="16"/>
                <w:bdr w:val="none" w:sz="0" w:space="0" w:color="auto"/>
                <w:lang w:eastAsia="es-ES"/>
              </w:rPr>
              <w:t>2028</w:t>
            </w:r>
          </w:p>
        </w:tc>
        <w:tc>
          <w:tcPr>
            <w:tcW w:w="396" w:type="pct"/>
            <w:tcBorders>
              <w:top w:val="single" w:sz="4" w:space="0" w:color="auto"/>
              <w:left w:val="nil"/>
              <w:bottom w:val="single" w:sz="4" w:space="0" w:color="auto"/>
              <w:right w:val="nil"/>
            </w:tcBorders>
            <w:shd w:val="clear" w:color="auto" w:fill="auto"/>
            <w:vAlign w:val="center"/>
            <w:hideMark/>
          </w:tcPr>
          <w:p w14:paraId="3A0DA5A2" w14:textId="77777777" w:rsidR="00DE5FC3" w:rsidRPr="007E7835" w:rsidRDefault="00DE5FC3" w:rsidP="0098422D">
            <w:pPr>
              <w:pBdr>
                <w:top w:val="none" w:sz="0" w:space="0" w:color="auto"/>
                <w:left w:val="none" w:sz="0" w:space="0" w:color="auto"/>
                <w:bottom w:val="none" w:sz="0" w:space="0" w:color="auto"/>
                <w:right w:val="none" w:sz="0" w:space="0" w:color="auto"/>
                <w:between w:val="none" w:sz="0" w:space="0" w:color="auto"/>
                <w:bar w:val="none" w:sz="0" w:color="auto"/>
              </w:pBdr>
              <w:jc w:val="center"/>
              <w:outlineLvl w:val="9"/>
              <w:rPr>
                <w:rFonts w:eastAsia="Times New Roman"/>
                <w:b/>
                <w:bCs/>
                <w:sz w:val="16"/>
                <w:szCs w:val="16"/>
                <w:bdr w:val="none" w:sz="0" w:space="0" w:color="auto"/>
                <w:lang w:eastAsia="es-ES"/>
              </w:rPr>
            </w:pPr>
            <w:r>
              <w:rPr>
                <w:rFonts w:eastAsia="Times New Roman"/>
                <w:b/>
                <w:bCs/>
                <w:sz w:val="16"/>
                <w:szCs w:val="16"/>
                <w:bdr w:val="none" w:sz="0" w:space="0" w:color="auto"/>
                <w:lang w:eastAsia="es-ES"/>
              </w:rPr>
              <w:t>2029</w:t>
            </w:r>
          </w:p>
        </w:tc>
        <w:tc>
          <w:tcPr>
            <w:tcW w:w="593" w:type="pct"/>
            <w:tcBorders>
              <w:top w:val="single" w:sz="4" w:space="0" w:color="auto"/>
              <w:left w:val="nil"/>
              <w:bottom w:val="single" w:sz="4" w:space="0" w:color="auto"/>
              <w:right w:val="nil"/>
            </w:tcBorders>
            <w:shd w:val="clear" w:color="auto" w:fill="auto"/>
            <w:vAlign w:val="center"/>
            <w:hideMark/>
          </w:tcPr>
          <w:p w14:paraId="38980D1F" w14:textId="77777777" w:rsidR="00DE5FC3" w:rsidRPr="007E7835" w:rsidRDefault="00DE5FC3" w:rsidP="0098422D">
            <w:pPr>
              <w:pBdr>
                <w:top w:val="none" w:sz="0" w:space="0" w:color="auto"/>
                <w:left w:val="none" w:sz="0" w:space="0" w:color="auto"/>
                <w:bottom w:val="none" w:sz="0" w:space="0" w:color="auto"/>
                <w:right w:val="none" w:sz="0" w:space="0" w:color="auto"/>
                <w:between w:val="none" w:sz="0" w:space="0" w:color="auto"/>
                <w:bar w:val="none" w:sz="0" w:color="auto"/>
              </w:pBdr>
              <w:jc w:val="center"/>
              <w:outlineLvl w:val="9"/>
              <w:rPr>
                <w:rFonts w:eastAsia="Times New Roman"/>
                <w:b/>
                <w:bCs/>
                <w:sz w:val="16"/>
                <w:szCs w:val="16"/>
                <w:bdr w:val="none" w:sz="0" w:space="0" w:color="auto"/>
                <w:lang w:eastAsia="es-ES"/>
              </w:rPr>
            </w:pPr>
            <w:r w:rsidRPr="007E7835">
              <w:rPr>
                <w:rFonts w:eastAsia="Times New Roman"/>
                <w:b/>
                <w:bCs/>
                <w:sz w:val="16"/>
                <w:szCs w:val="16"/>
                <w:bdr w:val="none" w:sz="0" w:space="0" w:color="auto"/>
                <w:lang w:eastAsia="es-ES"/>
              </w:rPr>
              <w:t>Total</w:t>
            </w:r>
          </w:p>
        </w:tc>
      </w:tr>
      <w:tr w:rsidR="00DE5FC3" w:rsidRPr="00EC29B8" w14:paraId="17BE1A37" w14:textId="77777777" w:rsidTr="00941E50">
        <w:trPr>
          <w:trHeight w:val="283"/>
        </w:trPr>
        <w:tc>
          <w:tcPr>
            <w:tcW w:w="1394" w:type="pct"/>
            <w:tcBorders>
              <w:top w:val="nil"/>
              <w:left w:val="nil"/>
              <w:bottom w:val="nil"/>
              <w:right w:val="nil"/>
            </w:tcBorders>
            <w:shd w:val="clear" w:color="auto" w:fill="auto"/>
            <w:vAlign w:val="center"/>
            <w:hideMark/>
          </w:tcPr>
          <w:p w14:paraId="6B91E284" w14:textId="77777777" w:rsidR="00DE5FC3" w:rsidRPr="00EC29B8" w:rsidRDefault="00DE5FC3" w:rsidP="0098422D">
            <w:pPr>
              <w:pBdr>
                <w:top w:val="none" w:sz="0" w:space="0" w:color="auto"/>
                <w:left w:val="none" w:sz="0" w:space="0" w:color="auto"/>
                <w:bottom w:val="none" w:sz="0" w:space="0" w:color="auto"/>
                <w:right w:val="none" w:sz="0" w:space="0" w:color="auto"/>
                <w:between w:val="none" w:sz="0" w:space="0" w:color="auto"/>
                <w:bar w:val="none" w:sz="0" w:color="auto"/>
              </w:pBdr>
              <w:outlineLvl w:val="9"/>
              <w:rPr>
                <w:rFonts w:eastAsia="Times New Roman"/>
                <w:sz w:val="16"/>
                <w:szCs w:val="16"/>
                <w:bdr w:val="none" w:sz="0" w:space="0" w:color="auto"/>
                <w:lang w:eastAsia="es-ES"/>
              </w:rPr>
            </w:pPr>
            <w:r w:rsidRPr="00EC29B8">
              <w:rPr>
                <w:rFonts w:eastAsia="Times New Roman"/>
                <w:sz w:val="16"/>
                <w:szCs w:val="16"/>
                <w:bdr w:val="none" w:sz="0" w:space="0" w:color="auto"/>
                <w:lang w:eastAsia="es-ES"/>
              </w:rPr>
              <w:t>Activos financieros a coste amortizado (Nota 8.1.a)</w:t>
            </w:r>
          </w:p>
        </w:tc>
        <w:tc>
          <w:tcPr>
            <w:tcW w:w="593" w:type="pct"/>
            <w:tcBorders>
              <w:top w:val="nil"/>
              <w:left w:val="nil"/>
              <w:bottom w:val="nil"/>
              <w:right w:val="nil"/>
            </w:tcBorders>
            <w:shd w:val="clear" w:color="auto" w:fill="auto"/>
            <w:vAlign w:val="center"/>
          </w:tcPr>
          <w:p w14:paraId="56ABBFB0" w14:textId="77777777" w:rsidR="00DE5FC3" w:rsidRPr="00EC29B8" w:rsidRDefault="00DE5FC3" w:rsidP="0098422D">
            <w:pPr>
              <w:pBdr>
                <w:top w:val="none" w:sz="0" w:space="0" w:color="auto"/>
                <w:left w:val="none" w:sz="0" w:space="0" w:color="auto"/>
                <w:bottom w:val="none" w:sz="0" w:space="0" w:color="auto"/>
                <w:right w:val="none" w:sz="0" w:space="0" w:color="auto"/>
                <w:between w:val="none" w:sz="0" w:space="0" w:color="auto"/>
                <w:bar w:val="none" w:sz="0" w:color="auto"/>
              </w:pBdr>
              <w:jc w:val="right"/>
              <w:outlineLvl w:val="9"/>
              <w:rPr>
                <w:rFonts w:eastAsia="Times New Roman"/>
                <w:sz w:val="16"/>
                <w:szCs w:val="16"/>
                <w:bdr w:val="none" w:sz="0" w:space="0" w:color="auto"/>
                <w:lang w:eastAsia="es-ES"/>
              </w:rPr>
            </w:pPr>
            <w:r>
              <w:rPr>
                <w:sz w:val="16"/>
                <w:szCs w:val="16"/>
              </w:rPr>
              <w:t>309.142,25</w:t>
            </w:r>
          </w:p>
        </w:tc>
        <w:tc>
          <w:tcPr>
            <w:tcW w:w="542" w:type="pct"/>
            <w:tcBorders>
              <w:top w:val="nil"/>
              <w:left w:val="nil"/>
              <w:bottom w:val="nil"/>
              <w:right w:val="nil"/>
            </w:tcBorders>
            <w:shd w:val="clear" w:color="auto" w:fill="auto"/>
            <w:noWrap/>
            <w:vAlign w:val="center"/>
          </w:tcPr>
          <w:p w14:paraId="15E5A5C5" w14:textId="77777777" w:rsidR="00DE5FC3" w:rsidRPr="00EC29B8" w:rsidRDefault="00DE5FC3" w:rsidP="0098422D">
            <w:pPr>
              <w:pBdr>
                <w:top w:val="none" w:sz="0" w:space="0" w:color="auto"/>
                <w:left w:val="none" w:sz="0" w:space="0" w:color="auto"/>
                <w:bottom w:val="none" w:sz="0" w:space="0" w:color="auto"/>
                <w:right w:val="none" w:sz="0" w:space="0" w:color="auto"/>
                <w:between w:val="none" w:sz="0" w:space="0" w:color="auto"/>
                <w:bar w:val="none" w:sz="0" w:color="auto"/>
              </w:pBdr>
              <w:jc w:val="right"/>
              <w:outlineLvl w:val="9"/>
              <w:rPr>
                <w:rFonts w:eastAsia="Times New Roman"/>
                <w:sz w:val="16"/>
                <w:szCs w:val="16"/>
                <w:bdr w:val="none" w:sz="0" w:space="0" w:color="auto"/>
                <w:lang w:eastAsia="es-ES"/>
              </w:rPr>
            </w:pPr>
            <w:r>
              <w:rPr>
                <w:sz w:val="16"/>
                <w:szCs w:val="16"/>
              </w:rPr>
              <w:t>15.107,70</w:t>
            </w:r>
          </w:p>
        </w:tc>
        <w:tc>
          <w:tcPr>
            <w:tcW w:w="543" w:type="pct"/>
            <w:tcBorders>
              <w:top w:val="nil"/>
              <w:left w:val="nil"/>
              <w:bottom w:val="nil"/>
              <w:right w:val="nil"/>
            </w:tcBorders>
            <w:shd w:val="clear" w:color="auto" w:fill="auto"/>
            <w:noWrap/>
            <w:vAlign w:val="center"/>
          </w:tcPr>
          <w:p w14:paraId="26154073" w14:textId="77777777" w:rsidR="00DE5FC3" w:rsidRPr="00EC29B8" w:rsidRDefault="00DE5FC3" w:rsidP="0098422D">
            <w:pPr>
              <w:pBdr>
                <w:top w:val="none" w:sz="0" w:space="0" w:color="auto"/>
                <w:left w:val="none" w:sz="0" w:space="0" w:color="auto"/>
                <w:bottom w:val="none" w:sz="0" w:space="0" w:color="auto"/>
                <w:right w:val="none" w:sz="0" w:space="0" w:color="auto"/>
                <w:between w:val="none" w:sz="0" w:space="0" w:color="auto"/>
                <w:bar w:val="none" w:sz="0" w:color="auto"/>
              </w:pBdr>
              <w:jc w:val="right"/>
              <w:outlineLvl w:val="9"/>
              <w:rPr>
                <w:rFonts w:eastAsia="Times New Roman"/>
                <w:sz w:val="16"/>
                <w:szCs w:val="16"/>
                <w:bdr w:val="none" w:sz="0" w:space="0" w:color="auto"/>
                <w:lang w:eastAsia="es-ES"/>
              </w:rPr>
            </w:pPr>
            <w:r>
              <w:rPr>
                <w:sz w:val="16"/>
                <w:szCs w:val="16"/>
              </w:rPr>
              <w:t xml:space="preserve"> -</w:t>
            </w:r>
          </w:p>
        </w:tc>
        <w:tc>
          <w:tcPr>
            <w:tcW w:w="543" w:type="pct"/>
            <w:tcBorders>
              <w:top w:val="nil"/>
              <w:left w:val="nil"/>
              <w:bottom w:val="nil"/>
              <w:right w:val="nil"/>
            </w:tcBorders>
            <w:shd w:val="clear" w:color="auto" w:fill="auto"/>
            <w:vAlign w:val="center"/>
          </w:tcPr>
          <w:p w14:paraId="18563301" w14:textId="0BF588C6" w:rsidR="00DE5FC3" w:rsidRPr="00EC29B8" w:rsidRDefault="00B1370C" w:rsidP="0098422D">
            <w:pPr>
              <w:pBdr>
                <w:top w:val="none" w:sz="0" w:space="0" w:color="auto"/>
                <w:left w:val="none" w:sz="0" w:space="0" w:color="auto"/>
                <w:bottom w:val="none" w:sz="0" w:space="0" w:color="auto"/>
                <w:right w:val="none" w:sz="0" w:space="0" w:color="auto"/>
                <w:between w:val="none" w:sz="0" w:space="0" w:color="auto"/>
                <w:bar w:val="none" w:sz="0" w:color="auto"/>
              </w:pBdr>
              <w:jc w:val="right"/>
              <w:outlineLvl w:val="9"/>
              <w:rPr>
                <w:rFonts w:eastAsia="Times New Roman"/>
                <w:sz w:val="16"/>
                <w:szCs w:val="16"/>
                <w:bdr w:val="none" w:sz="0" w:space="0" w:color="auto"/>
                <w:lang w:eastAsia="es-ES"/>
              </w:rPr>
            </w:pPr>
            <w:r>
              <w:rPr>
                <w:rFonts w:eastAsia="Times New Roman"/>
                <w:sz w:val="16"/>
                <w:szCs w:val="16"/>
                <w:bdr w:val="none" w:sz="0" w:space="0" w:color="auto"/>
                <w:lang w:eastAsia="es-ES"/>
              </w:rPr>
              <w:t>-</w:t>
            </w:r>
          </w:p>
        </w:tc>
        <w:tc>
          <w:tcPr>
            <w:tcW w:w="396" w:type="pct"/>
            <w:tcBorders>
              <w:top w:val="nil"/>
              <w:left w:val="nil"/>
              <w:bottom w:val="nil"/>
              <w:right w:val="nil"/>
            </w:tcBorders>
            <w:shd w:val="clear" w:color="auto" w:fill="auto"/>
            <w:noWrap/>
            <w:vAlign w:val="center"/>
          </w:tcPr>
          <w:p w14:paraId="3DEF5BD2" w14:textId="77777777" w:rsidR="00DE5FC3" w:rsidRPr="00EC29B8" w:rsidRDefault="00DE5FC3" w:rsidP="0098422D">
            <w:pPr>
              <w:pBdr>
                <w:top w:val="none" w:sz="0" w:space="0" w:color="auto"/>
                <w:left w:val="none" w:sz="0" w:space="0" w:color="auto"/>
                <w:bottom w:val="none" w:sz="0" w:space="0" w:color="auto"/>
                <w:right w:val="none" w:sz="0" w:space="0" w:color="auto"/>
                <w:between w:val="none" w:sz="0" w:space="0" w:color="auto"/>
                <w:bar w:val="none" w:sz="0" w:color="auto"/>
              </w:pBdr>
              <w:jc w:val="right"/>
              <w:outlineLvl w:val="9"/>
              <w:rPr>
                <w:rFonts w:eastAsia="Times New Roman"/>
                <w:sz w:val="16"/>
                <w:szCs w:val="16"/>
                <w:bdr w:val="none" w:sz="0" w:space="0" w:color="auto"/>
                <w:lang w:eastAsia="es-ES"/>
              </w:rPr>
            </w:pPr>
            <w:r>
              <w:rPr>
                <w:sz w:val="16"/>
                <w:szCs w:val="16"/>
              </w:rPr>
              <w:t xml:space="preserve"> -</w:t>
            </w:r>
          </w:p>
        </w:tc>
        <w:tc>
          <w:tcPr>
            <w:tcW w:w="396" w:type="pct"/>
            <w:tcBorders>
              <w:top w:val="nil"/>
              <w:left w:val="nil"/>
              <w:bottom w:val="nil"/>
              <w:right w:val="nil"/>
            </w:tcBorders>
            <w:shd w:val="clear" w:color="auto" w:fill="auto"/>
            <w:vAlign w:val="center"/>
          </w:tcPr>
          <w:p w14:paraId="22A25272" w14:textId="77777777" w:rsidR="00DE5FC3" w:rsidRPr="00EC29B8" w:rsidRDefault="00DE5FC3" w:rsidP="0098422D">
            <w:pPr>
              <w:pBdr>
                <w:top w:val="none" w:sz="0" w:space="0" w:color="auto"/>
                <w:left w:val="none" w:sz="0" w:space="0" w:color="auto"/>
                <w:bottom w:val="none" w:sz="0" w:space="0" w:color="auto"/>
                <w:right w:val="none" w:sz="0" w:space="0" w:color="auto"/>
                <w:between w:val="none" w:sz="0" w:space="0" w:color="auto"/>
                <w:bar w:val="none" w:sz="0" w:color="auto"/>
              </w:pBdr>
              <w:jc w:val="right"/>
              <w:outlineLvl w:val="9"/>
              <w:rPr>
                <w:rFonts w:eastAsia="Times New Roman"/>
                <w:sz w:val="16"/>
                <w:szCs w:val="16"/>
                <w:bdr w:val="none" w:sz="0" w:space="0" w:color="auto"/>
                <w:lang w:eastAsia="es-ES"/>
              </w:rPr>
            </w:pPr>
            <w:r>
              <w:rPr>
                <w:sz w:val="16"/>
                <w:szCs w:val="16"/>
              </w:rPr>
              <w:t xml:space="preserve">-     </w:t>
            </w:r>
          </w:p>
        </w:tc>
        <w:tc>
          <w:tcPr>
            <w:tcW w:w="593" w:type="pct"/>
            <w:tcBorders>
              <w:top w:val="nil"/>
              <w:left w:val="nil"/>
              <w:bottom w:val="nil"/>
              <w:right w:val="nil"/>
            </w:tcBorders>
            <w:shd w:val="clear" w:color="auto" w:fill="auto"/>
            <w:vAlign w:val="center"/>
          </w:tcPr>
          <w:p w14:paraId="48419A02" w14:textId="3BD8359A" w:rsidR="00DE5FC3" w:rsidRPr="00EC29B8" w:rsidRDefault="00DE5FC3" w:rsidP="00941E50">
            <w:pPr>
              <w:pBdr>
                <w:top w:val="none" w:sz="0" w:space="0" w:color="auto"/>
                <w:left w:val="none" w:sz="0" w:space="0" w:color="auto"/>
                <w:bottom w:val="none" w:sz="0" w:space="0" w:color="auto"/>
                <w:right w:val="none" w:sz="0" w:space="0" w:color="auto"/>
                <w:between w:val="none" w:sz="0" w:space="0" w:color="auto"/>
                <w:bar w:val="none" w:sz="0" w:color="auto"/>
              </w:pBdr>
              <w:jc w:val="right"/>
              <w:outlineLvl w:val="9"/>
              <w:rPr>
                <w:b/>
                <w:bCs/>
                <w:sz w:val="16"/>
                <w:szCs w:val="16"/>
              </w:rPr>
            </w:pPr>
            <w:r>
              <w:rPr>
                <w:b/>
                <w:bCs/>
                <w:sz w:val="16"/>
                <w:szCs w:val="16"/>
              </w:rPr>
              <w:t xml:space="preserve">324.249,95   </w:t>
            </w:r>
          </w:p>
        </w:tc>
      </w:tr>
      <w:tr w:rsidR="00DE5FC3" w:rsidRPr="00EC29B8" w14:paraId="7F50FD94" w14:textId="77777777" w:rsidTr="0098422D">
        <w:trPr>
          <w:trHeight w:val="283"/>
        </w:trPr>
        <w:tc>
          <w:tcPr>
            <w:tcW w:w="1394" w:type="pct"/>
            <w:tcBorders>
              <w:top w:val="single" w:sz="4" w:space="0" w:color="auto"/>
              <w:left w:val="nil"/>
              <w:bottom w:val="single" w:sz="4" w:space="0" w:color="auto"/>
              <w:right w:val="nil"/>
            </w:tcBorders>
            <w:shd w:val="clear" w:color="auto" w:fill="auto"/>
            <w:vAlign w:val="center"/>
            <w:hideMark/>
          </w:tcPr>
          <w:p w14:paraId="73008180" w14:textId="77777777" w:rsidR="00DE5FC3" w:rsidRPr="005644E5" w:rsidRDefault="00DE5FC3" w:rsidP="0098422D">
            <w:pPr>
              <w:pBdr>
                <w:top w:val="none" w:sz="0" w:space="0" w:color="auto"/>
                <w:left w:val="none" w:sz="0" w:space="0" w:color="auto"/>
                <w:bottom w:val="none" w:sz="0" w:space="0" w:color="auto"/>
                <w:right w:val="none" w:sz="0" w:space="0" w:color="auto"/>
                <w:between w:val="none" w:sz="0" w:space="0" w:color="auto"/>
                <w:bar w:val="none" w:sz="0" w:color="auto"/>
              </w:pBdr>
              <w:outlineLvl w:val="9"/>
              <w:rPr>
                <w:rFonts w:eastAsia="Times New Roman"/>
                <w:b/>
                <w:bCs/>
                <w:sz w:val="16"/>
                <w:szCs w:val="16"/>
                <w:bdr w:val="none" w:sz="0" w:space="0" w:color="auto"/>
                <w:lang w:eastAsia="es-ES"/>
              </w:rPr>
            </w:pPr>
            <w:r w:rsidRPr="005644E5">
              <w:rPr>
                <w:rFonts w:eastAsia="Times New Roman"/>
                <w:b/>
                <w:bCs/>
                <w:sz w:val="16"/>
                <w:szCs w:val="16"/>
                <w:bdr w:val="none" w:sz="0" w:space="0" w:color="auto"/>
                <w:lang w:eastAsia="es-ES"/>
              </w:rPr>
              <w:t> Total</w:t>
            </w:r>
          </w:p>
        </w:tc>
        <w:tc>
          <w:tcPr>
            <w:tcW w:w="593" w:type="pct"/>
            <w:tcBorders>
              <w:top w:val="single" w:sz="4" w:space="0" w:color="auto"/>
              <w:left w:val="nil"/>
              <w:bottom w:val="single" w:sz="4" w:space="0" w:color="auto"/>
              <w:right w:val="nil"/>
            </w:tcBorders>
            <w:shd w:val="clear" w:color="auto" w:fill="auto"/>
            <w:vAlign w:val="center"/>
          </w:tcPr>
          <w:p w14:paraId="7574FD50" w14:textId="77777777" w:rsidR="00DE5FC3" w:rsidRPr="00DA7911" w:rsidRDefault="00DE5FC3" w:rsidP="0098422D">
            <w:pPr>
              <w:pBdr>
                <w:top w:val="none" w:sz="0" w:space="0" w:color="auto"/>
                <w:left w:val="none" w:sz="0" w:space="0" w:color="auto"/>
                <w:bottom w:val="none" w:sz="0" w:space="0" w:color="auto"/>
                <w:right w:val="none" w:sz="0" w:space="0" w:color="auto"/>
                <w:between w:val="none" w:sz="0" w:space="0" w:color="auto"/>
                <w:bar w:val="none" w:sz="0" w:color="auto"/>
              </w:pBdr>
              <w:jc w:val="right"/>
              <w:outlineLvl w:val="9"/>
              <w:rPr>
                <w:rFonts w:eastAsia="Times New Roman"/>
                <w:b/>
                <w:bCs/>
                <w:sz w:val="16"/>
                <w:szCs w:val="16"/>
                <w:bdr w:val="none" w:sz="0" w:space="0" w:color="auto"/>
                <w:lang w:eastAsia="es-ES"/>
              </w:rPr>
            </w:pPr>
            <w:r>
              <w:rPr>
                <w:b/>
                <w:bCs/>
                <w:sz w:val="16"/>
                <w:szCs w:val="16"/>
              </w:rPr>
              <w:t>309.142,25</w:t>
            </w:r>
          </w:p>
        </w:tc>
        <w:tc>
          <w:tcPr>
            <w:tcW w:w="542" w:type="pct"/>
            <w:tcBorders>
              <w:top w:val="single" w:sz="4" w:space="0" w:color="auto"/>
              <w:left w:val="nil"/>
              <w:bottom w:val="single" w:sz="4" w:space="0" w:color="auto"/>
              <w:right w:val="nil"/>
            </w:tcBorders>
            <w:shd w:val="clear" w:color="auto" w:fill="auto"/>
            <w:noWrap/>
            <w:vAlign w:val="center"/>
          </w:tcPr>
          <w:p w14:paraId="2426E2F8" w14:textId="77777777" w:rsidR="00DE5FC3" w:rsidRPr="00DA7911" w:rsidRDefault="00DE5FC3" w:rsidP="0098422D">
            <w:pPr>
              <w:pBdr>
                <w:top w:val="none" w:sz="0" w:space="0" w:color="auto"/>
                <w:left w:val="none" w:sz="0" w:space="0" w:color="auto"/>
                <w:bottom w:val="none" w:sz="0" w:space="0" w:color="auto"/>
                <w:right w:val="none" w:sz="0" w:space="0" w:color="auto"/>
                <w:between w:val="none" w:sz="0" w:space="0" w:color="auto"/>
                <w:bar w:val="none" w:sz="0" w:color="auto"/>
              </w:pBdr>
              <w:jc w:val="right"/>
              <w:outlineLvl w:val="9"/>
              <w:rPr>
                <w:rFonts w:eastAsia="Times New Roman"/>
                <w:b/>
                <w:bCs/>
                <w:sz w:val="16"/>
                <w:szCs w:val="16"/>
                <w:bdr w:val="none" w:sz="0" w:space="0" w:color="auto"/>
                <w:lang w:eastAsia="es-ES"/>
              </w:rPr>
            </w:pPr>
            <w:r>
              <w:rPr>
                <w:b/>
                <w:bCs/>
                <w:sz w:val="16"/>
                <w:szCs w:val="16"/>
              </w:rPr>
              <w:t>15.107,70</w:t>
            </w:r>
          </w:p>
        </w:tc>
        <w:tc>
          <w:tcPr>
            <w:tcW w:w="543" w:type="pct"/>
            <w:tcBorders>
              <w:top w:val="single" w:sz="4" w:space="0" w:color="auto"/>
              <w:left w:val="nil"/>
              <w:bottom w:val="single" w:sz="4" w:space="0" w:color="auto"/>
              <w:right w:val="nil"/>
            </w:tcBorders>
            <w:shd w:val="clear" w:color="auto" w:fill="auto"/>
            <w:noWrap/>
            <w:vAlign w:val="center"/>
          </w:tcPr>
          <w:p w14:paraId="02DE1625" w14:textId="77777777" w:rsidR="00DE5FC3" w:rsidRPr="00DA7911" w:rsidRDefault="00DE5FC3" w:rsidP="0098422D">
            <w:pPr>
              <w:pBdr>
                <w:top w:val="none" w:sz="0" w:space="0" w:color="auto"/>
                <w:left w:val="none" w:sz="0" w:space="0" w:color="auto"/>
                <w:bottom w:val="none" w:sz="0" w:space="0" w:color="auto"/>
                <w:right w:val="none" w:sz="0" w:space="0" w:color="auto"/>
                <w:between w:val="none" w:sz="0" w:space="0" w:color="auto"/>
                <w:bar w:val="none" w:sz="0" w:color="auto"/>
              </w:pBdr>
              <w:jc w:val="right"/>
              <w:outlineLvl w:val="9"/>
              <w:rPr>
                <w:rFonts w:eastAsia="Times New Roman"/>
                <w:b/>
                <w:bCs/>
                <w:sz w:val="16"/>
                <w:szCs w:val="16"/>
                <w:bdr w:val="none" w:sz="0" w:space="0" w:color="auto"/>
                <w:lang w:eastAsia="es-ES"/>
              </w:rPr>
            </w:pPr>
            <w:r>
              <w:rPr>
                <w:b/>
                <w:bCs/>
                <w:sz w:val="16"/>
                <w:szCs w:val="16"/>
              </w:rPr>
              <w:t xml:space="preserve"> -</w:t>
            </w:r>
          </w:p>
        </w:tc>
        <w:tc>
          <w:tcPr>
            <w:tcW w:w="543" w:type="pct"/>
            <w:tcBorders>
              <w:top w:val="single" w:sz="4" w:space="0" w:color="auto"/>
              <w:left w:val="nil"/>
              <w:bottom w:val="single" w:sz="4" w:space="0" w:color="auto"/>
              <w:right w:val="nil"/>
            </w:tcBorders>
            <w:shd w:val="clear" w:color="auto" w:fill="auto"/>
            <w:vAlign w:val="center"/>
          </w:tcPr>
          <w:p w14:paraId="1D0438F3" w14:textId="77777777" w:rsidR="00DE5FC3" w:rsidRPr="00DA7911" w:rsidRDefault="00DE5FC3" w:rsidP="0098422D">
            <w:pPr>
              <w:pBdr>
                <w:top w:val="none" w:sz="0" w:space="0" w:color="auto"/>
                <w:left w:val="none" w:sz="0" w:space="0" w:color="auto"/>
                <w:bottom w:val="none" w:sz="0" w:space="0" w:color="auto"/>
                <w:right w:val="none" w:sz="0" w:space="0" w:color="auto"/>
                <w:between w:val="none" w:sz="0" w:space="0" w:color="auto"/>
                <w:bar w:val="none" w:sz="0" w:color="auto"/>
              </w:pBdr>
              <w:jc w:val="right"/>
              <w:outlineLvl w:val="9"/>
              <w:rPr>
                <w:rFonts w:eastAsia="Times New Roman"/>
                <w:b/>
                <w:bCs/>
                <w:sz w:val="16"/>
                <w:szCs w:val="16"/>
                <w:bdr w:val="none" w:sz="0" w:space="0" w:color="auto"/>
                <w:lang w:eastAsia="es-ES"/>
              </w:rPr>
            </w:pPr>
            <w:r>
              <w:rPr>
                <w:b/>
                <w:bCs/>
                <w:sz w:val="16"/>
                <w:szCs w:val="16"/>
              </w:rPr>
              <w:t xml:space="preserve"> -</w:t>
            </w:r>
          </w:p>
        </w:tc>
        <w:tc>
          <w:tcPr>
            <w:tcW w:w="396" w:type="pct"/>
            <w:tcBorders>
              <w:top w:val="single" w:sz="4" w:space="0" w:color="auto"/>
              <w:left w:val="nil"/>
              <w:bottom w:val="single" w:sz="4" w:space="0" w:color="auto"/>
              <w:right w:val="nil"/>
            </w:tcBorders>
            <w:shd w:val="clear" w:color="auto" w:fill="auto"/>
            <w:noWrap/>
            <w:vAlign w:val="center"/>
          </w:tcPr>
          <w:p w14:paraId="46097BE6" w14:textId="77777777" w:rsidR="00DE5FC3" w:rsidRPr="00DA7911" w:rsidRDefault="00DE5FC3" w:rsidP="0098422D">
            <w:pPr>
              <w:pBdr>
                <w:top w:val="none" w:sz="0" w:space="0" w:color="auto"/>
                <w:left w:val="none" w:sz="0" w:space="0" w:color="auto"/>
                <w:bottom w:val="none" w:sz="0" w:space="0" w:color="auto"/>
                <w:right w:val="none" w:sz="0" w:space="0" w:color="auto"/>
                <w:between w:val="none" w:sz="0" w:space="0" w:color="auto"/>
                <w:bar w:val="none" w:sz="0" w:color="auto"/>
              </w:pBdr>
              <w:jc w:val="right"/>
              <w:outlineLvl w:val="9"/>
              <w:rPr>
                <w:rFonts w:eastAsia="Times New Roman"/>
                <w:b/>
                <w:bCs/>
                <w:sz w:val="16"/>
                <w:szCs w:val="16"/>
                <w:bdr w:val="none" w:sz="0" w:space="0" w:color="auto"/>
                <w:lang w:eastAsia="es-ES"/>
              </w:rPr>
            </w:pPr>
            <w:r>
              <w:rPr>
                <w:b/>
                <w:bCs/>
                <w:sz w:val="16"/>
                <w:szCs w:val="16"/>
              </w:rPr>
              <w:t xml:space="preserve"> -</w:t>
            </w:r>
          </w:p>
        </w:tc>
        <w:tc>
          <w:tcPr>
            <w:tcW w:w="396" w:type="pct"/>
            <w:tcBorders>
              <w:top w:val="single" w:sz="4" w:space="0" w:color="auto"/>
              <w:left w:val="nil"/>
              <w:bottom w:val="single" w:sz="4" w:space="0" w:color="auto"/>
              <w:right w:val="nil"/>
            </w:tcBorders>
            <w:shd w:val="clear" w:color="auto" w:fill="auto"/>
            <w:vAlign w:val="center"/>
          </w:tcPr>
          <w:p w14:paraId="74E30B2E" w14:textId="77777777" w:rsidR="00DE5FC3" w:rsidRPr="00DA7911" w:rsidRDefault="00DE5FC3" w:rsidP="0098422D">
            <w:pPr>
              <w:pBdr>
                <w:top w:val="none" w:sz="0" w:space="0" w:color="auto"/>
                <w:left w:val="none" w:sz="0" w:space="0" w:color="auto"/>
                <w:bottom w:val="none" w:sz="0" w:space="0" w:color="auto"/>
                <w:right w:val="none" w:sz="0" w:space="0" w:color="auto"/>
                <w:between w:val="none" w:sz="0" w:space="0" w:color="auto"/>
                <w:bar w:val="none" w:sz="0" w:color="auto"/>
              </w:pBdr>
              <w:jc w:val="right"/>
              <w:outlineLvl w:val="9"/>
              <w:rPr>
                <w:rFonts w:eastAsia="Times New Roman"/>
                <w:b/>
                <w:bCs/>
                <w:sz w:val="16"/>
                <w:szCs w:val="16"/>
                <w:bdr w:val="none" w:sz="0" w:space="0" w:color="auto"/>
                <w:lang w:eastAsia="es-ES"/>
              </w:rPr>
            </w:pPr>
            <w:r>
              <w:rPr>
                <w:b/>
                <w:bCs/>
                <w:sz w:val="16"/>
                <w:szCs w:val="16"/>
              </w:rPr>
              <w:t xml:space="preserve">-     </w:t>
            </w:r>
          </w:p>
        </w:tc>
        <w:tc>
          <w:tcPr>
            <w:tcW w:w="593" w:type="pct"/>
            <w:tcBorders>
              <w:top w:val="single" w:sz="4" w:space="0" w:color="auto"/>
              <w:left w:val="nil"/>
              <w:bottom w:val="single" w:sz="4" w:space="0" w:color="auto"/>
              <w:right w:val="nil"/>
            </w:tcBorders>
            <w:shd w:val="clear" w:color="auto" w:fill="auto"/>
            <w:vAlign w:val="center"/>
          </w:tcPr>
          <w:p w14:paraId="4530E1BE" w14:textId="77777777" w:rsidR="00DE5FC3" w:rsidRPr="00DA7911" w:rsidRDefault="00DE5FC3" w:rsidP="0098422D">
            <w:pPr>
              <w:jc w:val="right"/>
              <w:rPr>
                <w:b/>
                <w:bCs/>
                <w:sz w:val="16"/>
                <w:szCs w:val="16"/>
              </w:rPr>
            </w:pPr>
            <w:r>
              <w:rPr>
                <w:b/>
                <w:bCs/>
                <w:sz w:val="16"/>
                <w:szCs w:val="16"/>
              </w:rPr>
              <w:t>324.249,95</w:t>
            </w:r>
          </w:p>
        </w:tc>
      </w:tr>
    </w:tbl>
    <w:p w14:paraId="45655385" w14:textId="77777777" w:rsidR="007B55EF" w:rsidRPr="0083433F" w:rsidRDefault="007B55EF">
      <w:pPr>
        <w:widowControl w:val="0"/>
        <w:numPr>
          <w:ilvl w:val="0"/>
          <w:numId w:val="13"/>
        </w:numPr>
        <w:pBdr>
          <w:top w:val="none" w:sz="0" w:space="0" w:color="auto"/>
          <w:left w:val="none" w:sz="0" w:space="0" w:color="auto"/>
          <w:bottom w:val="none" w:sz="0" w:space="0" w:color="auto"/>
          <w:right w:val="none" w:sz="0" w:space="0" w:color="auto"/>
          <w:between w:val="none" w:sz="0" w:space="0" w:color="auto"/>
          <w:bar w:val="none" w:sz="0" w:color="auto"/>
        </w:pBdr>
        <w:tabs>
          <w:tab w:val="left" w:pos="284"/>
        </w:tabs>
        <w:spacing w:before="240" w:after="120" w:line="260" w:lineRule="exact"/>
        <w:ind w:left="0" w:firstLine="0"/>
        <w:jc w:val="both"/>
        <w:outlineLvl w:val="9"/>
        <w:rPr>
          <w:i/>
          <w:snapToGrid w:val="0"/>
          <w:sz w:val="20"/>
          <w:szCs w:val="22"/>
          <w:u w:val="single"/>
        </w:rPr>
      </w:pPr>
      <w:r w:rsidRPr="0083433F">
        <w:rPr>
          <w:i/>
          <w:sz w:val="20"/>
          <w:szCs w:val="22"/>
          <w:u w:val="single"/>
        </w:rPr>
        <w:t>Periodificaciones a corto plazo</w:t>
      </w:r>
    </w:p>
    <w:p w14:paraId="340074BB" w14:textId="3C10DA5B" w:rsidR="00415573" w:rsidRDefault="00876EB6" w:rsidP="00D67C6B">
      <w:pPr>
        <w:widowControl w:val="0"/>
        <w:spacing w:before="120" w:after="120" w:line="260" w:lineRule="exact"/>
        <w:jc w:val="both"/>
        <w:outlineLvl w:val="9"/>
        <w:rPr>
          <w:snapToGrid w:val="0"/>
          <w:sz w:val="20"/>
          <w:szCs w:val="22"/>
        </w:rPr>
      </w:pPr>
      <w:r w:rsidRPr="00866EC2">
        <w:rPr>
          <w:snapToGrid w:val="0"/>
          <w:sz w:val="20"/>
          <w:szCs w:val="22"/>
        </w:rPr>
        <w:t xml:space="preserve">En </w:t>
      </w:r>
      <w:r w:rsidR="00415573" w:rsidRPr="00866EC2">
        <w:rPr>
          <w:snapToGrid w:val="0"/>
          <w:sz w:val="20"/>
          <w:szCs w:val="22"/>
        </w:rPr>
        <w:t>el</w:t>
      </w:r>
      <w:r w:rsidRPr="00866EC2">
        <w:rPr>
          <w:snapToGrid w:val="0"/>
          <w:sz w:val="20"/>
          <w:szCs w:val="22"/>
        </w:rPr>
        <w:t xml:space="preserve"> ejercicio 202</w:t>
      </w:r>
      <w:r w:rsidR="00941E50">
        <w:rPr>
          <w:snapToGrid w:val="0"/>
          <w:sz w:val="20"/>
          <w:szCs w:val="22"/>
        </w:rPr>
        <w:t>4</w:t>
      </w:r>
      <w:r w:rsidRPr="00866EC2">
        <w:rPr>
          <w:snapToGrid w:val="0"/>
          <w:sz w:val="20"/>
          <w:szCs w:val="22"/>
        </w:rPr>
        <w:t xml:space="preserve"> l</w:t>
      </w:r>
      <w:r w:rsidR="007B55EF" w:rsidRPr="00866EC2">
        <w:rPr>
          <w:snapToGrid w:val="0"/>
          <w:sz w:val="20"/>
          <w:szCs w:val="22"/>
        </w:rPr>
        <w:t xml:space="preserve">os ajustes por periodificación de activos </w:t>
      </w:r>
      <w:r w:rsidR="007F40B6" w:rsidRPr="00866EC2">
        <w:rPr>
          <w:snapToGrid w:val="0"/>
          <w:sz w:val="20"/>
          <w:szCs w:val="22"/>
        </w:rPr>
        <w:t xml:space="preserve">por importe de </w:t>
      </w:r>
      <w:r w:rsidR="00941E50">
        <w:rPr>
          <w:snapToGrid w:val="0"/>
          <w:sz w:val="20"/>
          <w:szCs w:val="22"/>
        </w:rPr>
        <w:t>947.895,25</w:t>
      </w:r>
      <w:r w:rsidR="007F40B6" w:rsidRPr="00866EC2">
        <w:rPr>
          <w:snapToGrid w:val="0"/>
          <w:sz w:val="20"/>
          <w:szCs w:val="22"/>
        </w:rPr>
        <w:t xml:space="preserve"> euros </w:t>
      </w:r>
      <w:r w:rsidR="007B55EF" w:rsidRPr="00866EC2">
        <w:rPr>
          <w:snapToGrid w:val="0"/>
          <w:sz w:val="20"/>
          <w:szCs w:val="22"/>
        </w:rPr>
        <w:t>contienen principalmente los gastos anticipados de las reservas de espacio y stand de la feria FITUR</w:t>
      </w:r>
      <w:r w:rsidR="00415573" w:rsidRPr="00866EC2">
        <w:rPr>
          <w:snapToGrid w:val="0"/>
          <w:sz w:val="20"/>
          <w:szCs w:val="22"/>
        </w:rPr>
        <w:t xml:space="preserve"> 202</w:t>
      </w:r>
      <w:r w:rsidR="00941E50">
        <w:rPr>
          <w:snapToGrid w:val="0"/>
          <w:sz w:val="20"/>
          <w:szCs w:val="22"/>
        </w:rPr>
        <w:t>5</w:t>
      </w:r>
      <w:r w:rsidR="00A7700C">
        <w:rPr>
          <w:snapToGrid w:val="0"/>
          <w:sz w:val="20"/>
          <w:szCs w:val="22"/>
        </w:rPr>
        <w:t>.</w:t>
      </w:r>
    </w:p>
    <w:p w14:paraId="394B4B5A" w14:textId="6D95A4DB" w:rsidR="00941E50" w:rsidRPr="007E7835" w:rsidRDefault="00941E50" w:rsidP="00941E50">
      <w:pPr>
        <w:widowControl w:val="0"/>
        <w:spacing w:before="120" w:after="120" w:line="260" w:lineRule="exact"/>
        <w:jc w:val="both"/>
        <w:outlineLvl w:val="9"/>
        <w:rPr>
          <w:snapToGrid w:val="0"/>
          <w:sz w:val="20"/>
          <w:szCs w:val="22"/>
        </w:rPr>
      </w:pPr>
      <w:r w:rsidRPr="00866EC2">
        <w:rPr>
          <w:snapToGrid w:val="0"/>
          <w:sz w:val="20"/>
          <w:szCs w:val="22"/>
        </w:rPr>
        <w:t>En el ejercicio 202</w:t>
      </w:r>
      <w:r>
        <w:rPr>
          <w:snapToGrid w:val="0"/>
          <w:sz w:val="20"/>
          <w:szCs w:val="22"/>
        </w:rPr>
        <w:t>3</w:t>
      </w:r>
      <w:r w:rsidRPr="00866EC2">
        <w:rPr>
          <w:snapToGrid w:val="0"/>
          <w:sz w:val="20"/>
          <w:szCs w:val="22"/>
        </w:rPr>
        <w:t xml:space="preserve"> los ajustes por periodificación de activos por importe de </w:t>
      </w:r>
      <w:r>
        <w:rPr>
          <w:snapToGrid w:val="0"/>
          <w:sz w:val="20"/>
          <w:szCs w:val="22"/>
        </w:rPr>
        <w:t>881.684,75</w:t>
      </w:r>
      <w:r w:rsidRPr="00866EC2">
        <w:rPr>
          <w:snapToGrid w:val="0"/>
          <w:sz w:val="20"/>
          <w:szCs w:val="22"/>
        </w:rPr>
        <w:t xml:space="preserve"> euros conten</w:t>
      </w:r>
      <w:r>
        <w:rPr>
          <w:snapToGrid w:val="0"/>
          <w:sz w:val="20"/>
          <w:szCs w:val="22"/>
        </w:rPr>
        <w:t>ían</w:t>
      </w:r>
      <w:r w:rsidRPr="00866EC2">
        <w:rPr>
          <w:snapToGrid w:val="0"/>
          <w:sz w:val="20"/>
          <w:szCs w:val="22"/>
        </w:rPr>
        <w:t xml:space="preserve"> principalmente los gastos anticipados de las reservas de espacio y stand de la feria FITUR 202</w:t>
      </w:r>
      <w:r>
        <w:rPr>
          <w:snapToGrid w:val="0"/>
          <w:sz w:val="20"/>
          <w:szCs w:val="22"/>
        </w:rPr>
        <w:t>4.</w:t>
      </w:r>
    </w:p>
    <w:p w14:paraId="1C5862F8" w14:textId="49B06E40" w:rsidR="006220A2" w:rsidRPr="00573442" w:rsidRDefault="005644E5">
      <w:pPr>
        <w:widowControl w:val="0"/>
        <w:numPr>
          <w:ilvl w:val="1"/>
          <w:numId w:val="16"/>
        </w:numPr>
        <w:pBdr>
          <w:top w:val="none" w:sz="0" w:space="0" w:color="auto"/>
          <w:left w:val="none" w:sz="0" w:space="0" w:color="auto"/>
          <w:bottom w:val="none" w:sz="0" w:space="0" w:color="auto"/>
          <w:right w:val="none" w:sz="0" w:space="0" w:color="auto"/>
          <w:between w:val="none" w:sz="0" w:space="0" w:color="auto"/>
          <w:bar w:val="none" w:sz="0" w:color="auto"/>
        </w:pBdr>
        <w:spacing w:before="200" w:after="120" w:line="260" w:lineRule="exact"/>
        <w:ind w:left="284" w:hanging="284"/>
        <w:outlineLvl w:val="9"/>
        <w:rPr>
          <w:b/>
          <w:sz w:val="20"/>
          <w:szCs w:val="22"/>
        </w:rPr>
      </w:pPr>
      <w:r>
        <w:rPr>
          <w:b/>
          <w:sz w:val="20"/>
          <w:szCs w:val="22"/>
        </w:rPr>
        <w:t xml:space="preserve"> </w:t>
      </w:r>
      <w:r w:rsidR="006220A2" w:rsidRPr="00573442">
        <w:rPr>
          <w:b/>
          <w:sz w:val="20"/>
          <w:szCs w:val="22"/>
        </w:rPr>
        <w:t>Efectivo y otros activos líquidos equivalentes</w:t>
      </w:r>
    </w:p>
    <w:p w14:paraId="05D98237" w14:textId="77777777" w:rsidR="007F3953" w:rsidRPr="005644E5" w:rsidRDefault="006220A2" w:rsidP="00D67C6B">
      <w:pPr>
        <w:widowControl w:val="0"/>
        <w:spacing w:before="120" w:after="120" w:line="260" w:lineRule="exact"/>
        <w:jc w:val="both"/>
        <w:outlineLvl w:val="9"/>
        <w:rPr>
          <w:snapToGrid w:val="0"/>
          <w:sz w:val="20"/>
          <w:szCs w:val="22"/>
        </w:rPr>
      </w:pPr>
      <w:r w:rsidRPr="005644E5">
        <w:rPr>
          <w:snapToGrid w:val="0"/>
          <w:sz w:val="20"/>
          <w:szCs w:val="22"/>
        </w:rPr>
        <w:t>El detalle del efectivo y otros activos líquidos equivalentes es el siguiente:</w:t>
      </w:r>
    </w:p>
    <w:tbl>
      <w:tblPr>
        <w:tblW w:w="5000" w:type="pct"/>
        <w:jc w:val="center"/>
        <w:tblCellMar>
          <w:left w:w="70" w:type="dxa"/>
          <w:right w:w="70" w:type="dxa"/>
        </w:tblCellMar>
        <w:tblLook w:val="04A0" w:firstRow="1" w:lastRow="0" w:firstColumn="1" w:lastColumn="0" w:noHBand="0" w:noVBand="1"/>
      </w:tblPr>
      <w:tblGrid>
        <w:gridCol w:w="4511"/>
        <w:gridCol w:w="2134"/>
        <w:gridCol w:w="2136"/>
      </w:tblGrid>
      <w:tr w:rsidR="006220A2" w:rsidRPr="005644E5" w14:paraId="12811E3F" w14:textId="77777777" w:rsidTr="001B5A15">
        <w:trPr>
          <w:trHeight w:val="227"/>
          <w:jc w:val="center"/>
        </w:trPr>
        <w:tc>
          <w:tcPr>
            <w:tcW w:w="2569" w:type="pct"/>
            <w:tcBorders>
              <w:top w:val="single" w:sz="4" w:space="0" w:color="auto"/>
              <w:left w:val="nil"/>
              <w:bottom w:val="nil"/>
              <w:right w:val="nil"/>
            </w:tcBorders>
            <w:shd w:val="clear" w:color="auto" w:fill="auto"/>
            <w:vAlign w:val="center"/>
            <w:hideMark/>
          </w:tcPr>
          <w:p w14:paraId="04651B5A" w14:textId="77777777" w:rsidR="006220A2" w:rsidRPr="005644E5" w:rsidRDefault="006220A2" w:rsidP="005644E5">
            <w:pPr>
              <w:ind w:left="217"/>
              <w:rPr>
                <w:rFonts w:eastAsia="Times New Roman"/>
                <w:sz w:val="18"/>
                <w:szCs w:val="18"/>
              </w:rPr>
            </w:pPr>
            <w:r w:rsidRPr="005644E5">
              <w:rPr>
                <w:rFonts w:eastAsia="Times New Roman"/>
                <w:sz w:val="18"/>
                <w:szCs w:val="18"/>
              </w:rPr>
              <w:t> </w:t>
            </w:r>
          </w:p>
        </w:tc>
        <w:tc>
          <w:tcPr>
            <w:tcW w:w="2431" w:type="pct"/>
            <w:gridSpan w:val="2"/>
            <w:tcBorders>
              <w:top w:val="single" w:sz="4" w:space="0" w:color="auto"/>
              <w:left w:val="nil"/>
              <w:bottom w:val="single" w:sz="4" w:space="0" w:color="auto"/>
              <w:right w:val="nil"/>
            </w:tcBorders>
            <w:shd w:val="clear" w:color="auto" w:fill="auto"/>
            <w:vAlign w:val="center"/>
            <w:hideMark/>
          </w:tcPr>
          <w:p w14:paraId="35D6F4FB" w14:textId="77777777" w:rsidR="006220A2" w:rsidRPr="005644E5" w:rsidRDefault="003B2290" w:rsidP="001B5A15">
            <w:pPr>
              <w:ind w:right="194"/>
              <w:jc w:val="center"/>
              <w:rPr>
                <w:rFonts w:eastAsia="Times New Roman"/>
                <w:b/>
                <w:bCs/>
                <w:sz w:val="18"/>
                <w:szCs w:val="18"/>
              </w:rPr>
            </w:pPr>
            <w:r w:rsidRPr="005644E5">
              <w:rPr>
                <w:rFonts w:eastAsia="Times New Roman"/>
                <w:b/>
                <w:bCs/>
                <w:sz w:val="18"/>
                <w:szCs w:val="18"/>
              </w:rPr>
              <w:t>Eur</w:t>
            </w:r>
            <w:r w:rsidR="006220A2" w:rsidRPr="005644E5">
              <w:rPr>
                <w:rFonts w:eastAsia="Times New Roman"/>
                <w:b/>
                <w:bCs/>
                <w:sz w:val="18"/>
                <w:szCs w:val="18"/>
              </w:rPr>
              <w:t>os</w:t>
            </w:r>
          </w:p>
        </w:tc>
      </w:tr>
      <w:tr w:rsidR="00CA185F" w:rsidRPr="005644E5" w14:paraId="3E5EF58A" w14:textId="77777777" w:rsidTr="001B5A15">
        <w:trPr>
          <w:trHeight w:val="283"/>
          <w:jc w:val="center"/>
        </w:trPr>
        <w:tc>
          <w:tcPr>
            <w:tcW w:w="2569" w:type="pct"/>
            <w:tcBorders>
              <w:top w:val="nil"/>
              <w:left w:val="nil"/>
              <w:bottom w:val="single" w:sz="4" w:space="0" w:color="auto"/>
              <w:right w:val="nil"/>
            </w:tcBorders>
            <w:shd w:val="clear" w:color="auto" w:fill="auto"/>
            <w:vAlign w:val="center"/>
            <w:hideMark/>
          </w:tcPr>
          <w:p w14:paraId="7E722149" w14:textId="77777777" w:rsidR="00CA185F" w:rsidRPr="005644E5" w:rsidRDefault="00CA185F" w:rsidP="00CA185F">
            <w:pPr>
              <w:ind w:left="217"/>
              <w:rPr>
                <w:rFonts w:eastAsia="Times New Roman"/>
                <w:sz w:val="18"/>
                <w:szCs w:val="18"/>
              </w:rPr>
            </w:pPr>
            <w:r w:rsidRPr="005644E5">
              <w:rPr>
                <w:rFonts w:eastAsia="Times New Roman"/>
                <w:sz w:val="18"/>
                <w:szCs w:val="18"/>
              </w:rPr>
              <w:t> </w:t>
            </w:r>
          </w:p>
        </w:tc>
        <w:tc>
          <w:tcPr>
            <w:tcW w:w="1215" w:type="pct"/>
            <w:tcBorders>
              <w:top w:val="nil"/>
              <w:left w:val="nil"/>
              <w:bottom w:val="single" w:sz="4" w:space="0" w:color="auto"/>
              <w:right w:val="nil"/>
            </w:tcBorders>
            <w:shd w:val="clear" w:color="auto" w:fill="auto"/>
            <w:vAlign w:val="center"/>
            <w:hideMark/>
          </w:tcPr>
          <w:p w14:paraId="7B73FBE1" w14:textId="03C26DE3" w:rsidR="00CA185F" w:rsidRPr="005644E5" w:rsidRDefault="00CA185F" w:rsidP="001B5A15">
            <w:pPr>
              <w:ind w:right="194"/>
              <w:jc w:val="center"/>
              <w:rPr>
                <w:rFonts w:eastAsia="Times New Roman"/>
                <w:b/>
                <w:bCs/>
                <w:sz w:val="18"/>
                <w:szCs w:val="18"/>
              </w:rPr>
            </w:pPr>
            <w:r w:rsidRPr="005644E5">
              <w:rPr>
                <w:rFonts w:eastAsia="Times New Roman"/>
                <w:b/>
                <w:bCs/>
                <w:sz w:val="18"/>
                <w:szCs w:val="18"/>
              </w:rPr>
              <w:t>31/12/202</w:t>
            </w:r>
            <w:r w:rsidR="00DE5FC3">
              <w:rPr>
                <w:rFonts w:eastAsia="Times New Roman"/>
                <w:b/>
                <w:bCs/>
                <w:sz w:val="18"/>
                <w:szCs w:val="18"/>
              </w:rPr>
              <w:t>4</w:t>
            </w:r>
          </w:p>
        </w:tc>
        <w:tc>
          <w:tcPr>
            <w:tcW w:w="1216" w:type="pct"/>
            <w:tcBorders>
              <w:top w:val="nil"/>
              <w:left w:val="nil"/>
              <w:bottom w:val="single" w:sz="4" w:space="0" w:color="auto"/>
              <w:right w:val="nil"/>
            </w:tcBorders>
            <w:shd w:val="clear" w:color="auto" w:fill="auto"/>
            <w:vAlign w:val="center"/>
            <w:hideMark/>
          </w:tcPr>
          <w:p w14:paraId="2B92EB70" w14:textId="3B9F1D49" w:rsidR="00CA185F" w:rsidRPr="005644E5" w:rsidRDefault="00CA185F" w:rsidP="001B5A15">
            <w:pPr>
              <w:ind w:right="194"/>
              <w:jc w:val="center"/>
              <w:rPr>
                <w:rFonts w:eastAsia="Times New Roman"/>
                <w:b/>
                <w:bCs/>
                <w:sz w:val="18"/>
                <w:szCs w:val="18"/>
              </w:rPr>
            </w:pPr>
            <w:r w:rsidRPr="005644E5">
              <w:rPr>
                <w:rFonts w:eastAsia="Times New Roman"/>
                <w:b/>
                <w:bCs/>
                <w:sz w:val="18"/>
                <w:szCs w:val="18"/>
              </w:rPr>
              <w:t>31/12/202</w:t>
            </w:r>
            <w:r w:rsidR="00DE5FC3">
              <w:rPr>
                <w:rFonts w:eastAsia="Times New Roman"/>
                <w:b/>
                <w:bCs/>
                <w:sz w:val="18"/>
                <w:szCs w:val="18"/>
              </w:rPr>
              <w:t>3</w:t>
            </w:r>
          </w:p>
        </w:tc>
      </w:tr>
      <w:tr w:rsidR="00941E50" w:rsidRPr="005644E5" w14:paraId="3D5B43E0" w14:textId="77777777" w:rsidTr="001B5A15">
        <w:trPr>
          <w:trHeight w:val="283"/>
          <w:jc w:val="center"/>
        </w:trPr>
        <w:tc>
          <w:tcPr>
            <w:tcW w:w="2569" w:type="pct"/>
            <w:tcBorders>
              <w:top w:val="nil"/>
              <w:left w:val="nil"/>
              <w:bottom w:val="nil"/>
              <w:right w:val="nil"/>
            </w:tcBorders>
            <w:shd w:val="clear" w:color="auto" w:fill="auto"/>
            <w:vAlign w:val="center"/>
            <w:hideMark/>
          </w:tcPr>
          <w:p w14:paraId="5BFE7E68" w14:textId="77777777" w:rsidR="00941E50" w:rsidRPr="005644E5" w:rsidRDefault="00941E50" w:rsidP="00941E50">
            <w:pPr>
              <w:ind w:left="217"/>
              <w:rPr>
                <w:rFonts w:eastAsia="Times New Roman"/>
                <w:sz w:val="18"/>
                <w:szCs w:val="18"/>
              </w:rPr>
            </w:pPr>
            <w:r w:rsidRPr="005644E5">
              <w:rPr>
                <w:rFonts w:eastAsia="Times New Roman"/>
                <w:sz w:val="18"/>
                <w:szCs w:val="18"/>
              </w:rPr>
              <w:t>Tesorería</w:t>
            </w:r>
          </w:p>
        </w:tc>
        <w:tc>
          <w:tcPr>
            <w:tcW w:w="1215" w:type="pct"/>
            <w:tcBorders>
              <w:top w:val="nil"/>
              <w:left w:val="nil"/>
              <w:bottom w:val="nil"/>
              <w:right w:val="nil"/>
            </w:tcBorders>
            <w:shd w:val="clear" w:color="auto" w:fill="auto"/>
            <w:vAlign w:val="center"/>
          </w:tcPr>
          <w:p w14:paraId="4D443C5D" w14:textId="54542640" w:rsidR="00941E50" w:rsidRPr="00A7700C" w:rsidRDefault="00941E50" w:rsidP="00941E50">
            <w:pPr>
              <w:pBdr>
                <w:top w:val="none" w:sz="0" w:space="0" w:color="auto"/>
                <w:left w:val="none" w:sz="0" w:space="0" w:color="auto"/>
                <w:bottom w:val="none" w:sz="0" w:space="0" w:color="auto"/>
                <w:right w:val="none" w:sz="0" w:space="0" w:color="auto"/>
                <w:between w:val="none" w:sz="0" w:space="0" w:color="auto"/>
                <w:bar w:val="none" w:sz="0" w:color="auto"/>
              </w:pBdr>
              <w:ind w:right="194"/>
              <w:jc w:val="right"/>
              <w:outlineLvl w:val="9"/>
              <w:rPr>
                <w:sz w:val="18"/>
                <w:szCs w:val="18"/>
              </w:rPr>
            </w:pPr>
            <w:r>
              <w:rPr>
                <w:sz w:val="18"/>
                <w:szCs w:val="18"/>
              </w:rPr>
              <w:t>13.480.131,38</w:t>
            </w:r>
          </w:p>
        </w:tc>
        <w:tc>
          <w:tcPr>
            <w:tcW w:w="1216" w:type="pct"/>
            <w:tcBorders>
              <w:top w:val="nil"/>
              <w:left w:val="nil"/>
              <w:bottom w:val="nil"/>
              <w:right w:val="nil"/>
            </w:tcBorders>
            <w:shd w:val="clear" w:color="auto" w:fill="auto"/>
            <w:vAlign w:val="center"/>
            <w:hideMark/>
          </w:tcPr>
          <w:p w14:paraId="4DCC9ACB" w14:textId="1A92745E" w:rsidR="00941E50" w:rsidRPr="005644E5" w:rsidRDefault="00941E50" w:rsidP="00941E50">
            <w:pPr>
              <w:pBdr>
                <w:top w:val="none" w:sz="0" w:space="0" w:color="auto"/>
                <w:left w:val="none" w:sz="0" w:space="0" w:color="auto"/>
                <w:bottom w:val="none" w:sz="0" w:space="0" w:color="auto"/>
                <w:right w:val="none" w:sz="0" w:space="0" w:color="auto"/>
                <w:between w:val="none" w:sz="0" w:space="0" w:color="auto"/>
                <w:bar w:val="none" w:sz="0" w:color="auto"/>
              </w:pBdr>
              <w:ind w:right="194"/>
              <w:jc w:val="right"/>
              <w:outlineLvl w:val="9"/>
              <w:rPr>
                <w:rFonts w:eastAsia="Times New Roman"/>
                <w:sz w:val="18"/>
                <w:szCs w:val="18"/>
                <w:bdr w:val="none" w:sz="0" w:space="0" w:color="auto"/>
                <w:lang w:eastAsia="es-ES"/>
              </w:rPr>
            </w:pPr>
            <w:r w:rsidRPr="00A7700C">
              <w:rPr>
                <w:sz w:val="18"/>
                <w:szCs w:val="18"/>
              </w:rPr>
              <w:t>15.215.512,78</w:t>
            </w:r>
          </w:p>
        </w:tc>
      </w:tr>
      <w:tr w:rsidR="00941E50" w:rsidRPr="005644E5" w14:paraId="77F6E28B" w14:textId="77777777" w:rsidTr="001B5A15">
        <w:trPr>
          <w:trHeight w:val="283"/>
          <w:jc w:val="center"/>
        </w:trPr>
        <w:tc>
          <w:tcPr>
            <w:tcW w:w="2569" w:type="pct"/>
            <w:tcBorders>
              <w:top w:val="single" w:sz="4" w:space="0" w:color="auto"/>
              <w:left w:val="nil"/>
              <w:bottom w:val="single" w:sz="4" w:space="0" w:color="auto"/>
              <w:right w:val="nil"/>
            </w:tcBorders>
            <w:shd w:val="clear" w:color="auto" w:fill="auto"/>
            <w:vAlign w:val="center"/>
            <w:hideMark/>
          </w:tcPr>
          <w:p w14:paraId="7147B1F4" w14:textId="77777777" w:rsidR="00941E50" w:rsidRPr="005644E5" w:rsidRDefault="00941E50" w:rsidP="00941E50">
            <w:pPr>
              <w:ind w:left="217"/>
              <w:rPr>
                <w:rFonts w:eastAsia="Times New Roman"/>
                <w:b/>
                <w:bCs/>
                <w:sz w:val="18"/>
                <w:szCs w:val="18"/>
              </w:rPr>
            </w:pPr>
            <w:r w:rsidRPr="005644E5">
              <w:rPr>
                <w:rFonts w:eastAsia="Times New Roman"/>
                <w:b/>
                <w:bCs/>
                <w:sz w:val="18"/>
                <w:szCs w:val="18"/>
              </w:rPr>
              <w:t>Total</w:t>
            </w:r>
          </w:p>
        </w:tc>
        <w:tc>
          <w:tcPr>
            <w:tcW w:w="1215" w:type="pct"/>
            <w:tcBorders>
              <w:top w:val="single" w:sz="4" w:space="0" w:color="auto"/>
              <w:left w:val="nil"/>
              <w:bottom w:val="single" w:sz="4" w:space="0" w:color="auto"/>
              <w:right w:val="nil"/>
            </w:tcBorders>
            <w:shd w:val="clear" w:color="auto" w:fill="auto"/>
            <w:vAlign w:val="center"/>
          </w:tcPr>
          <w:p w14:paraId="6682C5B7" w14:textId="3B4C40DA" w:rsidR="00941E50" w:rsidRPr="005644E5" w:rsidRDefault="00941E50" w:rsidP="00941E50">
            <w:pPr>
              <w:pBdr>
                <w:top w:val="none" w:sz="0" w:space="0" w:color="auto"/>
                <w:left w:val="none" w:sz="0" w:space="0" w:color="auto"/>
                <w:bottom w:val="none" w:sz="0" w:space="0" w:color="auto"/>
                <w:right w:val="none" w:sz="0" w:space="0" w:color="auto"/>
                <w:between w:val="none" w:sz="0" w:space="0" w:color="auto"/>
                <w:bar w:val="none" w:sz="0" w:color="auto"/>
              </w:pBdr>
              <w:ind w:right="194"/>
              <w:jc w:val="right"/>
              <w:outlineLvl w:val="9"/>
              <w:rPr>
                <w:rFonts w:eastAsia="Times New Roman"/>
                <w:b/>
                <w:bCs/>
                <w:sz w:val="18"/>
                <w:szCs w:val="18"/>
                <w:bdr w:val="none" w:sz="0" w:space="0" w:color="auto"/>
                <w:lang w:eastAsia="es-ES"/>
              </w:rPr>
            </w:pPr>
            <w:r>
              <w:rPr>
                <w:b/>
                <w:bCs/>
                <w:sz w:val="18"/>
                <w:szCs w:val="18"/>
              </w:rPr>
              <w:t>13.480.131,38</w:t>
            </w:r>
          </w:p>
        </w:tc>
        <w:tc>
          <w:tcPr>
            <w:tcW w:w="1216" w:type="pct"/>
            <w:tcBorders>
              <w:top w:val="single" w:sz="4" w:space="0" w:color="auto"/>
              <w:left w:val="nil"/>
              <w:bottom w:val="single" w:sz="4" w:space="0" w:color="auto"/>
              <w:right w:val="nil"/>
            </w:tcBorders>
            <w:shd w:val="clear" w:color="auto" w:fill="auto"/>
            <w:vAlign w:val="center"/>
            <w:hideMark/>
          </w:tcPr>
          <w:p w14:paraId="41E7E2DC" w14:textId="78033186" w:rsidR="00941E50" w:rsidRPr="005644E5" w:rsidRDefault="00941E50" w:rsidP="00941E50">
            <w:pPr>
              <w:ind w:right="194"/>
              <w:jc w:val="right"/>
              <w:rPr>
                <w:b/>
                <w:bCs/>
                <w:sz w:val="18"/>
                <w:szCs w:val="18"/>
              </w:rPr>
            </w:pPr>
            <w:r>
              <w:rPr>
                <w:rFonts w:eastAsia="Times New Roman"/>
                <w:b/>
                <w:bCs/>
                <w:sz w:val="18"/>
                <w:szCs w:val="18"/>
                <w:bdr w:val="none" w:sz="0" w:space="0" w:color="auto"/>
                <w:lang w:eastAsia="es-ES"/>
              </w:rPr>
              <w:t>15.215.512,78</w:t>
            </w:r>
          </w:p>
        </w:tc>
      </w:tr>
    </w:tbl>
    <w:p w14:paraId="44807E67" w14:textId="543CF749" w:rsidR="006220A2" w:rsidRPr="00A53B56" w:rsidRDefault="005644E5">
      <w:pPr>
        <w:widowControl w:val="0"/>
        <w:numPr>
          <w:ilvl w:val="1"/>
          <w:numId w:val="16"/>
        </w:numPr>
        <w:pBdr>
          <w:top w:val="none" w:sz="0" w:space="0" w:color="auto"/>
          <w:left w:val="none" w:sz="0" w:space="0" w:color="auto"/>
          <w:bottom w:val="none" w:sz="0" w:space="0" w:color="auto"/>
          <w:right w:val="none" w:sz="0" w:space="0" w:color="auto"/>
          <w:between w:val="none" w:sz="0" w:space="0" w:color="auto"/>
          <w:bar w:val="none" w:sz="0" w:color="auto"/>
        </w:pBdr>
        <w:spacing w:before="200" w:after="120" w:line="260" w:lineRule="exact"/>
        <w:ind w:left="284" w:hanging="284"/>
        <w:outlineLvl w:val="9"/>
        <w:rPr>
          <w:b/>
          <w:sz w:val="20"/>
          <w:szCs w:val="22"/>
        </w:rPr>
      </w:pPr>
      <w:r>
        <w:rPr>
          <w:b/>
          <w:sz w:val="20"/>
          <w:szCs w:val="22"/>
        </w:rPr>
        <w:t xml:space="preserve"> </w:t>
      </w:r>
      <w:r w:rsidR="006220A2" w:rsidRPr="00A53B56">
        <w:rPr>
          <w:b/>
          <w:sz w:val="20"/>
          <w:szCs w:val="22"/>
        </w:rPr>
        <w:t>Pasivos financieros</w:t>
      </w:r>
    </w:p>
    <w:p w14:paraId="107E0811" w14:textId="77777777" w:rsidR="003E27B2" w:rsidRPr="00A53B56" w:rsidRDefault="006220A2" w:rsidP="00D67C6B">
      <w:pPr>
        <w:widowControl w:val="0"/>
        <w:spacing w:before="120" w:after="120" w:line="260" w:lineRule="exact"/>
        <w:jc w:val="both"/>
        <w:outlineLvl w:val="9"/>
        <w:rPr>
          <w:snapToGrid w:val="0"/>
          <w:sz w:val="20"/>
          <w:szCs w:val="22"/>
        </w:rPr>
      </w:pPr>
      <w:r w:rsidRPr="00A53B56">
        <w:rPr>
          <w:snapToGrid w:val="0"/>
          <w:sz w:val="20"/>
          <w:szCs w:val="22"/>
        </w:rPr>
        <w:t xml:space="preserve">El detalle de los pasivos financieros a </w:t>
      </w:r>
      <w:r w:rsidR="00077070" w:rsidRPr="00A53B56">
        <w:rPr>
          <w:snapToGrid w:val="0"/>
          <w:sz w:val="20"/>
          <w:szCs w:val="22"/>
        </w:rPr>
        <w:t>largo</w:t>
      </w:r>
      <w:r w:rsidRPr="00A53B56">
        <w:rPr>
          <w:snapToGrid w:val="0"/>
          <w:sz w:val="20"/>
          <w:szCs w:val="22"/>
        </w:rPr>
        <w:t xml:space="preserve"> </w:t>
      </w:r>
      <w:r w:rsidR="00716A99" w:rsidRPr="00A53B56">
        <w:rPr>
          <w:snapToGrid w:val="0"/>
          <w:sz w:val="20"/>
          <w:szCs w:val="22"/>
        </w:rPr>
        <w:t>plazo</w:t>
      </w:r>
      <w:r w:rsidRPr="00A53B56">
        <w:rPr>
          <w:snapToGrid w:val="0"/>
          <w:sz w:val="20"/>
          <w:szCs w:val="22"/>
        </w:rPr>
        <w:t xml:space="preserve"> es el siguiente, en euros:</w:t>
      </w:r>
    </w:p>
    <w:tbl>
      <w:tblPr>
        <w:tblW w:w="5000" w:type="pct"/>
        <w:tblCellMar>
          <w:left w:w="70" w:type="dxa"/>
          <w:right w:w="70" w:type="dxa"/>
        </w:tblCellMar>
        <w:tblLook w:val="04A0" w:firstRow="1" w:lastRow="0" w:firstColumn="1" w:lastColumn="0" w:noHBand="0" w:noVBand="1"/>
      </w:tblPr>
      <w:tblGrid>
        <w:gridCol w:w="3784"/>
        <w:gridCol w:w="1249"/>
        <w:gridCol w:w="1249"/>
        <w:gridCol w:w="223"/>
        <w:gridCol w:w="1026"/>
        <w:gridCol w:w="1250"/>
      </w:tblGrid>
      <w:tr w:rsidR="009527C4" w:rsidRPr="00A53B56" w14:paraId="1357046D" w14:textId="77777777" w:rsidTr="00DE5FC3">
        <w:trPr>
          <w:trHeight w:val="227"/>
        </w:trPr>
        <w:tc>
          <w:tcPr>
            <w:tcW w:w="2155" w:type="pct"/>
            <w:tcBorders>
              <w:top w:val="single" w:sz="4" w:space="0" w:color="auto"/>
              <w:left w:val="nil"/>
              <w:bottom w:val="nil"/>
              <w:right w:val="nil"/>
            </w:tcBorders>
            <w:shd w:val="clear" w:color="auto" w:fill="auto"/>
            <w:noWrap/>
            <w:vAlign w:val="center"/>
            <w:hideMark/>
          </w:tcPr>
          <w:p w14:paraId="4E083510" w14:textId="77777777" w:rsidR="009527C4" w:rsidRPr="00A53B56" w:rsidRDefault="009527C4" w:rsidP="009527C4">
            <w:pPr>
              <w:pBdr>
                <w:top w:val="none" w:sz="0" w:space="0" w:color="auto"/>
                <w:left w:val="none" w:sz="0" w:space="0" w:color="auto"/>
                <w:bottom w:val="none" w:sz="0" w:space="0" w:color="auto"/>
                <w:right w:val="none" w:sz="0" w:space="0" w:color="auto"/>
                <w:between w:val="none" w:sz="0" w:space="0" w:color="auto"/>
                <w:bar w:val="none" w:sz="0" w:color="auto"/>
              </w:pBdr>
              <w:outlineLvl w:val="9"/>
              <w:rPr>
                <w:rFonts w:ascii="Times New Roman" w:eastAsia="Times New Roman" w:hAnsi="Times New Roman" w:cs="Times New Roman"/>
                <w:color w:val="auto"/>
                <w:sz w:val="18"/>
                <w:szCs w:val="18"/>
                <w:bdr w:val="none" w:sz="0" w:space="0" w:color="auto"/>
                <w:lang w:eastAsia="es-ES"/>
              </w:rPr>
            </w:pPr>
          </w:p>
        </w:tc>
        <w:tc>
          <w:tcPr>
            <w:tcW w:w="2845" w:type="pct"/>
            <w:gridSpan w:val="5"/>
            <w:tcBorders>
              <w:top w:val="single" w:sz="4" w:space="0" w:color="auto"/>
              <w:left w:val="nil"/>
              <w:bottom w:val="nil"/>
              <w:right w:val="nil"/>
            </w:tcBorders>
            <w:shd w:val="clear" w:color="auto" w:fill="auto"/>
            <w:noWrap/>
            <w:vAlign w:val="bottom"/>
            <w:hideMark/>
          </w:tcPr>
          <w:p w14:paraId="2BE88C31" w14:textId="77777777" w:rsidR="009527C4" w:rsidRPr="00A53B56" w:rsidRDefault="009527C4" w:rsidP="00447C36">
            <w:pPr>
              <w:pBdr>
                <w:top w:val="none" w:sz="0" w:space="0" w:color="auto"/>
                <w:left w:val="none" w:sz="0" w:space="0" w:color="auto"/>
                <w:bottom w:val="none" w:sz="0" w:space="0" w:color="auto"/>
                <w:right w:val="none" w:sz="0" w:space="0" w:color="auto"/>
                <w:between w:val="none" w:sz="0" w:space="0" w:color="auto"/>
                <w:bar w:val="none" w:sz="0" w:color="auto"/>
              </w:pBdr>
              <w:jc w:val="center"/>
              <w:outlineLvl w:val="9"/>
              <w:rPr>
                <w:rFonts w:eastAsia="Times New Roman"/>
                <w:b/>
                <w:bCs/>
                <w:sz w:val="18"/>
                <w:szCs w:val="18"/>
                <w:bdr w:val="none" w:sz="0" w:space="0" w:color="auto"/>
                <w:lang w:eastAsia="es-ES"/>
              </w:rPr>
            </w:pPr>
            <w:r w:rsidRPr="00A53B56">
              <w:rPr>
                <w:rFonts w:eastAsia="Times New Roman"/>
                <w:b/>
                <w:bCs/>
                <w:sz w:val="18"/>
                <w:szCs w:val="18"/>
                <w:bdr w:val="none" w:sz="0" w:space="0" w:color="auto"/>
                <w:lang w:eastAsia="es-ES"/>
              </w:rPr>
              <w:t>Euros</w:t>
            </w:r>
          </w:p>
        </w:tc>
      </w:tr>
      <w:tr w:rsidR="000715CB" w:rsidRPr="00A53B56" w14:paraId="120A16DE" w14:textId="77777777" w:rsidTr="00DE5FC3">
        <w:trPr>
          <w:trHeight w:val="227"/>
        </w:trPr>
        <w:tc>
          <w:tcPr>
            <w:tcW w:w="2155" w:type="pct"/>
            <w:tcBorders>
              <w:top w:val="nil"/>
              <w:left w:val="nil"/>
              <w:right w:val="nil"/>
            </w:tcBorders>
            <w:shd w:val="clear" w:color="auto" w:fill="auto"/>
            <w:noWrap/>
            <w:vAlign w:val="center"/>
            <w:hideMark/>
          </w:tcPr>
          <w:p w14:paraId="0C518E29" w14:textId="77777777" w:rsidR="009527C4" w:rsidRPr="00A53B56" w:rsidRDefault="009527C4" w:rsidP="009527C4">
            <w:pPr>
              <w:pBdr>
                <w:top w:val="none" w:sz="0" w:space="0" w:color="auto"/>
                <w:left w:val="none" w:sz="0" w:space="0" w:color="auto"/>
                <w:bottom w:val="none" w:sz="0" w:space="0" w:color="auto"/>
                <w:right w:val="none" w:sz="0" w:space="0" w:color="auto"/>
                <w:between w:val="none" w:sz="0" w:space="0" w:color="auto"/>
                <w:bar w:val="none" w:sz="0" w:color="auto"/>
              </w:pBdr>
              <w:jc w:val="center"/>
              <w:outlineLvl w:val="9"/>
              <w:rPr>
                <w:rFonts w:eastAsia="Times New Roman"/>
                <w:b/>
                <w:bCs/>
                <w:sz w:val="18"/>
                <w:szCs w:val="18"/>
                <w:bdr w:val="none" w:sz="0" w:space="0" w:color="auto"/>
                <w:lang w:eastAsia="es-ES"/>
              </w:rPr>
            </w:pPr>
          </w:p>
        </w:tc>
        <w:tc>
          <w:tcPr>
            <w:tcW w:w="2845" w:type="pct"/>
            <w:gridSpan w:val="5"/>
            <w:tcBorders>
              <w:top w:val="single" w:sz="4" w:space="0" w:color="auto"/>
              <w:left w:val="nil"/>
              <w:bottom w:val="single" w:sz="4" w:space="0" w:color="auto"/>
              <w:right w:val="nil"/>
            </w:tcBorders>
            <w:shd w:val="clear" w:color="auto" w:fill="auto"/>
            <w:noWrap/>
            <w:vAlign w:val="bottom"/>
            <w:hideMark/>
          </w:tcPr>
          <w:p w14:paraId="2FC77617" w14:textId="77777777" w:rsidR="009527C4" w:rsidRPr="00A53B56" w:rsidRDefault="009527C4" w:rsidP="00447C36">
            <w:pPr>
              <w:pBdr>
                <w:top w:val="none" w:sz="0" w:space="0" w:color="auto"/>
                <w:left w:val="none" w:sz="0" w:space="0" w:color="auto"/>
                <w:bottom w:val="none" w:sz="0" w:space="0" w:color="auto"/>
                <w:right w:val="none" w:sz="0" w:space="0" w:color="auto"/>
                <w:between w:val="none" w:sz="0" w:space="0" w:color="auto"/>
                <w:bar w:val="none" w:sz="0" w:color="auto"/>
              </w:pBdr>
              <w:jc w:val="center"/>
              <w:outlineLvl w:val="9"/>
              <w:rPr>
                <w:rFonts w:eastAsia="Times New Roman"/>
                <w:b/>
                <w:bCs/>
                <w:sz w:val="18"/>
                <w:szCs w:val="18"/>
                <w:bdr w:val="none" w:sz="0" w:space="0" w:color="auto"/>
                <w:lang w:eastAsia="es-ES"/>
              </w:rPr>
            </w:pPr>
            <w:r w:rsidRPr="00A53B56">
              <w:rPr>
                <w:rFonts w:eastAsia="Times New Roman"/>
                <w:b/>
                <w:bCs/>
                <w:sz w:val="18"/>
                <w:szCs w:val="18"/>
                <w:bdr w:val="none" w:sz="0" w:space="0" w:color="auto"/>
                <w:lang w:eastAsia="es-ES"/>
              </w:rPr>
              <w:t>Pasivos financieros a largo plazo</w:t>
            </w:r>
          </w:p>
        </w:tc>
      </w:tr>
      <w:tr w:rsidR="000715CB" w:rsidRPr="00A53B56" w14:paraId="52C1D251" w14:textId="77777777" w:rsidTr="00941E50">
        <w:trPr>
          <w:trHeight w:val="227"/>
        </w:trPr>
        <w:tc>
          <w:tcPr>
            <w:tcW w:w="2155" w:type="pct"/>
            <w:vMerge w:val="restart"/>
            <w:tcBorders>
              <w:top w:val="nil"/>
              <w:left w:val="nil"/>
              <w:bottom w:val="nil"/>
              <w:right w:val="nil"/>
            </w:tcBorders>
            <w:shd w:val="clear" w:color="auto" w:fill="auto"/>
            <w:noWrap/>
            <w:vAlign w:val="center"/>
            <w:hideMark/>
          </w:tcPr>
          <w:p w14:paraId="281BF334" w14:textId="77777777" w:rsidR="009527C4" w:rsidRPr="00A53B56" w:rsidRDefault="009527C4" w:rsidP="009527C4">
            <w:pPr>
              <w:pBdr>
                <w:top w:val="none" w:sz="0" w:space="0" w:color="auto"/>
                <w:left w:val="none" w:sz="0" w:space="0" w:color="auto"/>
                <w:bottom w:val="none" w:sz="0" w:space="0" w:color="auto"/>
                <w:right w:val="none" w:sz="0" w:space="0" w:color="auto"/>
                <w:between w:val="none" w:sz="0" w:space="0" w:color="auto"/>
                <w:bar w:val="none" w:sz="0" w:color="auto"/>
              </w:pBdr>
              <w:jc w:val="center"/>
              <w:outlineLvl w:val="9"/>
              <w:rPr>
                <w:rFonts w:eastAsia="Times New Roman"/>
                <w:b/>
                <w:bCs/>
                <w:sz w:val="18"/>
                <w:szCs w:val="18"/>
                <w:bdr w:val="none" w:sz="0" w:space="0" w:color="auto"/>
                <w:lang w:eastAsia="es-ES"/>
              </w:rPr>
            </w:pPr>
          </w:p>
        </w:tc>
        <w:tc>
          <w:tcPr>
            <w:tcW w:w="1549" w:type="pct"/>
            <w:gridSpan w:val="3"/>
            <w:vMerge w:val="restart"/>
            <w:tcBorders>
              <w:top w:val="nil"/>
              <w:left w:val="nil"/>
              <w:bottom w:val="nil"/>
              <w:right w:val="nil"/>
            </w:tcBorders>
            <w:shd w:val="clear" w:color="auto" w:fill="auto"/>
            <w:vAlign w:val="bottom"/>
            <w:hideMark/>
          </w:tcPr>
          <w:p w14:paraId="6EF735B4" w14:textId="77777777" w:rsidR="007E7835" w:rsidRPr="00A53B56" w:rsidRDefault="009527C4" w:rsidP="00447C36">
            <w:pPr>
              <w:pBdr>
                <w:top w:val="none" w:sz="0" w:space="0" w:color="auto"/>
                <w:left w:val="none" w:sz="0" w:space="0" w:color="auto"/>
                <w:bottom w:val="none" w:sz="0" w:space="0" w:color="auto"/>
                <w:right w:val="none" w:sz="0" w:space="0" w:color="auto"/>
                <w:between w:val="none" w:sz="0" w:space="0" w:color="auto"/>
                <w:bar w:val="none" w:sz="0" w:color="auto"/>
              </w:pBdr>
              <w:jc w:val="center"/>
              <w:outlineLvl w:val="9"/>
              <w:rPr>
                <w:rFonts w:eastAsia="Times New Roman"/>
                <w:b/>
                <w:bCs/>
                <w:sz w:val="18"/>
                <w:szCs w:val="18"/>
                <w:bdr w:val="none" w:sz="0" w:space="0" w:color="auto"/>
                <w:lang w:eastAsia="es-ES"/>
              </w:rPr>
            </w:pPr>
            <w:r w:rsidRPr="00A53B56">
              <w:rPr>
                <w:rFonts w:eastAsia="Times New Roman"/>
                <w:b/>
                <w:bCs/>
                <w:sz w:val="18"/>
                <w:szCs w:val="18"/>
                <w:bdr w:val="none" w:sz="0" w:space="0" w:color="auto"/>
                <w:lang w:eastAsia="es-ES"/>
              </w:rPr>
              <w:t xml:space="preserve">Deudas con </w:t>
            </w:r>
          </w:p>
          <w:p w14:paraId="534DE057" w14:textId="24BC82EB" w:rsidR="009527C4" w:rsidRPr="00A53B56" w:rsidRDefault="009527C4" w:rsidP="00447C36">
            <w:pPr>
              <w:pBdr>
                <w:top w:val="none" w:sz="0" w:space="0" w:color="auto"/>
                <w:left w:val="none" w:sz="0" w:space="0" w:color="auto"/>
                <w:bottom w:val="none" w:sz="0" w:space="0" w:color="auto"/>
                <w:right w:val="none" w:sz="0" w:space="0" w:color="auto"/>
                <w:between w:val="none" w:sz="0" w:space="0" w:color="auto"/>
                <w:bar w:val="none" w:sz="0" w:color="auto"/>
              </w:pBdr>
              <w:jc w:val="center"/>
              <w:outlineLvl w:val="9"/>
              <w:rPr>
                <w:rFonts w:eastAsia="Times New Roman"/>
                <w:b/>
                <w:bCs/>
                <w:sz w:val="18"/>
                <w:szCs w:val="18"/>
                <w:bdr w:val="none" w:sz="0" w:space="0" w:color="auto"/>
                <w:lang w:eastAsia="es-ES"/>
              </w:rPr>
            </w:pPr>
            <w:r w:rsidRPr="00A53B56">
              <w:rPr>
                <w:rFonts w:eastAsia="Times New Roman"/>
                <w:b/>
                <w:bCs/>
                <w:sz w:val="18"/>
                <w:szCs w:val="18"/>
                <w:bdr w:val="none" w:sz="0" w:space="0" w:color="auto"/>
                <w:lang w:eastAsia="es-ES"/>
              </w:rPr>
              <w:t>entidades de crédito</w:t>
            </w:r>
          </w:p>
        </w:tc>
        <w:tc>
          <w:tcPr>
            <w:tcW w:w="1296" w:type="pct"/>
            <w:gridSpan w:val="2"/>
            <w:tcBorders>
              <w:left w:val="nil"/>
              <w:right w:val="nil"/>
            </w:tcBorders>
            <w:shd w:val="clear" w:color="auto" w:fill="auto"/>
            <w:noWrap/>
            <w:vAlign w:val="bottom"/>
            <w:hideMark/>
          </w:tcPr>
          <w:p w14:paraId="6DA44A43" w14:textId="77777777" w:rsidR="009527C4" w:rsidRPr="00A53B56" w:rsidRDefault="009527C4" w:rsidP="00447C36">
            <w:pPr>
              <w:pBdr>
                <w:top w:val="none" w:sz="0" w:space="0" w:color="auto"/>
                <w:left w:val="none" w:sz="0" w:space="0" w:color="auto"/>
                <w:bottom w:val="none" w:sz="0" w:space="0" w:color="auto"/>
                <w:right w:val="none" w:sz="0" w:space="0" w:color="auto"/>
                <w:between w:val="none" w:sz="0" w:space="0" w:color="auto"/>
                <w:bar w:val="none" w:sz="0" w:color="auto"/>
              </w:pBdr>
              <w:jc w:val="center"/>
              <w:outlineLvl w:val="9"/>
              <w:rPr>
                <w:rFonts w:eastAsia="Times New Roman"/>
                <w:b/>
                <w:bCs/>
                <w:sz w:val="18"/>
                <w:szCs w:val="18"/>
                <w:bdr w:val="none" w:sz="0" w:space="0" w:color="auto"/>
                <w:lang w:eastAsia="es-ES"/>
              </w:rPr>
            </w:pPr>
            <w:r w:rsidRPr="00A53B56">
              <w:rPr>
                <w:rFonts w:eastAsia="Times New Roman"/>
                <w:b/>
                <w:bCs/>
                <w:sz w:val="18"/>
                <w:szCs w:val="18"/>
                <w:bdr w:val="none" w:sz="0" w:space="0" w:color="auto"/>
                <w:lang w:eastAsia="es-ES"/>
              </w:rPr>
              <w:t>Derivados</w:t>
            </w:r>
          </w:p>
        </w:tc>
      </w:tr>
      <w:tr w:rsidR="000715CB" w:rsidRPr="00A53B56" w14:paraId="0918363C" w14:textId="77777777" w:rsidTr="00941E50">
        <w:trPr>
          <w:trHeight w:val="227"/>
        </w:trPr>
        <w:tc>
          <w:tcPr>
            <w:tcW w:w="2155" w:type="pct"/>
            <w:vMerge/>
            <w:tcBorders>
              <w:left w:val="nil"/>
              <w:right w:val="nil"/>
            </w:tcBorders>
            <w:vAlign w:val="center"/>
            <w:hideMark/>
          </w:tcPr>
          <w:p w14:paraId="70AE4F81" w14:textId="77777777" w:rsidR="009527C4" w:rsidRPr="00A53B56" w:rsidRDefault="009527C4" w:rsidP="009527C4">
            <w:pPr>
              <w:pBdr>
                <w:top w:val="none" w:sz="0" w:space="0" w:color="auto"/>
                <w:left w:val="none" w:sz="0" w:space="0" w:color="auto"/>
                <w:bottom w:val="none" w:sz="0" w:space="0" w:color="auto"/>
                <w:right w:val="none" w:sz="0" w:space="0" w:color="auto"/>
                <w:between w:val="none" w:sz="0" w:space="0" w:color="auto"/>
                <w:bar w:val="none" w:sz="0" w:color="auto"/>
              </w:pBdr>
              <w:outlineLvl w:val="9"/>
              <w:rPr>
                <w:rFonts w:eastAsia="Times New Roman"/>
                <w:b/>
                <w:bCs/>
                <w:sz w:val="18"/>
                <w:szCs w:val="18"/>
                <w:bdr w:val="none" w:sz="0" w:space="0" w:color="auto"/>
                <w:lang w:eastAsia="es-ES"/>
              </w:rPr>
            </w:pPr>
          </w:p>
        </w:tc>
        <w:tc>
          <w:tcPr>
            <w:tcW w:w="1549" w:type="pct"/>
            <w:gridSpan w:val="3"/>
            <w:vMerge/>
            <w:tcBorders>
              <w:left w:val="nil"/>
              <w:bottom w:val="nil"/>
              <w:right w:val="nil"/>
            </w:tcBorders>
            <w:vAlign w:val="bottom"/>
            <w:hideMark/>
          </w:tcPr>
          <w:p w14:paraId="6A2CFF26" w14:textId="77777777" w:rsidR="009527C4" w:rsidRPr="00A53B56" w:rsidRDefault="009527C4" w:rsidP="00447C36">
            <w:pPr>
              <w:pBdr>
                <w:top w:val="none" w:sz="0" w:space="0" w:color="auto"/>
                <w:left w:val="none" w:sz="0" w:space="0" w:color="auto"/>
                <w:bottom w:val="none" w:sz="0" w:space="0" w:color="auto"/>
                <w:right w:val="none" w:sz="0" w:space="0" w:color="auto"/>
                <w:between w:val="none" w:sz="0" w:space="0" w:color="auto"/>
                <w:bar w:val="none" w:sz="0" w:color="auto"/>
              </w:pBdr>
              <w:jc w:val="center"/>
              <w:outlineLvl w:val="9"/>
              <w:rPr>
                <w:rFonts w:eastAsia="Times New Roman"/>
                <w:b/>
                <w:bCs/>
                <w:sz w:val="18"/>
                <w:szCs w:val="18"/>
                <w:bdr w:val="none" w:sz="0" w:space="0" w:color="auto"/>
                <w:lang w:eastAsia="es-ES"/>
              </w:rPr>
            </w:pPr>
          </w:p>
        </w:tc>
        <w:tc>
          <w:tcPr>
            <w:tcW w:w="1296" w:type="pct"/>
            <w:gridSpan w:val="2"/>
            <w:tcBorders>
              <w:left w:val="nil"/>
              <w:bottom w:val="nil"/>
              <w:right w:val="nil"/>
            </w:tcBorders>
            <w:shd w:val="clear" w:color="auto" w:fill="auto"/>
            <w:noWrap/>
            <w:vAlign w:val="bottom"/>
            <w:hideMark/>
          </w:tcPr>
          <w:p w14:paraId="5B45353C" w14:textId="77777777" w:rsidR="009527C4" w:rsidRPr="00A53B56" w:rsidRDefault="009527C4" w:rsidP="00447C36">
            <w:pPr>
              <w:pBdr>
                <w:top w:val="none" w:sz="0" w:space="0" w:color="auto"/>
                <w:left w:val="none" w:sz="0" w:space="0" w:color="auto"/>
                <w:bottom w:val="none" w:sz="0" w:space="0" w:color="auto"/>
                <w:right w:val="none" w:sz="0" w:space="0" w:color="auto"/>
                <w:between w:val="none" w:sz="0" w:space="0" w:color="auto"/>
                <w:bar w:val="none" w:sz="0" w:color="auto"/>
              </w:pBdr>
              <w:jc w:val="center"/>
              <w:outlineLvl w:val="9"/>
              <w:rPr>
                <w:rFonts w:eastAsia="Times New Roman"/>
                <w:b/>
                <w:bCs/>
                <w:sz w:val="18"/>
                <w:szCs w:val="18"/>
                <w:bdr w:val="none" w:sz="0" w:space="0" w:color="auto"/>
                <w:lang w:eastAsia="es-ES"/>
              </w:rPr>
            </w:pPr>
            <w:r w:rsidRPr="00A53B56">
              <w:rPr>
                <w:rFonts w:eastAsia="Times New Roman"/>
                <w:b/>
                <w:bCs/>
                <w:sz w:val="18"/>
                <w:szCs w:val="18"/>
                <w:bdr w:val="none" w:sz="0" w:space="0" w:color="auto"/>
                <w:lang w:eastAsia="es-ES"/>
              </w:rPr>
              <w:t>Otros</w:t>
            </w:r>
          </w:p>
        </w:tc>
      </w:tr>
      <w:tr w:rsidR="00CA185F" w:rsidRPr="00A53B56" w14:paraId="01877A3B" w14:textId="77777777" w:rsidTr="00941E50">
        <w:tblPrEx>
          <w:jc w:val="center"/>
        </w:tblPrEx>
        <w:trPr>
          <w:trHeight w:val="283"/>
          <w:jc w:val="center"/>
        </w:trPr>
        <w:tc>
          <w:tcPr>
            <w:tcW w:w="2155" w:type="pct"/>
            <w:tcBorders>
              <w:left w:val="nil"/>
              <w:bottom w:val="nil"/>
              <w:right w:val="nil"/>
            </w:tcBorders>
            <w:shd w:val="clear" w:color="auto" w:fill="auto"/>
            <w:noWrap/>
            <w:vAlign w:val="center"/>
            <w:hideMark/>
          </w:tcPr>
          <w:p w14:paraId="00E563CF" w14:textId="77777777" w:rsidR="00CA185F" w:rsidRPr="00A53B56" w:rsidRDefault="00CA185F" w:rsidP="00CA185F">
            <w:pPr>
              <w:pBdr>
                <w:top w:val="none" w:sz="0" w:space="0" w:color="auto"/>
                <w:left w:val="none" w:sz="0" w:space="0" w:color="auto"/>
                <w:bottom w:val="none" w:sz="0" w:space="0" w:color="auto"/>
                <w:right w:val="none" w:sz="0" w:space="0" w:color="auto"/>
                <w:between w:val="none" w:sz="0" w:space="0" w:color="auto"/>
                <w:bar w:val="none" w:sz="0" w:color="auto"/>
              </w:pBdr>
              <w:outlineLvl w:val="9"/>
              <w:rPr>
                <w:rFonts w:eastAsia="Times New Roman"/>
                <w:sz w:val="18"/>
                <w:szCs w:val="18"/>
                <w:bdr w:val="none" w:sz="0" w:space="0" w:color="auto"/>
                <w:lang w:eastAsia="es-ES"/>
              </w:rPr>
            </w:pPr>
            <w:r w:rsidRPr="00A53B56">
              <w:rPr>
                <w:rFonts w:eastAsia="Times New Roman"/>
                <w:sz w:val="18"/>
                <w:szCs w:val="18"/>
                <w:bdr w:val="none" w:sz="0" w:space="0" w:color="auto"/>
                <w:lang w:eastAsia="es-ES"/>
              </w:rPr>
              <w:t> </w:t>
            </w:r>
          </w:p>
        </w:tc>
        <w:tc>
          <w:tcPr>
            <w:tcW w:w="711" w:type="pct"/>
            <w:tcBorders>
              <w:top w:val="single" w:sz="4" w:space="0" w:color="auto"/>
              <w:left w:val="nil"/>
              <w:bottom w:val="nil"/>
              <w:right w:val="nil"/>
            </w:tcBorders>
            <w:shd w:val="clear" w:color="auto" w:fill="auto"/>
            <w:noWrap/>
            <w:vAlign w:val="bottom"/>
            <w:hideMark/>
          </w:tcPr>
          <w:p w14:paraId="7B329EAA" w14:textId="4309CBB7" w:rsidR="00CA185F" w:rsidRPr="00A53B56" w:rsidRDefault="00CA185F" w:rsidP="00CA185F">
            <w:pPr>
              <w:pBdr>
                <w:top w:val="none" w:sz="0" w:space="0" w:color="auto"/>
                <w:left w:val="none" w:sz="0" w:space="0" w:color="auto"/>
                <w:bottom w:val="none" w:sz="0" w:space="0" w:color="auto"/>
                <w:right w:val="none" w:sz="0" w:space="0" w:color="auto"/>
                <w:between w:val="none" w:sz="0" w:space="0" w:color="auto"/>
                <w:bar w:val="none" w:sz="0" w:color="auto"/>
              </w:pBdr>
              <w:jc w:val="center"/>
              <w:outlineLvl w:val="9"/>
              <w:rPr>
                <w:rFonts w:eastAsia="Times New Roman"/>
                <w:b/>
                <w:bCs/>
                <w:sz w:val="18"/>
                <w:szCs w:val="18"/>
                <w:bdr w:val="none" w:sz="0" w:space="0" w:color="auto"/>
                <w:lang w:eastAsia="es-ES"/>
              </w:rPr>
            </w:pPr>
            <w:r w:rsidRPr="00A53B56">
              <w:rPr>
                <w:rFonts w:eastAsia="Times New Roman"/>
                <w:b/>
                <w:bCs/>
                <w:sz w:val="18"/>
                <w:szCs w:val="18"/>
                <w:bdr w:val="none" w:sz="0" w:space="0" w:color="auto"/>
                <w:lang w:eastAsia="es-ES"/>
              </w:rPr>
              <w:t>31/12/202</w:t>
            </w:r>
            <w:r w:rsidR="00DE5FC3">
              <w:rPr>
                <w:rFonts w:eastAsia="Times New Roman"/>
                <w:b/>
                <w:bCs/>
                <w:sz w:val="18"/>
                <w:szCs w:val="18"/>
                <w:bdr w:val="none" w:sz="0" w:space="0" w:color="auto"/>
                <w:lang w:eastAsia="es-ES"/>
              </w:rPr>
              <w:t>4</w:t>
            </w:r>
          </w:p>
        </w:tc>
        <w:tc>
          <w:tcPr>
            <w:tcW w:w="711" w:type="pct"/>
            <w:tcBorders>
              <w:top w:val="single" w:sz="4" w:space="0" w:color="auto"/>
              <w:left w:val="nil"/>
              <w:bottom w:val="nil"/>
              <w:right w:val="nil"/>
            </w:tcBorders>
            <w:shd w:val="clear" w:color="auto" w:fill="auto"/>
            <w:noWrap/>
            <w:vAlign w:val="bottom"/>
            <w:hideMark/>
          </w:tcPr>
          <w:p w14:paraId="5FFDCEE0" w14:textId="45325206" w:rsidR="00CA185F" w:rsidRPr="00A53B56" w:rsidRDefault="00CA185F" w:rsidP="00CA185F">
            <w:pPr>
              <w:pBdr>
                <w:top w:val="none" w:sz="0" w:space="0" w:color="auto"/>
                <w:left w:val="none" w:sz="0" w:space="0" w:color="auto"/>
                <w:bottom w:val="none" w:sz="0" w:space="0" w:color="auto"/>
                <w:right w:val="none" w:sz="0" w:space="0" w:color="auto"/>
                <w:between w:val="none" w:sz="0" w:space="0" w:color="auto"/>
                <w:bar w:val="none" w:sz="0" w:color="auto"/>
              </w:pBdr>
              <w:jc w:val="center"/>
              <w:outlineLvl w:val="9"/>
              <w:rPr>
                <w:rFonts w:eastAsia="Times New Roman"/>
                <w:b/>
                <w:bCs/>
                <w:sz w:val="18"/>
                <w:szCs w:val="18"/>
                <w:bdr w:val="none" w:sz="0" w:space="0" w:color="auto"/>
                <w:lang w:eastAsia="es-ES"/>
              </w:rPr>
            </w:pPr>
            <w:r w:rsidRPr="00A53B56">
              <w:rPr>
                <w:rFonts w:eastAsia="Times New Roman"/>
                <w:b/>
                <w:bCs/>
                <w:sz w:val="18"/>
                <w:szCs w:val="18"/>
                <w:bdr w:val="none" w:sz="0" w:space="0" w:color="auto"/>
                <w:lang w:eastAsia="es-ES"/>
              </w:rPr>
              <w:t>31/12/202</w:t>
            </w:r>
            <w:r w:rsidR="00DE5FC3">
              <w:rPr>
                <w:rFonts w:eastAsia="Times New Roman"/>
                <w:b/>
                <w:bCs/>
                <w:sz w:val="18"/>
                <w:szCs w:val="18"/>
                <w:bdr w:val="none" w:sz="0" w:space="0" w:color="auto"/>
                <w:lang w:eastAsia="es-ES"/>
              </w:rPr>
              <w:t>3</w:t>
            </w:r>
          </w:p>
        </w:tc>
        <w:tc>
          <w:tcPr>
            <w:tcW w:w="711" w:type="pct"/>
            <w:gridSpan w:val="2"/>
            <w:tcBorders>
              <w:top w:val="single" w:sz="4" w:space="0" w:color="auto"/>
              <w:left w:val="nil"/>
              <w:bottom w:val="nil"/>
              <w:right w:val="nil"/>
            </w:tcBorders>
            <w:shd w:val="clear" w:color="auto" w:fill="auto"/>
            <w:noWrap/>
            <w:vAlign w:val="bottom"/>
            <w:hideMark/>
          </w:tcPr>
          <w:p w14:paraId="26F65B24" w14:textId="01BCDCF2" w:rsidR="00CA185F" w:rsidRPr="00A53B56" w:rsidRDefault="00CA185F" w:rsidP="00CA185F">
            <w:pPr>
              <w:pBdr>
                <w:top w:val="none" w:sz="0" w:space="0" w:color="auto"/>
                <w:left w:val="none" w:sz="0" w:space="0" w:color="auto"/>
                <w:bottom w:val="none" w:sz="0" w:space="0" w:color="auto"/>
                <w:right w:val="none" w:sz="0" w:space="0" w:color="auto"/>
                <w:between w:val="none" w:sz="0" w:space="0" w:color="auto"/>
                <w:bar w:val="none" w:sz="0" w:color="auto"/>
              </w:pBdr>
              <w:jc w:val="center"/>
              <w:outlineLvl w:val="9"/>
              <w:rPr>
                <w:rFonts w:eastAsia="Times New Roman"/>
                <w:b/>
                <w:bCs/>
                <w:sz w:val="18"/>
                <w:szCs w:val="18"/>
                <w:bdr w:val="none" w:sz="0" w:space="0" w:color="auto"/>
                <w:lang w:eastAsia="es-ES"/>
              </w:rPr>
            </w:pPr>
            <w:r w:rsidRPr="00A53B56">
              <w:rPr>
                <w:rFonts w:eastAsia="Times New Roman"/>
                <w:b/>
                <w:bCs/>
                <w:sz w:val="18"/>
                <w:szCs w:val="18"/>
                <w:bdr w:val="none" w:sz="0" w:space="0" w:color="auto"/>
                <w:lang w:eastAsia="es-ES"/>
              </w:rPr>
              <w:t>31/12/202</w:t>
            </w:r>
            <w:r w:rsidR="00DE5FC3">
              <w:rPr>
                <w:rFonts w:eastAsia="Times New Roman"/>
                <w:b/>
                <w:bCs/>
                <w:sz w:val="18"/>
                <w:szCs w:val="18"/>
                <w:bdr w:val="none" w:sz="0" w:space="0" w:color="auto"/>
                <w:lang w:eastAsia="es-ES"/>
              </w:rPr>
              <w:t>4</w:t>
            </w:r>
          </w:p>
        </w:tc>
        <w:tc>
          <w:tcPr>
            <w:tcW w:w="712" w:type="pct"/>
            <w:tcBorders>
              <w:top w:val="single" w:sz="4" w:space="0" w:color="auto"/>
              <w:left w:val="nil"/>
              <w:bottom w:val="nil"/>
              <w:right w:val="nil"/>
            </w:tcBorders>
            <w:shd w:val="clear" w:color="auto" w:fill="auto"/>
            <w:noWrap/>
            <w:vAlign w:val="bottom"/>
            <w:hideMark/>
          </w:tcPr>
          <w:p w14:paraId="54133FE8" w14:textId="30BFDF71" w:rsidR="00CA185F" w:rsidRPr="00A53B56" w:rsidRDefault="00CA185F" w:rsidP="00CA185F">
            <w:pPr>
              <w:pBdr>
                <w:top w:val="none" w:sz="0" w:space="0" w:color="auto"/>
                <w:left w:val="none" w:sz="0" w:space="0" w:color="auto"/>
                <w:bottom w:val="none" w:sz="0" w:space="0" w:color="auto"/>
                <w:right w:val="none" w:sz="0" w:space="0" w:color="auto"/>
                <w:between w:val="none" w:sz="0" w:space="0" w:color="auto"/>
                <w:bar w:val="none" w:sz="0" w:color="auto"/>
              </w:pBdr>
              <w:jc w:val="center"/>
              <w:outlineLvl w:val="9"/>
              <w:rPr>
                <w:rFonts w:eastAsia="Times New Roman"/>
                <w:b/>
                <w:bCs/>
                <w:sz w:val="18"/>
                <w:szCs w:val="18"/>
                <w:bdr w:val="none" w:sz="0" w:space="0" w:color="auto"/>
                <w:lang w:eastAsia="es-ES"/>
              </w:rPr>
            </w:pPr>
            <w:r w:rsidRPr="00A53B56">
              <w:rPr>
                <w:rFonts w:eastAsia="Times New Roman"/>
                <w:b/>
                <w:bCs/>
                <w:sz w:val="18"/>
                <w:szCs w:val="18"/>
                <w:bdr w:val="none" w:sz="0" w:space="0" w:color="auto"/>
                <w:lang w:eastAsia="es-ES"/>
              </w:rPr>
              <w:t>31/12/202</w:t>
            </w:r>
            <w:r w:rsidR="00DE5FC3">
              <w:rPr>
                <w:rFonts w:eastAsia="Times New Roman"/>
                <w:b/>
                <w:bCs/>
                <w:sz w:val="18"/>
                <w:szCs w:val="18"/>
                <w:bdr w:val="none" w:sz="0" w:space="0" w:color="auto"/>
                <w:lang w:eastAsia="es-ES"/>
              </w:rPr>
              <w:t>3</w:t>
            </w:r>
          </w:p>
        </w:tc>
      </w:tr>
      <w:tr w:rsidR="00941E50" w:rsidRPr="00A53B56" w14:paraId="7139B515" w14:textId="77777777" w:rsidTr="00941E50">
        <w:trPr>
          <w:trHeight w:val="283"/>
        </w:trPr>
        <w:tc>
          <w:tcPr>
            <w:tcW w:w="2155" w:type="pct"/>
            <w:tcBorders>
              <w:top w:val="single" w:sz="4" w:space="0" w:color="auto"/>
              <w:left w:val="nil"/>
              <w:bottom w:val="nil"/>
              <w:right w:val="nil"/>
            </w:tcBorders>
            <w:shd w:val="clear" w:color="auto" w:fill="auto"/>
            <w:noWrap/>
            <w:vAlign w:val="center"/>
            <w:hideMark/>
          </w:tcPr>
          <w:p w14:paraId="20FECB23" w14:textId="77777777" w:rsidR="00941E50" w:rsidRPr="00A53B56" w:rsidRDefault="00941E50" w:rsidP="00941E50">
            <w:pPr>
              <w:pBdr>
                <w:top w:val="none" w:sz="0" w:space="0" w:color="auto"/>
                <w:left w:val="none" w:sz="0" w:space="0" w:color="auto"/>
                <w:bottom w:val="none" w:sz="0" w:space="0" w:color="auto"/>
                <w:right w:val="none" w:sz="0" w:space="0" w:color="auto"/>
                <w:between w:val="none" w:sz="0" w:space="0" w:color="auto"/>
                <w:bar w:val="none" w:sz="0" w:color="auto"/>
              </w:pBdr>
              <w:outlineLvl w:val="9"/>
              <w:rPr>
                <w:rFonts w:eastAsia="Times New Roman"/>
                <w:sz w:val="18"/>
                <w:szCs w:val="18"/>
                <w:bdr w:val="none" w:sz="0" w:space="0" w:color="auto"/>
                <w:lang w:eastAsia="es-ES"/>
              </w:rPr>
            </w:pPr>
            <w:r w:rsidRPr="00A53B56">
              <w:rPr>
                <w:rFonts w:eastAsia="Times New Roman"/>
                <w:sz w:val="18"/>
                <w:szCs w:val="18"/>
                <w:bdr w:val="none" w:sz="0" w:space="0" w:color="auto"/>
                <w:lang w:eastAsia="es-ES"/>
              </w:rPr>
              <w:t>Pasivos financieros a coste amortizado</w:t>
            </w:r>
          </w:p>
          <w:p w14:paraId="4568DFD5" w14:textId="69C3BB74" w:rsidR="00941E50" w:rsidRPr="00A53B56" w:rsidRDefault="00941E50" w:rsidP="00941E50">
            <w:pPr>
              <w:pBdr>
                <w:top w:val="none" w:sz="0" w:space="0" w:color="auto"/>
                <w:left w:val="none" w:sz="0" w:space="0" w:color="auto"/>
                <w:bottom w:val="none" w:sz="0" w:space="0" w:color="auto"/>
                <w:right w:val="none" w:sz="0" w:space="0" w:color="auto"/>
                <w:between w:val="none" w:sz="0" w:space="0" w:color="auto"/>
                <w:bar w:val="none" w:sz="0" w:color="auto"/>
              </w:pBdr>
              <w:outlineLvl w:val="9"/>
              <w:rPr>
                <w:rFonts w:eastAsia="Times New Roman"/>
                <w:sz w:val="18"/>
                <w:szCs w:val="18"/>
                <w:bdr w:val="none" w:sz="0" w:space="0" w:color="auto"/>
                <w:lang w:eastAsia="es-ES"/>
              </w:rPr>
            </w:pPr>
            <w:r w:rsidRPr="00A53B56">
              <w:rPr>
                <w:rFonts w:eastAsia="Times New Roman"/>
                <w:sz w:val="18"/>
                <w:szCs w:val="18"/>
                <w:bdr w:val="none" w:sz="0" w:space="0" w:color="auto"/>
                <w:lang w:eastAsia="es-ES"/>
              </w:rPr>
              <w:t>(Nota 8.3.a)</w:t>
            </w:r>
          </w:p>
        </w:tc>
        <w:tc>
          <w:tcPr>
            <w:tcW w:w="711" w:type="pct"/>
            <w:tcBorders>
              <w:top w:val="single" w:sz="4" w:space="0" w:color="auto"/>
              <w:left w:val="nil"/>
              <w:bottom w:val="nil"/>
              <w:right w:val="nil"/>
            </w:tcBorders>
            <w:shd w:val="clear" w:color="auto" w:fill="auto"/>
            <w:noWrap/>
            <w:vAlign w:val="center"/>
          </w:tcPr>
          <w:p w14:paraId="635FC346" w14:textId="4B0D317A" w:rsidR="00941E50" w:rsidRPr="00A53B56" w:rsidRDefault="00941E50" w:rsidP="00941E50">
            <w:pPr>
              <w:pBdr>
                <w:top w:val="none" w:sz="0" w:space="0" w:color="auto"/>
                <w:left w:val="none" w:sz="0" w:space="0" w:color="auto"/>
                <w:bottom w:val="none" w:sz="0" w:space="0" w:color="auto"/>
                <w:right w:val="none" w:sz="0" w:space="0" w:color="auto"/>
                <w:between w:val="none" w:sz="0" w:space="0" w:color="auto"/>
                <w:bar w:val="none" w:sz="0" w:color="auto"/>
              </w:pBdr>
              <w:jc w:val="right"/>
              <w:outlineLvl w:val="9"/>
              <w:rPr>
                <w:rFonts w:eastAsia="Times New Roman"/>
                <w:sz w:val="18"/>
                <w:szCs w:val="18"/>
                <w:bdr w:val="none" w:sz="0" w:space="0" w:color="auto"/>
                <w:lang w:eastAsia="es-ES"/>
              </w:rPr>
            </w:pPr>
            <w:r>
              <w:rPr>
                <w:sz w:val="18"/>
                <w:szCs w:val="18"/>
              </w:rPr>
              <w:t xml:space="preserve"> -</w:t>
            </w:r>
          </w:p>
        </w:tc>
        <w:tc>
          <w:tcPr>
            <w:tcW w:w="711" w:type="pct"/>
            <w:tcBorders>
              <w:top w:val="single" w:sz="4" w:space="0" w:color="auto"/>
              <w:left w:val="nil"/>
              <w:bottom w:val="nil"/>
              <w:right w:val="nil"/>
            </w:tcBorders>
            <w:shd w:val="clear" w:color="auto" w:fill="auto"/>
            <w:noWrap/>
            <w:vAlign w:val="center"/>
            <w:hideMark/>
          </w:tcPr>
          <w:p w14:paraId="6BD33203" w14:textId="39D858B2" w:rsidR="00941E50" w:rsidRPr="00A53B56" w:rsidRDefault="00941E50" w:rsidP="00941E50">
            <w:pPr>
              <w:pBdr>
                <w:top w:val="none" w:sz="0" w:space="0" w:color="auto"/>
                <w:left w:val="none" w:sz="0" w:space="0" w:color="auto"/>
                <w:bottom w:val="none" w:sz="0" w:space="0" w:color="auto"/>
                <w:right w:val="none" w:sz="0" w:space="0" w:color="auto"/>
                <w:between w:val="none" w:sz="0" w:space="0" w:color="auto"/>
                <w:bar w:val="none" w:sz="0" w:color="auto"/>
              </w:pBdr>
              <w:jc w:val="right"/>
              <w:outlineLvl w:val="9"/>
              <w:rPr>
                <w:rFonts w:eastAsia="Times New Roman"/>
                <w:sz w:val="18"/>
                <w:szCs w:val="18"/>
                <w:bdr w:val="none" w:sz="0" w:space="0" w:color="auto"/>
                <w:lang w:eastAsia="es-ES"/>
              </w:rPr>
            </w:pPr>
            <w:r>
              <w:rPr>
                <w:sz w:val="18"/>
                <w:szCs w:val="18"/>
              </w:rPr>
              <w:t xml:space="preserve"> -</w:t>
            </w:r>
          </w:p>
        </w:tc>
        <w:tc>
          <w:tcPr>
            <w:tcW w:w="711" w:type="pct"/>
            <w:gridSpan w:val="2"/>
            <w:tcBorders>
              <w:top w:val="single" w:sz="4" w:space="0" w:color="auto"/>
              <w:left w:val="nil"/>
              <w:bottom w:val="nil"/>
              <w:right w:val="nil"/>
            </w:tcBorders>
            <w:shd w:val="clear" w:color="auto" w:fill="auto"/>
            <w:noWrap/>
            <w:vAlign w:val="center"/>
          </w:tcPr>
          <w:p w14:paraId="20329846" w14:textId="720104AF" w:rsidR="00941E50" w:rsidRPr="00A53B56" w:rsidRDefault="00941E50" w:rsidP="00941E50">
            <w:pPr>
              <w:pBdr>
                <w:top w:val="none" w:sz="0" w:space="0" w:color="auto"/>
                <w:left w:val="none" w:sz="0" w:space="0" w:color="auto"/>
                <w:bottom w:val="none" w:sz="0" w:space="0" w:color="auto"/>
                <w:right w:val="none" w:sz="0" w:space="0" w:color="auto"/>
                <w:between w:val="none" w:sz="0" w:space="0" w:color="auto"/>
                <w:bar w:val="none" w:sz="0" w:color="auto"/>
              </w:pBdr>
              <w:jc w:val="right"/>
              <w:outlineLvl w:val="9"/>
              <w:rPr>
                <w:rFonts w:eastAsia="Times New Roman"/>
                <w:sz w:val="18"/>
                <w:szCs w:val="18"/>
                <w:bdr w:val="none" w:sz="0" w:space="0" w:color="auto"/>
                <w:lang w:eastAsia="es-ES"/>
              </w:rPr>
            </w:pPr>
            <w:r>
              <w:rPr>
                <w:sz w:val="18"/>
                <w:szCs w:val="18"/>
              </w:rPr>
              <w:t>5.768,00</w:t>
            </w:r>
          </w:p>
        </w:tc>
        <w:tc>
          <w:tcPr>
            <w:tcW w:w="712" w:type="pct"/>
            <w:tcBorders>
              <w:top w:val="single" w:sz="4" w:space="0" w:color="auto"/>
              <w:left w:val="nil"/>
              <w:bottom w:val="nil"/>
              <w:right w:val="nil"/>
            </w:tcBorders>
            <w:shd w:val="clear" w:color="auto" w:fill="auto"/>
            <w:noWrap/>
            <w:vAlign w:val="center"/>
          </w:tcPr>
          <w:p w14:paraId="50088095" w14:textId="7F738E24" w:rsidR="00941E50" w:rsidRPr="00A53B56" w:rsidRDefault="00941E50" w:rsidP="00941E50">
            <w:pPr>
              <w:pBdr>
                <w:top w:val="none" w:sz="0" w:space="0" w:color="auto"/>
                <w:left w:val="none" w:sz="0" w:space="0" w:color="auto"/>
                <w:bottom w:val="none" w:sz="0" w:space="0" w:color="auto"/>
                <w:right w:val="none" w:sz="0" w:space="0" w:color="auto"/>
                <w:between w:val="none" w:sz="0" w:space="0" w:color="auto"/>
                <w:bar w:val="none" w:sz="0" w:color="auto"/>
              </w:pBdr>
              <w:jc w:val="right"/>
              <w:outlineLvl w:val="9"/>
              <w:rPr>
                <w:rFonts w:eastAsia="Times New Roman"/>
                <w:sz w:val="18"/>
                <w:szCs w:val="18"/>
                <w:bdr w:val="none" w:sz="0" w:space="0" w:color="auto"/>
                <w:lang w:eastAsia="es-ES"/>
              </w:rPr>
            </w:pPr>
            <w:r>
              <w:rPr>
                <w:sz w:val="18"/>
                <w:szCs w:val="18"/>
              </w:rPr>
              <w:t>5.768,00</w:t>
            </w:r>
          </w:p>
        </w:tc>
      </w:tr>
      <w:tr w:rsidR="00941E50" w:rsidRPr="005644E5" w14:paraId="4CFAAB82" w14:textId="77777777" w:rsidTr="00941E50">
        <w:tblPrEx>
          <w:jc w:val="center"/>
        </w:tblPrEx>
        <w:trPr>
          <w:trHeight w:val="283"/>
          <w:jc w:val="center"/>
        </w:trPr>
        <w:tc>
          <w:tcPr>
            <w:tcW w:w="2155" w:type="pct"/>
            <w:tcBorders>
              <w:top w:val="single" w:sz="4" w:space="0" w:color="auto"/>
              <w:left w:val="nil"/>
              <w:bottom w:val="single" w:sz="4" w:space="0" w:color="auto"/>
              <w:right w:val="nil"/>
            </w:tcBorders>
            <w:shd w:val="clear" w:color="auto" w:fill="auto"/>
            <w:noWrap/>
            <w:vAlign w:val="center"/>
            <w:hideMark/>
          </w:tcPr>
          <w:p w14:paraId="4DE4E87B" w14:textId="77777777" w:rsidR="00941E50" w:rsidRPr="00A53B56" w:rsidRDefault="00941E50" w:rsidP="00941E50">
            <w:pPr>
              <w:pBdr>
                <w:top w:val="none" w:sz="0" w:space="0" w:color="auto"/>
                <w:left w:val="none" w:sz="0" w:space="0" w:color="auto"/>
                <w:bottom w:val="none" w:sz="0" w:space="0" w:color="auto"/>
                <w:right w:val="none" w:sz="0" w:space="0" w:color="auto"/>
                <w:between w:val="none" w:sz="0" w:space="0" w:color="auto"/>
                <w:bar w:val="none" w:sz="0" w:color="auto"/>
              </w:pBdr>
              <w:outlineLvl w:val="9"/>
              <w:rPr>
                <w:rFonts w:eastAsia="Times New Roman"/>
                <w:b/>
                <w:bCs/>
                <w:sz w:val="18"/>
                <w:szCs w:val="18"/>
                <w:bdr w:val="none" w:sz="0" w:space="0" w:color="auto"/>
                <w:lang w:eastAsia="es-ES"/>
              </w:rPr>
            </w:pPr>
            <w:r w:rsidRPr="00A53B56">
              <w:rPr>
                <w:rFonts w:eastAsia="Times New Roman"/>
                <w:b/>
                <w:bCs/>
                <w:sz w:val="18"/>
                <w:szCs w:val="18"/>
                <w:bdr w:val="none" w:sz="0" w:space="0" w:color="auto"/>
                <w:lang w:eastAsia="es-ES"/>
              </w:rPr>
              <w:t>Total</w:t>
            </w:r>
          </w:p>
        </w:tc>
        <w:tc>
          <w:tcPr>
            <w:tcW w:w="711" w:type="pct"/>
            <w:tcBorders>
              <w:top w:val="single" w:sz="4" w:space="0" w:color="auto"/>
              <w:left w:val="nil"/>
              <w:bottom w:val="single" w:sz="4" w:space="0" w:color="auto"/>
              <w:right w:val="nil"/>
            </w:tcBorders>
            <w:shd w:val="clear" w:color="auto" w:fill="auto"/>
            <w:noWrap/>
            <w:vAlign w:val="center"/>
          </w:tcPr>
          <w:p w14:paraId="61B78847" w14:textId="542FE92A" w:rsidR="00941E50" w:rsidRPr="00A53B56" w:rsidRDefault="00941E50" w:rsidP="00941E50">
            <w:pPr>
              <w:pBdr>
                <w:top w:val="none" w:sz="0" w:space="0" w:color="auto"/>
                <w:left w:val="none" w:sz="0" w:space="0" w:color="auto"/>
                <w:bottom w:val="none" w:sz="0" w:space="0" w:color="auto"/>
                <w:right w:val="none" w:sz="0" w:space="0" w:color="auto"/>
                <w:between w:val="none" w:sz="0" w:space="0" w:color="auto"/>
                <w:bar w:val="none" w:sz="0" w:color="auto"/>
              </w:pBdr>
              <w:jc w:val="right"/>
              <w:outlineLvl w:val="9"/>
              <w:rPr>
                <w:rFonts w:eastAsia="Times New Roman"/>
                <w:b/>
                <w:bCs/>
                <w:sz w:val="18"/>
                <w:szCs w:val="18"/>
                <w:bdr w:val="none" w:sz="0" w:space="0" w:color="auto"/>
                <w:lang w:eastAsia="es-ES"/>
              </w:rPr>
            </w:pPr>
            <w:r>
              <w:rPr>
                <w:b/>
                <w:bCs/>
                <w:sz w:val="18"/>
                <w:szCs w:val="18"/>
              </w:rPr>
              <w:t xml:space="preserve"> -</w:t>
            </w:r>
          </w:p>
        </w:tc>
        <w:tc>
          <w:tcPr>
            <w:tcW w:w="711" w:type="pct"/>
            <w:tcBorders>
              <w:top w:val="single" w:sz="4" w:space="0" w:color="auto"/>
              <w:left w:val="nil"/>
              <w:bottom w:val="single" w:sz="4" w:space="0" w:color="auto"/>
              <w:right w:val="nil"/>
            </w:tcBorders>
            <w:shd w:val="clear" w:color="auto" w:fill="auto"/>
            <w:noWrap/>
            <w:vAlign w:val="center"/>
            <w:hideMark/>
          </w:tcPr>
          <w:p w14:paraId="58F40494" w14:textId="6A11700F" w:rsidR="00941E50" w:rsidRPr="00A53B56" w:rsidRDefault="00941E50" w:rsidP="00941E50">
            <w:pPr>
              <w:pBdr>
                <w:top w:val="none" w:sz="0" w:space="0" w:color="auto"/>
                <w:left w:val="none" w:sz="0" w:space="0" w:color="auto"/>
                <w:bottom w:val="none" w:sz="0" w:space="0" w:color="auto"/>
                <w:right w:val="none" w:sz="0" w:space="0" w:color="auto"/>
                <w:between w:val="none" w:sz="0" w:space="0" w:color="auto"/>
                <w:bar w:val="none" w:sz="0" w:color="auto"/>
              </w:pBdr>
              <w:jc w:val="right"/>
              <w:outlineLvl w:val="9"/>
              <w:rPr>
                <w:rFonts w:eastAsia="Times New Roman"/>
                <w:b/>
                <w:bCs/>
                <w:sz w:val="18"/>
                <w:szCs w:val="18"/>
                <w:bdr w:val="none" w:sz="0" w:space="0" w:color="auto"/>
                <w:lang w:eastAsia="es-ES"/>
              </w:rPr>
            </w:pPr>
            <w:r>
              <w:rPr>
                <w:b/>
                <w:bCs/>
                <w:sz w:val="18"/>
                <w:szCs w:val="18"/>
              </w:rPr>
              <w:t xml:space="preserve"> -</w:t>
            </w:r>
          </w:p>
        </w:tc>
        <w:tc>
          <w:tcPr>
            <w:tcW w:w="711" w:type="pct"/>
            <w:gridSpan w:val="2"/>
            <w:tcBorders>
              <w:top w:val="single" w:sz="4" w:space="0" w:color="auto"/>
              <w:left w:val="nil"/>
              <w:bottom w:val="single" w:sz="4" w:space="0" w:color="auto"/>
              <w:right w:val="nil"/>
            </w:tcBorders>
            <w:shd w:val="clear" w:color="auto" w:fill="auto"/>
            <w:noWrap/>
            <w:vAlign w:val="center"/>
          </w:tcPr>
          <w:p w14:paraId="2460741D" w14:textId="2C1D9FB1" w:rsidR="00941E50" w:rsidRPr="00A53B56" w:rsidRDefault="00941E50" w:rsidP="00941E50">
            <w:pPr>
              <w:pBdr>
                <w:top w:val="none" w:sz="0" w:space="0" w:color="auto"/>
                <w:left w:val="none" w:sz="0" w:space="0" w:color="auto"/>
                <w:bottom w:val="none" w:sz="0" w:space="0" w:color="auto"/>
                <w:right w:val="none" w:sz="0" w:space="0" w:color="auto"/>
                <w:between w:val="none" w:sz="0" w:space="0" w:color="auto"/>
                <w:bar w:val="none" w:sz="0" w:color="auto"/>
              </w:pBdr>
              <w:jc w:val="right"/>
              <w:outlineLvl w:val="9"/>
              <w:rPr>
                <w:rFonts w:eastAsia="Times New Roman"/>
                <w:b/>
                <w:bCs/>
                <w:sz w:val="18"/>
                <w:szCs w:val="18"/>
                <w:bdr w:val="none" w:sz="0" w:space="0" w:color="auto"/>
                <w:lang w:eastAsia="es-ES"/>
              </w:rPr>
            </w:pPr>
            <w:r>
              <w:rPr>
                <w:b/>
                <w:bCs/>
                <w:sz w:val="18"/>
                <w:szCs w:val="18"/>
              </w:rPr>
              <w:t>5.768,00</w:t>
            </w:r>
          </w:p>
        </w:tc>
        <w:tc>
          <w:tcPr>
            <w:tcW w:w="712" w:type="pct"/>
            <w:tcBorders>
              <w:top w:val="single" w:sz="4" w:space="0" w:color="auto"/>
              <w:left w:val="nil"/>
              <w:bottom w:val="single" w:sz="4" w:space="0" w:color="auto"/>
              <w:right w:val="nil"/>
            </w:tcBorders>
            <w:shd w:val="clear" w:color="auto" w:fill="auto"/>
            <w:noWrap/>
            <w:vAlign w:val="center"/>
          </w:tcPr>
          <w:p w14:paraId="235347EA" w14:textId="018B115B" w:rsidR="00941E50" w:rsidRPr="005644E5" w:rsidRDefault="00941E50" w:rsidP="00941E50">
            <w:pPr>
              <w:pBdr>
                <w:top w:val="none" w:sz="0" w:space="0" w:color="auto"/>
                <w:left w:val="none" w:sz="0" w:space="0" w:color="auto"/>
                <w:bottom w:val="none" w:sz="0" w:space="0" w:color="auto"/>
                <w:right w:val="none" w:sz="0" w:space="0" w:color="auto"/>
                <w:between w:val="none" w:sz="0" w:space="0" w:color="auto"/>
                <w:bar w:val="none" w:sz="0" w:color="auto"/>
              </w:pBdr>
              <w:jc w:val="right"/>
              <w:outlineLvl w:val="9"/>
              <w:rPr>
                <w:rFonts w:eastAsia="Times New Roman"/>
                <w:b/>
                <w:bCs/>
                <w:sz w:val="18"/>
                <w:szCs w:val="18"/>
                <w:bdr w:val="none" w:sz="0" w:space="0" w:color="auto"/>
                <w:lang w:eastAsia="es-ES"/>
              </w:rPr>
            </w:pPr>
            <w:r>
              <w:rPr>
                <w:b/>
                <w:bCs/>
                <w:sz w:val="18"/>
                <w:szCs w:val="18"/>
              </w:rPr>
              <w:t>5.768,00</w:t>
            </w:r>
          </w:p>
        </w:tc>
      </w:tr>
    </w:tbl>
    <w:p w14:paraId="2A2D5910" w14:textId="77777777" w:rsidR="008E734E" w:rsidRDefault="008E734E" w:rsidP="00176BA0">
      <w:pPr>
        <w:keepNext/>
        <w:keepLines/>
        <w:widowControl w:val="0"/>
        <w:spacing w:before="120" w:after="120" w:line="260" w:lineRule="exact"/>
        <w:ind w:left="284"/>
        <w:jc w:val="both"/>
        <w:outlineLvl w:val="9"/>
        <w:rPr>
          <w:snapToGrid w:val="0"/>
          <w:sz w:val="20"/>
          <w:szCs w:val="22"/>
        </w:rPr>
      </w:pPr>
    </w:p>
    <w:p w14:paraId="56E07457" w14:textId="4E9AF81D" w:rsidR="00077070" w:rsidRPr="00037346" w:rsidRDefault="00077070" w:rsidP="00D67C6B">
      <w:pPr>
        <w:keepNext/>
        <w:keepLines/>
        <w:widowControl w:val="0"/>
        <w:spacing w:before="120" w:after="120" w:line="260" w:lineRule="exact"/>
        <w:jc w:val="both"/>
        <w:outlineLvl w:val="9"/>
        <w:rPr>
          <w:snapToGrid w:val="0"/>
          <w:sz w:val="20"/>
          <w:szCs w:val="22"/>
        </w:rPr>
      </w:pPr>
      <w:r w:rsidRPr="00037346">
        <w:rPr>
          <w:snapToGrid w:val="0"/>
          <w:sz w:val="20"/>
          <w:szCs w:val="22"/>
        </w:rPr>
        <w:t xml:space="preserve">El detalle de los pasivos financieros a corto </w:t>
      </w:r>
      <w:r w:rsidR="00716A99" w:rsidRPr="00037346">
        <w:rPr>
          <w:snapToGrid w:val="0"/>
          <w:sz w:val="20"/>
          <w:szCs w:val="22"/>
        </w:rPr>
        <w:t>plazo</w:t>
      </w:r>
      <w:r w:rsidRPr="00037346">
        <w:rPr>
          <w:snapToGrid w:val="0"/>
          <w:sz w:val="20"/>
          <w:szCs w:val="22"/>
        </w:rPr>
        <w:t xml:space="preserve"> es el siguiente, en euros:</w:t>
      </w:r>
    </w:p>
    <w:tbl>
      <w:tblPr>
        <w:tblW w:w="5000" w:type="pct"/>
        <w:tblCellMar>
          <w:left w:w="70" w:type="dxa"/>
          <w:right w:w="70" w:type="dxa"/>
        </w:tblCellMar>
        <w:tblLook w:val="04A0" w:firstRow="1" w:lastRow="0" w:firstColumn="1" w:lastColumn="0" w:noHBand="0" w:noVBand="1"/>
      </w:tblPr>
      <w:tblGrid>
        <w:gridCol w:w="3402"/>
        <w:gridCol w:w="1461"/>
        <w:gridCol w:w="1192"/>
        <w:gridCol w:w="1363"/>
        <w:gridCol w:w="1363"/>
      </w:tblGrid>
      <w:tr w:rsidR="00447C36" w:rsidRPr="00037346" w14:paraId="709F64FD" w14:textId="77777777" w:rsidTr="00176BA0">
        <w:trPr>
          <w:trHeight w:val="227"/>
        </w:trPr>
        <w:tc>
          <w:tcPr>
            <w:tcW w:w="1937" w:type="pct"/>
            <w:tcBorders>
              <w:top w:val="single" w:sz="4" w:space="0" w:color="auto"/>
              <w:left w:val="nil"/>
              <w:bottom w:val="nil"/>
              <w:right w:val="nil"/>
            </w:tcBorders>
            <w:shd w:val="clear" w:color="auto" w:fill="auto"/>
            <w:vAlign w:val="bottom"/>
          </w:tcPr>
          <w:p w14:paraId="4518FAF0" w14:textId="77777777" w:rsidR="00447C36" w:rsidRPr="00037346" w:rsidRDefault="00447C36" w:rsidP="00176BA0">
            <w:pPr>
              <w:keepNext/>
              <w:keepLines/>
              <w:pBdr>
                <w:top w:val="none" w:sz="0" w:space="0" w:color="auto"/>
                <w:left w:val="none" w:sz="0" w:space="0" w:color="auto"/>
                <w:bottom w:val="none" w:sz="0" w:space="0" w:color="auto"/>
                <w:right w:val="none" w:sz="0" w:space="0" w:color="auto"/>
                <w:between w:val="none" w:sz="0" w:space="0" w:color="auto"/>
                <w:bar w:val="none" w:sz="0" w:color="auto"/>
              </w:pBdr>
              <w:outlineLvl w:val="9"/>
              <w:rPr>
                <w:rFonts w:ascii="Times New Roman" w:eastAsia="Times New Roman" w:hAnsi="Times New Roman" w:cs="Times New Roman"/>
                <w:color w:val="auto"/>
                <w:sz w:val="18"/>
                <w:szCs w:val="18"/>
                <w:bdr w:val="none" w:sz="0" w:space="0" w:color="auto"/>
                <w:lang w:eastAsia="es-ES"/>
              </w:rPr>
            </w:pPr>
          </w:p>
        </w:tc>
        <w:tc>
          <w:tcPr>
            <w:tcW w:w="3063" w:type="pct"/>
            <w:gridSpan w:val="4"/>
            <w:tcBorders>
              <w:top w:val="single" w:sz="4" w:space="0" w:color="auto"/>
              <w:left w:val="nil"/>
              <w:bottom w:val="single" w:sz="4" w:space="0" w:color="auto"/>
              <w:right w:val="nil"/>
            </w:tcBorders>
            <w:shd w:val="clear" w:color="auto" w:fill="auto"/>
            <w:vAlign w:val="bottom"/>
          </w:tcPr>
          <w:p w14:paraId="6A5F99E2" w14:textId="77777777" w:rsidR="00447C36" w:rsidRPr="00037346" w:rsidRDefault="00447C36" w:rsidP="00176BA0">
            <w:pPr>
              <w:keepNext/>
              <w:keepLines/>
              <w:pBdr>
                <w:top w:val="none" w:sz="0" w:space="0" w:color="auto"/>
                <w:left w:val="none" w:sz="0" w:space="0" w:color="auto"/>
                <w:bottom w:val="none" w:sz="0" w:space="0" w:color="auto"/>
                <w:right w:val="none" w:sz="0" w:space="0" w:color="auto"/>
                <w:between w:val="none" w:sz="0" w:space="0" w:color="auto"/>
                <w:bar w:val="none" w:sz="0" w:color="auto"/>
              </w:pBdr>
              <w:jc w:val="center"/>
              <w:outlineLvl w:val="9"/>
              <w:rPr>
                <w:rFonts w:eastAsia="Times New Roman"/>
                <w:b/>
                <w:bCs/>
                <w:sz w:val="18"/>
                <w:szCs w:val="18"/>
                <w:bdr w:val="none" w:sz="0" w:space="0" w:color="auto"/>
                <w:lang w:eastAsia="es-ES"/>
              </w:rPr>
            </w:pPr>
            <w:r w:rsidRPr="00037346">
              <w:rPr>
                <w:rFonts w:eastAsia="Times New Roman"/>
                <w:b/>
                <w:bCs/>
                <w:sz w:val="18"/>
                <w:szCs w:val="18"/>
                <w:bdr w:val="none" w:sz="0" w:space="0" w:color="auto"/>
                <w:lang w:eastAsia="es-ES"/>
              </w:rPr>
              <w:t>Euros</w:t>
            </w:r>
          </w:p>
        </w:tc>
      </w:tr>
      <w:tr w:rsidR="009527C4" w:rsidRPr="00037346" w14:paraId="56BC7544" w14:textId="77777777" w:rsidTr="00176BA0">
        <w:trPr>
          <w:trHeight w:val="227"/>
        </w:trPr>
        <w:tc>
          <w:tcPr>
            <w:tcW w:w="1937" w:type="pct"/>
            <w:tcBorders>
              <w:top w:val="nil"/>
              <w:left w:val="nil"/>
              <w:bottom w:val="nil"/>
              <w:right w:val="nil"/>
            </w:tcBorders>
            <w:shd w:val="clear" w:color="auto" w:fill="auto"/>
            <w:vAlign w:val="bottom"/>
            <w:hideMark/>
          </w:tcPr>
          <w:p w14:paraId="2DF241B6" w14:textId="77777777" w:rsidR="009527C4" w:rsidRPr="00037346" w:rsidRDefault="009527C4" w:rsidP="007E7835">
            <w:pPr>
              <w:keepNext/>
              <w:keepLines/>
              <w:pBdr>
                <w:top w:val="none" w:sz="0" w:space="0" w:color="auto"/>
                <w:left w:val="none" w:sz="0" w:space="0" w:color="auto"/>
                <w:bottom w:val="none" w:sz="0" w:space="0" w:color="auto"/>
                <w:right w:val="none" w:sz="0" w:space="0" w:color="auto"/>
                <w:between w:val="none" w:sz="0" w:space="0" w:color="auto"/>
                <w:bar w:val="none" w:sz="0" w:color="auto"/>
              </w:pBdr>
              <w:outlineLvl w:val="9"/>
              <w:rPr>
                <w:rFonts w:ascii="Times New Roman" w:eastAsia="Times New Roman" w:hAnsi="Times New Roman" w:cs="Times New Roman"/>
                <w:color w:val="auto"/>
                <w:sz w:val="18"/>
                <w:szCs w:val="18"/>
                <w:bdr w:val="none" w:sz="0" w:space="0" w:color="auto"/>
                <w:lang w:eastAsia="es-ES"/>
              </w:rPr>
            </w:pPr>
          </w:p>
        </w:tc>
        <w:tc>
          <w:tcPr>
            <w:tcW w:w="3063" w:type="pct"/>
            <w:gridSpan w:val="4"/>
            <w:tcBorders>
              <w:top w:val="single" w:sz="4" w:space="0" w:color="auto"/>
              <w:left w:val="nil"/>
              <w:bottom w:val="single" w:sz="4" w:space="0" w:color="auto"/>
              <w:right w:val="nil"/>
            </w:tcBorders>
            <w:shd w:val="clear" w:color="auto" w:fill="auto"/>
            <w:vAlign w:val="bottom"/>
            <w:hideMark/>
          </w:tcPr>
          <w:p w14:paraId="41CFAA13" w14:textId="77777777" w:rsidR="009527C4" w:rsidRPr="00037346" w:rsidRDefault="009527C4" w:rsidP="007E7835">
            <w:pPr>
              <w:keepNext/>
              <w:keepLines/>
              <w:pBdr>
                <w:top w:val="none" w:sz="0" w:space="0" w:color="auto"/>
                <w:left w:val="none" w:sz="0" w:space="0" w:color="auto"/>
                <w:bottom w:val="none" w:sz="0" w:space="0" w:color="auto"/>
                <w:right w:val="none" w:sz="0" w:space="0" w:color="auto"/>
                <w:between w:val="none" w:sz="0" w:space="0" w:color="auto"/>
                <w:bar w:val="none" w:sz="0" w:color="auto"/>
              </w:pBdr>
              <w:jc w:val="center"/>
              <w:outlineLvl w:val="9"/>
              <w:rPr>
                <w:rFonts w:eastAsia="Times New Roman"/>
                <w:b/>
                <w:bCs/>
                <w:sz w:val="18"/>
                <w:szCs w:val="18"/>
                <w:bdr w:val="none" w:sz="0" w:space="0" w:color="auto"/>
                <w:lang w:eastAsia="es-ES"/>
              </w:rPr>
            </w:pPr>
            <w:r w:rsidRPr="00037346">
              <w:rPr>
                <w:rFonts w:eastAsia="Times New Roman"/>
                <w:b/>
                <w:bCs/>
                <w:sz w:val="18"/>
                <w:szCs w:val="18"/>
                <w:bdr w:val="none" w:sz="0" w:space="0" w:color="auto"/>
                <w:lang w:eastAsia="es-ES"/>
              </w:rPr>
              <w:t>Pasivos financieros a corto plazo</w:t>
            </w:r>
          </w:p>
        </w:tc>
      </w:tr>
      <w:tr w:rsidR="000715CB" w:rsidRPr="00037346" w14:paraId="384DF366" w14:textId="77777777" w:rsidTr="00176BA0">
        <w:trPr>
          <w:trHeight w:val="227"/>
        </w:trPr>
        <w:tc>
          <w:tcPr>
            <w:tcW w:w="1937" w:type="pct"/>
            <w:vMerge w:val="restart"/>
            <w:tcBorders>
              <w:top w:val="nil"/>
              <w:left w:val="nil"/>
              <w:bottom w:val="nil"/>
              <w:right w:val="nil"/>
            </w:tcBorders>
            <w:shd w:val="clear" w:color="auto" w:fill="auto"/>
            <w:vAlign w:val="bottom"/>
            <w:hideMark/>
          </w:tcPr>
          <w:p w14:paraId="16EB8DCB" w14:textId="77777777" w:rsidR="009527C4" w:rsidRPr="00037346" w:rsidRDefault="009527C4" w:rsidP="007E7835">
            <w:pPr>
              <w:keepNext/>
              <w:keepLines/>
              <w:pBdr>
                <w:top w:val="none" w:sz="0" w:space="0" w:color="auto"/>
                <w:left w:val="none" w:sz="0" w:space="0" w:color="auto"/>
                <w:bottom w:val="none" w:sz="0" w:space="0" w:color="auto"/>
                <w:right w:val="none" w:sz="0" w:space="0" w:color="auto"/>
                <w:between w:val="none" w:sz="0" w:space="0" w:color="auto"/>
                <w:bar w:val="none" w:sz="0" w:color="auto"/>
              </w:pBdr>
              <w:jc w:val="center"/>
              <w:outlineLvl w:val="9"/>
              <w:rPr>
                <w:rFonts w:eastAsia="Times New Roman"/>
                <w:b/>
                <w:bCs/>
                <w:sz w:val="18"/>
                <w:szCs w:val="18"/>
                <w:bdr w:val="none" w:sz="0" w:space="0" w:color="auto"/>
                <w:lang w:eastAsia="es-ES"/>
              </w:rPr>
            </w:pPr>
          </w:p>
        </w:tc>
        <w:tc>
          <w:tcPr>
            <w:tcW w:w="1511" w:type="pct"/>
            <w:gridSpan w:val="2"/>
            <w:tcBorders>
              <w:top w:val="nil"/>
              <w:left w:val="nil"/>
              <w:bottom w:val="nil"/>
              <w:right w:val="nil"/>
            </w:tcBorders>
            <w:shd w:val="clear" w:color="auto" w:fill="auto"/>
            <w:vAlign w:val="bottom"/>
            <w:hideMark/>
          </w:tcPr>
          <w:p w14:paraId="65AB6149" w14:textId="06BAD956" w:rsidR="009527C4" w:rsidRPr="00037346" w:rsidRDefault="009527C4" w:rsidP="007E7835">
            <w:pPr>
              <w:keepNext/>
              <w:keepLines/>
              <w:pBdr>
                <w:top w:val="none" w:sz="0" w:space="0" w:color="auto"/>
                <w:left w:val="none" w:sz="0" w:space="0" w:color="auto"/>
                <w:bottom w:val="none" w:sz="0" w:space="0" w:color="auto"/>
                <w:right w:val="none" w:sz="0" w:space="0" w:color="auto"/>
                <w:between w:val="none" w:sz="0" w:space="0" w:color="auto"/>
                <w:bar w:val="none" w:sz="0" w:color="auto"/>
              </w:pBdr>
              <w:jc w:val="center"/>
              <w:outlineLvl w:val="9"/>
              <w:rPr>
                <w:rFonts w:eastAsia="Times New Roman"/>
                <w:b/>
                <w:bCs/>
                <w:sz w:val="18"/>
                <w:szCs w:val="18"/>
                <w:bdr w:val="none" w:sz="0" w:space="0" w:color="auto"/>
                <w:lang w:eastAsia="es-ES"/>
              </w:rPr>
            </w:pPr>
            <w:r w:rsidRPr="00037346">
              <w:rPr>
                <w:rFonts w:eastAsia="Times New Roman"/>
                <w:b/>
                <w:bCs/>
                <w:sz w:val="18"/>
                <w:szCs w:val="18"/>
                <w:bdr w:val="none" w:sz="0" w:space="0" w:color="auto"/>
                <w:lang w:eastAsia="es-ES"/>
              </w:rPr>
              <w:t>Deudas con entidades</w:t>
            </w:r>
          </w:p>
        </w:tc>
        <w:tc>
          <w:tcPr>
            <w:tcW w:w="1552" w:type="pct"/>
            <w:gridSpan w:val="2"/>
            <w:tcBorders>
              <w:top w:val="nil"/>
              <w:left w:val="nil"/>
              <w:bottom w:val="nil"/>
              <w:right w:val="nil"/>
            </w:tcBorders>
            <w:shd w:val="clear" w:color="auto" w:fill="auto"/>
            <w:vAlign w:val="bottom"/>
            <w:hideMark/>
          </w:tcPr>
          <w:p w14:paraId="7AC024BA" w14:textId="77777777" w:rsidR="009527C4" w:rsidRPr="00037346" w:rsidRDefault="009527C4" w:rsidP="007E7835">
            <w:pPr>
              <w:keepNext/>
              <w:keepLines/>
              <w:pBdr>
                <w:top w:val="none" w:sz="0" w:space="0" w:color="auto"/>
                <w:left w:val="none" w:sz="0" w:space="0" w:color="auto"/>
                <w:bottom w:val="none" w:sz="0" w:space="0" w:color="auto"/>
                <w:right w:val="none" w:sz="0" w:space="0" w:color="auto"/>
                <w:between w:val="none" w:sz="0" w:space="0" w:color="auto"/>
                <w:bar w:val="none" w:sz="0" w:color="auto"/>
              </w:pBdr>
              <w:jc w:val="center"/>
              <w:outlineLvl w:val="9"/>
              <w:rPr>
                <w:rFonts w:eastAsia="Times New Roman"/>
                <w:b/>
                <w:bCs/>
                <w:sz w:val="18"/>
                <w:szCs w:val="18"/>
                <w:bdr w:val="none" w:sz="0" w:space="0" w:color="auto"/>
                <w:lang w:eastAsia="es-ES"/>
              </w:rPr>
            </w:pPr>
            <w:r w:rsidRPr="00037346">
              <w:rPr>
                <w:rFonts w:eastAsia="Times New Roman"/>
                <w:b/>
                <w:bCs/>
                <w:sz w:val="18"/>
                <w:szCs w:val="18"/>
                <w:bdr w:val="none" w:sz="0" w:space="0" w:color="auto"/>
                <w:lang w:eastAsia="es-ES"/>
              </w:rPr>
              <w:t>Derivados y</w:t>
            </w:r>
          </w:p>
        </w:tc>
      </w:tr>
      <w:tr w:rsidR="000715CB" w:rsidRPr="00037346" w14:paraId="464168E8" w14:textId="77777777" w:rsidTr="00176BA0">
        <w:trPr>
          <w:trHeight w:val="227"/>
        </w:trPr>
        <w:tc>
          <w:tcPr>
            <w:tcW w:w="1937" w:type="pct"/>
            <w:vMerge/>
            <w:tcBorders>
              <w:top w:val="nil"/>
              <w:left w:val="nil"/>
              <w:bottom w:val="nil"/>
              <w:right w:val="nil"/>
            </w:tcBorders>
            <w:vAlign w:val="center"/>
            <w:hideMark/>
          </w:tcPr>
          <w:p w14:paraId="217F6566" w14:textId="77777777" w:rsidR="009527C4" w:rsidRPr="00037346" w:rsidRDefault="009527C4" w:rsidP="007E7835">
            <w:pPr>
              <w:keepNext/>
              <w:keepLines/>
              <w:pBdr>
                <w:top w:val="none" w:sz="0" w:space="0" w:color="auto"/>
                <w:left w:val="none" w:sz="0" w:space="0" w:color="auto"/>
                <w:bottom w:val="none" w:sz="0" w:space="0" w:color="auto"/>
                <w:right w:val="none" w:sz="0" w:space="0" w:color="auto"/>
                <w:between w:val="none" w:sz="0" w:space="0" w:color="auto"/>
                <w:bar w:val="none" w:sz="0" w:color="auto"/>
              </w:pBdr>
              <w:outlineLvl w:val="9"/>
              <w:rPr>
                <w:rFonts w:eastAsia="Times New Roman"/>
                <w:b/>
                <w:bCs/>
                <w:sz w:val="18"/>
                <w:szCs w:val="18"/>
                <w:bdr w:val="none" w:sz="0" w:space="0" w:color="auto"/>
                <w:lang w:eastAsia="es-ES"/>
              </w:rPr>
            </w:pPr>
          </w:p>
        </w:tc>
        <w:tc>
          <w:tcPr>
            <w:tcW w:w="1511" w:type="pct"/>
            <w:gridSpan w:val="2"/>
            <w:tcBorders>
              <w:top w:val="nil"/>
              <w:left w:val="nil"/>
              <w:bottom w:val="single" w:sz="4" w:space="0" w:color="auto"/>
              <w:right w:val="nil"/>
            </w:tcBorders>
            <w:shd w:val="clear" w:color="auto" w:fill="auto"/>
            <w:vAlign w:val="bottom"/>
            <w:hideMark/>
          </w:tcPr>
          <w:p w14:paraId="2F61CFA0" w14:textId="77777777" w:rsidR="009527C4" w:rsidRPr="00037346" w:rsidRDefault="009527C4" w:rsidP="007E7835">
            <w:pPr>
              <w:keepNext/>
              <w:keepLines/>
              <w:pBdr>
                <w:top w:val="none" w:sz="0" w:space="0" w:color="auto"/>
                <w:left w:val="none" w:sz="0" w:space="0" w:color="auto"/>
                <w:bottom w:val="none" w:sz="0" w:space="0" w:color="auto"/>
                <w:right w:val="none" w:sz="0" w:space="0" w:color="auto"/>
                <w:between w:val="none" w:sz="0" w:space="0" w:color="auto"/>
                <w:bar w:val="none" w:sz="0" w:color="auto"/>
              </w:pBdr>
              <w:jc w:val="center"/>
              <w:outlineLvl w:val="9"/>
              <w:rPr>
                <w:rFonts w:eastAsia="Times New Roman"/>
                <w:b/>
                <w:bCs/>
                <w:sz w:val="18"/>
                <w:szCs w:val="18"/>
                <w:bdr w:val="none" w:sz="0" w:space="0" w:color="auto"/>
                <w:lang w:eastAsia="es-ES"/>
              </w:rPr>
            </w:pPr>
            <w:r w:rsidRPr="00037346">
              <w:rPr>
                <w:rFonts w:eastAsia="Times New Roman"/>
                <w:b/>
                <w:bCs/>
                <w:sz w:val="18"/>
                <w:szCs w:val="18"/>
                <w:bdr w:val="none" w:sz="0" w:space="0" w:color="auto"/>
                <w:lang w:eastAsia="es-ES"/>
              </w:rPr>
              <w:t>de crédito</w:t>
            </w:r>
          </w:p>
        </w:tc>
        <w:tc>
          <w:tcPr>
            <w:tcW w:w="1552" w:type="pct"/>
            <w:gridSpan w:val="2"/>
            <w:tcBorders>
              <w:top w:val="nil"/>
              <w:left w:val="nil"/>
              <w:bottom w:val="single" w:sz="4" w:space="0" w:color="auto"/>
              <w:right w:val="nil"/>
            </w:tcBorders>
            <w:shd w:val="clear" w:color="auto" w:fill="auto"/>
            <w:vAlign w:val="bottom"/>
            <w:hideMark/>
          </w:tcPr>
          <w:p w14:paraId="5666F13C" w14:textId="77777777" w:rsidR="009527C4" w:rsidRPr="00037346" w:rsidRDefault="009527C4" w:rsidP="007E7835">
            <w:pPr>
              <w:keepNext/>
              <w:keepLines/>
              <w:pBdr>
                <w:top w:val="none" w:sz="0" w:space="0" w:color="auto"/>
                <w:left w:val="none" w:sz="0" w:space="0" w:color="auto"/>
                <w:bottom w:val="none" w:sz="0" w:space="0" w:color="auto"/>
                <w:right w:val="none" w:sz="0" w:space="0" w:color="auto"/>
                <w:between w:val="none" w:sz="0" w:space="0" w:color="auto"/>
                <w:bar w:val="none" w:sz="0" w:color="auto"/>
              </w:pBdr>
              <w:jc w:val="center"/>
              <w:outlineLvl w:val="9"/>
              <w:rPr>
                <w:rFonts w:eastAsia="Times New Roman"/>
                <w:b/>
                <w:bCs/>
                <w:sz w:val="18"/>
                <w:szCs w:val="18"/>
                <w:bdr w:val="none" w:sz="0" w:space="0" w:color="auto"/>
                <w:lang w:eastAsia="es-ES"/>
              </w:rPr>
            </w:pPr>
            <w:r w:rsidRPr="00037346">
              <w:rPr>
                <w:rFonts w:eastAsia="Times New Roman"/>
                <w:b/>
                <w:bCs/>
                <w:sz w:val="18"/>
                <w:szCs w:val="18"/>
                <w:bdr w:val="none" w:sz="0" w:space="0" w:color="auto"/>
                <w:lang w:eastAsia="es-ES"/>
              </w:rPr>
              <w:t>Otros</w:t>
            </w:r>
          </w:p>
        </w:tc>
      </w:tr>
      <w:tr w:rsidR="00037346" w:rsidRPr="00037346" w14:paraId="3E48150B" w14:textId="77777777" w:rsidTr="00176BA0">
        <w:trPr>
          <w:trHeight w:val="283"/>
        </w:trPr>
        <w:tc>
          <w:tcPr>
            <w:tcW w:w="1937" w:type="pct"/>
            <w:tcBorders>
              <w:top w:val="nil"/>
              <w:left w:val="nil"/>
              <w:bottom w:val="single" w:sz="4" w:space="0" w:color="auto"/>
              <w:right w:val="nil"/>
            </w:tcBorders>
            <w:shd w:val="clear" w:color="auto" w:fill="auto"/>
            <w:vAlign w:val="bottom"/>
            <w:hideMark/>
          </w:tcPr>
          <w:p w14:paraId="56626B84" w14:textId="77777777" w:rsidR="00037346" w:rsidRPr="00037346" w:rsidRDefault="00037346" w:rsidP="00037346">
            <w:pPr>
              <w:keepNext/>
              <w:keepLines/>
              <w:pBdr>
                <w:top w:val="none" w:sz="0" w:space="0" w:color="auto"/>
                <w:left w:val="none" w:sz="0" w:space="0" w:color="auto"/>
                <w:bottom w:val="none" w:sz="0" w:space="0" w:color="auto"/>
                <w:right w:val="none" w:sz="0" w:space="0" w:color="auto"/>
                <w:between w:val="none" w:sz="0" w:space="0" w:color="auto"/>
                <w:bar w:val="none" w:sz="0" w:color="auto"/>
              </w:pBdr>
              <w:outlineLvl w:val="9"/>
              <w:rPr>
                <w:rFonts w:ascii="Calibri" w:eastAsia="Times New Roman" w:hAnsi="Calibri" w:cs="Calibri"/>
                <w:sz w:val="18"/>
                <w:szCs w:val="18"/>
                <w:bdr w:val="none" w:sz="0" w:space="0" w:color="auto"/>
                <w:lang w:eastAsia="es-ES"/>
              </w:rPr>
            </w:pPr>
            <w:r w:rsidRPr="00037346">
              <w:rPr>
                <w:rFonts w:ascii="Calibri" w:eastAsia="Times New Roman" w:hAnsi="Calibri" w:cs="Calibri"/>
                <w:sz w:val="18"/>
                <w:szCs w:val="18"/>
                <w:bdr w:val="none" w:sz="0" w:space="0" w:color="auto"/>
                <w:lang w:eastAsia="es-ES"/>
              </w:rPr>
              <w:t> </w:t>
            </w:r>
          </w:p>
        </w:tc>
        <w:tc>
          <w:tcPr>
            <w:tcW w:w="832" w:type="pct"/>
            <w:tcBorders>
              <w:top w:val="nil"/>
              <w:left w:val="nil"/>
              <w:bottom w:val="single" w:sz="4" w:space="0" w:color="auto"/>
              <w:right w:val="nil"/>
            </w:tcBorders>
            <w:shd w:val="clear" w:color="auto" w:fill="auto"/>
            <w:vAlign w:val="bottom"/>
            <w:hideMark/>
          </w:tcPr>
          <w:p w14:paraId="18C37BA0" w14:textId="3592B224" w:rsidR="00037346" w:rsidRPr="00037346" w:rsidRDefault="00037346" w:rsidP="00037346">
            <w:pPr>
              <w:keepNext/>
              <w:keepLines/>
              <w:pBdr>
                <w:top w:val="none" w:sz="0" w:space="0" w:color="auto"/>
                <w:left w:val="none" w:sz="0" w:space="0" w:color="auto"/>
                <w:bottom w:val="none" w:sz="0" w:space="0" w:color="auto"/>
                <w:right w:val="none" w:sz="0" w:space="0" w:color="auto"/>
                <w:between w:val="none" w:sz="0" w:space="0" w:color="auto"/>
                <w:bar w:val="none" w:sz="0" w:color="auto"/>
              </w:pBdr>
              <w:jc w:val="center"/>
              <w:outlineLvl w:val="9"/>
              <w:rPr>
                <w:rFonts w:eastAsia="Times New Roman"/>
                <w:b/>
                <w:bCs/>
                <w:sz w:val="18"/>
                <w:szCs w:val="18"/>
                <w:bdr w:val="none" w:sz="0" w:space="0" w:color="auto"/>
                <w:lang w:eastAsia="es-ES"/>
              </w:rPr>
            </w:pPr>
            <w:r w:rsidRPr="00037346">
              <w:rPr>
                <w:rFonts w:eastAsia="Times New Roman"/>
                <w:b/>
                <w:bCs/>
                <w:sz w:val="18"/>
                <w:szCs w:val="18"/>
                <w:bdr w:val="none" w:sz="0" w:space="0" w:color="auto"/>
                <w:lang w:eastAsia="es-ES"/>
              </w:rPr>
              <w:t>31/12/202</w:t>
            </w:r>
            <w:r w:rsidR="00DE5FC3">
              <w:rPr>
                <w:rFonts w:eastAsia="Times New Roman"/>
                <w:b/>
                <w:bCs/>
                <w:sz w:val="18"/>
                <w:szCs w:val="18"/>
                <w:bdr w:val="none" w:sz="0" w:space="0" w:color="auto"/>
                <w:lang w:eastAsia="es-ES"/>
              </w:rPr>
              <w:t>4</w:t>
            </w:r>
          </w:p>
        </w:tc>
        <w:tc>
          <w:tcPr>
            <w:tcW w:w="679" w:type="pct"/>
            <w:tcBorders>
              <w:top w:val="nil"/>
              <w:left w:val="nil"/>
              <w:bottom w:val="single" w:sz="4" w:space="0" w:color="auto"/>
              <w:right w:val="nil"/>
            </w:tcBorders>
            <w:shd w:val="clear" w:color="auto" w:fill="auto"/>
            <w:vAlign w:val="bottom"/>
            <w:hideMark/>
          </w:tcPr>
          <w:p w14:paraId="1E6A6658" w14:textId="51AD9044" w:rsidR="00037346" w:rsidRPr="00037346" w:rsidRDefault="00037346" w:rsidP="00037346">
            <w:pPr>
              <w:keepNext/>
              <w:keepLines/>
              <w:pBdr>
                <w:top w:val="none" w:sz="0" w:space="0" w:color="auto"/>
                <w:left w:val="none" w:sz="0" w:space="0" w:color="auto"/>
                <w:bottom w:val="none" w:sz="0" w:space="0" w:color="auto"/>
                <w:right w:val="none" w:sz="0" w:space="0" w:color="auto"/>
                <w:between w:val="none" w:sz="0" w:space="0" w:color="auto"/>
                <w:bar w:val="none" w:sz="0" w:color="auto"/>
              </w:pBdr>
              <w:jc w:val="center"/>
              <w:outlineLvl w:val="9"/>
              <w:rPr>
                <w:rFonts w:eastAsia="Times New Roman"/>
                <w:b/>
                <w:bCs/>
                <w:sz w:val="18"/>
                <w:szCs w:val="18"/>
                <w:bdr w:val="none" w:sz="0" w:space="0" w:color="auto"/>
                <w:lang w:eastAsia="es-ES"/>
              </w:rPr>
            </w:pPr>
            <w:r w:rsidRPr="00037346">
              <w:rPr>
                <w:rFonts w:eastAsia="Times New Roman"/>
                <w:b/>
                <w:bCs/>
                <w:sz w:val="18"/>
                <w:szCs w:val="18"/>
                <w:bdr w:val="none" w:sz="0" w:space="0" w:color="auto"/>
                <w:lang w:eastAsia="es-ES"/>
              </w:rPr>
              <w:t>31/12/202</w:t>
            </w:r>
            <w:r w:rsidR="00DE5FC3">
              <w:rPr>
                <w:rFonts w:eastAsia="Times New Roman"/>
                <w:b/>
                <w:bCs/>
                <w:sz w:val="18"/>
                <w:szCs w:val="18"/>
                <w:bdr w:val="none" w:sz="0" w:space="0" w:color="auto"/>
                <w:lang w:eastAsia="es-ES"/>
              </w:rPr>
              <w:t>3</w:t>
            </w:r>
          </w:p>
        </w:tc>
        <w:tc>
          <w:tcPr>
            <w:tcW w:w="776" w:type="pct"/>
            <w:tcBorders>
              <w:top w:val="nil"/>
              <w:left w:val="nil"/>
              <w:bottom w:val="single" w:sz="4" w:space="0" w:color="auto"/>
              <w:right w:val="nil"/>
            </w:tcBorders>
            <w:shd w:val="clear" w:color="auto" w:fill="auto"/>
            <w:vAlign w:val="bottom"/>
            <w:hideMark/>
          </w:tcPr>
          <w:p w14:paraId="72E500CD" w14:textId="0DB977E1" w:rsidR="00037346" w:rsidRPr="00037346" w:rsidRDefault="00037346" w:rsidP="00037346">
            <w:pPr>
              <w:keepNext/>
              <w:keepLines/>
              <w:pBdr>
                <w:top w:val="none" w:sz="0" w:space="0" w:color="auto"/>
                <w:left w:val="none" w:sz="0" w:space="0" w:color="auto"/>
                <w:bottom w:val="none" w:sz="0" w:space="0" w:color="auto"/>
                <w:right w:val="none" w:sz="0" w:space="0" w:color="auto"/>
                <w:between w:val="none" w:sz="0" w:space="0" w:color="auto"/>
                <w:bar w:val="none" w:sz="0" w:color="auto"/>
              </w:pBdr>
              <w:jc w:val="center"/>
              <w:outlineLvl w:val="9"/>
              <w:rPr>
                <w:rFonts w:eastAsia="Times New Roman"/>
                <w:b/>
                <w:bCs/>
                <w:sz w:val="18"/>
                <w:szCs w:val="18"/>
                <w:bdr w:val="none" w:sz="0" w:space="0" w:color="auto"/>
                <w:lang w:eastAsia="es-ES"/>
              </w:rPr>
            </w:pPr>
            <w:r w:rsidRPr="00037346">
              <w:rPr>
                <w:rFonts w:eastAsia="Times New Roman"/>
                <w:b/>
                <w:bCs/>
                <w:sz w:val="18"/>
                <w:szCs w:val="18"/>
                <w:bdr w:val="none" w:sz="0" w:space="0" w:color="auto"/>
                <w:lang w:eastAsia="es-ES"/>
              </w:rPr>
              <w:t>31/12/202</w:t>
            </w:r>
            <w:r w:rsidR="00DE5FC3">
              <w:rPr>
                <w:rFonts w:eastAsia="Times New Roman"/>
                <w:b/>
                <w:bCs/>
                <w:sz w:val="18"/>
                <w:szCs w:val="18"/>
                <w:bdr w:val="none" w:sz="0" w:space="0" w:color="auto"/>
                <w:lang w:eastAsia="es-ES"/>
              </w:rPr>
              <w:t>4</w:t>
            </w:r>
          </w:p>
        </w:tc>
        <w:tc>
          <w:tcPr>
            <w:tcW w:w="776" w:type="pct"/>
            <w:tcBorders>
              <w:top w:val="nil"/>
              <w:left w:val="nil"/>
              <w:bottom w:val="single" w:sz="4" w:space="0" w:color="auto"/>
              <w:right w:val="nil"/>
            </w:tcBorders>
            <w:shd w:val="clear" w:color="auto" w:fill="auto"/>
            <w:vAlign w:val="bottom"/>
            <w:hideMark/>
          </w:tcPr>
          <w:p w14:paraId="565CB993" w14:textId="5A47C96B" w:rsidR="00037346" w:rsidRPr="00037346" w:rsidRDefault="00037346" w:rsidP="00037346">
            <w:pPr>
              <w:keepNext/>
              <w:keepLines/>
              <w:pBdr>
                <w:top w:val="none" w:sz="0" w:space="0" w:color="auto"/>
                <w:left w:val="none" w:sz="0" w:space="0" w:color="auto"/>
                <w:bottom w:val="none" w:sz="0" w:space="0" w:color="auto"/>
                <w:right w:val="none" w:sz="0" w:space="0" w:color="auto"/>
                <w:between w:val="none" w:sz="0" w:space="0" w:color="auto"/>
                <w:bar w:val="none" w:sz="0" w:color="auto"/>
              </w:pBdr>
              <w:jc w:val="center"/>
              <w:outlineLvl w:val="9"/>
              <w:rPr>
                <w:rFonts w:eastAsia="Times New Roman"/>
                <w:b/>
                <w:bCs/>
                <w:sz w:val="18"/>
                <w:szCs w:val="18"/>
                <w:bdr w:val="none" w:sz="0" w:space="0" w:color="auto"/>
                <w:lang w:eastAsia="es-ES"/>
              </w:rPr>
            </w:pPr>
            <w:r w:rsidRPr="00037346">
              <w:rPr>
                <w:rFonts w:eastAsia="Times New Roman"/>
                <w:b/>
                <w:bCs/>
                <w:sz w:val="18"/>
                <w:szCs w:val="18"/>
                <w:bdr w:val="none" w:sz="0" w:space="0" w:color="auto"/>
                <w:lang w:eastAsia="es-ES"/>
              </w:rPr>
              <w:t>31/12/202</w:t>
            </w:r>
            <w:r w:rsidR="00DE5FC3">
              <w:rPr>
                <w:rFonts w:eastAsia="Times New Roman"/>
                <w:b/>
                <w:bCs/>
                <w:sz w:val="18"/>
                <w:szCs w:val="18"/>
                <w:bdr w:val="none" w:sz="0" w:space="0" w:color="auto"/>
                <w:lang w:eastAsia="es-ES"/>
              </w:rPr>
              <w:t>3</w:t>
            </w:r>
          </w:p>
        </w:tc>
      </w:tr>
      <w:tr w:rsidR="00941E50" w:rsidRPr="00037346" w14:paraId="1B25E209" w14:textId="77777777" w:rsidTr="00176BA0">
        <w:trPr>
          <w:trHeight w:val="283"/>
        </w:trPr>
        <w:tc>
          <w:tcPr>
            <w:tcW w:w="1937" w:type="pct"/>
            <w:tcBorders>
              <w:top w:val="nil"/>
              <w:left w:val="nil"/>
              <w:bottom w:val="single" w:sz="4" w:space="0" w:color="auto"/>
              <w:right w:val="nil"/>
            </w:tcBorders>
            <w:shd w:val="clear" w:color="auto" w:fill="auto"/>
            <w:vAlign w:val="center"/>
            <w:hideMark/>
          </w:tcPr>
          <w:p w14:paraId="6E5C1C43" w14:textId="23410968" w:rsidR="00941E50" w:rsidRPr="00037346" w:rsidRDefault="00941E50" w:rsidP="00941E50">
            <w:pPr>
              <w:keepNext/>
              <w:keepLines/>
              <w:pBdr>
                <w:top w:val="none" w:sz="0" w:space="0" w:color="auto"/>
                <w:left w:val="none" w:sz="0" w:space="0" w:color="auto"/>
                <w:bottom w:val="none" w:sz="0" w:space="0" w:color="auto"/>
                <w:right w:val="none" w:sz="0" w:space="0" w:color="auto"/>
                <w:between w:val="none" w:sz="0" w:space="0" w:color="auto"/>
                <w:bar w:val="none" w:sz="0" w:color="auto"/>
              </w:pBdr>
              <w:outlineLvl w:val="9"/>
              <w:rPr>
                <w:rFonts w:eastAsia="Times New Roman"/>
                <w:sz w:val="18"/>
                <w:szCs w:val="18"/>
                <w:bdr w:val="none" w:sz="0" w:space="0" w:color="auto"/>
                <w:lang w:eastAsia="es-ES"/>
              </w:rPr>
            </w:pPr>
            <w:r w:rsidRPr="00037346">
              <w:rPr>
                <w:rFonts w:eastAsia="Times New Roman"/>
                <w:sz w:val="18"/>
                <w:szCs w:val="18"/>
                <w:bdr w:val="none" w:sz="0" w:space="0" w:color="auto"/>
                <w:lang w:eastAsia="es-ES"/>
              </w:rPr>
              <w:t>Pasivos financieros a coste amortizado (Nota 8.3.a)</w:t>
            </w:r>
          </w:p>
        </w:tc>
        <w:tc>
          <w:tcPr>
            <w:tcW w:w="832" w:type="pct"/>
            <w:tcBorders>
              <w:top w:val="nil"/>
              <w:left w:val="nil"/>
              <w:bottom w:val="single" w:sz="4" w:space="0" w:color="auto"/>
              <w:right w:val="nil"/>
            </w:tcBorders>
            <w:shd w:val="clear" w:color="auto" w:fill="auto"/>
            <w:vAlign w:val="center"/>
          </w:tcPr>
          <w:p w14:paraId="5EB52B4D" w14:textId="279163FC" w:rsidR="00941E50" w:rsidRPr="00037346" w:rsidRDefault="00941E50" w:rsidP="00941E50">
            <w:pPr>
              <w:keepNext/>
              <w:keepLines/>
              <w:pBdr>
                <w:top w:val="none" w:sz="0" w:space="0" w:color="auto"/>
                <w:left w:val="none" w:sz="0" w:space="0" w:color="auto"/>
                <w:bottom w:val="none" w:sz="0" w:space="0" w:color="auto"/>
                <w:right w:val="none" w:sz="0" w:space="0" w:color="auto"/>
                <w:between w:val="none" w:sz="0" w:space="0" w:color="auto"/>
                <w:bar w:val="none" w:sz="0" w:color="auto"/>
              </w:pBdr>
              <w:jc w:val="right"/>
              <w:outlineLvl w:val="9"/>
              <w:rPr>
                <w:rFonts w:eastAsia="Times New Roman"/>
                <w:sz w:val="18"/>
                <w:szCs w:val="18"/>
                <w:bdr w:val="none" w:sz="0" w:space="0" w:color="auto"/>
                <w:lang w:eastAsia="es-ES"/>
              </w:rPr>
            </w:pPr>
            <w:r>
              <w:rPr>
                <w:sz w:val="18"/>
                <w:szCs w:val="18"/>
              </w:rPr>
              <w:t>341,31</w:t>
            </w:r>
          </w:p>
        </w:tc>
        <w:tc>
          <w:tcPr>
            <w:tcW w:w="679" w:type="pct"/>
            <w:tcBorders>
              <w:top w:val="nil"/>
              <w:left w:val="nil"/>
              <w:bottom w:val="single" w:sz="4" w:space="0" w:color="auto"/>
              <w:right w:val="nil"/>
            </w:tcBorders>
            <w:shd w:val="clear" w:color="auto" w:fill="auto"/>
            <w:vAlign w:val="center"/>
            <w:hideMark/>
          </w:tcPr>
          <w:p w14:paraId="674B17A4" w14:textId="3F4D6236" w:rsidR="00941E50" w:rsidRPr="00037346" w:rsidRDefault="00941E50" w:rsidP="00941E50">
            <w:pPr>
              <w:keepNext/>
              <w:keepLines/>
              <w:pBdr>
                <w:top w:val="none" w:sz="0" w:space="0" w:color="auto"/>
                <w:left w:val="none" w:sz="0" w:space="0" w:color="auto"/>
                <w:bottom w:val="none" w:sz="0" w:space="0" w:color="auto"/>
                <w:right w:val="none" w:sz="0" w:space="0" w:color="auto"/>
                <w:between w:val="none" w:sz="0" w:space="0" w:color="auto"/>
                <w:bar w:val="none" w:sz="0" w:color="auto"/>
              </w:pBdr>
              <w:jc w:val="right"/>
              <w:outlineLvl w:val="9"/>
              <w:rPr>
                <w:rFonts w:eastAsia="Times New Roman"/>
                <w:sz w:val="18"/>
                <w:szCs w:val="18"/>
                <w:bdr w:val="none" w:sz="0" w:space="0" w:color="auto"/>
                <w:lang w:eastAsia="es-ES"/>
              </w:rPr>
            </w:pPr>
            <w:r>
              <w:rPr>
                <w:sz w:val="18"/>
                <w:szCs w:val="18"/>
              </w:rPr>
              <w:t>378,60</w:t>
            </w:r>
          </w:p>
        </w:tc>
        <w:tc>
          <w:tcPr>
            <w:tcW w:w="776" w:type="pct"/>
            <w:tcBorders>
              <w:top w:val="nil"/>
              <w:left w:val="nil"/>
              <w:bottom w:val="single" w:sz="4" w:space="0" w:color="auto"/>
              <w:right w:val="nil"/>
            </w:tcBorders>
            <w:shd w:val="clear" w:color="auto" w:fill="auto"/>
            <w:vAlign w:val="center"/>
          </w:tcPr>
          <w:p w14:paraId="46D6D348" w14:textId="16BD97BF" w:rsidR="00941E50" w:rsidRPr="00037346" w:rsidRDefault="00941E50" w:rsidP="00941E50">
            <w:pPr>
              <w:keepNext/>
              <w:keepLines/>
              <w:pBdr>
                <w:top w:val="none" w:sz="0" w:space="0" w:color="auto"/>
                <w:left w:val="none" w:sz="0" w:space="0" w:color="auto"/>
                <w:bottom w:val="none" w:sz="0" w:space="0" w:color="auto"/>
                <w:right w:val="none" w:sz="0" w:space="0" w:color="auto"/>
                <w:between w:val="none" w:sz="0" w:space="0" w:color="auto"/>
                <w:bar w:val="none" w:sz="0" w:color="auto"/>
              </w:pBdr>
              <w:jc w:val="right"/>
              <w:outlineLvl w:val="9"/>
              <w:rPr>
                <w:rFonts w:eastAsia="Times New Roman"/>
                <w:sz w:val="18"/>
                <w:szCs w:val="18"/>
                <w:bdr w:val="none" w:sz="0" w:space="0" w:color="auto"/>
                <w:lang w:eastAsia="es-ES"/>
              </w:rPr>
            </w:pPr>
            <w:r>
              <w:rPr>
                <w:sz w:val="18"/>
                <w:szCs w:val="18"/>
              </w:rPr>
              <w:t>15.531.772,68</w:t>
            </w:r>
          </w:p>
        </w:tc>
        <w:tc>
          <w:tcPr>
            <w:tcW w:w="776" w:type="pct"/>
            <w:tcBorders>
              <w:top w:val="nil"/>
              <w:left w:val="nil"/>
              <w:bottom w:val="single" w:sz="4" w:space="0" w:color="auto"/>
              <w:right w:val="nil"/>
            </w:tcBorders>
            <w:shd w:val="clear" w:color="auto" w:fill="auto"/>
            <w:vAlign w:val="center"/>
            <w:hideMark/>
          </w:tcPr>
          <w:p w14:paraId="3A744FCB" w14:textId="1B0342CF" w:rsidR="00941E50" w:rsidRPr="00037346" w:rsidRDefault="00941E50" w:rsidP="00941E50">
            <w:pPr>
              <w:keepNext/>
              <w:keepLines/>
              <w:pBdr>
                <w:top w:val="none" w:sz="0" w:space="0" w:color="auto"/>
                <w:left w:val="none" w:sz="0" w:space="0" w:color="auto"/>
                <w:bottom w:val="none" w:sz="0" w:space="0" w:color="auto"/>
                <w:right w:val="none" w:sz="0" w:space="0" w:color="auto"/>
                <w:between w:val="none" w:sz="0" w:space="0" w:color="auto"/>
                <w:bar w:val="none" w:sz="0" w:color="auto"/>
              </w:pBdr>
              <w:jc w:val="right"/>
              <w:outlineLvl w:val="9"/>
              <w:rPr>
                <w:rFonts w:eastAsia="Times New Roman"/>
                <w:sz w:val="18"/>
                <w:szCs w:val="18"/>
                <w:bdr w:val="none" w:sz="0" w:space="0" w:color="auto"/>
                <w:lang w:eastAsia="es-ES"/>
              </w:rPr>
            </w:pPr>
            <w:r>
              <w:rPr>
                <w:sz w:val="18"/>
                <w:szCs w:val="18"/>
              </w:rPr>
              <w:t>9.084.303,18</w:t>
            </w:r>
          </w:p>
        </w:tc>
      </w:tr>
      <w:tr w:rsidR="00941E50" w:rsidRPr="00037346" w14:paraId="1150AA4C" w14:textId="77777777" w:rsidTr="00176BA0">
        <w:trPr>
          <w:trHeight w:val="283"/>
        </w:trPr>
        <w:tc>
          <w:tcPr>
            <w:tcW w:w="1937" w:type="pct"/>
            <w:tcBorders>
              <w:top w:val="nil"/>
              <w:left w:val="nil"/>
              <w:bottom w:val="single" w:sz="4" w:space="0" w:color="auto"/>
              <w:right w:val="nil"/>
            </w:tcBorders>
            <w:shd w:val="clear" w:color="auto" w:fill="auto"/>
            <w:vAlign w:val="center"/>
            <w:hideMark/>
          </w:tcPr>
          <w:p w14:paraId="175D2B18" w14:textId="77777777" w:rsidR="00941E50" w:rsidRPr="00037346" w:rsidRDefault="00941E50" w:rsidP="00941E50">
            <w:pPr>
              <w:keepNext/>
              <w:keepLines/>
              <w:pBdr>
                <w:top w:val="none" w:sz="0" w:space="0" w:color="auto"/>
                <w:left w:val="none" w:sz="0" w:space="0" w:color="auto"/>
                <w:bottom w:val="none" w:sz="0" w:space="0" w:color="auto"/>
                <w:right w:val="none" w:sz="0" w:space="0" w:color="auto"/>
                <w:between w:val="none" w:sz="0" w:space="0" w:color="auto"/>
                <w:bar w:val="none" w:sz="0" w:color="auto"/>
              </w:pBdr>
              <w:outlineLvl w:val="9"/>
              <w:rPr>
                <w:rFonts w:eastAsia="Times New Roman"/>
                <w:b/>
                <w:bCs/>
                <w:sz w:val="18"/>
                <w:szCs w:val="18"/>
                <w:bdr w:val="none" w:sz="0" w:space="0" w:color="auto"/>
                <w:lang w:eastAsia="es-ES"/>
              </w:rPr>
            </w:pPr>
            <w:r w:rsidRPr="00037346">
              <w:rPr>
                <w:rFonts w:eastAsia="Times New Roman"/>
                <w:b/>
                <w:bCs/>
                <w:sz w:val="18"/>
                <w:szCs w:val="18"/>
                <w:bdr w:val="none" w:sz="0" w:space="0" w:color="auto"/>
                <w:lang w:eastAsia="es-ES"/>
              </w:rPr>
              <w:t>Total</w:t>
            </w:r>
          </w:p>
        </w:tc>
        <w:tc>
          <w:tcPr>
            <w:tcW w:w="832" w:type="pct"/>
            <w:tcBorders>
              <w:top w:val="nil"/>
              <w:left w:val="nil"/>
              <w:bottom w:val="single" w:sz="4" w:space="0" w:color="auto"/>
              <w:right w:val="nil"/>
            </w:tcBorders>
            <w:shd w:val="clear" w:color="auto" w:fill="auto"/>
            <w:vAlign w:val="center"/>
          </w:tcPr>
          <w:p w14:paraId="6C4AF78E" w14:textId="6726BE24" w:rsidR="00941E50" w:rsidRPr="00037346" w:rsidRDefault="00941E50" w:rsidP="00941E50">
            <w:pPr>
              <w:keepNext/>
              <w:keepLines/>
              <w:pBdr>
                <w:top w:val="none" w:sz="0" w:space="0" w:color="auto"/>
                <w:left w:val="none" w:sz="0" w:space="0" w:color="auto"/>
                <w:bottom w:val="none" w:sz="0" w:space="0" w:color="auto"/>
                <w:right w:val="none" w:sz="0" w:space="0" w:color="auto"/>
                <w:between w:val="none" w:sz="0" w:space="0" w:color="auto"/>
                <w:bar w:val="none" w:sz="0" w:color="auto"/>
              </w:pBdr>
              <w:jc w:val="right"/>
              <w:outlineLvl w:val="9"/>
              <w:rPr>
                <w:rFonts w:eastAsia="Times New Roman"/>
                <w:b/>
                <w:bCs/>
                <w:sz w:val="18"/>
                <w:szCs w:val="18"/>
                <w:bdr w:val="none" w:sz="0" w:space="0" w:color="auto"/>
                <w:lang w:eastAsia="es-ES"/>
              </w:rPr>
            </w:pPr>
            <w:r>
              <w:rPr>
                <w:b/>
                <w:bCs/>
                <w:sz w:val="18"/>
                <w:szCs w:val="18"/>
              </w:rPr>
              <w:t>341,31</w:t>
            </w:r>
          </w:p>
        </w:tc>
        <w:tc>
          <w:tcPr>
            <w:tcW w:w="679" w:type="pct"/>
            <w:tcBorders>
              <w:top w:val="nil"/>
              <w:left w:val="nil"/>
              <w:bottom w:val="single" w:sz="4" w:space="0" w:color="auto"/>
              <w:right w:val="nil"/>
            </w:tcBorders>
            <w:shd w:val="clear" w:color="auto" w:fill="auto"/>
            <w:vAlign w:val="center"/>
            <w:hideMark/>
          </w:tcPr>
          <w:p w14:paraId="1307F980" w14:textId="00BB5147" w:rsidR="00941E50" w:rsidRPr="00037346" w:rsidRDefault="00941E50" w:rsidP="00941E50">
            <w:pPr>
              <w:keepNext/>
              <w:keepLines/>
              <w:pBdr>
                <w:top w:val="none" w:sz="0" w:space="0" w:color="auto"/>
                <w:left w:val="none" w:sz="0" w:space="0" w:color="auto"/>
                <w:bottom w:val="none" w:sz="0" w:space="0" w:color="auto"/>
                <w:right w:val="none" w:sz="0" w:space="0" w:color="auto"/>
                <w:between w:val="none" w:sz="0" w:space="0" w:color="auto"/>
                <w:bar w:val="none" w:sz="0" w:color="auto"/>
              </w:pBdr>
              <w:jc w:val="right"/>
              <w:outlineLvl w:val="9"/>
              <w:rPr>
                <w:rFonts w:eastAsia="Times New Roman"/>
                <w:b/>
                <w:bCs/>
                <w:sz w:val="18"/>
                <w:szCs w:val="18"/>
                <w:bdr w:val="none" w:sz="0" w:space="0" w:color="auto"/>
                <w:lang w:eastAsia="es-ES"/>
              </w:rPr>
            </w:pPr>
            <w:r>
              <w:rPr>
                <w:b/>
                <w:bCs/>
                <w:sz w:val="18"/>
                <w:szCs w:val="18"/>
              </w:rPr>
              <w:t>378,60</w:t>
            </w:r>
          </w:p>
        </w:tc>
        <w:tc>
          <w:tcPr>
            <w:tcW w:w="776" w:type="pct"/>
            <w:tcBorders>
              <w:top w:val="nil"/>
              <w:left w:val="nil"/>
              <w:bottom w:val="single" w:sz="4" w:space="0" w:color="auto"/>
              <w:right w:val="nil"/>
            </w:tcBorders>
            <w:shd w:val="clear" w:color="auto" w:fill="auto"/>
            <w:vAlign w:val="center"/>
          </w:tcPr>
          <w:p w14:paraId="33FB612B" w14:textId="2D29CC70" w:rsidR="00941E50" w:rsidRPr="00037346" w:rsidRDefault="00941E50" w:rsidP="00941E50">
            <w:pPr>
              <w:keepNext/>
              <w:keepLines/>
              <w:jc w:val="right"/>
              <w:rPr>
                <w:b/>
                <w:bCs/>
                <w:sz w:val="18"/>
                <w:szCs w:val="18"/>
              </w:rPr>
            </w:pPr>
            <w:r>
              <w:rPr>
                <w:b/>
                <w:bCs/>
                <w:sz w:val="18"/>
                <w:szCs w:val="18"/>
              </w:rPr>
              <w:t>15.531.772,68</w:t>
            </w:r>
          </w:p>
        </w:tc>
        <w:tc>
          <w:tcPr>
            <w:tcW w:w="776" w:type="pct"/>
            <w:tcBorders>
              <w:top w:val="nil"/>
              <w:left w:val="nil"/>
              <w:bottom w:val="single" w:sz="4" w:space="0" w:color="auto"/>
              <w:right w:val="nil"/>
            </w:tcBorders>
            <w:shd w:val="clear" w:color="auto" w:fill="auto"/>
            <w:vAlign w:val="center"/>
            <w:hideMark/>
          </w:tcPr>
          <w:p w14:paraId="4DCB74E7" w14:textId="5DFCB9A2" w:rsidR="00941E50" w:rsidRPr="00037346" w:rsidRDefault="00941E50" w:rsidP="00941E50">
            <w:pPr>
              <w:keepNext/>
              <w:keepLines/>
              <w:pBdr>
                <w:top w:val="none" w:sz="0" w:space="0" w:color="auto"/>
                <w:left w:val="none" w:sz="0" w:space="0" w:color="auto"/>
                <w:bottom w:val="none" w:sz="0" w:space="0" w:color="auto"/>
                <w:right w:val="none" w:sz="0" w:space="0" w:color="auto"/>
                <w:between w:val="none" w:sz="0" w:space="0" w:color="auto"/>
                <w:bar w:val="none" w:sz="0" w:color="auto"/>
              </w:pBdr>
              <w:jc w:val="right"/>
              <w:outlineLvl w:val="9"/>
              <w:rPr>
                <w:rFonts w:eastAsia="Times New Roman"/>
                <w:b/>
                <w:bCs/>
                <w:sz w:val="18"/>
                <w:szCs w:val="18"/>
                <w:bdr w:val="none" w:sz="0" w:space="0" w:color="auto"/>
                <w:lang w:eastAsia="es-ES"/>
              </w:rPr>
            </w:pPr>
            <w:r>
              <w:rPr>
                <w:b/>
                <w:bCs/>
                <w:sz w:val="18"/>
                <w:szCs w:val="18"/>
              </w:rPr>
              <w:t>9.084.303,18</w:t>
            </w:r>
          </w:p>
        </w:tc>
      </w:tr>
    </w:tbl>
    <w:p w14:paraId="5EA1DA0F" w14:textId="6FA26560" w:rsidR="006220A2" w:rsidRPr="00037346" w:rsidRDefault="006D5571">
      <w:pPr>
        <w:keepNext/>
        <w:keepLines/>
        <w:widowControl w:val="0"/>
        <w:numPr>
          <w:ilvl w:val="0"/>
          <w:numId w:val="14"/>
        </w:numPr>
        <w:pBdr>
          <w:top w:val="none" w:sz="0" w:space="0" w:color="auto"/>
          <w:left w:val="none" w:sz="0" w:space="0" w:color="auto"/>
          <w:bottom w:val="none" w:sz="0" w:space="0" w:color="auto"/>
          <w:right w:val="none" w:sz="0" w:space="0" w:color="auto"/>
          <w:between w:val="none" w:sz="0" w:space="0" w:color="auto"/>
          <w:bar w:val="none" w:sz="0" w:color="auto"/>
        </w:pBdr>
        <w:tabs>
          <w:tab w:val="left" w:pos="284"/>
        </w:tabs>
        <w:spacing w:before="200"/>
        <w:ind w:left="0" w:firstLine="0"/>
        <w:outlineLvl w:val="9"/>
        <w:rPr>
          <w:i/>
          <w:sz w:val="20"/>
          <w:szCs w:val="22"/>
        </w:rPr>
      </w:pPr>
      <w:r w:rsidRPr="00037346">
        <w:rPr>
          <w:i/>
          <w:sz w:val="20"/>
          <w:szCs w:val="22"/>
          <w:u w:val="single"/>
        </w:rPr>
        <w:t>Pasivos financieros a coste amortizado</w:t>
      </w:r>
    </w:p>
    <w:p w14:paraId="023750FD" w14:textId="174A9564" w:rsidR="006220A2" w:rsidRPr="00037346" w:rsidRDefault="006220A2" w:rsidP="00D67C6B">
      <w:pPr>
        <w:widowControl w:val="0"/>
        <w:spacing w:before="120" w:after="120" w:line="260" w:lineRule="exact"/>
        <w:jc w:val="both"/>
        <w:outlineLvl w:val="9"/>
        <w:rPr>
          <w:snapToGrid w:val="0"/>
          <w:sz w:val="20"/>
          <w:szCs w:val="22"/>
        </w:rPr>
      </w:pPr>
      <w:r w:rsidRPr="00037346">
        <w:rPr>
          <w:snapToGrid w:val="0"/>
          <w:sz w:val="20"/>
          <w:szCs w:val="22"/>
        </w:rPr>
        <w:t xml:space="preserve">Su detalle </w:t>
      </w:r>
      <w:r w:rsidR="0063457A" w:rsidRPr="00037346">
        <w:rPr>
          <w:snapToGrid w:val="0"/>
          <w:sz w:val="20"/>
          <w:szCs w:val="22"/>
        </w:rPr>
        <w:t xml:space="preserve">a 31 de diciembre de </w:t>
      </w:r>
      <w:r w:rsidR="009527C4" w:rsidRPr="00037346">
        <w:rPr>
          <w:snapToGrid w:val="0"/>
          <w:sz w:val="20"/>
          <w:szCs w:val="22"/>
        </w:rPr>
        <w:t>202</w:t>
      </w:r>
      <w:r w:rsidR="00DE5FC3">
        <w:rPr>
          <w:snapToGrid w:val="0"/>
          <w:sz w:val="20"/>
          <w:szCs w:val="22"/>
        </w:rPr>
        <w:t>4</w:t>
      </w:r>
      <w:r w:rsidR="009527C4" w:rsidRPr="00037346">
        <w:rPr>
          <w:snapToGrid w:val="0"/>
          <w:sz w:val="20"/>
          <w:szCs w:val="22"/>
        </w:rPr>
        <w:t xml:space="preserve"> y 20</w:t>
      </w:r>
      <w:r w:rsidR="006D5571" w:rsidRPr="00037346">
        <w:rPr>
          <w:snapToGrid w:val="0"/>
          <w:sz w:val="20"/>
          <w:szCs w:val="22"/>
        </w:rPr>
        <w:t>2</w:t>
      </w:r>
      <w:r w:rsidR="00DE5FC3">
        <w:rPr>
          <w:snapToGrid w:val="0"/>
          <w:sz w:val="20"/>
          <w:szCs w:val="22"/>
        </w:rPr>
        <w:t>3</w:t>
      </w:r>
      <w:r w:rsidRPr="00037346">
        <w:rPr>
          <w:snapToGrid w:val="0"/>
          <w:sz w:val="20"/>
          <w:szCs w:val="22"/>
        </w:rPr>
        <w:t xml:space="preserve"> se indica a continuación:</w:t>
      </w:r>
    </w:p>
    <w:tbl>
      <w:tblPr>
        <w:tblW w:w="5000" w:type="pct"/>
        <w:tblCellMar>
          <w:left w:w="70" w:type="dxa"/>
          <w:right w:w="70" w:type="dxa"/>
        </w:tblCellMar>
        <w:tblLook w:val="04A0" w:firstRow="1" w:lastRow="0" w:firstColumn="1" w:lastColumn="0" w:noHBand="0" w:noVBand="1"/>
      </w:tblPr>
      <w:tblGrid>
        <w:gridCol w:w="3576"/>
        <w:gridCol w:w="1199"/>
        <w:gridCol w:w="1203"/>
        <w:gridCol w:w="1403"/>
        <w:gridCol w:w="1400"/>
      </w:tblGrid>
      <w:tr w:rsidR="009527C4" w:rsidRPr="00037346" w14:paraId="14B96A76" w14:textId="77777777" w:rsidTr="00037346">
        <w:trPr>
          <w:trHeight w:val="283"/>
        </w:trPr>
        <w:tc>
          <w:tcPr>
            <w:tcW w:w="2036" w:type="pct"/>
            <w:tcBorders>
              <w:top w:val="single" w:sz="4" w:space="0" w:color="auto"/>
              <w:left w:val="nil"/>
              <w:bottom w:val="nil"/>
              <w:right w:val="nil"/>
            </w:tcBorders>
            <w:shd w:val="clear" w:color="auto" w:fill="auto"/>
            <w:noWrap/>
            <w:vAlign w:val="center"/>
            <w:hideMark/>
          </w:tcPr>
          <w:p w14:paraId="1F2A9DBA" w14:textId="77777777" w:rsidR="009527C4" w:rsidRPr="00037346" w:rsidRDefault="009527C4" w:rsidP="009527C4">
            <w:pPr>
              <w:pBdr>
                <w:top w:val="none" w:sz="0" w:space="0" w:color="auto"/>
                <w:left w:val="none" w:sz="0" w:space="0" w:color="auto"/>
                <w:bottom w:val="none" w:sz="0" w:space="0" w:color="auto"/>
                <w:right w:val="none" w:sz="0" w:space="0" w:color="auto"/>
                <w:between w:val="none" w:sz="0" w:space="0" w:color="auto"/>
                <w:bar w:val="none" w:sz="0" w:color="auto"/>
              </w:pBdr>
              <w:jc w:val="center"/>
              <w:outlineLvl w:val="9"/>
              <w:rPr>
                <w:rFonts w:eastAsia="Times New Roman"/>
                <w:sz w:val="18"/>
                <w:szCs w:val="18"/>
                <w:bdr w:val="none" w:sz="0" w:space="0" w:color="auto"/>
                <w:lang w:eastAsia="es-ES"/>
              </w:rPr>
            </w:pPr>
            <w:r w:rsidRPr="00037346">
              <w:rPr>
                <w:rFonts w:eastAsia="Times New Roman"/>
                <w:sz w:val="18"/>
                <w:szCs w:val="18"/>
                <w:bdr w:val="none" w:sz="0" w:space="0" w:color="auto"/>
                <w:lang w:eastAsia="es-ES"/>
              </w:rPr>
              <w:t> </w:t>
            </w:r>
          </w:p>
        </w:tc>
        <w:tc>
          <w:tcPr>
            <w:tcW w:w="2964" w:type="pct"/>
            <w:gridSpan w:val="4"/>
            <w:tcBorders>
              <w:top w:val="single" w:sz="4" w:space="0" w:color="auto"/>
              <w:left w:val="nil"/>
              <w:bottom w:val="single" w:sz="4" w:space="0" w:color="auto"/>
              <w:right w:val="nil"/>
            </w:tcBorders>
            <w:shd w:val="clear" w:color="auto" w:fill="auto"/>
            <w:noWrap/>
            <w:vAlign w:val="bottom"/>
            <w:hideMark/>
          </w:tcPr>
          <w:p w14:paraId="40F1BBAB" w14:textId="77777777" w:rsidR="009527C4" w:rsidRPr="00037346" w:rsidRDefault="009527C4" w:rsidP="009527C4">
            <w:pPr>
              <w:pBdr>
                <w:top w:val="none" w:sz="0" w:space="0" w:color="auto"/>
                <w:left w:val="none" w:sz="0" w:space="0" w:color="auto"/>
                <w:bottom w:val="none" w:sz="0" w:space="0" w:color="auto"/>
                <w:right w:val="none" w:sz="0" w:space="0" w:color="auto"/>
                <w:between w:val="none" w:sz="0" w:space="0" w:color="auto"/>
                <w:bar w:val="none" w:sz="0" w:color="auto"/>
              </w:pBdr>
              <w:jc w:val="center"/>
              <w:outlineLvl w:val="9"/>
              <w:rPr>
                <w:rFonts w:eastAsia="Times New Roman"/>
                <w:b/>
                <w:bCs/>
                <w:sz w:val="18"/>
                <w:szCs w:val="18"/>
                <w:bdr w:val="none" w:sz="0" w:space="0" w:color="auto"/>
                <w:lang w:eastAsia="es-ES"/>
              </w:rPr>
            </w:pPr>
            <w:r w:rsidRPr="00037346">
              <w:rPr>
                <w:rFonts w:eastAsia="Times New Roman"/>
                <w:b/>
                <w:bCs/>
                <w:sz w:val="18"/>
                <w:szCs w:val="18"/>
                <w:bdr w:val="none" w:sz="0" w:space="0" w:color="auto"/>
                <w:lang w:eastAsia="es-ES"/>
              </w:rPr>
              <w:t>Euros</w:t>
            </w:r>
          </w:p>
        </w:tc>
      </w:tr>
      <w:tr w:rsidR="009527C4" w:rsidRPr="00037346" w14:paraId="533ECCEA" w14:textId="77777777" w:rsidTr="00037346">
        <w:trPr>
          <w:trHeight w:val="283"/>
        </w:trPr>
        <w:tc>
          <w:tcPr>
            <w:tcW w:w="2036" w:type="pct"/>
            <w:tcBorders>
              <w:top w:val="nil"/>
              <w:left w:val="nil"/>
              <w:bottom w:val="nil"/>
              <w:right w:val="nil"/>
            </w:tcBorders>
            <w:shd w:val="clear" w:color="auto" w:fill="auto"/>
            <w:noWrap/>
            <w:vAlign w:val="center"/>
            <w:hideMark/>
          </w:tcPr>
          <w:p w14:paraId="2835F474" w14:textId="77777777" w:rsidR="009527C4" w:rsidRPr="00037346" w:rsidRDefault="009527C4" w:rsidP="009527C4">
            <w:pPr>
              <w:pBdr>
                <w:top w:val="none" w:sz="0" w:space="0" w:color="auto"/>
                <w:left w:val="none" w:sz="0" w:space="0" w:color="auto"/>
                <w:bottom w:val="none" w:sz="0" w:space="0" w:color="auto"/>
                <w:right w:val="none" w:sz="0" w:space="0" w:color="auto"/>
                <w:between w:val="none" w:sz="0" w:space="0" w:color="auto"/>
                <w:bar w:val="none" w:sz="0" w:color="auto"/>
              </w:pBdr>
              <w:jc w:val="center"/>
              <w:outlineLvl w:val="9"/>
              <w:rPr>
                <w:rFonts w:eastAsia="Times New Roman"/>
                <w:b/>
                <w:bCs/>
                <w:sz w:val="18"/>
                <w:szCs w:val="18"/>
                <w:bdr w:val="none" w:sz="0" w:space="0" w:color="auto"/>
                <w:lang w:eastAsia="es-ES"/>
              </w:rPr>
            </w:pPr>
          </w:p>
        </w:tc>
        <w:tc>
          <w:tcPr>
            <w:tcW w:w="1368" w:type="pct"/>
            <w:gridSpan w:val="2"/>
            <w:tcBorders>
              <w:top w:val="single" w:sz="4" w:space="0" w:color="auto"/>
              <w:left w:val="nil"/>
              <w:bottom w:val="single" w:sz="4" w:space="0" w:color="auto"/>
              <w:right w:val="nil"/>
            </w:tcBorders>
            <w:shd w:val="clear" w:color="auto" w:fill="auto"/>
            <w:noWrap/>
            <w:vAlign w:val="bottom"/>
            <w:hideMark/>
          </w:tcPr>
          <w:p w14:paraId="38EFD9D6" w14:textId="77777777" w:rsidR="009527C4" w:rsidRPr="00037346" w:rsidRDefault="009527C4" w:rsidP="009527C4">
            <w:pPr>
              <w:pBdr>
                <w:top w:val="none" w:sz="0" w:space="0" w:color="auto"/>
                <w:left w:val="none" w:sz="0" w:space="0" w:color="auto"/>
                <w:bottom w:val="none" w:sz="0" w:space="0" w:color="auto"/>
                <w:right w:val="none" w:sz="0" w:space="0" w:color="auto"/>
                <w:between w:val="none" w:sz="0" w:space="0" w:color="auto"/>
                <w:bar w:val="none" w:sz="0" w:color="auto"/>
              </w:pBdr>
              <w:jc w:val="center"/>
              <w:outlineLvl w:val="9"/>
              <w:rPr>
                <w:rFonts w:eastAsia="Times New Roman"/>
                <w:b/>
                <w:bCs/>
                <w:sz w:val="18"/>
                <w:szCs w:val="18"/>
                <w:bdr w:val="none" w:sz="0" w:space="0" w:color="auto"/>
                <w:lang w:eastAsia="es-ES"/>
              </w:rPr>
            </w:pPr>
            <w:r w:rsidRPr="00037346">
              <w:rPr>
                <w:rFonts w:eastAsia="Times New Roman"/>
                <w:b/>
                <w:bCs/>
                <w:sz w:val="18"/>
                <w:szCs w:val="18"/>
                <w:bdr w:val="none" w:sz="0" w:space="0" w:color="auto"/>
                <w:lang w:eastAsia="es-ES"/>
              </w:rPr>
              <w:t>A largo plazo</w:t>
            </w:r>
          </w:p>
        </w:tc>
        <w:tc>
          <w:tcPr>
            <w:tcW w:w="1596" w:type="pct"/>
            <w:gridSpan w:val="2"/>
            <w:tcBorders>
              <w:top w:val="single" w:sz="4" w:space="0" w:color="auto"/>
              <w:left w:val="nil"/>
              <w:bottom w:val="single" w:sz="4" w:space="0" w:color="auto"/>
              <w:right w:val="nil"/>
            </w:tcBorders>
            <w:shd w:val="clear" w:color="auto" w:fill="auto"/>
            <w:noWrap/>
            <w:vAlign w:val="bottom"/>
            <w:hideMark/>
          </w:tcPr>
          <w:p w14:paraId="6484BC75" w14:textId="77777777" w:rsidR="009527C4" w:rsidRPr="00037346" w:rsidRDefault="009527C4" w:rsidP="009527C4">
            <w:pPr>
              <w:pBdr>
                <w:top w:val="none" w:sz="0" w:space="0" w:color="auto"/>
                <w:left w:val="none" w:sz="0" w:space="0" w:color="auto"/>
                <w:bottom w:val="none" w:sz="0" w:space="0" w:color="auto"/>
                <w:right w:val="none" w:sz="0" w:space="0" w:color="auto"/>
                <w:between w:val="none" w:sz="0" w:space="0" w:color="auto"/>
                <w:bar w:val="none" w:sz="0" w:color="auto"/>
              </w:pBdr>
              <w:jc w:val="center"/>
              <w:outlineLvl w:val="9"/>
              <w:rPr>
                <w:rFonts w:eastAsia="Times New Roman"/>
                <w:b/>
                <w:bCs/>
                <w:sz w:val="18"/>
                <w:szCs w:val="18"/>
                <w:bdr w:val="none" w:sz="0" w:space="0" w:color="auto"/>
                <w:lang w:eastAsia="es-ES"/>
              </w:rPr>
            </w:pPr>
            <w:r w:rsidRPr="00037346">
              <w:rPr>
                <w:rFonts w:eastAsia="Times New Roman"/>
                <w:b/>
                <w:bCs/>
                <w:sz w:val="18"/>
                <w:szCs w:val="18"/>
                <w:bdr w:val="none" w:sz="0" w:space="0" w:color="auto"/>
                <w:lang w:eastAsia="es-ES"/>
              </w:rPr>
              <w:t>A corto plazo</w:t>
            </w:r>
          </w:p>
        </w:tc>
      </w:tr>
      <w:tr w:rsidR="00037346" w:rsidRPr="00037346" w14:paraId="1763E4DD" w14:textId="77777777" w:rsidTr="00037346">
        <w:trPr>
          <w:trHeight w:val="283"/>
        </w:trPr>
        <w:tc>
          <w:tcPr>
            <w:tcW w:w="2036" w:type="pct"/>
            <w:tcBorders>
              <w:top w:val="nil"/>
              <w:left w:val="nil"/>
              <w:bottom w:val="single" w:sz="4" w:space="0" w:color="auto"/>
              <w:right w:val="nil"/>
            </w:tcBorders>
            <w:shd w:val="clear" w:color="auto" w:fill="auto"/>
            <w:noWrap/>
            <w:vAlign w:val="center"/>
            <w:hideMark/>
          </w:tcPr>
          <w:p w14:paraId="2B4802E1" w14:textId="77777777" w:rsidR="00037346" w:rsidRPr="00037346" w:rsidRDefault="00037346" w:rsidP="00037346">
            <w:pPr>
              <w:pBdr>
                <w:top w:val="none" w:sz="0" w:space="0" w:color="auto"/>
                <w:left w:val="none" w:sz="0" w:space="0" w:color="auto"/>
                <w:bottom w:val="none" w:sz="0" w:space="0" w:color="auto"/>
                <w:right w:val="none" w:sz="0" w:space="0" w:color="auto"/>
                <w:between w:val="none" w:sz="0" w:space="0" w:color="auto"/>
                <w:bar w:val="none" w:sz="0" w:color="auto"/>
              </w:pBdr>
              <w:outlineLvl w:val="9"/>
              <w:rPr>
                <w:rFonts w:eastAsia="Times New Roman"/>
                <w:sz w:val="18"/>
                <w:szCs w:val="18"/>
                <w:bdr w:val="none" w:sz="0" w:space="0" w:color="auto"/>
                <w:lang w:eastAsia="es-ES"/>
              </w:rPr>
            </w:pPr>
            <w:r w:rsidRPr="00037346">
              <w:rPr>
                <w:rFonts w:eastAsia="Times New Roman"/>
                <w:sz w:val="18"/>
                <w:szCs w:val="18"/>
                <w:bdr w:val="none" w:sz="0" w:space="0" w:color="auto"/>
                <w:lang w:eastAsia="es-ES"/>
              </w:rPr>
              <w:t> </w:t>
            </w:r>
          </w:p>
        </w:tc>
        <w:tc>
          <w:tcPr>
            <w:tcW w:w="683" w:type="pct"/>
            <w:tcBorders>
              <w:top w:val="nil"/>
              <w:left w:val="nil"/>
              <w:bottom w:val="single" w:sz="4" w:space="0" w:color="auto"/>
              <w:right w:val="nil"/>
            </w:tcBorders>
            <w:shd w:val="clear" w:color="auto" w:fill="auto"/>
            <w:noWrap/>
            <w:vAlign w:val="bottom"/>
            <w:hideMark/>
          </w:tcPr>
          <w:p w14:paraId="04A32B5D" w14:textId="3DF05A94" w:rsidR="00037346" w:rsidRPr="00037346" w:rsidRDefault="00037346" w:rsidP="00037346">
            <w:pPr>
              <w:pBdr>
                <w:top w:val="none" w:sz="0" w:space="0" w:color="auto"/>
                <w:left w:val="none" w:sz="0" w:space="0" w:color="auto"/>
                <w:bottom w:val="none" w:sz="0" w:space="0" w:color="auto"/>
                <w:right w:val="none" w:sz="0" w:space="0" w:color="auto"/>
                <w:between w:val="none" w:sz="0" w:space="0" w:color="auto"/>
                <w:bar w:val="none" w:sz="0" w:color="auto"/>
              </w:pBdr>
              <w:jc w:val="center"/>
              <w:outlineLvl w:val="9"/>
              <w:rPr>
                <w:rFonts w:eastAsia="Times New Roman"/>
                <w:b/>
                <w:bCs/>
                <w:sz w:val="18"/>
                <w:szCs w:val="18"/>
                <w:bdr w:val="none" w:sz="0" w:space="0" w:color="auto"/>
                <w:lang w:eastAsia="es-ES"/>
              </w:rPr>
            </w:pPr>
            <w:r w:rsidRPr="00037346">
              <w:rPr>
                <w:rFonts w:eastAsia="Times New Roman"/>
                <w:b/>
                <w:bCs/>
                <w:sz w:val="18"/>
                <w:szCs w:val="18"/>
                <w:bdr w:val="none" w:sz="0" w:space="0" w:color="auto"/>
                <w:lang w:eastAsia="es-ES"/>
              </w:rPr>
              <w:t>31/12/202</w:t>
            </w:r>
            <w:r w:rsidR="00DE5FC3">
              <w:rPr>
                <w:rFonts w:eastAsia="Times New Roman"/>
                <w:b/>
                <w:bCs/>
                <w:sz w:val="18"/>
                <w:szCs w:val="18"/>
                <w:bdr w:val="none" w:sz="0" w:space="0" w:color="auto"/>
                <w:lang w:eastAsia="es-ES"/>
              </w:rPr>
              <w:t>4</w:t>
            </w:r>
          </w:p>
        </w:tc>
        <w:tc>
          <w:tcPr>
            <w:tcW w:w="685" w:type="pct"/>
            <w:tcBorders>
              <w:top w:val="nil"/>
              <w:left w:val="nil"/>
              <w:bottom w:val="single" w:sz="4" w:space="0" w:color="auto"/>
              <w:right w:val="nil"/>
            </w:tcBorders>
            <w:shd w:val="clear" w:color="auto" w:fill="auto"/>
            <w:noWrap/>
            <w:vAlign w:val="bottom"/>
            <w:hideMark/>
          </w:tcPr>
          <w:p w14:paraId="02C3360D" w14:textId="61A91CA8" w:rsidR="00037346" w:rsidRPr="00037346" w:rsidRDefault="00037346" w:rsidP="00037346">
            <w:pPr>
              <w:pBdr>
                <w:top w:val="none" w:sz="0" w:space="0" w:color="auto"/>
                <w:left w:val="none" w:sz="0" w:space="0" w:color="auto"/>
                <w:bottom w:val="none" w:sz="0" w:space="0" w:color="auto"/>
                <w:right w:val="none" w:sz="0" w:space="0" w:color="auto"/>
                <w:between w:val="none" w:sz="0" w:space="0" w:color="auto"/>
                <w:bar w:val="none" w:sz="0" w:color="auto"/>
              </w:pBdr>
              <w:jc w:val="center"/>
              <w:outlineLvl w:val="9"/>
              <w:rPr>
                <w:rFonts w:eastAsia="Times New Roman"/>
                <w:b/>
                <w:bCs/>
                <w:sz w:val="18"/>
                <w:szCs w:val="18"/>
                <w:bdr w:val="none" w:sz="0" w:space="0" w:color="auto"/>
                <w:lang w:eastAsia="es-ES"/>
              </w:rPr>
            </w:pPr>
            <w:r w:rsidRPr="00037346">
              <w:rPr>
                <w:rFonts w:eastAsia="Times New Roman"/>
                <w:b/>
                <w:bCs/>
                <w:sz w:val="18"/>
                <w:szCs w:val="18"/>
                <w:bdr w:val="none" w:sz="0" w:space="0" w:color="auto"/>
                <w:lang w:eastAsia="es-ES"/>
              </w:rPr>
              <w:t>31/12/202</w:t>
            </w:r>
            <w:r w:rsidR="00DE5FC3">
              <w:rPr>
                <w:rFonts w:eastAsia="Times New Roman"/>
                <w:b/>
                <w:bCs/>
                <w:sz w:val="18"/>
                <w:szCs w:val="18"/>
                <w:bdr w:val="none" w:sz="0" w:space="0" w:color="auto"/>
                <w:lang w:eastAsia="es-ES"/>
              </w:rPr>
              <w:t>3</w:t>
            </w:r>
          </w:p>
        </w:tc>
        <w:tc>
          <w:tcPr>
            <w:tcW w:w="799" w:type="pct"/>
            <w:tcBorders>
              <w:top w:val="nil"/>
              <w:left w:val="nil"/>
              <w:bottom w:val="single" w:sz="4" w:space="0" w:color="auto"/>
              <w:right w:val="nil"/>
            </w:tcBorders>
            <w:shd w:val="clear" w:color="auto" w:fill="auto"/>
            <w:noWrap/>
            <w:vAlign w:val="bottom"/>
            <w:hideMark/>
          </w:tcPr>
          <w:p w14:paraId="15FD4B18" w14:textId="0832E83D" w:rsidR="00037346" w:rsidRPr="00037346" w:rsidRDefault="00037346" w:rsidP="00037346">
            <w:pPr>
              <w:pBdr>
                <w:top w:val="none" w:sz="0" w:space="0" w:color="auto"/>
                <w:left w:val="none" w:sz="0" w:space="0" w:color="auto"/>
                <w:bottom w:val="none" w:sz="0" w:space="0" w:color="auto"/>
                <w:right w:val="none" w:sz="0" w:space="0" w:color="auto"/>
                <w:between w:val="none" w:sz="0" w:space="0" w:color="auto"/>
                <w:bar w:val="none" w:sz="0" w:color="auto"/>
              </w:pBdr>
              <w:jc w:val="center"/>
              <w:outlineLvl w:val="9"/>
              <w:rPr>
                <w:rFonts w:eastAsia="Times New Roman"/>
                <w:b/>
                <w:bCs/>
                <w:sz w:val="18"/>
                <w:szCs w:val="18"/>
                <w:bdr w:val="none" w:sz="0" w:space="0" w:color="auto"/>
                <w:lang w:eastAsia="es-ES"/>
              </w:rPr>
            </w:pPr>
            <w:r w:rsidRPr="00037346">
              <w:rPr>
                <w:rFonts w:eastAsia="Times New Roman"/>
                <w:b/>
                <w:bCs/>
                <w:sz w:val="18"/>
                <w:szCs w:val="18"/>
                <w:bdr w:val="none" w:sz="0" w:space="0" w:color="auto"/>
                <w:lang w:eastAsia="es-ES"/>
              </w:rPr>
              <w:t>31/12/202</w:t>
            </w:r>
            <w:r w:rsidR="00DE5FC3">
              <w:rPr>
                <w:rFonts w:eastAsia="Times New Roman"/>
                <w:b/>
                <w:bCs/>
                <w:sz w:val="18"/>
                <w:szCs w:val="18"/>
                <w:bdr w:val="none" w:sz="0" w:space="0" w:color="auto"/>
                <w:lang w:eastAsia="es-ES"/>
              </w:rPr>
              <w:t>4</w:t>
            </w:r>
          </w:p>
        </w:tc>
        <w:tc>
          <w:tcPr>
            <w:tcW w:w="797" w:type="pct"/>
            <w:tcBorders>
              <w:top w:val="nil"/>
              <w:left w:val="nil"/>
              <w:bottom w:val="single" w:sz="4" w:space="0" w:color="auto"/>
              <w:right w:val="nil"/>
            </w:tcBorders>
            <w:shd w:val="clear" w:color="auto" w:fill="auto"/>
            <w:noWrap/>
            <w:vAlign w:val="bottom"/>
            <w:hideMark/>
          </w:tcPr>
          <w:p w14:paraId="31369E4E" w14:textId="4ED6AF86" w:rsidR="00037346" w:rsidRPr="00037346" w:rsidRDefault="00037346" w:rsidP="00037346">
            <w:pPr>
              <w:pBdr>
                <w:top w:val="none" w:sz="0" w:space="0" w:color="auto"/>
                <w:left w:val="none" w:sz="0" w:space="0" w:color="auto"/>
                <w:bottom w:val="none" w:sz="0" w:space="0" w:color="auto"/>
                <w:right w:val="none" w:sz="0" w:space="0" w:color="auto"/>
                <w:between w:val="none" w:sz="0" w:space="0" w:color="auto"/>
                <w:bar w:val="none" w:sz="0" w:color="auto"/>
              </w:pBdr>
              <w:jc w:val="center"/>
              <w:outlineLvl w:val="9"/>
              <w:rPr>
                <w:rFonts w:eastAsia="Times New Roman"/>
                <w:b/>
                <w:bCs/>
                <w:sz w:val="18"/>
                <w:szCs w:val="18"/>
                <w:bdr w:val="none" w:sz="0" w:space="0" w:color="auto"/>
                <w:lang w:eastAsia="es-ES"/>
              </w:rPr>
            </w:pPr>
            <w:r w:rsidRPr="00037346">
              <w:rPr>
                <w:rFonts w:eastAsia="Times New Roman"/>
                <w:b/>
                <w:bCs/>
                <w:sz w:val="18"/>
                <w:szCs w:val="18"/>
                <w:bdr w:val="none" w:sz="0" w:space="0" w:color="auto"/>
                <w:lang w:eastAsia="es-ES"/>
              </w:rPr>
              <w:t>31/12/202</w:t>
            </w:r>
            <w:r w:rsidR="00DE5FC3">
              <w:rPr>
                <w:rFonts w:eastAsia="Times New Roman"/>
                <w:b/>
                <w:bCs/>
                <w:sz w:val="18"/>
                <w:szCs w:val="18"/>
                <w:bdr w:val="none" w:sz="0" w:space="0" w:color="auto"/>
                <w:lang w:eastAsia="es-ES"/>
              </w:rPr>
              <w:t>3</w:t>
            </w:r>
          </w:p>
        </w:tc>
      </w:tr>
      <w:tr w:rsidR="00DE5FC3" w:rsidRPr="00037346" w14:paraId="3BEBADE4" w14:textId="77777777" w:rsidTr="00DE5FC3">
        <w:trPr>
          <w:trHeight w:val="283"/>
        </w:trPr>
        <w:tc>
          <w:tcPr>
            <w:tcW w:w="2036" w:type="pct"/>
            <w:tcBorders>
              <w:top w:val="nil"/>
              <w:left w:val="nil"/>
              <w:bottom w:val="nil"/>
              <w:right w:val="nil"/>
            </w:tcBorders>
            <w:shd w:val="clear" w:color="auto" w:fill="auto"/>
            <w:noWrap/>
            <w:vAlign w:val="center"/>
            <w:hideMark/>
          </w:tcPr>
          <w:p w14:paraId="6E4FB38C" w14:textId="2A6898CA" w:rsidR="00DE5FC3" w:rsidRPr="00037346" w:rsidRDefault="00DE5FC3" w:rsidP="00DE5FC3">
            <w:pPr>
              <w:pBdr>
                <w:top w:val="none" w:sz="0" w:space="0" w:color="auto"/>
                <w:left w:val="none" w:sz="0" w:space="0" w:color="auto"/>
                <w:bottom w:val="none" w:sz="0" w:space="0" w:color="auto"/>
                <w:right w:val="none" w:sz="0" w:space="0" w:color="auto"/>
                <w:between w:val="none" w:sz="0" w:space="0" w:color="auto"/>
                <w:bar w:val="none" w:sz="0" w:color="auto"/>
              </w:pBdr>
              <w:outlineLvl w:val="9"/>
              <w:rPr>
                <w:rFonts w:eastAsia="Times New Roman"/>
                <w:b/>
                <w:bCs/>
                <w:sz w:val="18"/>
                <w:szCs w:val="18"/>
                <w:bdr w:val="none" w:sz="0" w:space="0" w:color="auto"/>
                <w:lang w:eastAsia="es-ES"/>
              </w:rPr>
            </w:pPr>
            <w:r w:rsidRPr="00037346">
              <w:rPr>
                <w:rFonts w:eastAsia="Times New Roman"/>
                <w:b/>
                <w:bCs/>
                <w:sz w:val="18"/>
                <w:szCs w:val="18"/>
                <w:bdr w:val="none" w:sz="0" w:space="0" w:color="auto"/>
                <w:lang w:eastAsia="es-ES"/>
              </w:rPr>
              <w:t>Pasivos financieros a coste amortizado:</w:t>
            </w:r>
          </w:p>
        </w:tc>
        <w:tc>
          <w:tcPr>
            <w:tcW w:w="683" w:type="pct"/>
            <w:tcBorders>
              <w:top w:val="nil"/>
              <w:left w:val="nil"/>
              <w:bottom w:val="nil"/>
              <w:right w:val="nil"/>
            </w:tcBorders>
            <w:shd w:val="clear" w:color="auto" w:fill="auto"/>
            <w:noWrap/>
            <w:vAlign w:val="center"/>
          </w:tcPr>
          <w:p w14:paraId="02A7E3B8" w14:textId="77777777" w:rsidR="00DE5FC3" w:rsidRPr="00037346" w:rsidRDefault="00DE5FC3" w:rsidP="00DE5FC3">
            <w:pPr>
              <w:pBdr>
                <w:top w:val="none" w:sz="0" w:space="0" w:color="auto"/>
                <w:left w:val="none" w:sz="0" w:space="0" w:color="auto"/>
                <w:bottom w:val="none" w:sz="0" w:space="0" w:color="auto"/>
                <w:right w:val="none" w:sz="0" w:space="0" w:color="auto"/>
                <w:between w:val="none" w:sz="0" w:space="0" w:color="auto"/>
                <w:bar w:val="none" w:sz="0" w:color="auto"/>
              </w:pBdr>
              <w:jc w:val="right"/>
              <w:outlineLvl w:val="9"/>
              <w:rPr>
                <w:rFonts w:eastAsia="Times New Roman"/>
                <w:b/>
                <w:bCs/>
                <w:sz w:val="18"/>
                <w:szCs w:val="18"/>
                <w:bdr w:val="none" w:sz="0" w:space="0" w:color="auto"/>
                <w:lang w:eastAsia="es-ES"/>
              </w:rPr>
            </w:pPr>
          </w:p>
        </w:tc>
        <w:tc>
          <w:tcPr>
            <w:tcW w:w="685" w:type="pct"/>
            <w:tcBorders>
              <w:top w:val="nil"/>
              <w:left w:val="nil"/>
              <w:bottom w:val="nil"/>
              <w:right w:val="nil"/>
            </w:tcBorders>
            <w:shd w:val="clear" w:color="auto" w:fill="auto"/>
            <w:noWrap/>
            <w:vAlign w:val="center"/>
            <w:hideMark/>
          </w:tcPr>
          <w:p w14:paraId="7DD7C602" w14:textId="77777777" w:rsidR="00DE5FC3" w:rsidRPr="00037346" w:rsidRDefault="00DE5FC3" w:rsidP="00DE5FC3">
            <w:pPr>
              <w:pBdr>
                <w:top w:val="none" w:sz="0" w:space="0" w:color="auto"/>
                <w:left w:val="none" w:sz="0" w:space="0" w:color="auto"/>
                <w:bottom w:val="none" w:sz="0" w:space="0" w:color="auto"/>
                <w:right w:val="none" w:sz="0" w:space="0" w:color="auto"/>
                <w:between w:val="none" w:sz="0" w:space="0" w:color="auto"/>
                <w:bar w:val="none" w:sz="0" w:color="auto"/>
              </w:pBdr>
              <w:jc w:val="right"/>
              <w:outlineLvl w:val="9"/>
              <w:rPr>
                <w:rFonts w:eastAsia="Times New Roman"/>
                <w:color w:val="auto"/>
                <w:sz w:val="18"/>
                <w:szCs w:val="18"/>
                <w:bdr w:val="none" w:sz="0" w:space="0" w:color="auto"/>
                <w:lang w:eastAsia="es-ES"/>
              </w:rPr>
            </w:pPr>
          </w:p>
        </w:tc>
        <w:tc>
          <w:tcPr>
            <w:tcW w:w="799" w:type="pct"/>
            <w:tcBorders>
              <w:top w:val="nil"/>
              <w:left w:val="nil"/>
              <w:bottom w:val="nil"/>
              <w:right w:val="nil"/>
            </w:tcBorders>
            <w:shd w:val="clear" w:color="auto" w:fill="auto"/>
            <w:noWrap/>
            <w:vAlign w:val="center"/>
          </w:tcPr>
          <w:p w14:paraId="59D43576" w14:textId="77777777" w:rsidR="00DE5FC3" w:rsidRPr="00037346" w:rsidRDefault="00DE5FC3" w:rsidP="00DE5FC3">
            <w:pPr>
              <w:pBdr>
                <w:top w:val="none" w:sz="0" w:space="0" w:color="auto"/>
                <w:left w:val="none" w:sz="0" w:space="0" w:color="auto"/>
                <w:bottom w:val="none" w:sz="0" w:space="0" w:color="auto"/>
                <w:right w:val="none" w:sz="0" w:space="0" w:color="auto"/>
                <w:between w:val="none" w:sz="0" w:space="0" w:color="auto"/>
                <w:bar w:val="none" w:sz="0" w:color="auto"/>
              </w:pBdr>
              <w:jc w:val="right"/>
              <w:outlineLvl w:val="9"/>
              <w:rPr>
                <w:rFonts w:eastAsia="Times New Roman"/>
                <w:color w:val="auto"/>
                <w:sz w:val="18"/>
                <w:szCs w:val="18"/>
                <w:bdr w:val="none" w:sz="0" w:space="0" w:color="auto"/>
                <w:lang w:eastAsia="es-ES"/>
              </w:rPr>
            </w:pPr>
          </w:p>
        </w:tc>
        <w:tc>
          <w:tcPr>
            <w:tcW w:w="797" w:type="pct"/>
            <w:tcBorders>
              <w:top w:val="nil"/>
              <w:left w:val="nil"/>
              <w:bottom w:val="nil"/>
              <w:right w:val="nil"/>
            </w:tcBorders>
            <w:shd w:val="clear" w:color="auto" w:fill="auto"/>
            <w:noWrap/>
            <w:vAlign w:val="center"/>
            <w:hideMark/>
          </w:tcPr>
          <w:p w14:paraId="3D13CEA7" w14:textId="77777777" w:rsidR="00DE5FC3" w:rsidRPr="00037346" w:rsidRDefault="00DE5FC3" w:rsidP="00DE5FC3">
            <w:pPr>
              <w:pBdr>
                <w:top w:val="none" w:sz="0" w:space="0" w:color="auto"/>
                <w:left w:val="none" w:sz="0" w:space="0" w:color="auto"/>
                <w:bottom w:val="none" w:sz="0" w:space="0" w:color="auto"/>
                <w:right w:val="none" w:sz="0" w:space="0" w:color="auto"/>
                <w:between w:val="none" w:sz="0" w:space="0" w:color="auto"/>
                <w:bar w:val="none" w:sz="0" w:color="auto"/>
              </w:pBdr>
              <w:jc w:val="right"/>
              <w:outlineLvl w:val="9"/>
              <w:rPr>
                <w:rFonts w:eastAsia="Times New Roman"/>
                <w:color w:val="auto"/>
                <w:sz w:val="18"/>
                <w:szCs w:val="18"/>
                <w:bdr w:val="none" w:sz="0" w:space="0" w:color="auto"/>
                <w:lang w:eastAsia="es-ES"/>
              </w:rPr>
            </w:pPr>
          </w:p>
        </w:tc>
      </w:tr>
      <w:tr w:rsidR="00941E50" w:rsidRPr="00037346" w14:paraId="2959292E" w14:textId="77777777" w:rsidTr="00DE5FC3">
        <w:trPr>
          <w:trHeight w:val="283"/>
        </w:trPr>
        <w:tc>
          <w:tcPr>
            <w:tcW w:w="2036" w:type="pct"/>
            <w:tcBorders>
              <w:top w:val="nil"/>
              <w:left w:val="nil"/>
              <w:bottom w:val="nil"/>
              <w:right w:val="nil"/>
            </w:tcBorders>
            <w:shd w:val="clear" w:color="auto" w:fill="auto"/>
            <w:noWrap/>
            <w:vAlign w:val="center"/>
            <w:hideMark/>
          </w:tcPr>
          <w:p w14:paraId="5B7AD9C5" w14:textId="77777777" w:rsidR="00941E50" w:rsidRPr="00037346" w:rsidRDefault="00941E50" w:rsidP="00941E50">
            <w:pPr>
              <w:pBdr>
                <w:top w:val="none" w:sz="0" w:space="0" w:color="auto"/>
                <w:left w:val="none" w:sz="0" w:space="0" w:color="auto"/>
                <w:bottom w:val="none" w:sz="0" w:space="0" w:color="auto"/>
                <w:right w:val="none" w:sz="0" w:space="0" w:color="auto"/>
                <w:between w:val="none" w:sz="0" w:space="0" w:color="auto"/>
                <w:bar w:val="none" w:sz="0" w:color="auto"/>
              </w:pBdr>
              <w:outlineLvl w:val="9"/>
              <w:rPr>
                <w:rFonts w:eastAsia="Times New Roman"/>
                <w:sz w:val="18"/>
                <w:szCs w:val="18"/>
                <w:bdr w:val="none" w:sz="0" w:space="0" w:color="auto"/>
                <w:lang w:eastAsia="es-ES"/>
              </w:rPr>
            </w:pPr>
            <w:r w:rsidRPr="00037346">
              <w:rPr>
                <w:rFonts w:eastAsia="Times New Roman"/>
                <w:sz w:val="18"/>
                <w:szCs w:val="18"/>
                <w:bdr w:val="none" w:sz="0" w:space="0" w:color="auto"/>
                <w:lang w:eastAsia="es-ES"/>
              </w:rPr>
              <w:t>Deudas con entidades de crédito</w:t>
            </w:r>
          </w:p>
        </w:tc>
        <w:tc>
          <w:tcPr>
            <w:tcW w:w="683" w:type="pct"/>
            <w:tcBorders>
              <w:top w:val="nil"/>
              <w:left w:val="nil"/>
              <w:bottom w:val="nil"/>
              <w:right w:val="nil"/>
            </w:tcBorders>
            <w:shd w:val="clear" w:color="auto" w:fill="auto"/>
            <w:noWrap/>
            <w:vAlign w:val="center"/>
          </w:tcPr>
          <w:p w14:paraId="13014185" w14:textId="425502E6" w:rsidR="00941E50" w:rsidRPr="00037346" w:rsidRDefault="00941E50" w:rsidP="00941E50">
            <w:pPr>
              <w:pBdr>
                <w:top w:val="none" w:sz="0" w:space="0" w:color="auto"/>
                <w:left w:val="none" w:sz="0" w:space="0" w:color="auto"/>
                <w:bottom w:val="none" w:sz="0" w:space="0" w:color="auto"/>
                <w:right w:val="none" w:sz="0" w:space="0" w:color="auto"/>
                <w:between w:val="none" w:sz="0" w:space="0" w:color="auto"/>
                <w:bar w:val="none" w:sz="0" w:color="auto"/>
              </w:pBdr>
              <w:jc w:val="right"/>
              <w:outlineLvl w:val="9"/>
              <w:rPr>
                <w:rFonts w:eastAsia="Times New Roman"/>
                <w:sz w:val="18"/>
                <w:szCs w:val="18"/>
                <w:bdr w:val="none" w:sz="0" w:space="0" w:color="auto"/>
                <w:lang w:eastAsia="es-ES"/>
              </w:rPr>
            </w:pPr>
            <w:r>
              <w:rPr>
                <w:sz w:val="18"/>
                <w:szCs w:val="18"/>
              </w:rPr>
              <w:t xml:space="preserve"> -</w:t>
            </w:r>
          </w:p>
        </w:tc>
        <w:tc>
          <w:tcPr>
            <w:tcW w:w="685" w:type="pct"/>
            <w:tcBorders>
              <w:top w:val="nil"/>
              <w:left w:val="nil"/>
              <w:bottom w:val="nil"/>
              <w:right w:val="nil"/>
            </w:tcBorders>
            <w:shd w:val="clear" w:color="auto" w:fill="auto"/>
            <w:noWrap/>
            <w:vAlign w:val="center"/>
            <w:hideMark/>
          </w:tcPr>
          <w:p w14:paraId="323B54D2" w14:textId="537FF669" w:rsidR="00941E50" w:rsidRPr="00037346" w:rsidRDefault="00941E50" w:rsidP="00941E50">
            <w:pPr>
              <w:pBdr>
                <w:top w:val="none" w:sz="0" w:space="0" w:color="auto"/>
                <w:left w:val="none" w:sz="0" w:space="0" w:color="auto"/>
                <w:bottom w:val="none" w:sz="0" w:space="0" w:color="auto"/>
                <w:right w:val="none" w:sz="0" w:space="0" w:color="auto"/>
                <w:between w:val="none" w:sz="0" w:space="0" w:color="auto"/>
                <w:bar w:val="none" w:sz="0" w:color="auto"/>
              </w:pBdr>
              <w:jc w:val="right"/>
              <w:outlineLvl w:val="9"/>
              <w:rPr>
                <w:rFonts w:eastAsia="Times New Roman"/>
                <w:sz w:val="18"/>
                <w:szCs w:val="18"/>
                <w:bdr w:val="none" w:sz="0" w:space="0" w:color="auto"/>
                <w:lang w:eastAsia="es-ES"/>
              </w:rPr>
            </w:pPr>
            <w:r>
              <w:rPr>
                <w:sz w:val="18"/>
                <w:szCs w:val="18"/>
              </w:rPr>
              <w:t xml:space="preserve"> -</w:t>
            </w:r>
          </w:p>
        </w:tc>
        <w:tc>
          <w:tcPr>
            <w:tcW w:w="799" w:type="pct"/>
            <w:tcBorders>
              <w:top w:val="nil"/>
              <w:left w:val="nil"/>
              <w:bottom w:val="nil"/>
              <w:right w:val="nil"/>
            </w:tcBorders>
            <w:shd w:val="clear" w:color="auto" w:fill="auto"/>
            <w:noWrap/>
            <w:vAlign w:val="center"/>
          </w:tcPr>
          <w:p w14:paraId="2931DD66" w14:textId="6F1CF7CD" w:rsidR="00941E50" w:rsidRPr="00037346" w:rsidRDefault="00941E50" w:rsidP="00941E50">
            <w:pPr>
              <w:pBdr>
                <w:top w:val="none" w:sz="0" w:space="0" w:color="auto"/>
                <w:left w:val="none" w:sz="0" w:space="0" w:color="auto"/>
                <w:bottom w:val="none" w:sz="0" w:space="0" w:color="auto"/>
                <w:right w:val="none" w:sz="0" w:space="0" w:color="auto"/>
                <w:between w:val="none" w:sz="0" w:space="0" w:color="auto"/>
                <w:bar w:val="none" w:sz="0" w:color="auto"/>
              </w:pBdr>
              <w:jc w:val="right"/>
              <w:outlineLvl w:val="9"/>
              <w:rPr>
                <w:rFonts w:eastAsia="Times New Roman"/>
                <w:sz w:val="18"/>
                <w:szCs w:val="18"/>
                <w:bdr w:val="none" w:sz="0" w:space="0" w:color="auto"/>
                <w:lang w:eastAsia="es-ES"/>
              </w:rPr>
            </w:pPr>
            <w:r>
              <w:rPr>
                <w:sz w:val="18"/>
                <w:szCs w:val="18"/>
              </w:rPr>
              <w:t>341,31</w:t>
            </w:r>
          </w:p>
        </w:tc>
        <w:tc>
          <w:tcPr>
            <w:tcW w:w="797" w:type="pct"/>
            <w:tcBorders>
              <w:top w:val="nil"/>
              <w:left w:val="nil"/>
              <w:bottom w:val="nil"/>
              <w:right w:val="nil"/>
            </w:tcBorders>
            <w:shd w:val="clear" w:color="auto" w:fill="auto"/>
            <w:noWrap/>
            <w:vAlign w:val="center"/>
            <w:hideMark/>
          </w:tcPr>
          <w:p w14:paraId="7907551D" w14:textId="60BC423B" w:rsidR="00941E50" w:rsidRPr="00037346" w:rsidRDefault="00941E50" w:rsidP="00941E50">
            <w:pPr>
              <w:pBdr>
                <w:top w:val="none" w:sz="0" w:space="0" w:color="auto"/>
                <w:left w:val="none" w:sz="0" w:space="0" w:color="auto"/>
                <w:bottom w:val="none" w:sz="0" w:space="0" w:color="auto"/>
                <w:right w:val="none" w:sz="0" w:space="0" w:color="auto"/>
                <w:between w:val="none" w:sz="0" w:space="0" w:color="auto"/>
                <w:bar w:val="none" w:sz="0" w:color="auto"/>
              </w:pBdr>
              <w:jc w:val="right"/>
              <w:outlineLvl w:val="9"/>
              <w:rPr>
                <w:rFonts w:eastAsia="Times New Roman"/>
                <w:sz w:val="18"/>
                <w:szCs w:val="18"/>
                <w:bdr w:val="none" w:sz="0" w:space="0" w:color="auto"/>
                <w:lang w:eastAsia="es-ES"/>
              </w:rPr>
            </w:pPr>
            <w:r>
              <w:rPr>
                <w:sz w:val="18"/>
                <w:szCs w:val="18"/>
              </w:rPr>
              <w:t>378,60</w:t>
            </w:r>
          </w:p>
        </w:tc>
      </w:tr>
      <w:tr w:rsidR="00941E50" w:rsidRPr="00037346" w14:paraId="1F86DF62" w14:textId="77777777" w:rsidTr="00DE5FC3">
        <w:trPr>
          <w:trHeight w:val="283"/>
        </w:trPr>
        <w:tc>
          <w:tcPr>
            <w:tcW w:w="2036" w:type="pct"/>
            <w:tcBorders>
              <w:top w:val="nil"/>
              <w:left w:val="nil"/>
              <w:bottom w:val="nil"/>
              <w:right w:val="nil"/>
            </w:tcBorders>
            <w:shd w:val="clear" w:color="auto" w:fill="auto"/>
            <w:noWrap/>
            <w:vAlign w:val="center"/>
            <w:hideMark/>
          </w:tcPr>
          <w:p w14:paraId="5C8D9610" w14:textId="77777777" w:rsidR="00941E50" w:rsidRPr="00037346" w:rsidRDefault="00941E50" w:rsidP="00941E50">
            <w:pPr>
              <w:pBdr>
                <w:top w:val="none" w:sz="0" w:space="0" w:color="auto"/>
                <w:left w:val="none" w:sz="0" w:space="0" w:color="auto"/>
                <w:bottom w:val="none" w:sz="0" w:space="0" w:color="auto"/>
                <w:right w:val="none" w:sz="0" w:space="0" w:color="auto"/>
                <w:between w:val="none" w:sz="0" w:space="0" w:color="auto"/>
                <w:bar w:val="none" w:sz="0" w:color="auto"/>
              </w:pBdr>
              <w:outlineLvl w:val="9"/>
              <w:rPr>
                <w:rFonts w:eastAsia="Times New Roman"/>
                <w:sz w:val="18"/>
                <w:szCs w:val="18"/>
                <w:bdr w:val="none" w:sz="0" w:space="0" w:color="auto"/>
                <w:lang w:eastAsia="es-ES"/>
              </w:rPr>
            </w:pPr>
            <w:r w:rsidRPr="00037346">
              <w:rPr>
                <w:rFonts w:eastAsia="Times New Roman"/>
                <w:sz w:val="18"/>
                <w:szCs w:val="18"/>
                <w:bdr w:val="none" w:sz="0" w:space="0" w:color="auto"/>
                <w:lang w:eastAsia="es-ES"/>
              </w:rPr>
              <w:t>Acreedores comerciales</w:t>
            </w:r>
          </w:p>
        </w:tc>
        <w:tc>
          <w:tcPr>
            <w:tcW w:w="683" w:type="pct"/>
            <w:tcBorders>
              <w:top w:val="nil"/>
              <w:left w:val="nil"/>
              <w:bottom w:val="nil"/>
              <w:right w:val="nil"/>
            </w:tcBorders>
            <w:shd w:val="clear" w:color="auto" w:fill="auto"/>
            <w:noWrap/>
            <w:vAlign w:val="center"/>
          </w:tcPr>
          <w:p w14:paraId="3EC2C12C" w14:textId="3145B9BC" w:rsidR="00941E50" w:rsidRPr="00037346" w:rsidRDefault="00941E50" w:rsidP="00941E50">
            <w:pPr>
              <w:pBdr>
                <w:top w:val="none" w:sz="0" w:space="0" w:color="auto"/>
                <w:left w:val="none" w:sz="0" w:space="0" w:color="auto"/>
                <w:bottom w:val="none" w:sz="0" w:space="0" w:color="auto"/>
                <w:right w:val="none" w:sz="0" w:space="0" w:color="auto"/>
                <w:between w:val="none" w:sz="0" w:space="0" w:color="auto"/>
                <w:bar w:val="none" w:sz="0" w:color="auto"/>
              </w:pBdr>
              <w:jc w:val="right"/>
              <w:outlineLvl w:val="9"/>
              <w:rPr>
                <w:rFonts w:eastAsia="Times New Roman"/>
                <w:sz w:val="18"/>
                <w:szCs w:val="18"/>
                <w:bdr w:val="none" w:sz="0" w:space="0" w:color="auto"/>
                <w:lang w:eastAsia="es-ES"/>
              </w:rPr>
            </w:pPr>
            <w:r>
              <w:rPr>
                <w:sz w:val="18"/>
                <w:szCs w:val="18"/>
              </w:rPr>
              <w:t xml:space="preserve"> -</w:t>
            </w:r>
          </w:p>
        </w:tc>
        <w:tc>
          <w:tcPr>
            <w:tcW w:w="685" w:type="pct"/>
            <w:tcBorders>
              <w:top w:val="nil"/>
              <w:left w:val="nil"/>
              <w:bottom w:val="nil"/>
              <w:right w:val="nil"/>
            </w:tcBorders>
            <w:shd w:val="clear" w:color="auto" w:fill="auto"/>
            <w:noWrap/>
            <w:vAlign w:val="center"/>
            <w:hideMark/>
          </w:tcPr>
          <w:p w14:paraId="50799B43" w14:textId="3F4A89BC" w:rsidR="00941E50" w:rsidRPr="00037346" w:rsidRDefault="00941E50" w:rsidP="00941E50">
            <w:pPr>
              <w:pBdr>
                <w:top w:val="none" w:sz="0" w:space="0" w:color="auto"/>
                <w:left w:val="none" w:sz="0" w:space="0" w:color="auto"/>
                <w:bottom w:val="none" w:sz="0" w:space="0" w:color="auto"/>
                <w:right w:val="none" w:sz="0" w:space="0" w:color="auto"/>
                <w:between w:val="none" w:sz="0" w:space="0" w:color="auto"/>
                <w:bar w:val="none" w:sz="0" w:color="auto"/>
              </w:pBdr>
              <w:jc w:val="right"/>
              <w:outlineLvl w:val="9"/>
              <w:rPr>
                <w:rFonts w:eastAsia="Times New Roman"/>
                <w:sz w:val="18"/>
                <w:szCs w:val="18"/>
                <w:bdr w:val="none" w:sz="0" w:space="0" w:color="auto"/>
                <w:lang w:eastAsia="es-ES"/>
              </w:rPr>
            </w:pPr>
            <w:r>
              <w:rPr>
                <w:sz w:val="18"/>
                <w:szCs w:val="18"/>
              </w:rPr>
              <w:t xml:space="preserve"> -</w:t>
            </w:r>
          </w:p>
        </w:tc>
        <w:tc>
          <w:tcPr>
            <w:tcW w:w="799" w:type="pct"/>
            <w:tcBorders>
              <w:top w:val="nil"/>
              <w:left w:val="nil"/>
              <w:bottom w:val="nil"/>
              <w:right w:val="nil"/>
            </w:tcBorders>
            <w:shd w:val="clear" w:color="auto" w:fill="auto"/>
            <w:noWrap/>
            <w:vAlign w:val="center"/>
          </w:tcPr>
          <w:p w14:paraId="644630DB" w14:textId="2992BB1A" w:rsidR="00941E50" w:rsidRPr="00037346" w:rsidRDefault="00941E50" w:rsidP="00941E50">
            <w:pPr>
              <w:jc w:val="right"/>
              <w:rPr>
                <w:sz w:val="18"/>
                <w:szCs w:val="18"/>
              </w:rPr>
            </w:pPr>
            <w:r>
              <w:rPr>
                <w:sz w:val="18"/>
                <w:szCs w:val="18"/>
              </w:rPr>
              <w:t>15.358.459,24</w:t>
            </w:r>
          </w:p>
        </w:tc>
        <w:tc>
          <w:tcPr>
            <w:tcW w:w="797" w:type="pct"/>
            <w:tcBorders>
              <w:top w:val="nil"/>
              <w:left w:val="nil"/>
              <w:bottom w:val="nil"/>
              <w:right w:val="nil"/>
            </w:tcBorders>
            <w:shd w:val="clear" w:color="auto" w:fill="auto"/>
            <w:noWrap/>
            <w:vAlign w:val="center"/>
            <w:hideMark/>
          </w:tcPr>
          <w:p w14:paraId="73CD2164" w14:textId="694F5DC0" w:rsidR="00941E50" w:rsidRPr="00037346" w:rsidRDefault="00941E50" w:rsidP="00941E50">
            <w:pPr>
              <w:pBdr>
                <w:top w:val="none" w:sz="0" w:space="0" w:color="auto"/>
                <w:left w:val="none" w:sz="0" w:space="0" w:color="auto"/>
                <w:bottom w:val="none" w:sz="0" w:space="0" w:color="auto"/>
                <w:right w:val="none" w:sz="0" w:space="0" w:color="auto"/>
                <w:between w:val="none" w:sz="0" w:space="0" w:color="auto"/>
                <w:bar w:val="none" w:sz="0" w:color="auto"/>
              </w:pBdr>
              <w:jc w:val="right"/>
              <w:outlineLvl w:val="9"/>
              <w:rPr>
                <w:rFonts w:eastAsia="Times New Roman"/>
                <w:sz w:val="18"/>
                <w:szCs w:val="18"/>
                <w:bdr w:val="none" w:sz="0" w:space="0" w:color="auto"/>
                <w:lang w:eastAsia="es-ES"/>
              </w:rPr>
            </w:pPr>
            <w:r>
              <w:rPr>
                <w:sz w:val="18"/>
                <w:szCs w:val="18"/>
              </w:rPr>
              <w:t>8.962.917,83</w:t>
            </w:r>
          </w:p>
        </w:tc>
      </w:tr>
      <w:tr w:rsidR="00941E50" w:rsidRPr="00037346" w14:paraId="33EA766F" w14:textId="77777777" w:rsidTr="00DE5FC3">
        <w:trPr>
          <w:trHeight w:val="283"/>
        </w:trPr>
        <w:tc>
          <w:tcPr>
            <w:tcW w:w="2036" w:type="pct"/>
            <w:tcBorders>
              <w:top w:val="nil"/>
              <w:left w:val="nil"/>
              <w:bottom w:val="nil"/>
              <w:right w:val="nil"/>
            </w:tcBorders>
            <w:shd w:val="clear" w:color="auto" w:fill="auto"/>
            <w:noWrap/>
            <w:vAlign w:val="center"/>
            <w:hideMark/>
          </w:tcPr>
          <w:p w14:paraId="1434755E" w14:textId="77777777" w:rsidR="00941E50" w:rsidRPr="00037346" w:rsidRDefault="00941E50" w:rsidP="00941E50">
            <w:pPr>
              <w:pBdr>
                <w:top w:val="none" w:sz="0" w:space="0" w:color="auto"/>
                <w:left w:val="none" w:sz="0" w:space="0" w:color="auto"/>
                <w:bottom w:val="none" w:sz="0" w:space="0" w:color="auto"/>
                <w:right w:val="none" w:sz="0" w:space="0" w:color="auto"/>
                <w:between w:val="none" w:sz="0" w:space="0" w:color="auto"/>
                <w:bar w:val="none" w:sz="0" w:color="auto"/>
              </w:pBdr>
              <w:outlineLvl w:val="9"/>
              <w:rPr>
                <w:rFonts w:eastAsia="Times New Roman"/>
                <w:sz w:val="18"/>
                <w:szCs w:val="18"/>
                <w:bdr w:val="none" w:sz="0" w:space="0" w:color="auto"/>
                <w:lang w:eastAsia="es-ES"/>
              </w:rPr>
            </w:pPr>
            <w:r w:rsidRPr="00037346">
              <w:rPr>
                <w:rFonts w:eastAsia="Times New Roman"/>
                <w:sz w:val="18"/>
                <w:szCs w:val="18"/>
                <w:bdr w:val="none" w:sz="0" w:space="0" w:color="auto"/>
                <w:lang w:eastAsia="es-ES"/>
              </w:rPr>
              <w:t>Fianzas</w:t>
            </w:r>
          </w:p>
        </w:tc>
        <w:tc>
          <w:tcPr>
            <w:tcW w:w="683" w:type="pct"/>
            <w:tcBorders>
              <w:top w:val="nil"/>
              <w:left w:val="nil"/>
              <w:right w:val="nil"/>
            </w:tcBorders>
            <w:shd w:val="clear" w:color="auto" w:fill="auto"/>
            <w:noWrap/>
            <w:vAlign w:val="center"/>
          </w:tcPr>
          <w:p w14:paraId="3B87448E" w14:textId="24CC7FF8" w:rsidR="00941E50" w:rsidRPr="00037346" w:rsidRDefault="00941E50" w:rsidP="00941E50">
            <w:pPr>
              <w:pBdr>
                <w:top w:val="none" w:sz="0" w:space="0" w:color="auto"/>
                <w:left w:val="none" w:sz="0" w:space="0" w:color="auto"/>
                <w:bottom w:val="none" w:sz="0" w:space="0" w:color="auto"/>
                <w:right w:val="none" w:sz="0" w:space="0" w:color="auto"/>
                <w:between w:val="none" w:sz="0" w:space="0" w:color="auto"/>
                <w:bar w:val="none" w:sz="0" w:color="auto"/>
              </w:pBdr>
              <w:jc w:val="right"/>
              <w:outlineLvl w:val="9"/>
              <w:rPr>
                <w:rFonts w:eastAsia="Times New Roman"/>
                <w:sz w:val="18"/>
                <w:szCs w:val="18"/>
                <w:bdr w:val="none" w:sz="0" w:space="0" w:color="auto"/>
                <w:lang w:eastAsia="es-ES"/>
              </w:rPr>
            </w:pPr>
            <w:r>
              <w:rPr>
                <w:sz w:val="18"/>
                <w:szCs w:val="18"/>
              </w:rPr>
              <w:t xml:space="preserve"> -</w:t>
            </w:r>
          </w:p>
        </w:tc>
        <w:tc>
          <w:tcPr>
            <w:tcW w:w="685" w:type="pct"/>
            <w:tcBorders>
              <w:top w:val="nil"/>
              <w:left w:val="nil"/>
              <w:right w:val="nil"/>
            </w:tcBorders>
            <w:shd w:val="clear" w:color="auto" w:fill="auto"/>
            <w:noWrap/>
            <w:vAlign w:val="center"/>
            <w:hideMark/>
          </w:tcPr>
          <w:p w14:paraId="4F5DD846" w14:textId="05043453" w:rsidR="00941E50" w:rsidRPr="00037346" w:rsidRDefault="00941E50" w:rsidP="00941E50">
            <w:pPr>
              <w:pBdr>
                <w:top w:val="none" w:sz="0" w:space="0" w:color="auto"/>
                <w:left w:val="none" w:sz="0" w:space="0" w:color="auto"/>
                <w:bottom w:val="none" w:sz="0" w:space="0" w:color="auto"/>
                <w:right w:val="none" w:sz="0" w:space="0" w:color="auto"/>
                <w:between w:val="none" w:sz="0" w:space="0" w:color="auto"/>
                <w:bar w:val="none" w:sz="0" w:color="auto"/>
              </w:pBdr>
              <w:jc w:val="right"/>
              <w:outlineLvl w:val="9"/>
              <w:rPr>
                <w:rFonts w:eastAsia="Times New Roman"/>
                <w:sz w:val="18"/>
                <w:szCs w:val="18"/>
                <w:bdr w:val="none" w:sz="0" w:space="0" w:color="auto"/>
                <w:lang w:eastAsia="es-ES"/>
              </w:rPr>
            </w:pPr>
            <w:r>
              <w:rPr>
                <w:sz w:val="18"/>
                <w:szCs w:val="18"/>
              </w:rPr>
              <w:t xml:space="preserve"> -</w:t>
            </w:r>
          </w:p>
        </w:tc>
        <w:tc>
          <w:tcPr>
            <w:tcW w:w="799" w:type="pct"/>
            <w:tcBorders>
              <w:top w:val="nil"/>
              <w:left w:val="nil"/>
              <w:right w:val="nil"/>
            </w:tcBorders>
            <w:shd w:val="clear" w:color="auto" w:fill="auto"/>
            <w:noWrap/>
            <w:vAlign w:val="center"/>
          </w:tcPr>
          <w:p w14:paraId="5E3EC35B" w14:textId="0D57FDD1" w:rsidR="00941E50" w:rsidRPr="00037346" w:rsidRDefault="00941E50" w:rsidP="00941E50">
            <w:pPr>
              <w:jc w:val="right"/>
              <w:rPr>
                <w:sz w:val="18"/>
                <w:szCs w:val="18"/>
              </w:rPr>
            </w:pPr>
            <w:r>
              <w:rPr>
                <w:sz w:val="18"/>
                <w:szCs w:val="18"/>
              </w:rPr>
              <w:t>74.332,58</w:t>
            </w:r>
          </w:p>
        </w:tc>
        <w:tc>
          <w:tcPr>
            <w:tcW w:w="797" w:type="pct"/>
            <w:tcBorders>
              <w:top w:val="nil"/>
              <w:left w:val="nil"/>
              <w:right w:val="nil"/>
            </w:tcBorders>
            <w:shd w:val="clear" w:color="auto" w:fill="auto"/>
            <w:noWrap/>
            <w:vAlign w:val="center"/>
            <w:hideMark/>
          </w:tcPr>
          <w:p w14:paraId="28D9504E" w14:textId="35AB379C" w:rsidR="00941E50" w:rsidRPr="00037346" w:rsidRDefault="00941E50" w:rsidP="00941E50">
            <w:pPr>
              <w:pBdr>
                <w:top w:val="none" w:sz="0" w:space="0" w:color="auto"/>
                <w:left w:val="none" w:sz="0" w:space="0" w:color="auto"/>
                <w:bottom w:val="none" w:sz="0" w:space="0" w:color="auto"/>
                <w:right w:val="none" w:sz="0" w:space="0" w:color="auto"/>
                <w:between w:val="none" w:sz="0" w:space="0" w:color="auto"/>
                <w:bar w:val="none" w:sz="0" w:color="auto"/>
              </w:pBdr>
              <w:jc w:val="right"/>
              <w:outlineLvl w:val="9"/>
              <w:rPr>
                <w:rFonts w:eastAsia="Times New Roman"/>
                <w:sz w:val="18"/>
                <w:szCs w:val="18"/>
                <w:bdr w:val="none" w:sz="0" w:space="0" w:color="auto"/>
                <w:lang w:eastAsia="es-ES"/>
              </w:rPr>
            </w:pPr>
            <w:r>
              <w:rPr>
                <w:sz w:val="18"/>
                <w:szCs w:val="18"/>
              </w:rPr>
              <w:t>17.593,54</w:t>
            </w:r>
          </w:p>
        </w:tc>
      </w:tr>
      <w:tr w:rsidR="00941E50" w:rsidRPr="00037346" w14:paraId="7AB79CF6" w14:textId="77777777" w:rsidTr="00DE5FC3">
        <w:trPr>
          <w:trHeight w:val="283"/>
        </w:trPr>
        <w:tc>
          <w:tcPr>
            <w:tcW w:w="2036" w:type="pct"/>
            <w:tcBorders>
              <w:top w:val="nil"/>
              <w:left w:val="nil"/>
              <w:bottom w:val="nil"/>
              <w:right w:val="nil"/>
            </w:tcBorders>
            <w:shd w:val="clear" w:color="auto" w:fill="auto"/>
            <w:noWrap/>
            <w:vAlign w:val="center"/>
            <w:hideMark/>
          </w:tcPr>
          <w:p w14:paraId="44CE5FB5" w14:textId="77777777" w:rsidR="00941E50" w:rsidRPr="00037346" w:rsidRDefault="00941E50" w:rsidP="00941E50">
            <w:pPr>
              <w:pBdr>
                <w:top w:val="none" w:sz="0" w:space="0" w:color="auto"/>
                <w:left w:val="none" w:sz="0" w:space="0" w:color="auto"/>
                <w:bottom w:val="none" w:sz="0" w:space="0" w:color="auto"/>
                <w:right w:val="none" w:sz="0" w:space="0" w:color="auto"/>
                <w:between w:val="none" w:sz="0" w:space="0" w:color="auto"/>
                <w:bar w:val="none" w:sz="0" w:color="auto"/>
              </w:pBdr>
              <w:outlineLvl w:val="9"/>
              <w:rPr>
                <w:rFonts w:eastAsia="Times New Roman"/>
                <w:sz w:val="18"/>
                <w:szCs w:val="18"/>
                <w:bdr w:val="none" w:sz="0" w:space="0" w:color="auto"/>
                <w:lang w:eastAsia="es-ES"/>
              </w:rPr>
            </w:pPr>
            <w:r w:rsidRPr="00037346">
              <w:rPr>
                <w:rFonts w:eastAsia="Times New Roman"/>
                <w:sz w:val="18"/>
                <w:szCs w:val="18"/>
                <w:bdr w:val="none" w:sz="0" w:space="0" w:color="auto"/>
                <w:lang w:eastAsia="es-ES"/>
              </w:rPr>
              <w:t>Personal</w:t>
            </w:r>
          </w:p>
        </w:tc>
        <w:tc>
          <w:tcPr>
            <w:tcW w:w="683" w:type="pct"/>
            <w:tcBorders>
              <w:top w:val="nil"/>
              <w:left w:val="nil"/>
              <w:right w:val="nil"/>
            </w:tcBorders>
            <w:shd w:val="clear" w:color="auto" w:fill="auto"/>
            <w:noWrap/>
            <w:vAlign w:val="center"/>
          </w:tcPr>
          <w:p w14:paraId="3C3A855C" w14:textId="04811F30" w:rsidR="00941E50" w:rsidRPr="00037346" w:rsidRDefault="00941E50" w:rsidP="00941E50">
            <w:pPr>
              <w:pBdr>
                <w:top w:val="none" w:sz="0" w:space="0" w:color="auto"/>
                <w:left w:val="none" w:sz="0" w:space="0" w:color="auto"/>
                <w:bottom w:val="none" w:sz="0" w:space="0" w:color="auto"/>
                <w:right w:val="none" w:sz="0" w:space="0" w:color="auto"/>
                <w:between w:val="none" w:sz="0" w:space="0" w:color="auto"/>
                <w:bar w:val="none" w:sz="0" w:color="auto"/>
              </w:pBdr>
              <w:jc w:val="right"/>
              <w:outlineLvl w:val="9"/>
              <w:rPr>
                <w:rFonts w:eastAsia="Times New Roman"/>
                <w:sz w:val="18"/>
                <w:szCs w:val="18"/>
                <w:bdr w:val="none" w:sz="0" w:space="0" w:color="auto"/>
                <w:lang w:eastAsia="es-ES"/>
              </w:rPr>
            </w:pPr>
            <w:r>
              <w:rPr>
                <w:sz w:val="18"/>
                <w:szCs w:val="18"/>
              </w:rPr>
              <w:t xml:space="preserve"> -</w:t>
            </w:r>
          </w:p>
        </w:tc>
        <w:tc>
          <w:tcPr>
            <w:tcW w:w="685" w:type="pct"/>
            <w:tcBorders>
              <w:top w:val="nil"/>
              <w:left w:val="nil"/>
              <w:right w:val="nil"/>
            </w:tcBorders>
            <w:shd w:val="clear" w:color="auto" w:fill="auto"/>
            <w:noWrap/>
            <w:vAlign w:val="center"/>
            <w:hideMark/>
          </w:tcPr>
          <w:p w14:paraId="2C1AF5C3" w14:textId="618F044F" w:rsidR="00941E50" w:rsidRPr="00037346" w:rsidRDefault="00941E50" w:rsidP="00941E50">
            <w:pPr>
              <w:pBdr>
                <w:top w:val="none" w:sz="0" w:space="0" w:color="auto"/>
                <w:left w:val="none" w:sz="0" w:space="0" w:color="auto"/>
                <w:bottom w:val="none" w:sz="0" w:space="0" w:color="auto"/>
                <w:right w:val="none" w:sz="0" w:space="0" w:color="auto"/>
                <w:between w:val="none" w:sz="0" w:space="0" w:color="auto"/>
                <w:bar w:val="none" w:sz="0" w:color="auto"/>
              </w:pBdr>
              <w:jc w:val="right"/>
              <w:outlineLvl w:val="9"/>
              <w:rPr>
                <w:rFonts w:eastAsia="Times New Roman"/>
                <w:sz w:val="18"/>
                <w:szCs w:val="18"/>
                <w:bdr w:val="none" w:sz="0" w:space="0" w:color="auto"/>
                <w:lang w:eastAsia="es-ES"/>
              </w:rPr>
            </w:pPr>
            <w:r>
              <w:rPr>
                <w:sz w:val="18"/>
                <w:szCs w:val="18"/>
              </w:rPr>
              <w:t xml:space="preserve"> -</w:t>
            </w:r>
          </w:p>
        </w:tc>
        <w:tc>
          <w:tcPr>
            <w:tcW w:w="799" w:type="pct"/>
            <w:tcBorders>
              <w:top w:val="nil"/>
              <w:left w:val="nil"/>
              <w:right w:val="nil"/>
            </w:tcBorders>
            <w:shd w:val="clear" w:color="auto" w:fill="auto"/>
            <w:noWrap/>
            <w:vAlign w:val="center"/>
          </w:tcPr>
          <w:p w14:paraId="2152FD6D" w14:textId="46A542BC" w:rsidR="00941E50" w:rsidRPr="00037346" w:rsidRDefault="00941E50" w:rsidP="00941E50">
            <w:pPr>
              <w:jc w:val="right"/>
              <w:rPr>
                <w:sz w:val="18"/>
                <w:szCs w:val="18"/>
              </w:rPr>
            </w:pPr>
            <w:r>
              <w:rPr>
                <w:sz w:val="18"/>
                <w:szCs w:val="18"/>
              </w:rPr>
              <w:t>98.980,86</w:t>
            </w:r>
          </w:p>
        </w:tc>
        <w:tc>
          <w:tcPr>
            <w:tcW w:w="797" w:type="pct"/>
            <w:tcBorders>
              <w:top w:val="nil"/>
              <w:left w:val="nil"/>
              <w:right w:val="nil"/>
            </w:tcBorders>
            <w:shd w:val="clear" w:color="auto" w:fill="auto"/>
            <w:noWrap/>
            <w:vAlign w:val="center"/>
            <w:hideMark/>
          </w:tcPr>
          <w:p w14:paraId="07D1124C" w14:textId="4746D12A" w:rsidR="00941E50" w:rsidRPr="00037346" w:rsidRDefault="00941E50" w:rsidP="00941E50">
            <w:pPr>
              <w:pBdr>
                <w:top w:val="none" w:sz="0" w:space="0" w:color="auto"/>
                <w:left w:val="none" w:sz="0" w:space="0" w:color="auto"/>
                <w:bottom w:val="none" w:sz="0" w:space="0" w:color="auto"/>
                <w:right w:val="none" w:sz="0" w:space="0" w:color="auto"/>
                <w:between w:val="none" w:sz="0" w:space="0" w:color="auto"/>
                <w:bar w:val="none" w:sz="0" w:color="auto"/>
              </w:pBdr>
              <w:jc w:val="right"/>
              <w:outlineLvl w:val="9"/>
              <w:rPr>
                <w:rFonts w:eastAsia="Times New Roman"/>
                <w:sz w:val="18"/>
                <w:szCs w:val="18"/>
                <w:bdr w:val="none" w:sz="0" w:space="0" w:color="auto"/>
                <w:lang w:eastAsia="es-ES"/>
              </w:rPr>
            </w:pPr>
            <w:r>
              <w:rPr>
                <w:sz w:val="18"/>
                <w:szCs w:val="18"/>
              </w:rPr>
              <w:t>103.791,81</w:t>
            </w:r>
          </w:p>
        </w:tc>
      </w:tr>
      <w:tr w:rsidR="00941E50" w:rsidRPr="00037346" w14:paraId="4B4AE673" w14:textId="77777777" w:rsidTr="00037346">
        <w:trPr>
          <w:trHeight w:val="283"/>
        </w:trPr>
        <w:tc>
          <w:tcPr>
            <w:tcW w:w="2036" w:type="pct"/>
            <w:tcBorders>
              <w:top w:val="nil"/>
              <w:left w:val="nil"/>
              <w:bottom w:val="nil"/>
              <w:right w:val="nil"/>
            </w:tcBorders>
            <w:shd w:val="clear" w:color="auto" w:fill="auto"/>
            <w:noWrap/>
            <w:vAlign w:val="center"/>
          </w:tcPr>
          <w:p w14:paraId="116FC695" w14:textId="6635AD89" w:rsidR="00941E50" w:rsidRPr="00037346" w:rsidRDefault="00941E50" w:rsidP="00941E50">
            <w:pPr>
              <w:pBdr>
                <w:top w:val="none" w:sz="0" w:space="0" w:color="auto"/>
                <w:left w:val="none" w:sz="0" w:space="0" w:color="auto"/>
                <w:bottom w:val="none" w:sz="0" w:space="0" w:color="auto"/>
                <w:right w:val="none" w:sz="0" w:space="0" w:color="auto"/>
                <w:between w:val="none" w:sz="0" w:space="0" w:color="auto"/>
                <w:bar w:val="none" w:sz="0" w:color="auto"/>
              </w:pBdr>
              <w:outlineLvl w:val="9"/>
              <w:rPr>
                <w:rFonts w:eastAsia="Times New Roman"/>
                <w:sz w:val="18"/>
                <w:szCs w:val="18"/>
                <w:bdr w:val="none" w:sz="0" w:space="0" w:color="auto"/>
                <w:lang w:eastAsia="es-ES"/>
              </w:rPr>
            </w:pPr>
            <w:r w:rsidRPr="00037346">
              <w:rPr>
                <w:rFonts w:eastAsia="Times New Roman"/>
                <w:sz w:val="18"/>
                <w:szCs w:val="18"/>
                <w:bdr w:val="none" w:sz="0" w:space="0" w:color="auto"/>
                <w:lang w:eastAsia="es-ES"/>
              </w:rPr>
              <w:t>Otros pasivos financieros</w:t>
            </w:r>
          </w:p>
        </w:tc>
        <w:tc>
          <w:tcPr>
            <w:tcW w:w="683" w:type="pct"/>
            <w:tcBorders>
              <w:left w:val="nil"/>
              <w:bottom w:val="single" w:sz="4" w:space="0" w:color="auto"/>
              <w:right w:val="nil"/>
            </w:tcBorders>
            <w:shd w:val="clear" w:color="auto" w:fill="auto"/>
            <w:noWrap/>
            <w:vAlign w:val="center"/>
          </w:tcPr>
          <w:p w14:paraId="0821FC5A" w14:textId="02D30404" w:rsidR="00941E50" w:rsidRPr="00037346" w:rsidRDefault="00941E50" w:rsidP="00941E50">
            <w:pPr>
              <w:pBdr>
                <w:top w:val="none" w:sz="0" w:space="0" w:color="auto"/>
                <w:left w:val="none" w:sz="0" w:space="0" w:color="auto"/>
                <w:bottom w:val="none" w:sz="0" w:space="0" w:color="auto"/>
                <w:right w:val="none" w:sz="0" w:space="0" w:color="auto"/>
                <w:between w:val="none" w:sz="0" w:space="0" w:color="auto"/>
                <w:bar w:val="none" w:sz="0" w:color="auto"/>
              </w:pBdr>
              <w:jc w:val="right"/>
              <w:outlineLvl w:val="9"/>
              <w:rPr>
                <w:rFonts w:eastAsia="Times New Roman"/>
                <w:sz w:val="18"/>
                <w:szCs w:val="18"/>
                <w:bdr w:val="none" w:sz="0" w:space="0" w:color="auto"/>
                <w:lang w:eastAsia="es-ES"/>
              </w:rPr>
            </w:pPr>
            <w:r>
              <w:rPr>
                <w:sz w:val="18"/>
                <w:szCs w:val="18"/>
              </w:rPr>
              <w:t>5.768,00</w:t>
            </w:r>
          </w:p>
        </w:tc>
        <w:tc>
          <w:tcPr>
            <w:tcW w:w="685" w:type="pct"/>
            <w:tcBorders>
              <w:left w:val="nil"/>
              <w:bottom w:val="single" w:sz="4" w:space="0" w:color="auto"/>
              <w:right w:val="nil"/>
            </w:tcBorders>
            <w:shd w:val="clear" w:color="auto" w:fill="auto"/>
            <w:noWrap/>
            <w:vAlign w:val="center"/>
          </w:tcPr>
          <w:p w14:paraId="1ADAC158" w14:textId="63DB740F" w:rsidR="00941E50" w:rsidRPr="00037346" w:rsidRDefault="00941E50" w:rsidP="00941E50">
            <w:pPr>
              <w:pBdr>
                <w:top w:val="none" w:sz="0" w:space="0" w:color="auto"/>
                <w:left w:val="none" w:sz="0" w:space="0" w:color="auto"/>
                <w:bottom w:val="none" w:sz="0" w:space="0" w:color="auto"/>
                <w:right w:val="none" w:sz="0" w:space="0" w:color="auto"/>
                <w:between w:val="none" w:sz="0" w:space="0" w:color="auto"/>
                <w:bar w:val="none" w:sz="0" w:color="auto"/>
              </w:pBdr>
              <w:jc w:val="right"/>
              <w:outlineLvl w:val="9"/>
              <w:rPr>
                <w:rFonts w:eastAsia="Times New Roman"/>
                <w:sz w:val="18"/>
                <w:szCs w:val="18"/>
                <w:bdr w:val="none" w:sz="0" w:space="0" w:color="auto"/>
                <w:lang w:eastAsia="es-ES"/>
              </w:rPr>
            </w:pPr>
            <w:r>
              <w:rPr>
                <w:sz w:val="18"/>
                <w:szCs w:val="18"/>
              </w:rPr>
              <w:t>5.768,00</w:t>
            </w:r>
          </w:p>
        </w:tc>
        <w:tc>
          <w:tcPr>
            <w:tcW w:w="799" w:type="pct"/>
            <w:tcBorders>
              <w:left w:val="nil"/>
              <w:bottom w:val="single" w:sz="4" w:space="0" w:color="auto"/>
              <w:right w:val="nil"/>
            </w:tcBorders>
            <w:shd w:val="clear" w:color="auto" w:fill="auto"/>
            <w:noWrap/>
            <w:vAlign w:val="center"/>
          </w:tcPr>
          <w:p w14:paraId="55380CBB" w14:textId="75004EF8" w:rsidR="00941E50" w:rsidRPr="00037346" w:rsidRDefault="00941E50" w:rsidP="00941E50">
            <w:pPr>
              <w:jc w:val="right"/>
              <w:rPr>
                <w:sz w:val="18"/>
                <w:szCs w:val="18"/>
              </w:rPr>
            </w:pPr>
            <w:r>
              <w:rPr>
                <w:sz w:val="18"/>
                <w:szCs w:val="18"/>
              </w:rPr>
              <w:t xml:space="preserve"> -</w:t>
            </w:r>
          </w:p>
        </w:tc>
        <w:tc>
          <w:tcPr>
            <w:tcW w:w="797" w:type="pct"/>
            <w:tcBorders>
              <w:left w:val="nil"/>
              <w:bottom w:val="single" w:sz="4" w:space="0" w:color="auto"/>
              <w:right w:val="nil"/>
            </w:tcBorders>
            <w:shd w:val="clear" w:color="auto" w:fill="auto"/>
            <w:noWrap/>
            <w:vAlign w:val="center"/>
          </w:tcPr>
          <w:p w14:paraId="624D51E0" w14:textId="3563EC53" w:rsidR="00941E50" w:rsidRPr="00037346" w:rsidRDefault="00941E50" w:rsidP="00941E50">
            <w:pPr>
              <w:pBdr>
                <w:top w:val="none" w:sz="0" w:space="0" w:color="auto"/>
                <w:left w:val="none" w:sz="0" w:space="0" w:color="auto"/>
                <w:bottom w:val="none" w:sz="0" w:space="0" w:color="auto"/>
                <w:right w:val="none" w:sz="0" w:space="0" w:color="auto"/>
                <w:between w:val="none" w:sz="0" w:space="0" w:color="auto"/>
                <w:bar w:val="none" w:sz="0" w:color="auto"/>
              </w:pBdr>
              <w:jc w:val="right"/>
              <w:outlineLvl w:val="9"/>
              <w:rPr>
                <w:sz w:val="18"/>
                <w:szCs w:val="18"/>
              </w:rPr>
            </w:pPr>
            <w:r>
              <w:rPr>
                <w:sz w:val="18"/>
                <w:szCs w:val="18"/>
              </w:rPr>
              <w:t xml:space="preserve"> -</w:t>
            </w:r>
          </w:p>
        </w:tc>
      </w:tr>
      <w:tr w:rsidR="00941E50" w:rsidRPr="00037346" w14:paraId="2B89828C" w14:textId="77777777" w:rsidTr="00DE5FC3">
        <w:trPr>
          <w:trHeight w:val="283"/>
        </w:trPr>
        <w:tc>
          <w:tcPr>
            <w:tcW w:w="2036" w:type="pct"/>
            <w:tcBorders>
              <w:top w:val="single" w:sz="4" w:space="0" w:color="auto"/>
              <w:left w:val="nil"/>
              <w:bottom w:val="single" w:sz="4" w:space="0" w:color="auto"/>
              <w:right w:val="nil"/>
            </w:tcBorders>
            <w:shd w:val="clear" w:color="auto" w:fill="auto"/>
            <w:noWrap/>
            <w:vAlign w:val="center"/>
            <w:hideMark/>
          </w:tcPr>
          <w:p w14:paraId="710D81C6" w14:textId="77777777" w:rsidR="00941E50" w:rsidRPr="00037346" w:rsidRDefault="00941E50" w:rsidP="00941E50">
            <w:pPr>
              <w:pBdr>
                <w:top w:val="none" w:sz="0" w:space="0" w:color="auto"/>
                <w:left w:val="none" w:sz="0" w:space="0" w:color="auto"/>
                <w:bottom w:val="none" w:sz="0" w:space="0" w:color="auto"/>
                <w:right w:val="none" w:sz="0" w:space="0" w:color="auto"/>
                <w:between w:val="none" w:sz="0" w:space="0" w:color="auto"/>
                <w:bar w:val="none" w:sz="0" w:color="auto"/>
              </w:pBdr>
              <w:outlineLvl w:val="9"/>
              <w:rPr>
                <w:rFonts w:eastAsia="Times New Roman"/>
                <w:b/>
                <w:bCs/>
                <w:sz w:val="18"/>
                <w:szCs w:val="18"/>
                <w:bdr w:val="none" w:sz="0" w:space="0" w:color="auto"/>
                <w:lang w:eastAsia="es-ES"/>
              </w:rPr>
            </w:pPr>
            <w:r w:rsidRPr="00037346">
              <w:rPr>
                <w:rFonts w:eastAsia="Times New Roman"/>
                <w:b/>
                <w:bCs/>
                <w:sz w:val="18"/>
                <w:szCs w:val="18"/>
                <w:bdr w:val="none" w:sz="0" w:space="0" w:color="auto"/>
                <w:lang w:eastAsia="es-ES"/>
              </w:rPr>
              <w:t>Total</w:t>
            </w:r>
          </w:p>
        </w:tc>
        <w:tc>
          <w:tcPr>
            <w:tcW w:w="683" w:type="pct"/>
            <w:tcBorders>
              <w:top w:val="nil"/>
              <w:left w:val="nil"/>
              <w:bottom w:val="single" w:sz="4" w:space="0" w:color="auto"/>
              <w:right w:val="nil"/>
            </w:tcBorders>
            <w:shd w:val="clear" w:color="auto" w:fill="auto"/>
            <w:noWrap/>
            <w:vAlign w:val="center"/>
          </w:tcPr>
          <w:p w14:paraId="2E38853D" w14:textId="556DEDA4" w:rsidR="00941E50" w:rsidRPr="00037346" w:rsidRDefault="00941E50" w:rsidP="00941E50">
            <w:pPr>
              <w:pBdr>
                <w:top w:val="none" w:sz="0" w:space="0" w:color="auto"/>
                <w:left w:val="none" w:sz="0" w:space="0" w:color="auto"/>
                <w:bottom w:val="none" w:sz="0" w:space="0" w:color="auto"/>
                <w:right w:val="none" w:sz="0" w:space="0" w:color="auto"/>
                <w:between w:val="none" w:sz="0" w:space="0" w:color="auto"/>
                <w:bar w:val="none" w:sz="0" w:color="auto"/>
              </w:pBdr>
              <w:jc w:val="right"/>
              <w:outlineLvl w:val="9"/>
              <w:rPr>
                <w:rFonts w:eastAsia="Times New Roman"/>
                <w:b/>
                <w:bCs/>
                <w:sz w:val="18"/>
                <w:szCs w:val="18"/>
                <w:bdr w:val="none" w:sz="0" w:space="0" w:color="auto"/>
                <w:lang w:eastAsia="es-ES"/>
              </w:rPr>
            </w:pPr>
            <w:r>
              <w:rPr>
                <w:b/>
                <w:bCs/>
                <w:sz w:val="18"/>
                <w:szCs w:val="18"/>
              </w:rPr>
              <w:t>5.768,00</w:t>
            </w:r>
          </w:p>
        </w:tc>
        <w:tc>
          <w:tcPr>
            <w:tcW w:w="685" w:type="pct"/>
            <w:tcBorders>
              <w:top w:val="nil"/>
              <w:left w:val="nil"/>
              <w:bottom w:val="single" w:sz="4" w:space="0" w:color="auto"/>
              <w:right w:val="nil"/>
            </w:tcBorders>
            <w:shd w:val="clear" w:color="auto" w:fill="auto"/>
            <w:noWrap/>
            <w:vAlign w:val="center"/>
            <w:hideMark/>
          </w:tcPr>
          <w:p w14:paraId="495C35D3" w14:textId="12C158D7" w:rsidR="00941E50" w:rsidRPr="00037346" w:rsidRDefault="00941E50" w:rsidP="00941E50">
            <w:pPr>
              <w:pBdr>
                <w:top w:val="none" w:sz="0" w:space="0" w:color="auto"/>
                <w:left w:val="none" w:sz="0" w:space="0" w:color="auto"/>
                <w:bottom w:val="none" w:sz="0" w:space="0" w:color="auto"/>
                <w:right w:val="none" w:sz="0" w:space="0" w:color="auto"/>
                <w:between w:val="none" w:sz="0" w:space="0" w:color="auto"/>
                <w:bar w:val="none" w:sz="0" w:color="auto"/>
              </w:pBdr>
              <w:jc w:val="right"/>
              <w:outlineLvl w:val="9"/>
              <w:rPr>
                <w:rFonts w:eastAsia="Times New Roman"/>
                <w:b/>
                <w:bCs/>
                <w:sz w:val="18"/>
                <w:szCs w:val="18"/>
                <w:bdr w:val="none" w:sz="0" w:space="0" w:color="auto"/>
                <w:lang w:eastAsia="es-ES"/>
              </w:rPr>
            </w:pPr>
            <w:r>
              <w:rPr>
                <w:b/>
                <w:bCs/>
                <w:sz w:val="18"/>
                <w:szCs w:val="18"/>
              </w:rPr>
              <w:t>5.768,00</w:t>
            </w:r>
          </w:p>
        </w:tc>
        <w:tc>
          <w:tcPr>
            <w:tcW w:w="799" w:type="pct"/>
            <w:tcBorders>
              <w:top w:val="nil"/>
              <w:left w:val="nil"/>
              <w:bottom w:val="single" w:sz="4" w:space="0" w:color="auto"/>
              <w:right w:val="nil"/>
            </w:tcBorders>
            <w:shd w:val="clear" w:color="auto" w:fill="auto"/>
            <w:noWrap/>
            <w:vAlign w:val="center"/>
          </w:tcPr>
          <w:p w14:paraId="7189B01F" w14:textId="1E79F7AA" w:rsidR="00941E50" w:rsidRPr="00037346" w:rsidRDefault="00941E50" w:rsidP="00941E50">
            <w:pPr>
              <w:pBdr>
                <w:top w:val="none" w:sz="0" w:space="0" w:color="auto"/>
                <w:left w:val="none" w:sz="0" w:space="0" w:color="auto"/>
                <w:bottom w:val="none" w:sz="0" w:space="0" w:color="auto"/>
                <w:right w:val="none" w:sz="0" w:space="0" w:color="auto"/>
                <w:between w:val="none" w:sz="0" w:space="0" w:color="auto"/>
                <w:bar w:val="none" w:sz="0" w:color="auto"/>
              </w:pBdr>
              <w:jc w:val="right"/>
              <w:outlineLvl w:val="9"/>
              <w:rPr>
                <w:rFonts w:eastAsia="Times New Roman"/>
                <w:b/>
                <w:bCs/>
                <w:sz w:val="18"/>
                <w:szCs w:val="18"/>
                <w:bdr w:val="none" w:sz="0" w:space="0" w:color="auto"/>
                <w:lang w:eastAsia="es-ES"/>
              </w:rPr>
            </w:pPr>
            <w:r>
              <w:rPr>
                <w:b/>
                <w:bCs/>
                <w:sz w:val="18"/>
                <w:szCs w:val="18"/>
              </w:rPr>
              <w:t>15.532.113,99</w:t>
            </w:r>
          </w:p>
        </w:tc>
        <w:tc>
          <w:tcPr>
            <w:tcW w:w="797" w:type="pct"/>
            <w:tcBorders>
              <w:top w:val="nil"/>
              <w:left w:val="nil"/>
              <w:bottom w:val="single" w:sz="4" w:space="0" w:color="auto"/>
              <w:right w:val="nil"/>
            </w:tcBorders>
            <w:shd w:val="clear" w:color="auto" w:fill="auto"/>
            <w:noWrap/>
            <w:vAlign w:val="center"/>
            <w:hideMark/>
          </w:tcPr>
          <w:p w14:paraId="4A36989C" w14:textId="676F188F" w:rsidR="00941E50" w:rsidRPr="00037346" w:rsidRDefault="00941E50" w:rsidP="00941E50">
            <w:pPr>
              <w:pBdr>
                <w:top w:val="none" w:sz="0" w:space="0" w:color="auto"/>
                <w:left w:val="none" w:sz="0" w:space="0" w:color="auto"/>
                <w:bottom w:val="none" w:sz="0" w:space="0" w:color="auto"/>
                <w:right w:val="none" w:sz="0" w:space="0" w:color="auto"/>
                <w:between w:val="none" w:sz="0" w:space="0" w:color="auto"/>
                <w:bar w:val="none" w:sz="0" w:color="auto"/>
              </w:pBdr>
              <w:jc w:val="right"/>
              <w:outlineLvl w:val="9"/>
              <w:rPr>
                <w:rFonts w:eastAsia="Times New Roman"/>
                <w:b/>
                <w:bCs/>
                <w:sz w:val="18"/>
                <w:szCs w:val="18"/>
                <w:bdr w:val="none" w:sz="0" w:space="0" w:color="auto"/>
                <w:lang w:eastAsia="es-ES"/>
              </w:rPr>
            </w:pPr>
            <w:r>
              <w:rPr>
                <w:b/>
                <w:bCs/>
                <w:sz w:val="18"/>
                <w:szCs w:val="18"/>
              </w:rPr>
              <w:t>9.084.681,78</w:t>
            </w:r>
          </w:p>
        </w:tc>
      </w:tr>
    </w:tbl>
    <w:p w14:paraId="55620196" w14:textId="1CA85D67" w:rsidR="006220A2" w:rsidRPr="00037346" w:rsidRDefault="006220A2" w:rsidP="001B5A15">
      <w:pPr>
        <w:widowControl w:val="0"/>
        <w:spacing w:before="240" w:after="120" w:line="260" w:lineRule="exact"/>
        <w:jc w:val="both"/>
        <w:outlineLvl w:val="9"/>
        <w:rPr>
          <w:snapToGrid w:val="0"/>
          <w:sz w:val="20"/>
          <w:szCs w:val="22"/>
        </w:rPr>
      </w:pPr>
      <w:r w:rsidRPr="00941E50">
        <w:rPr>
          <w:snapToGrid w:val="0"/>
          <w:sz w:val="20"/>
          <w:szCs w:val="22"/>
        </w:rPr>
        <w:t>El valor contable de las deudas a corto plazo se aproxima a su valor razonable, dado que el efecto del descuento no es significativo.</w:t>
      </w:r>
      <w:r w:rsidRPr="00037346">
        <w:rPr>
          <w:snapToGrid w:val="0"/>
          <w:sz w:val="20"/>
          <w:szCs w:val="22"/>
        </w:rPr>
        <w:t xml:space="preserve"> </w:t>
      </w:r>
    </w:p>
    <w:p w14:paraId="2BE3B155" w14:textId="084A44E2" w:rsidR="006220A2" w:rsidRPr="00037346" w:rsidRDefault="006220A2" w:rsidP="00D67C6B">
      <w:pPr>
        <w:widowControl w:val="0"/>
        <w:spacing w:before="120" w:after="120" w:line="260" w:lineRule="exact"/>
        <w:jc w:val="both"/>
        <w:outlineLvl w:val="9"/>
        <w:rPr>
          <w:snapToGrid w:val="0"/>
          <w:sz w:val="20"/>
          <w:szCs w:val="22"/>
        </w:rPr>
      </w:pPr>
      <w:r w:rsidRPr="00037346">
        <w:rPr>
          <w:snapToGrid w:val="0"/>
          <w:sz w:val="20"/>
          <w:szCs w:val="22"/>
        </w:rPr>
        <w:t>El importe reflejado en el epígrafe de deudas con entidades de crédito recoge el importe de las Visas pendientes de pago a 31 de diciembre de 20</w:t>
      </w:r>
      <w:r w:rsidR="00037346" w:rsidRPr="00037346">
        <w:rPr>
          <w:snapToGrid w:val="0"/>
          <w:sz w:val="20"/>
          <w:szCs w:val="22"/>
        </w:rPr>
        <w:t>2</w:t>
      </w:r>
      <w:r w:rsidR="0001077B">
        <w:rPr>
          <w:snapToGrid w:val="0"/>
          <w:sz w:val="20"/>
          <w:szCs w:val="22"/>
        </w:rPr>
        <w:t>4</w:t>
      </w:r>
      <w:r w:rsidRPr="00037346">
        <w:rPr>
          <w:snapToGrid w:val="0"/>
          <w:sz w:val="20"/>
          <w:szCs w:val="22"/>
        </w:rPr>
        <w:t>.</w:t>
      </w:r>
    </w:p>
    <w:p w14:paraId="5916DB8D" w14:textId="77777777" w:rsidR="008D73BD" w:rsidRPr="001F0A62" w:rsidRDefault="00C82F49" w:rsidP="00D67C6B">
      <w:pPr>
        <w:widowControl w:val="0"/>
        <w:spacing w:before="120" w:after="120" w:line="260" w:lineRule="exact"/>
        <w:jc w:val="both"/>
        <w:outlineLvl w:val="9"/>
        <w:rPr>
          <w:snapToGrid w:val="0"/>
          <w:sz w:val="20"/>
          <w:szCs w:val="22"/>
        </w:rPr>
      </w:pPr>
      <w:r w:rsidRPr="00037346">
        <w:rPr>
          <w:snapToGrid w:val="0"/>
          <w:sz w:val="20"/>
          <w:szCs w:val="22"/>
        </w:rPr>
        <w:t xml:space="preserve">Los importes de fianzas a largo y corto plazo corresponden a depósitos efectuados por los </w:t>
      </w:r>
      <w:r w:rsidRPr="001F0A62">
        <w:rPr>
          <w:snapToGrid w:val="0"/>
          <w:sz w:val="20"/>
          <w:szCs w:val="22"/>
        </w:rPr>
        <w:t>adjudicatarios de los contratos de prestación de servicios.</w:t>
      </w:r>
    </w:p>
    <w:p w14:paraId="4E7D05D3" w14:textId="51A857E5" w:rsidR="0001077B" w:rsidRPr="00BC4DB9" w:rsidRDefault="0001077B" w:rsidP="0001077B">
      <w:pPr>
        <w:widowControl w:val="0"/>
        <w:spacing w:before="120" w:after="120" w:line="260" w:lineRule="exact"/>
        <w:jc w:val="both"/>
        <w:outlineLvl w:val="9"/>
        <w:rPr>
          <w:snapToGrid w:val="0"/>
          <w:color w:val="auto"/>
          <w:sz w:val="20"/>
          <w:szCs w:val="22"/>
        </w:rPr>
      </w:pPr>
      <w:r w:rsidRPr="001F0A62">
        <w:rPr>
          <w:snapToGrid w:val="0"/>
          <w:color w:val="auto"/>
          <w:sz w:val="20"/>
          <w:szCs w:val="22"/>
        </w:rPr>
        <w:t xml:space="preserve">Durante el ejercicio 2023 la Sociedad abonó </w:t>
      </w:r>
      <w:r w:rsidR="009B4DA7" w:rsidRPr="001F0A62">
        <w:rPr>
          <w:snapToGrid w:val="0"/>
          <w:color w:val="auto"/>
          <w:sz w:val="20"/>
          <w:szCs w:val="22"/>
        </w:rPr>
        <w:t>a los trabajadores los salarios minorados en 2010 al 5% del salario base, antigüedad y bolsa de vacaciones del ejercicio, con efecto desde el 1 de enero de 2019, reconocida por la Dirección General de Planificación y Presupuestos del Gobierno de Canarias, en base a la Ley 7/2022, de 28 de diciembre, de Presupuestos Generales de la Comunidad Autónoma de Canarias para 2023 (Notas 11.1.b y 12.c)</w:t>
      </w:r>
      <w:r w:rsidRPr="001F0A62">
        <w:rPr>
          <w:snapToGrid w:val="0"/>
          <w:color w:val="auto"/>
          <w:sz w:val="20"/>
          <w:szCs w:val="22"/>
        </w:rPr>
        <w:t>, reconociendo un exceso de provisión en la cuenta de pérdidas y ganancias por importe de 69.506,52 euros.</w:t>
      </w:r>
      <w:r w:rsidR="004C4EE8">
        <w:rPr>
          <w:snapToGrid w:val="0"/>
          <w:color w:val="auto"/>
          <w:sz w:val="20"/>
          <w:szCs w:val="22"/>
        </w:rPr>
        <w:t xml:space="preserve"> En el ejercicio 2024 se ha reconocido un exceso de 5.547,29 euros.</w:t>
      </w:r>
    </w:p>
    <w:p w14:paraId="39391A43" w14:textId="77777777" w:rsidR="006220A2" w:rsidRPr="0083433F" w:rsidRDefault="006220A2" w:rsidP="00AB4061">
      <w:pPr>
        <w:pStyle w:val="Ttulo5"/>
        <w:keepNext w:val="0"/>
        <w:tabs>
          <w:tab w:val="left" w:pos="284"/>
        </w:tabs>
        <w:spacing w:before="200"/>
        <w:rPr>
          <w:rFonts w:ascii="Arial" w:hAnsi="Arial" w:cs="Arial"/>
          <w:b/>
          <w:i/>
          <w:color w:val="auto"/>
          <w:sz w:val="20"/>
          <w:szCs w:val="22"/>
          <w:u w:val="single"/>
        </w:rPr>
      </w:pPr>
      <w:r w:rsidRPr="0083433F">
        <w:rPr>
          <w:rFonts w:ascii="Arial" w:hAnsi="Arial" w:cs="Arial"/>
          <w:i/>
          <w:color w:val="auto"/>
          <w:sz w:val="20"/>
          <w:szCs w:val="22"/>
          <w:u w:val="single"/>
        </w:rPr>
        <w:t>Acreedores comerciales</w:t>
      </w:r>
    </w:p>
    <w:p w14:paraId="5EB14817" w14:textId="77777777" w:rsidR="006220A2" w:rsidRDefault="006220A2" w:rsidP="00D67C6B">
      <w:pPr>
        <w:widowControl w:val="0"/>
        <w:spacing w:before="120" w:after="120" w:line="260" w:lineRule="exact"/>
        <w:jc w:val="both"/>
        <w:outlineLvl w:val="9"/>
        <w:rPr>
          <w:snapToGrid w:val="0"/>
          <w:sz w:val="20"/>
          <w:szCs w:val="22"/>
        </w:rPr>
      </w:pPr>
      <w:r w:rsidRPr="0083433F">
        <w:rPr>
          <w:snapToGrid w:val="0"/>
          <w:sz w:val="20"/>
          <w:szCs w:val="22"/>
        </w:rPr>
        <w:t xml:space="preserve">La totalidad del saldo recogido en este epígrafe se debe a los saldos acreedores pendientes de pago que se desprenden de las actividades comerciales de la Sociedad. </w:t>
      </w:r>
    </w:p>
    <w:p w14:paraId="4EB4BFE3" w14:textId="11BAEDB3" w:rsidR="001F0A62" w:rsidRDefault="001F0A62" w:rsidP="001F0A62">
      <w:pPr>
        <w:widowControl w:val="0"/>
        <w:spacing w:before="120" w:after="120" w:line="260" w:lineRule="exact"/>
        <w:jc w:val="both"/>
        <w:outlineLvl w:val="9"/>
        <w:rPr>
          <w:snapToGrid w:val="0"/>
          <w:sz w:val="20"/>
          <w:szCs w:val="22"/>
        </w:rPr>
      </w:pPr>
      <w:r w:rsidRPr="001F0A62">
        <w:rPr>
          <w:snapToGrid w:val="0"/>
          <w:sz w:val="20"/>
          <w:szCs w:val="22"/>
        </w:rPr>
        <w:t>A 31 de diciembre de 2024 el epígrafe “Acreedores comerciales” incluye un importe de 4.307.620,20 euros correspondiente a</w:t>
      </w:r>
      <w:r w:rsidR="00565394">
        <w:rPr>
          <w:snapToGrid w:val="0"/>
          <w:sz w:val="20"/>
          <w:szCs w:val="22"/>
        </w:rPr>
        <w:t xml:space="preserve"> </w:t>
      </w:r>
      <w:r w:rsidRPr="001F0A62">
        <w:rPr>
          <w:snapToGrid w:val="0"/>
          <w:sz w:val="20"/>
          <w:szCs w:val="22"/>
        </w:rPr>
        <w:t>l</w:t>
      </w:r>
      <w:r w:rsidR="00565394">
        <w:rPr>
          <w:snapToGrid w:val="0"/>
          <w:sz w:val="20"/>
          <w:szCs w:val="22"/>
        </w:rPr>
        <w:t>a s</w:t>
      </w:r>
      <w:r w:rsidR="00565394" w:rsidRPr="00565394">
        <w:rPr>
          <w:snapToGrid w:val="0"/>
          <w:sz w:val="20"/>
          <w:szCs w:val="22"/>
        </w:rPr>
        <w:t>elección de eventos para empresa privadas por los q</w:t>
      </w:r>
      <w:r w:rsidR="00565394">
        <w:rPr>
          <w:snapToGrid w:val="0"/>
          <w:sz w:val="20"/>
          <w:szCs w:val="22"/>
        </w:rPr>
        <w:t>ue</w:t>
      </w:r>
      <w:r w:rsidR="00565394" w:rsidRPr="00565394">
        <w:rPr>
          <w:snapToGrid w:val="0"/>
          <w:sz w:val="20"/>
          <w:szCs w:val="22"/>
        </w:rPr>
        <w:t xml:space="preserve"> se obtiene retorno publicitario de la marca </w:t>
      </w:r>
      <w:r w:rsidR="00565394">
        <w:rPr>
          <w:snapToGrid w:val="0"/>
          <w:sz w:val="20"/>
          <w:szCs w:val="22"/>
        </w:rPr>
        <w:t>“</w:t>
      </w:r>
      <w:r w:rsidR="00565394" w:rsidRPr="00565394">
        <w:rPr>
          <w:snapToGrid w:val="0"/>
          <w:sz w:val="20"/>
          <w:szCs w:val="22"/>
        </w:rPr>
        <w:t>Islas Canarias</w:t>
      </w:r>
      <w:r w:rsidR="00565394">
        <w:rPr>
          <w:snapToGrid w:val="0"/>
          <w:sz w:val="20"/>
          <w:szCs w:val="22"/>
        </w:rPr>
        <w:t>”</w:t>
      </w:r>
      <w:r w:rsidRPr="001F0A62">
        <w:rPr>
          <w:snapToGrid w:val="0"/>
          <w:sz w:val="20"/>
          <w:szCs w:val="22"/>
        </w:rPr>
        <w:t xml:space="preserve"> (764.085,66 euros en el ejercicio anterior).</w:t>
      </w:r>
    </w:p>
    <w:p w14:paraId="14BDC17E" w14:textId="77777777" w:rsidR="001F0A62" w:rsidRPr="0083433F" w:rsidRDefault="001F0A62" w:rsidP="00D67C6B">
      <w:pPr>
        <w:widowControl w:val="0"/>
        <w:spacing w:before="120" w:after="120" w:line="260" w:lineRule="exact"/>
        <w:jc w:val="both"/>
        <w:outlineLvl w:val="9"/>
        <w:rPr>
          <w:snapToGrid w:val="0"/>
          <w:sz w:val="20"/>
          <w:szCs w:val="22"/>
        </w:rPr>
      </w:pPr>
    </w:p>
    <w:p w14:paraId="52278CB2" w14:textId="77777777" w:rsidR="006220A2" w:rsidRPr="001D0C22" w:rsidRDefault="006220A2">
      <w:pPr>
        <w:keepNext/>
        <w:keepLines/>
        <w:widowControl w:val="0"/>
        <w:numPr>
          <w:ilvl w:val="0"/>
          <w:numId w:val="14"/>
        </w:numPr>
        <w:pBdr>
          <w:top w:val="none" w:sz="0" w:space="0" w:color="auto"/>
          <w:left w:val="none" w:sz="0" w:space="0" w:color="auto"/>
          <w:bottom w:val="none" w:sz="0" w:space="0" w:color="auto"/>
          <w:right w:val="none" w:sz="0" w:space="0" w:color="auto"/>
          <w:between w:val="none" w:sz="0" w:space="0" w:color="auto"/>
          <w:bar w:val="none" w:sz="0" w:color="auto"/>
        </w:pBdr>
        <w:tabs>
          <w:tab w:val="left" w:pos="284"/>
        </w:tabs>
        <w:spacing w:before="200"/>
        <w:ind w:left="0" w:firstLine="0"/>
        <w:outlineLvl w:val="9"/>
        <w:rPr>
          <w:i/>
          <w:sz w:val="20"/>
          <w:szCs w:val="22"/>
          <w:u w:val="single"/>
        </w:rPr>
      </w:pPr>
      <w:r w:rsidRPr="001D0C22">
        <w:rPr>
          <w:i/>
          <w:sz w:val="20"/>
          <w:szCs w:val="22"/>
          <w:u w:val="single"/>
        </w:rPr>
        <w:lastRenderedPageBreak/>
        <w:t>Clasificación por vencimiento</w:t>
      </w:r>
    </w:p>
    <w:p w14:paraId="607393B4" w14:textId="22B4A485" w:rsidR="0049245C" w:rsidRPr="001D0C22" w:rsidRDefault="0049245C" w:rsidP="0049245C">
      <w:pPr>
        <w:keepNext/>
        <w:keepLines/>
        <w:widowControl w:val="0"/>
        <w:spacing w:before="120" w:after="120" w:line="260" w:lineRule="exact"/>
        <w:jc w:val="both"/>
        <w:rPr>
          <w:snapToGrid w:val="0"/>
          <w:sz w:val="20"/>
          <w:szCs w:val="22"/>
        </w:rPr>
      </w:pPr>
      <w:r w:rsidRPr="001D0C22">
        <w:rPr>
          <w:snapToGrid w:val="0"/>
          <w:sz w:val="20"/>
          <w:szCs w:val="22"/>
        </w:rPr>
        <w:t>Los importes de los instrumentos financieros de pasivo al cierre de 202</w:t>
      </w:r>
      <w:r w:rsidR="00DE5FC3">
        <w:rPr>
          <w:snapToGrid w:val="0"/>
          <w:sz w:val="20"/>
          <w:szCs w:val="22"/>
        </w:rPr>
        <w:t>4</w:t>
      </w:r>
      <w:r w:rsidRPr="001D0C22">
        <w:rPr>
          <w:snapToGrid w:val="0"/>
          <w:sz w:val="20"/>
          <w:szCs w:val="22"/>
        </w:rPr>
        <w:t xml:space="preserve"> son los siguientes:</w:t>
      </w:r>
    </w:p>
    <w:tbl>
      <w:tblPr>
        <w:tblW w:w="5000" w:type="pct"/>
        <w:tblCellMar>
          <w:left w:w="70" w:type="dxa"/>
          <w:right w:w="70" w:type="dxa"/>
        </w:tblCellMar>
        <w:tblLook w:val="04A0" w:firstRow="1" w:lastRow="0" w:firstColumn="1" w:lastColumn="0" w:noHBand="0" w:noVBand="1"/>
      </w:tblPr>
      <w:tblGrid>
        <w:gridCol w:w="2646"/>
        <w:gridCol w:w="1164"/>
        <w:gridCol w:w="763"/>
        <w:gridCol w:w="765"/>
        <w:gridCol w:w="579"/>
        <w:gridCol w:w="724"/>
        <w:gridCol w:w="976"/>
        <w:gridCol w:w="1164"/>
      </w:tblGrid>
      <w:tr w:rsidR="0049245C" w:rsidRPr="001D0C22" w14:paraId="1E978A6D" w14:textId="77777777" w:rsidTr="001B5A15">
        <w:trPr>
          <w:trHeight w:val="227"/>
        </w:trPr>
        <w:tc>
          <w:tcPr>
            <w:tcW w:w="5000" w:type="pct"/>
            <w:gridSpan w:val="8"/>
            <w:tcBorders>
              <w:top w:val="single" w:sz="4" w:space="0" w:color="auto"/>
              <w:left w:val="nil"/>
              <w:bottom w:val="single" w:sz="4" w:space="0" w:color="auto"/>
              <w:right w:val="nil"/>
            </w:tcBorders>
            <w:shd w:val="clear" w:color="auto" w:fill="auto"/>
            <w:vAlign w:val="center"/>
            <w:hideMark/>
          </w:tcPr>
          <w:p w14:paraId="4CF643E5" w14:textId="77777777" w:rsidR="0049245C" w:rsidRPr="001D0C22" w:rsidRDefault="0049245C" w:rsidP="001B5A15">
            <w:pPr>
              <w:keepNext/>
              <w:keepLines/>
              <w:widowControl w:val="0"/>
              <w:pBdr>
                <w:top w:val="none" w:sz="0" w:space="0" w:color="auto"/>
                <w:left w:val="none" w:sz="0" w:space="0" w:color="auto"/>
                <w:bottom w:val="none" w:sz="0" w:space="0" w:color="auto"/>
                <w:right w:val="none" w:sz="0" w:space="0" w:color="auto"/>
                <w:between w:val="none" w:sz="0" w:space="0" w:color="auto"/>
                <w:bar w:val="none" w:sz="0" w:color="auto"/>
              </w:pBdr>
              <w:jc w:val="center"/>
              <w:outlineLvl w:val="9"/>
              <w:rPr>
                <w:rFonts w:eastAsia="Times New Roman"/>
                <w:b/>
                <w:bCs/>
                <w:sz w:val="16"/>
                <w:szCs w:val="16"/>
                <w:bdr w:val="none" w:sz="0" w:space="0" w:color="auto"/>
                <w:lang w:eastAsia="es-ES"/>
              </w:rPr>
            </w:pPr>
            <w:r w:rsidRPr="001D0C22">
              <w:rPr>
                <w:rFonts w:eastAsia="Times New Roman"/>
                <w:b/>
                <w:bCs/>
                <w:sz w:val="16"/>
                <w:szCs w:val="16"/>
                <w:bdr w:val="none" w:sz="0" w:space="0" w:color="auto"/>
                <w:lang w:eastAsia="es-ES"/>
              </w:rPr>
              <w:t>PASIVOS FINANCIEROS</w:t>
            </w:r>
          </w:p>
        </w:tc>
      </w:tr>
      <w:tr w:rsidR="00DC7419" w:rsidRPr="001D0C22" w14:paraId="2E67A83C" w14:textId="77777777" w:rsidTr="00DC7419">
        <w:trPr>
          <w:trHeight w:val="283"/>
        </w:trPr>
        <w:tc>
          <w:tcPr>
            <w:tcW w:w="1507" w:type="pct"/>
            <w:tcBorders>
              <w:top w:val="nil"/>
              <w:left w:val="nil"/>
              <w:bottom w:val="single" w:sz="4" w:space="0" w:color="auto"/>
              <w:right w:val="nil"/>
            </w:tcBorders>
            <w:shd w:val="clear" w:color="auto" w:fill="auto"/>
            <w:vAlign w:val="center"/>
            <w:hideMark/>
          </w:tcPr>
          <w:p w14:paraId="36A63018" w14:textId="77777777" w:rsidR="00DC7419" w:rsidRPr="001D0C22" w:rsidRDefault="00DC7419" w:rsidP="00DC7419">
            <w:pPr>
              <w:keepNext/>
              <w:keepLines/>
              <w:widowControl w:val="0"/>
              <w:pBdr>
                <w:top w:val="none" w:sz="0" w:space="0" w:color="auto"/>
                <w:left w:val="none" w:sz="0" w:space="0" w:color="auto"/>
                <w:bottom w:val="none" w:sz="0" w:space="0" w:color="auto"/>
                <w:right w:val="none" w:sz="0" w:space="0" w:color="auto"/>
                <w:between w:val="none" w:sz="0" w:space="0" w:color="auto"/>
                <w:bar w:val="none" w:sz="0" w:color="auto"/>
              </w:pBdr>
              <w:jc w:val="center"/>
              <w:outlineLvl w:val="9"/>
              <w:rPr>
                <w:rFonts w:eastAsia="Times New Roman"/>
                <w:sz w:val="16"/>
                <w:szCs w:val="16"/>
                <w:bdr w:val="none" w:sz="0" w:space="0" w:color="auto"/>
                <w:lang w:eastAsia="es-ES"/>
              </w:rPr>
            </w:pPr>
          </w:p>
        </w:tc>
        <w:tc>
          <w:tcPr>
            <w:tcW w:w="663" w:type="pct"/>
            <w:tcBorders>
              <w:top w:val="nil"/>
              <w:left w:val="nil"/>
              <w:bottom w:val="single" w:sz="4" w:space="0" w:color="auto"/>
              <w:right w:val="nil"/>
            </w:tcBorders>
            <w:shd w:val="clear" w:color="auto" w:fill="auto"/>
            <w:vAlign w:val="center"/>
            <w:hideMark/>
          </w:tcPr>
          <w:p w14:paraId="208FE0E9" w14:textId="6E339A30" w:rsidR="00DC7419" w:rsidRPr="001D0C22" w:rsidRDefault="00DC7419" w:rsidP="00DC7419">
            <w:pPr>
              <w:keepNext/>
              <w:keepLines/>
              <w:widowControl w:val="0"/>
              <w:pBdr>
                <w:top w:val="none" w:sz="0" w:space="0" w:color="auto"/>
                <w:left w:val="none" w:sz="0" w:space="0" w:color="auto"/>
                <w:bottom w:val="none" w:sz="0" w:space="0" w:color="auto"/>
                <w:right w:val="none" w:sz="0" w:space="0" w:color="auto"/>
                <w:between w:val="none" w:sz="0" w:space="0" w:color="auto"/>
                <w:bar w:val="none" w:sz="0" w:color="auto"/>
              </w:pBdr>
              <w:jc w:val="center"/>
              <w:outlineLvl w:val="9"/>
              <w:rPr>
                <w:rFonts w:eastAsia="Times New Roman"/>
                <w:b/>
                <w:bCs/>
                <w:sz w:val="16"/>
                <w:szCs w:val="16"/>
                <w:bdr w:val="none" w:sz="0" w:space="0" w:color="auto"/>
                <w:lang w:eastAsia="es-ES"/>
              </w:rPr>
            </w:pPr>
            <w:r>
              <w:rPr>
                <w:rFonts w:eastAsia="Times New Roman"/>
                <w:b/>
                <w:bCs/>
                <w:sz w:val="16"/>
                <w:szCs w:val="16"/>
                <w:bdr w:val="none" w:sz="0" w:space="0" w:color="auto"/>
                <w:lang w:eastAsia="es-ES"/>
              </w:rPr>
              <w:t>2025</w:t>
            </w:r>
          </w:p>
        </w:tc>
        <w:tc>
          <w:tcPr>
            <w:tcW w:w="434" w:type="pct"/>
            <w:tcBorders>
              <w:top w:val="nil"/>
              <w:left w:val="nil"/>
              <w:bottom w:val="single" w:sz="4" w:space="0" w:color="auto"/>
              <w:right w:val="nil"/>
            </w:tcBorders>
            <w:shd w:val="clear" w:color="auto" w:fill="auto"/>
            <w:vAlign w:val="center"/>
          </w:tcPr>
          <w:p w14:paraId="4AB41C77" w14:textId="75420465" w:rsidR="00DC7419" w:rsidRPr="001D0C22" w:rsidRDefault="00DC7419" w:rsidP="00DC7419">
            <w:pPr>
              <w:keepNext/>
              <w:keepLines/>
              <w:widowControl w:val="0"/>
              <w:pBdr>
                <w:top w:val="none" w:sz="0" w:space="0" w:color="auto"/>
                <w:left w:val="none" w:sz="0" w:space="0" w:color="auto"/>
                <w:bottom w:val="none" w:sz="0" w:space="0" w:color="auto"/>
                <w:right w:val="none" w:sz="0" w:space="0" w:color="auto"/>
                <w:between w:val="none" w:sz="0" w:space="0" w:color="auto"/>
                <w:bar w:val="none" w:sz="0" w:color="auto"/>
              </w:pBdr>
              <w:jc w:val="center"/>
              <w:outlineLvl w:val="9"/>
              <w:rPr>
                <w:rFonts w:eastAsia="Times New Roman"/>
                <w:b/>
                <w:bCs/>
                <w:sz w:val="16"/>
                <w:szCs w:val="16"/>
                <w:bdr w:val="none" w:sz="0" w:space="0" w:color="auto"/>
                <w:lang w:eastAsia="es-ES"/>
              </w:rPr>
            </w:pPr>
            <w:r>
              <w:rPr>
                <w:rFonts w:eastAsia="Times New Roman"/>
                <w:b/>
                <w:bCs/>
                <w:sz w:val="16"/>
                <w:szCs w:val="16"/>
                <w:bdr w:val="none" w:sz="0" w:space="0" w:color="auto"/>
                <w:lang w:eastAsia="es-ES"/>
              </w:rPr>
              <w:t>2026</w:t>
            </w:r>
          </w:p>
        </w:tc>
        <w:tc>
          <w:tcPr>
            <w:tcW w:w="436" w:type="pct"/>
            <w:tcBorders>
              <w:top w:val="nil"/>
              <w:left w:val="nil"/>
              <w:bottom w:val="single" w:sz="4" w:space="0" w:color="auto"/>
              <w:right w:val="nil"/>
            </w:tcBorders>
            <w:shd w:val="clear" w:color="auto" w:fill="auto"/>
            <w:vAlign w:val="center"/>
          </w:tcPr>
          <w:p w14:paraId="7AB4E88E" w14:textId="69D5512D" w:rsidR="00DC7419" w:rsidRPr="001D0C22" w:rsidRDefault="00DC7419" w:rsidP="00DC7419">
            <w:pPr>
              <w:keepNext/>
              <w:keepLines/>
              <w:widowControl w:val="0"/>
              <w:pBdr>
                <w:top w:val="none" w:sz="0" w:space="0" w:color="auto"/>
                <w:left w:val="none" w:sz="0" w:space="0" w:color="auto"/>
                <w:bottom w:val="none" w:sz="0" w:space="0" w:color="auto"/>
                <w:right w:val="none" w:sz="0" w:space="0" w:color="auto"/>
                <w:between w:val="none" w:sz="0" w:space="0" w:color="auto"/>
                <w:bar w:val="none" w:sz="0" w:color="auto"/>
              </w:pBdr>
              <w:jc w:val="center"/>
              <w:outlineLvl w:val="9"/>
              <w:rPr>
                <w:rFonts w:eastAsia="Times New Roman"/>
                <w:b/>
                <w:bCs/>
                <w:sz w:val="16"/>
                <w:szCs w:val="16"/>
                <w:bdr w:val="none" w:sz="0" w:space="0" w:color="auto"/>
                <w:lang w:eastAsia="es-ES"/>
              </w:rPr>
            </w:pPr>
            <w:r>
              <w:rPr>
                <w:rFonts w:eastAsia="Times New Roman"/>
                <w:b/>
                <w:bCs/>
                <w:sz w:val="16"/>
                <w:szCs w:val="16"/>
                <w:bdr w:val="none" w:sz="0" w:space="0" w:color="auto"/>
                <w:lang w:eastAsia="es-ES"/>
              </w:rPr>
              <w:t>2027</w:t>
            </w:r>
          </w:p>
        </w:tc>
        <w:tc>
          <w:tcPr>
            <w:tcW w:w="330" w:type="pct"/>
            <w:tcBorders>
              <w:top w:val="nil"/>
              <w:left w:val="nil"/>
              <w:bottom w:val="single" w:sz="4" w:space="0" w:color="auto"/>
              <w:right w:val="nil"/>
            </w:tcBorders>
            <w:shd w:val="clear" w:color="auto" w:fill="auto"/>
            <w:vAlign w:val="center"/>
          </w:tcPr>
          <w:p w14:paraId="094A7BF0" w14:textId="6286CBF8" w:rsidR="00DC7419" w:rsidRPr="001D0C22" w:rsidRDefault="00DC7419" w:rsidP="00DC7419">
            <w:pPr>
              <w:keepNext/>
              <w:keepLines/>
              <w:widowControl w:val="0"/>
              <w:pBdr>
                <w:top w:val="none" w:sz="0" w:space="0" w:color="auto"/>
                <w:left w:val="none" w:sz="0" w:space="0" w:color="auto"/>
                <w:bottom w:val="none" w:sz="0" w:space="0" w:color="auto"/>
                <w:right w:val="none" w:sz="0" w:space="0" w:color="auto"/>
                <w:between w:val="none" w:sz="0" w:space="0" w:color="auto"/>
                <w:bar w:val="none" w:sz="0" w:color="auto"/>
              </w:pBdr>
              <w:jc w:val="center"/>
              <w:outlineLvl w:val="9"/>
              <w:rPr>
                <w:rFonts w:eastAsia="Times New Roman"/>
                <w:b/>
                <w:bCs/>
                <w:sz w:val="16"/>
                <w:szCs w:val="16"/>
                <w:bdr w:val="none" w:sz="0" w:space="0" w:color="auto"/>
                <w:lang w:eastAsia="es-ES"/>
              </w:rPr>
            </w:pPr>
            <w:r>
              <w:rPr>
                <w:rFonts w:eastAsia="Times New Roman"/>
                <w:b/>
                <w:bCs/>
                <w:sz w:val="16"/>
                <w:szCs w:val="16"/>
                <w:bdr w:val="none" w:sz="0" w:space="0" w:color="auto"/>
                <w:lang w:eastAsia="es-ES"/>
              </w:rPr>
              <w:t>2028</w:t>
            </w:r>
          </w:p>
        </w:tc>
        <w:tc>
          <w:tcPr>
            <w:tcW w:w="412" w:type="pct"/>
            <w:tcBorders>
              <w:top w:val="nil"/>
              <w:left w:val="nil"/>
              <w:bottom w:val="single" w:sz="4" w:space="0" w:color="auto"/>
              <w:right w:val="nil"/>
            </w:tcBorders>
            <w:shd w:val="clear" w:color="auto" w:fill="auto"/>
            <w:vAlign w:val="center"/>
          </w:tcPr>
          <w:p w14:paraId="09814C7B" w14:textId="42C91FB7" w:rsidR="00DC7419" w:rsidRPr="001D0C22" w:rsidRDefault="00DC7419" w:rsidP="00DC7419">
            <w:pPr>
              <w:keepNext/>
              <w:keepLines/>
              <w:widowControl w:val="0"/>
              <w:pBdr>
                <w:top w:val="none" w:sz="0" w:space="0" w:color="auto"/>
                <w:left w:val="none" w:sz="0" w:space="0" w:color="auto"/>
                <w:bottom w:val="none" w:sz="0" w:space="0" w:color="auto"/>
                <w:right w:val="none" w:sz="0" w:space="0" w:color="auto"/>
                <w:between w:val="none" w:sz="0" w:space="0" w:color="auto"/>
                <w:bar w:val="none" w:sz="0" w:color="auto"/>
              </w:pBdr>
              <w:jc w:val="center"/>
              <w:outlineLvl w:val="9"/>
              <w:rPr>
                <w:rFonts w:eastAsia="Times New Roman"/>
                <w:b/>
                <w:bCs/>
                <w:sz w:val="16"/>
                <w:szCs w:val="16"/>
                <w:bdr w:val="none" w:sz="0" w:space="0" w:color="auto"/>
                <w:lang w:eastAsia="es-ES"/>
              </w:rPr>
            </w:pPr>
            <w:r>
              <w:rPr>
                <w:rFonts w:eastAsia="Times New Roman"/>
                <w:b/>
                <w:bCs/>
                <w:sz w:val="16"/>
                <w:szCs w:val="16"/>
                <w:bdr w:val="none" w:sz="0" w:space="0" w:color="auto"/>
                <w:lang w:eastAsia="es-ES"/>
              </w:rPr>
              <w:t>2029</w:t>
            </w:r>
          </w:p>
        </w:tc>
        <w:tc>
          <w:tcPr>
            <w:tcW w:w="556" w:type="pct"/>
            <w:tcBorders>
              <w:top w:val="nil"/>
              <w:left w:val="nil"/>
              <w:bottom w:val="single" w:sz="4" w:space="0" w:color="auto"/>
              <w:right w:val="nil"/>
            </w:tcBorders>
            <w:shd w:val="clear" w:color="auto" w:fill="auto"/>
            <w:vAlign w:val="center"/>
            <w:hideMark/>
          </w:tcPr>
          <w:p w14:paraId="405FB731" w14:textId="77777777" w:rsidR="00DC7419" w:rsidRPr="001D0C22" w:rsidRDefault="00DC7419" w:rsidP="00DC7419">
            <w:pPr>
              <w:keepNext/>
              <w:keepLines/>
              <w:widowControl w:val="0"/>
              <w:pBdr>
                <w:top w:val="none" w:sz="0" w:space="0" w:color="auto"/>
                <w:left w:val="none" w:sz="0" w:space="0" w:color="auto"/>
                <w:bottom w:val="none" w:sz="0" w:space="0" w:color="auto"/>
                <w:right w:val="none" w:sz="0" w:space="0" w:color="auto"/>
                <w:between w:val="none" w:sz="0" w:space="0" w:color="auto"/>
                <w:bar w:val="none" w:sz="0" w:color="auto"/>
              </w:pBdr>
              <w:jc w:val="center"/>
              <w:outlineLvl w:val="9"/>
              <w:rPr>
                <w:rFonts w:eastAsia="Times New Roman"/>
                <w:b/>
                <w:bCs/>
                <w:sz w:val="16"/>
                <w:szCs w:val="16"/>
                <w:bdr w:val="none" w:sz="0" w:space="0" w:color="auto"/>
                <w:lang w:eastAsia="es-ES"/>
              </w:rPr>
            </w:pPr>
            <w:r w:rsidRPr="001D0C22">
              <w:rPr>
                <w:rFonts w:eastAsia="Times New Roman"/>
                <w:b/>
                <w:bCs/>
                <w:sz w:val="16"/>
                <w:szCs w:val="16"/>
                <w:bdr w:val="none" w:sz="0" w:space="0" w:color="auto"/>
                <w:lang w:eastAsia="es-ES"/>
              </w:rPr>
              <w:t>+5 años</w:t>
            </w:r>
          </w:p>
        </w:tc>
        <w:tc>
          <w:tcPr>
            <w:tcW w:w="663" w:type="pct"/>
            <w:tcBorders>
              <w:top w:val="nil"/>
              <w:left w:val="nil"/>
              <w:bottom w:val="single" w:sz="4" w:space="0" w:color="auto"/>
              <w:right w:val="nil"/>
            </w:tcBorders>
            <w:shd w:val="clear" w:color="auto" w:fill="auto"/>
            <w:vAlign w:val="center"/>
            <w:hideMark/>
          </w:tcPr>
          <w:p w14:paraId="3303A898" w14:textId="77777777" w:rsidR="00DC7419" w:rsidRPr="001D0C22" w:rsidRDefault="00DC7419" w:rsidP="00DC7419">
            <w:pPr>
              <w:keepNext/>
              <w:keepLines/>
              <w:widowControl w:val="0"/>
              <w:pBdr>
                <w:top w:val="none" w:sz="0" w:space="0" w:color="auto"/>
                <w:left w:val="none" w:sz="0" w:space="0" w:color="auto"/>
                <w:bottom w:val="none" w:sz="0" w:space="0" w:color="auto"/>
                <w:right w:val="none" w:sz="0" w:space="0" w:color="auto"/>
                <w:between w:val="none" w:sz="0" w:space="0" w:color="auto"/>
                <w:bar w:val="none" w:sz="0" w:color="auto"/>
              </w:pBdr>
              <w:jc w:val="center"/>
              <w:outlineLvl w:val="9"/>
              <w:rPr>
                <w:rFonts w:eastAsia="Times New Roman"/>
                <w:b/>
                <w:bCs/>
                <w:sz w:val="16"/>
                <w:szCs w:val="16"/>
                <w:bdr w:val="none" w:sz="0" w:space="0" w:color="auto"/>
                <w:lang w:eastAsia="es-ES"/>
              </w:rPr>
            </w:pPr>
            <w:r w:rsidRPr="001D0C22">
              <w:rPr>
                <w:rFonts w:eastAsia="Times New Roman"/>
                <w:b/>
                <w:bCs/>
                <w:sz w:val="16"/>
                <w:szCs w:val="16"/>
                <w:bdr w:val="none" w:sz="0" w:space="0" w:color="auto"/>
                <w:lang w:eastAsia="es-ES"/>
              </w:rPr>
              <w:t>Total</w:t>
            </w:r>
          </w:p>
        </w:tc>
      </w:tr>
      <w:tr w:rsidR="002A40E8" w:rsidRPr="001D0C22" w14:paraId="262D50F6" w14:textId="77777777" w:rsidTr="00DC7419">
        <w:trPr>
          <w:trHeight w:val="283"/>
        </w:trPr>
        <w:tc>
          <w:tcPr>
            <w:tcW w:w="1507" w:type="pct"/>
            <w:tcBorders>
              <w:top w:val="nil"/>
              <w:left w:val="nil"/>
              <w:bottom w:val="single" w:sz="4" w:space="0" w:color="auto"/>
              <w:right w:val="nil"/>
            </w:tcBorders>
            <w:shd w:val="clear" w:color="auto" w:fill="auto"/>
            <w:vAlign w:val="center"/>
          </w:tcPr>
          <w:p w14:paraId="59ADD78B" w14:textId="77777777" w:rsidR="002A40E8" w:rsidRPr="001D0C22" w:rsidRDefault="002A40E8" w:rsidP="002A40E8">
            <w:pPr>
              <w:keepNext/>
              <w:keepLines/>
              <w:widowControl w:val="0"/>
              <w:pBdr>
                <w:top w:val="none" w:sz="0" w:space="0" w:color="auto"/>
                <w:left w:val="none" w:sz="0" w:space="0" w:color="auto"/>
                <w:bottom w:val="none" w:sz="0" w:space="0" w:color="auto"/>
                <w:right w:val="none" w:sz="0" w:space="0" w:color="auto"/>
                <w:between w:val="none" w:sz="0" w:space="0" w:color="auto"/>
                <w:bar w:val="none" w:sz="0" w:color="auto"/>
              </w:pBdr>
              <w:outlineLvl w:val="9"/>
              <w:rPr>
                <w:rFonts w:eastAsia="Times New Roman"/>
                <w:sz w:val="16"/>
                <w:szCs w:val="16"/>
                <w:bdr w:val="none" w:sz="0" w:space="0" w:color="auto"/>
                <w:lang w:eastAsia="es-ES"/>
              </w:rPr>
            </w:pPr>
            <w:r w:rsidRPr="001D0C22">
              <w:rPr>
                <w:rFonts w:eastAsia="Times New Roman"/>
                <w:sz w:val="16"/>
                <w:szCs w:val="16"/>
                <w:bdr w:val="none" w:sz="0" w:space="0" w:color="auto"/>
                <w:lang w:eastAsia="es-ES"/>
              </w:rPr>
              <w:t>Deudas con entidades de crédito (Nota 8.3.a)</w:t>
            </w:r>
          </w:p>
        </w:tc>
        <w:tc>
          <w:tcPr>
            <w:tcW w:w="663" w:type="pct"/>
            <w:tcBorders>
              <w:top w:val="nil"/>
              <w:left w:val="nil"/>
              <w:bottom w:val="single" w:sz="4" w:space="0" w:color="auto"/>
              <w:right w:val="nil"/>
            </w:tcBorders>
            <w:shd w:val="clear" w:color="auto" w:fill="auto"/>
            <w:vAlign w:val="center"/>
          </w:tcPr>
          <w:p w14:paraId="7D32CFDA" w14:textId="55108DA9" w:rsidR="002A40E8" w:rsidRPr="001D0C22" w:rsidRDefault="002A40E8" w:rsidP="002A40E8">
            <w:pPr>
              <w:keepNext/>
              <w:keepLines/>
              <w:widowControl w:val="0"/>
              <w:pBdr>
                <w:top w:val="none" w:sz="0" w:space="0" w:color="auto"/>
                <w:left w:val="none" w:sz="0" w:space="0" w:color="auto"/>
                <w:bottom w:val="none" w:sz="0" w:space="0" w:color="auto"/>
                <w:right w:val="none" w:sz="0" w:space="0" w:color="auto"/>
                <w:between w:val="none" w:sz="0" w:space="0" w:color="auto"/>
                <w:bar w:val="none" w:sz="0" w:color="auto"/>
              </w:pBdr>
              <w:jc w:val="right"/>
              <w:outlineLvl w:val="9"/>
              <w:rPr>
                <w:rFonts w:eastAsia="Times New Roman"/>
                <w:b/>
                <w:bCs/>
                <w:sz w:val="16"/>
                <w:szCs w:val="16"/>
                <w:bdr w:val="none" w:sz="0" w:space="0" w:color="auto"/>
                <w:lang w:eastAsia="es-ES"/>
              </w:rPr>
            </w:pPr>
            <w:r>
              <w:rPr>
                <w:sz w:val="16"/>
                <w:szCs w:val="16"/>
              </w:rPr>
              <w:t>341,31</w:t>
            </w:r>
          </w:p>
        </w:tc>
        <w:tc>
          <w:tcPr>
            <w:tcW w:w="434" w:type="pct"/>
            <w:tcBorders>
              <w:top w:val="nil"/>
              <w:left w:val="nil"/>
              <w:bottom w:val="single" w:sz="4" w:space="0" w:color="auto"/>
              <w:right w:val="nil"/>
            </w:tcBorders>
            <w:shd w:val="clear" w:color="auto" w:fill="auto"/>
            <w:vAlign w:val="center"/>
          </w:tcPr>
          <w:p w14:paraId="215CCEAA" w14:textId="59800909" w:rsidR="002A40E8" w:rsidRPr="001D0C22" w:rsidRDefault="002A40E8" w:rsidP="002A40E8">
            <w:pPr>
              <w:keepNext/>
              <w:keepLines/>
              <w:widowControl w:val="0"/>
              <w:pBdr>
                <w:top w:val="none" w:sz="0" w:space="0" w:color="auto"/>
                <w:left w:val="none" w:sz="0" w:space="0" w:color="auto"/>
                <w:bottom w:val="none" w:sz="0" w:space="0" w:color="auto"/>
                <w:right w:val="none" w:sz="0" w:space="0" w:color="auto"/>
                <w:between w:val="none" w:sz="0" w:space="0" w:color="auto"/>
                <w:bar w:val="none" w:sz="0" w:color="auto"/>
              </w:pBdr>
              <w:jc w:val="right"/>
              <w:outlineLvl w:val="9"/>
              <w:rPr>
                <w:rFonts w:eastAsia="Times New Roman"/>
                <w:sz w:val="16"/>
                <w:szCs w:val="16"/>
                <w:bdr w:val="none" w:sz="0" w:space="0" w:color="auto"/>
                <w:lang w:eastAsia="es-ES"/>
              </w:rPr>
            </w:pPr>
            <w:r>
              <w:rPr>
                <w:sz w:val="16"/>
                <w:szCs w:val="16"/>
              </w:rPr>
              <w:t>-</w:t>
            </w:r>
          </w:p>
        </w:tc>
        <w:tc>
          <w:tcPr>
            <w:tcW w:w="436" w:type="pct"/>
            <w:tcBorders>
              <w:top w:val="nil"/>
              <w:left w:val="nil"/>
              <w:bottom w:val="single" w:sz="4" w:space="0" w:color="auto"/>
              <w:right w:val="nil"/>
            </w:tcBorders>
            <w:shd w:val="clear" w:color="auto" w:fill="auto"/>
            <w:vAlign w:val="center"/>
          </w:tcPr>
          <w:p w14:paraId="00711BF7" w14:textId="0E0E9AD0" w:rsidR="002A40E8" w:rsidRPr="001D0C22" w:rsidRDefault="002A40E8" w:rsidP="002A40E8">
            <w:pPr>
              <w:keepNext/>
              <w:keepLines/>
              <w:widowControl w:val="0"/>
              <w:pBdr>
                <w:top w:val="none" w:sz="0" w:space="0" w:color="auto"/>
                <w:left w:val="none" w:sz="0" w:space="0" w:color="auto"/>
                <w:bottom w:val="none" w:sz="0" w:space="0" w:color="auto"/>
                <w:right w:val="none" w:sz="0" w:space="0" w:color="auto"/>
                <w:between w:val="none" w:sz="0" w:space="0" w:color="auto"/>
                <w:bar w:val="none" w:sz="0" w:color="auto"/>
              </w:pBdr>
              <w:jc w:val="right"/>
              <w:outlineLvl w:val="9"/>
              <w:rPr>
                <w:rFonts w:eastAsia="Times New Roman"/>
                <w:sz w:val="16"/>
                <w:szCs w:val="16"/>
                <w:bdr w:val="none" w:sz="0" w:space="0" w:color="auto"/>
                <w:lang w:eastAsia="es-ES"/>
              </w:rPr>
            </w:pPr>
            <w:r>
              <w:rPr>
                <w:sz w:val="16"/>
                <w:szCs w:val="16"/>
              </w:rPr>
              <w:t>-</w:t>
            </w:r>
          </w:p>
        </w:tc>
        <w:tc>
          <w:tcPr>
            <w:tcW w:w="330" w:type="pct"/>
            <w:tcBorders>
              <w:top w:val="nil"/>
              <w:left w:val="nil"/>
              <w:bottom w:val="single" w:sz="4" w:space="0" w:color="auto"/>
              <w:right w:val="nil"/>
            </w:tcBorders>
            <w:shd w:val="clear" w:color="auto" w:fill="auto"/>
            <w:vAlign w:val="center"/>
          </w:tcPr>
          <w:p w14:paraId="0E4A7BCB" w14:textId="34FEF5C5" w:rsidR="002A40E8" w:rsidRPr="001D0C22" w:rsidRDefault="002A40E8" w:rsidP="002A40E8">
            <w:pPr>
              <w:keepNext/>
              <w:keepLines/>
              <w:widowControl w:val="0"/>
              <w:pBdr>
                <w:top w:val="none" w:sz="0" w:space="0" w:color="auto"/>
                <w:left w:val="none" w:sz="0" w:space="0" w:color="auto"/>
                <w:bottom w:val="none" w:sz="0" w:space="0" w:color="auto"/>
                <w:right w:val="none" w:sz="0" w:space="0" w:color="auto"/>
                <w:between w:val="none" w:sz="0" w:space="0" w:color="auto"/>
                <w:bar w:val="none" w:sz="0" w:color="auto"/>
              </w:pBdr>
              <w:jc w:val="right"/>
              <w:outlineLvl w:val="9"/>
              <w:rPr>
                <w:rFonts w:eastAsia="Times New Roman"/>
                <w:sz w:val="16"/>
                <w:szCs w:val="16"/>
                <w:bdr w:val="none" w:sz="0" w:space="0" w:color="auto"/>
                <w:lang w:eastAsia="es-ES"/>
              </w:rPr>
            </w:pPr>
            <w:r>
              <w:rPr>
                <w:sz w:val="16"/>
                <w:szCs w:val="16"/>
              </w:rPr>
              <w:t xml:space="preserve"> -</w:t>
            </w:r>
          </w:p>
        </w:tc>
        <w:tc>
          <w:tcPr>
            <w:tcW w:w="412" w:type="pct"/>
            <w:tcBorders>
              <w:top w:val="nil"/>
              <w:left w:val="nil"/>
              <w:bottom w:val="single" w:sz="4" w:space="0" w:color="auto"/>
              <w:right w:val="nil"/>
            </w:tcBorders>
            <w:shd w:val="clear" w:color="auto" w:fill="auto"/>
            <w:vAlign w:val="center"/>
          </w:tcPr>
          <w:p w14:paraId="5A7BE2E7" w14:textId="6514CE2D" w:rsidR="002A40E8" w:rsidRPr="001D0C22" w:rsidRDefault="002A40E8" w:rsidP="002A40E8">
            <w:pPr>
              <w:keepNext/>
              <w:keepLines/>
              <w:widowControl w:val="0"/>
              <w:pBdr>
                <w:top w:val="none" w:sz="0" w:space="0" w:color="auto"/>
                <w:left w:val="none" w:sz="0" w:space="0" w:color="auto"/>
                <w:bottom w:val="none" w:sz="0" w:space="0" w:color="auto"/>
                <w:right w:val="none" w:sz="0" w:space="0" w:color="auto"/>
                <w:between w:val="none" w:sz="0" w:space="0" w:color="auto"/>
                <w:bar w:val="none" w:sz="0" w:color="auto"/>
              </w:pBdr>
              <w:jc w:val="right"/>
              <w:outlineLvl w:val="9"/>
              <w:rPr>
                <w:rFonts w:eastAsia="Times New Roman"/>
                <w:sz w:val="16"/>
                <w:szCs w:val="16"/>
                <w:bdr w:val="none" w:sz="0" w:space="0" w:color="auto"/>
                <w:lang w:eastAsia="es-ES"/>
              </w:rPr>
            </w:pPr>
            <w:r>
              <w:rPr>
                <w:sz w:val="16"/>
                <w:szCs w:val="16"/>
              </w:rPr>
              <w:t>-</w:t>
            </w:r>
          </w:p>
        </w:tc>
        <w:tc>
          <w:tcPr>
            <w:tcW w:w="556" w:type="pct"/>
            <w:tcBorders>
              <w:top w:val="nil"/>
              <w:left w:val="nil"/>
              <w:bottom w:val="single" w:sz="4" w:space="0" w:color="auto"/>
              <w:right w:val="nil"/>
            </w:tcBorders>
            <w:shd w:val="clear" w:color="auto" w:fill="auto"/>
            <w:vAlign w:val="center"/>
          </w:tcPr>
          <w:p w14:paraId="5DBC9A2F" w14:textId="487B1316" w:rsidR="002A40E8" w:rsidRPr="001D0C22" w:rsidRDefault="002A40E8" w:rsidP="002A40E8">
            <w:pPr>
              <w:keepNext/>
              <w:keepLines/>
              <w:widowControl w:val="0"/>
              <w:pBdr>
                <w:top w:val="none" w:sz="0" w:space="0" w:color="auto"/>
                <w:left w:val="none" w:sz="0" w:space="0" w:color="auto"/>
                <w:bottom w:val="none" w:sz="0" w:space="0" w:color="auto"/>
                <w:right w:val="none" w:sz="0" w:space="0" w:color="auto"/>
                <w:between w:val="none" w:sz="0" w:space="0" w:color="auto"/>
                <w:bar w:val="none" w:sz="0" w:color="auto"/>
              </w:pBdr>
              <w:jc w:val="right"/>
              <w:outlineLvl w:val="9"/>
              <w:rPr>
                <w:rFonts w:eastAsia="Times New Roman"/>
                <w:sz w:val="16"/>
                <w:szCs w:val="16"/>
                <w:bdr w:val="none" w:sz="0" w:space="0" w:color="auto"/>
                <w:lang w:eastAsia="es-ES"/>
              </w:rPr>
            </w:pPr>
            <w:r>
              <w:rPr>
                <w:sz w:val="16"/>
                <w:szCs w:val="16"/>
              </w:rPr>
              <w:t>-</w:t>
            </w:r>
          </w:p>
        </w:tc>
        <w:tc>
          <w:tcPr>
            <w:tcW w:w="663" w:type="pct"/>
            <w:tcBorders>
              <w:top w:val="nil"/>
              <w:left w:val="nil"/>
              <w:bottom w:val="single" w:sz="4" w:space="0" w:color="auto"/>
              <w:right w:val="nil"/>
            </w:tcBorders>
            <w:shd w:val="clear" w:color="auto" w:fill="auto"/>
            <w:vAlign w:val="center"/>
          </w:tcPr>
          <w:p w14:paraId="2773F290" w14:textId="34981C6B" w:rsidR="002A40E8" w:rsidRPr="001D0C22" w:rsidRDefault="002A40E8" w:rsidP="002A40E8">
            <w:pPr>
              <w:keepNext/>
              <w:keepLines/>
              <w:widowControl w:val="0"/>
              <w:pBdr>
                <w:top w:val="none" w:sz="0" w:space="0" w:color="auto"/>
                <w:left w:val="none" w:sz="0" w:space="0" w:color="auto"/>
                <w:bottom w:val="none" w:sz="0" w:space="0" w:color="auto"/>
                <w:right w:val="none" w:sz="0" w:space="0" w:color="auto"/>
                <w:between w:val="none" w:sz="0" w:space="0" w:color="auto"/>
                <w:bar w:val="none" w:sz="0" w:color="auto"/>
              </w:pBdr>
              <w:jc w:val="right"/>
              <w:outlineLvl w:val="9"/>
              <w:rPr>
                <w:rFonts w:eastAsia="Times New Roman"/>
                <w:sz w:val="16"/>
                <w:szCs w:val="16"/>
                <w:bdr w:val="none" w:sz="0" w:space="0" w:color="auto"/>
                <w:lang w:eastAsia="es-ES"/>
              </w:rPr>
            </w:pPr>
            <w:r>
              <w:rPr>
                <w:sz w:val="16"/>
                <w:szCs w:val="16"/>
              </w:rPr>
              <w:t>341,31</w:t>
            </w:r>
          </w:p>
        </w:tc>
      </w:tr>
      <w:tr w:rsidR="002A40E8" w:rsidRPr="001D0C22" w14:paraId="14D01765" w14:textId="77777777" w:rsidTr="00DC7419">
        <w:trPr>
          <w:trHeight w:val="283"/>
        </w:trPr>
        <w:tc>
          <w:tcPr>
            <w:tcW w:w="1507" w:type="pct"/>
            <w:tcBorders>
              <w:top w:val="nil"/>
              <w:left w:val="nil"/>
              <w:bottom w:val="single" w:sz="4" w:space="0" w:color="auto"/>
              <w:right w:val="nil"/>
            </w:tcBorders>
            <w:shd w:val="clear" w:color="auto" w:fill="auto"/>
            <w:vAlign w:val="bottom"/>
          </w:tcPr>
          <w:p w14:paraId="3387AE42" w14:textId="77777777" w:rsidR="002A40E8" w:rsidRPr="001D0C22" w:rsidRDefault="002A40E8" w:rsidP="002A40E8">
            <w:pPr>
              <w:keepNext/>
              <w:keepLines/>
              <w:widowControl w:val="0"/>
              <w:pBdr>
                <w:top w:val="none" w:sz="0" w:space="0" w:color="auto"/>
                <w:left w:val="none" w:sz="0" w:space="0" w:color="auto"/>
                <w:bottom w:val="none" w:sz="0" w:space="0" w:color="auto"/>
                <w:right w:val="none" w:sz="0" w:space="0" w:color="auto"/>
                <w:between w:val="none" w:sz="0" w:space="0" w:color="auto"/>
                <w:bar w:val="none" w:sz="0" w:color="auto"/>
              </w:pBdr>
              <w:outlineLvl w:val="9"/>
              <w:rPr>
                <w:rFonts w:eastAsia="Times New Roman"/>
                <w:sz w:val="16"/>
                <w:szCs w:val="16"/>
                <w:bdr w:val="none" w:sz="0" w:space="0" w:color="auto"/>
                <w:lang w:eastAsia="es-ES"/>
              </w:rPr>
            </w:pPr>
            <w:r w:rsidRPr="001D0C22">
              <w:rPr>
                <w:rFonts w:eastAsia="Times New Roman"/>
                <w:sz w:val="16"/>
                <w:szCs w:val="16"/>
                <w:bdr w:val="none" w:sz="0" w:space="0" w:color="auto"/>
                <w:lang w:eastAsia="es-ES"/>
              </w:rPr>
              <w:t xml:space="preserve">Pasivos financieros a coste amortizado a otras empresas </w:t>
            </w:r>
          </w:p>
          <w:p w14:paraId="7734D8FD" w14:textId="77777777" w:rsidR="002A40E8" w:rsidRPr="001D0C22" w:rsidRDefault="002A40E8" w:rsidP="002A40E8">
            <w:pPr>
              <w:keepNext/>
              <w:keepLines/>
              <w:widowControl w:val="0"/>
              <w:pBdr>
                <w:top w:val="none" w:sz="0" w:space="0" w:color="auto"/>
                <w:left w:val="none" w:sz="0" w:space="0" w:color="auto"/>
                <w:bottom w:val="none" w:sz="0" w:space="0" w:color="auto"/>
                <w:right w:val="none" w:sz="0" w:space="0" w:color="auto"/>
                <w:between w:val="none" w:sz="0" w:space="0" w:color="auto"/>
                <w:bar w:val="none" w:sz="0" w:color="auto"/>
              </w:pBdr>
              <w:outlineLvl w:val="9"/>
              <w:rPr>
                <w:rFonts w:eastAsia="Times New Roman"/>
                <w:sz w:val="16"/>
                <w:szCs w:val="16"/>
                <w:bdr w:val="none" w:sz="0" w:space="0" w:color="auto"/>
                <w:lang w:eastAsia="es-ES"/>
              </w:rPr>
            </w:pPr>
            <w:r w:rsidRPr="001D0C22">
              <w:rPr>
                <w:rFonts w:eastAsia="Times New Roman"/>
                <w:sz w:val="16"/>
                <w:szCs w:val="16"/>
                <w:bdr w:val="none" w:sz="0" w:space="0" w:color="auto"/>
                <w:lang w:eastAsia="es-ES"/>
              </w:rPr>
              <w:t>(Nota 8.3.a)</w:t>
            </w:r>
          </w:p>
        </w:tc>
        <w:tc>
          <w:tcPr>
            <w:tcW w:w="663" w:type="pct"/>
            <w:tcBorders>
              <w:top w:val="nil"/>
              <w:left w:val="nil"/>
              <w:bottom w:val="single" w:sz="4" w:space="0" w:color="auto"/>
              <w:right w:val="nil"/>
            </w:tcBorders>
            <w:shd w:val="clear" w:color="auto" w:fill="auto"/>
            <w:vAlign w:val="center"/>
          </w:tcPr>
          <w:p w14:paraId="417558E6" w14:textId="37D0EA5F" w:rsidR="002A40E8" w:rsidRPr="001D0C22" w:rsidRDefault="002A40E8" w:rsidP="002A40E8">
            <w:pPr>
              <w:keepNext/>
              <w:keepLines/>
              <w:widowControl w:val="0"/>
              <w:pBdr>
                <w:top w:val="none" w:sz="0" w:space="0" w:color="auto"/>
                <w:left w:val="none" w:sz="0" w:space="0" w:color="auto"/>
                <w:bottom w:val="none" w:sz="0" w:space="0" w:color="auto"/>
                <w:right w:val="none" w:sz="0" w:space="0" w:color="auto"/>
                <w:between w:val="none" w:sz="0" w:space="0" w:color="auto"/>
                <w:bar w:val="none" w:sz="0" w:color="auto"/>
              </w:pBdr>
              <w:jc w:val="right"/>
              <w:outlineLvl w:val="9"/>
              <w:rPr>
                <w:rFonts w:eastAsia="Times New Roman"/>
                <w:b/>
                <w:bCs/>
                <w:sz w:val="16"/>
                <w:szCs w:val="16"/>
                <w:bdr w:val="none" w:sz="0" w:space="0" w:color="auto"/>
                <w:lang w:eastAsia="es-ES"/>
              </w:rPr>
            </w:pPr>
            <w:r>
              <w:rPr>
                <w:sz w:val="16"/>
                <w:szCs w:val="16"/>
              </w:rPr>
              <w:t>15.531.772,68</w:t>
            </w:r>
          </w:p>
        </w:tc>
        <w:tc>
          <w:tcPr>
            <w:tcW w:w="434" w:type="pct"/>
            <w:tcBorders>
              <w:top w:val="nil"/>
              <w:left w:val="nil"/>
              <w:bottom w:val="single" w:sz="4" w:space="0" w:color="auto"/>
              <w:right w:val="nil"/>
            </w:tcBorders>
            <w:shd w:val="clear" w:color="auto" w:fill="auto"/>
            <w:vAlign w:val="center"/>
          </w:tcPr>
          <w:p w14:paraId="4DE0341D" w14:textId="1D6F7859" w:rsidR="002A40E8" w:rsidRPr="001D0C22" w:rsidRDefault="002A40E8" w:rsidP="002A40E8">
            <w:pPr>
              <w:keepNext/>
              <w:keepLines/>
              <w:widowControl w:val="0"/>
              <w:pBdr>
                <w:top w:val="none" w:sz="0" w:space="0" w:color="auto"/>
                <w:left w:val="none" w:sz="0" w:space="0" w:color="auto"/>
                <w:bottom w:val="none" w:sz="0" w:space="0" w:color="auto"/>
                <w:right w:val="none" w:sz="0" w:space="0" w:color="auto"/>
                <w:between w:val="none" w:sz="0" w:space="0" w:color="auto"/>
                <w:bar w:val="none" w:sz="0" w:color="auto"/>
              </w:pBdr>
              <w:jc w:val="right"/>
              <w:outlineLvl w:val="9"/>
              <w:rPr>
                <w:rFonts w:eastAsia="Times New Roman"/>
                <w:sz w:val="16"/>
                <w:szCs w:val="16"/>
                <w:bdr w:val="none" w:sz="0" w:space="0" w:color="auto"/>
                <w:lang w:eastAsia="es-ES"/>
              </w:rPr>
            </w:pPr>
            <w:r>
              <w:rPr>
                <w:sz w:val="16"/>
                <w:szCs w:val="16"/>
              </w:rPr>
              <w:t>5.768,00</w:t>
            </w:r>
          </w:p>
        </w:tc>
        <w:tc>
          <w:tcPr>
            <w:tcW w:w="436" w:type="pct"/>
            <w:tcBorders>
              <w:top w:val="nil"/>
              <w:left w:val="nil"/>
              <w:bottom w:val="single" w:sz="4" w:space="0" w:color="auto"/>
              <w:right w:val="nil"/>
            </w:tcBorders>
            <w:shd w:val="clear" w:color="auto" w:fill="auto"/>
            <w:vAlign w:val="center"/>
          </w:tcPr>
          <w:p w14:paraId="2D3C1E18" w14:textId="409E792C" w:rsidR="002A40E8" w:rsidRPr="001D0C22" w:rsidRDefault="002A40E8" w:rsidP="002A40E8">
            <w:pPr>
              <w:keepNext/>
              <w:keepLines/>
              <w:widowControl w:val="0"/>
              <w:pBdr>
                <w:top w:val="none" w:sz="0" w:space="0" w:color="auto"/>
                <w:left w:val="none" w:sz="0" w:space="0" w:color="auto"/>
                <w:bottom w:val="none" w:sz="0" w:space="0" w:color="auto"/>
                <w:right w:val="none" w:sz="0" w:space="0" w:color="auto"/>
                <w:between w:val="none" w:sz="0" w:space="0" w:color="auto"/>
                <w:bar w:val="none" w:sz="0" w:color="auto"/>
              </w:pBdr>
              <w:jc w:val="right"/>
              <w:outlineLvl w:val="9"/>
              <w:rPr>
                <w:rFonts w:eastAsia="Times New Roman"/>
                <w:sz w:val="16"/>
                <w:szCs w:val="16"/>
                <w:bdr w:val="none" w:sz="0" w:space="0" w:color="auto"/>
                <w:lang w:eastAsia="es-ES"/>
              </w:rPr>
            </w:pPr>
            <w:r>
              <w:rPr>
                <w:sz w:val="16"/>
                <w:szCs w:val="16"/>
              </w:rPr>
              <w:t>-</w:t>
            </w:r>
          </w:p>
        </w:tc>
        <w:tc>
          <w:tcPr>
            <w:tcW w:w="330" w:type="pct"/>
            <w:tcBorders>
              <w:top w:val="nil"/>
              <w:left w:val="nil"/>
              <w:bottom w:val="single" w:sz="4" w:space="0" w:color="auto"/>
              <w:right w:val="nil"/>
            </w:tcBorders>
            <w:shd w:val="clear" w:color="auto" w:fill="auto"/>
            <w:vAlign w:val="center"/>
          </w:tcPr>
          <w:p w14:paraId="765B4539" w14:textId="59064454" w:rsidR="002A40E8" w:rsidRPr="001D0C22" w:rsidRDefault="002A40E8" w:rsidP="002A40E8">
            <w:pPr>
              <w:keepNext/>
              <w:keepLines/>
              <w:widowControl w:val="0"/>
              <w:pBdr>
                <w:top w:val="none" w:sz="0" w:space="0" w:color="auto"/>
                <w:left w:val="none" w:sz="0" w:space="0" w:color="auto"/>
                <w:bottom w:val="none" w:sz="0" w:space="0" w:color="auto"/>
                <w:right w:val="none" w:sz="0" w:space="0" w:color="auto"/>
                <w:between w:val="none" w:sz="0" w:space="0" w:color="auto"/>
                <w:bar w:val="none" w:sz="0" w:color="auto"/>
              </w:pBdr>
              <w:jc w:val="right"/>
              <w:outlineLvl w:val="9"/>
              <w:rPr>
                <w:rFonts w:eastAsia="Times New Roman"/>
                <w:sz w:val="16"/>
                <w:szCs w:val="16"/>
                <w:bdr w:val="none" w:sz="0" w:space="0" w:color="auto"/>
                <w:lang w:eastAsia="es-ES"/>
              </w:rPr>
            </w:pPr>
            <w:r>
              <w:rPr>
                <w:sz w:val="16"/>
                <w:szCs w:val="16"/>
              </w:rPr>
              <w:t xml:space="preserve"> -</w:t>
            </w:r>
          </w:p>
        </w:tc>
        <w:tc>
          <w:tcPr>
            <w:tcW w:w="412" w:type="pct"/>
            <w:tcBorders>
              <w:top w:val="nil"/>
              <w:left w:val="nil"/>
              <w:bottom w:val="single" w:sz="4" w:space="0" w:color="auto"/>
              <w:right w:val="nil"/>
            </w:tcBorders>
            <w:shd w:val="clear" w:color="auto" w:fill="auto"/>
            <w:vAlign w:val="center"/>
          </w:tcPr>
          <w:p w14:paraId="267B98FD" w14:textId="7E5F0E79" w:rsidR="002A40E8" w:rsidRPr="001D0C22" w:rsidRDefault="002A40E8" w:rsidP="002A40E8">
            <w:pPr>
              <w:keepNext/>
              <w:keepLines/>
              <w:widowControl w:val="0"/>
              <w:pBdr>
                <w:top w:val="none" w:sz="0" w:space="0" w:color="auto"/>
                <w:left w:val="none" w:sz="0" w:space="0" w:color="auto"/>
                <w:bottom w:val="none" w:sz="0" w:space="0" w:color="auto"/>
                <w:right w:val="none" w:sz="0" w:space="0" w:color="auto"/>
                <w:between w:val="none" w:sz="0" w:space="0" w:color="auto"/>
                <w:bar w:val="none" w:sz="0" w:color="auto"/>
              </w:pBdr>
              <w:jc w:val="right"/>
              <w:outlineLvl w:val="9"/>
              <w:rPr>
                <w:rFonts w:eastAsia="Times New Roman"/>
                <w:sz w:val="16"/>
                <w:szCs w:val="16"/>
                <w:bdr w:val="none" w:sz="0" w:space="0" w:color="auto"/>
                <w:lang w:eastAsia="es-ES"/>
              </w:rPr>
            </w:pPr>
            <w:r>
              <w:rPr>
                <w:sz w:val="16"/>
                <w:szCs w:val="16"/>
              </w:rPr>
              <w:t>-</w:t>
            </w:r>
          </w:p>
        </w:tc>
        <w:tc>
          <w:tcPr>
            <w:tcW w:w="556" w:type="pct"/>
            <w:tcBorders>
              <w:top w:val="nil"/>
              <w:left w:val="nil"/>
              <w:bottom w:val="single" w:sz="4" w:space="0" w:color="auto"/>
              <w:right w:val="nil"/>
            </w:tcBorders>
            <w:shd w:val="clear" w:color="auto" w:fill="auto"/>
            <w:vAlign w:val="center"/>
          </w:tcPr>
          <w:p w14:paraId="6EA8F05C" w14:textId="6D71A289" w:rsidR="002A40E8" w:rsidRPr="001D0C22" w:rsidRDefault="002A40E8" w:rsidP="002A40E8">
            <w:pPr>
              <w:keepNext/>
              <w:keepLines/>
              <w:widowControl w:val="0"/>
              <w:pBdr>
                <w:top w:val="none" w:sz="0" w:space="0" w:color="auto"/>
                <w:left w:val="none" w:sz="0" w:space="0" w:color="auto"/>
                <w:bottom w:val="none" w:sz="0" w:space="0" w:color="auto"/>
                <w:right w:val="none" w:sz="0" w:space="0" w:color="auto"/>
                <w:between w:val="none" w:sz="0" w:space="0" w:color="auto"/>
                <w:bar w:val="none" w:sz="0" w:color="auto"/>
              </w:pBdr>
              <w:jc w:val="right"/>
              <w:outlineLvl w:val="9"/>
              <w:rPr>
                <w:rFonts w:eastAsia="Times New Roman"/>
                <w:sz w:val="16"/>
                <w:szCs w:val="16"/>
                <w:bdr w:val="none" w:sz="0" w:space="0" w:color="auto"/>
                <w:lang w:eastAsia="es-ES"/>
              </w:rPr>
            </w:pPr>
            <w:r>
              <w:rPr>
                <w:sz w:val="16"/>
                <w:szCs w:val="16"/>
              </w:rPr>
              <w:t>-</w:t>
            </w:r>
          </w:p>
        </w:tc>
        <w:tc>
          <w:tcPr>
            <w:tcW w:w="663" w:type="pct"/>
            <w:tcBorders>
              <w:top w:val="nil"/>
              <w:left w:val="nil"/>
              <w:bottom w:val="single" w:sz="4" w:space="0" w:color="auto"/>
              <w:right w:val="nil"/>
            </w:tcBorders>
            <w:shd w:val="clear" w:color="auto" w:fill="auto"/>
            <w:vAlign w:val="center"/>
          </w:tcPr>
          <w:p w14:paraId="6219DA14" w14:textId="3B7561E6" w:rsidR="002A40E8" w:rsidRPr="001D0C22" w:rsidRDefault="002A40E8" w:rsidP="002A40E8">
            <w:pPr>
              <w:keepNext/>
              <w:keepLines/>
              <w:widowControl w:val="0"/>
              <w:pBdr>
                <w:top w:val="none" w:sz="0" w:space="0" w:color="auto"/>
                <w:left w:val="none" w:sz="0" w:space="0" w:color="auto"/>
                <w:bottom w:val="none" w:sz="0" w:space="0" w:color="auto"/>
                <w:right w:val="none" w:sz="0" w:space="0" w:color="auto"/>
                <w:between w:val="none" w:sz="0" w:space="0" w:color="auto"/>
                <w:bar w:val="none" w:sz="0" w:color="auto"/>
              </w:pBdr>
              <w:jc w:val="right"/>
              <w:outlineLvl w:val="9"/>
              <w:rPr>
                <w:rFonts w:eastAsia="Times New Roman"/>
                <w:sz w:val="16"/>
                <w:szCs w:val="16"/>
                <w:bdr w:val="none" w:sz="0" w:space="0" w:color="auto"/>
                <w:lang w:eastAsia="es-ES"/>
              </w:rPr>
            </w:pPr>
            <w:r>
              <w:rPr>
                <w:sz w:val="16"/>
                <w:szCs w:val="16"/>
              </w:rPr>
              <w:t>15.537.540,68</w:t>
            </w:r>
          </w:p>
        </w:tc>
      </w:tr>
      <w:tr w:rsidR="002A40E8" w:rsidRPr="001D0C22" w14:paraId="2883C6D4" w14:textId="77777777" w:rsidTr="00DC7419">
        <w:trPr>
          <w:trHeight w:val="283"/>
        </w:trPr>
        <w:tc>
          <w:tcPr>
            <w:tcW w:w="1507" w:type="pct"/>
            <w:tcBorders>
              <w:top w:val="nil"/>
              <w:left w:val="nil"/>
              <w:bottom w:val="single" w:sz="4" w:space="0" w:color="auto"/>
              <w:right w:val="nil"/>
            </w:tcBorders>
            <w:shd w:val="clear" w:color="auto" w:fill="auto"/>
            <w:vAlign w:val="center"/>
            <w:hideMark/>
          </w:tcPr>
          <w:p w14:paraId="0E1E4746" w14:textId="77777777" w:rsidR="002A40E8" w:rsidRPr="001D0C22" w:rsidRDefault="002A40E8" w:rsidP="002A40E8">
            <w:pPr>
              <w:pBdr>
                <w:top w:val="none" w:sz="0" w:space="0" w:color="auto"/>
                <w:left w:val="none" w:sz="0" w:space="0" w:color="auto"/>
                <w:bottom w:val="none" w:sz="0" w:space="0" w:color="auto"/>
                <w:right w:val="none" w:sz="0" w:space="0" w:color="auto"/>
                <w:between w:val="none" w:sz="0" w:space="0" w:color="auto"/>
                <w:bar w:val="none" w:sz="0" w:color="auto"/>
              </w:pBdr>
              <w:outlineLvl w:val="9"/>
              <w:rPr>
                <w:rFonts w:eastAsia="Times New Roman"/>
                <w:b/>
                <w:sz w:val="16"/>
                <w:szCs w:val="16"/>
                <w:bdr w:val="none" w:sz="0" w:space="0" w:color="auto"/>
                <w:lang w:eastAsia="es-ES"/>
              </w:rPr>
            </w:pPr>
            <w:r w:rsidRPr="001D0C22">
              <w:rPr>
                <w:rFonts w:eastAsia="Times New Roman"/>
                <w:b/>
                <w:sz w:val="16"/>
                <w:szCs w:val="16"/>
                <w:bdr w:val="none" w:sz="0" w:space="0" w:color="auto"/>
                <w:lang w:eastAsia="es-ES"/>
              </w:rPr>
              <w:t>Total</w:t>
            </w:r>
          </w:p>
        </w:tc>
        <w:tc>
          <w:tcPr>
            <w:tcW w:w="663" w:type="pct"/>
            <w:tcBorders>
              <w:top w:val="nil"/>
              <w:left w:val="nil"/>
              <w:bottom w:val="single" w:sz="4" w:space="0" w:color="auto"/>
              <w:right w:val="nil"/>
            </w:tcBorders>
            <w:shd w:val="clear" w:color="auto" w:fill="auto"/>
            <w:vAlign w:val="center"/>
          </w:tcPr>
          <w:p w14:paraId="3AA10A24" w14:textId="35D9A43B" w:rsidR="002A40E8" w:rsidRPr="001D0C22" w:rsidRDefault="002A40E8" w:rsidP="002A40E8">
            <w:pPr>
              <w:jc w:val="right"/>
              <w:rPr>
                <w:b/>
                <w:bCs/>
                <w:sz w:val="16"/>
                <w:szCs w:val="16"/>
              </w:rPr>
            </w:pPr>
            <w:r>
              <w:rPr>
                <w:b/>
                <w:bCs/>
                <w:sz w:val="16"/>
                <w:szCs w:val="16"/>
              </w:rPr>
              <w:t>15.532.113,99</w:t>
            </w:r>
          </w:p>
        </w:tc>
        <w:tc>
          <w:tcPr>
            <w:tcW w:w="434" w:type="pct"/>
            <w:tcBorders>
              <w:top w:val="nil"/>
              <w:left w:val="nil"/>
              <w:bottom w:val="single" w:sz="4" w:space="0" w:color="auto"/>
              <w:right w:val="nil"/>
            </w:tcBorders>
            <w:shd w:val="clear" w:color="auto" w:fill="auto"/>
            <w:vAlign w:val="center"/>
            <w:hideMark/>
          </w:tcPr>
          <w:p w14:paraId="4F0EEC61" w14:textId="792C4304" w:rsidR="002A40E8" w:rsidRPr="001D0C22" w:rsidRDefault="002A40E8" w:rsidP="002A40E8">
            <w:pPr>
              <w:pBdr>
                <w:top w:val="none" w:sz="0" w:space="0" w:color="auto"/>
                <w:left w:val="none" w:sz="0" w:space="0" w:color="auto"/>
                <w:bottom w:val="none" w:sz="0" w:space="0" w:color="auto"/>
                <w:right w:val="none" w:sz="0" w:space="0" w:color="auto"/>
                <w:between w:val="none" w:sz="0" w:space="0" w:color="auto"/>
                <w:bar w:val="none" w:sz="0" w:color="auto"/>
              </w:pBdr>
              <w:jc w:val="right"/>
              <w:outlineLvl w:val="9"/>
              <w:rPr>
                <w:rFonts w:eastAsia="Times New Roman"/>
                <w:b/>
                <w:bCs/>
                <w:sz w:val="16"/>
                <w:szCs w:val="16"/>
                <w:bdr w:val="none" w:sz="0" w:space="0" w:color="auto"/>
                <w:lang w:eastAsia="es-ES"/>
              </w:rPr>
            </w:pPr>
            <w:r>
              <w:rPr>
                <w:b/>
                <w:bCs/>
                <w:sz w:val="16"/>
                <w:szCs w:val="16"/>
              </w:rPr>
              <w:t>5.768,00</w:t>
            </w:r>
          </w:p>
        </w:tc>
        <w:tc>
          <w:tcPr>
            <w:tcW w:w="436" w:type="pct"/>
            <w:tcBorders>
              <w:top w:val="nil"/>
              <w:left w:val="nil"/>
              <w:bottom w:val="single" w:sz="4" w:space="0" w:color="auto"/>
              <w:right w:val="nil"/>
            </w:tcBorders>
            <w:shd w:val="clear" w:color="auto" w:fill="auto"/>
            <w:vAlign w:val="center"/>
            <w:hideMark/>
          </w:tcPr>
          <w:p w14:paraId="0A8F3542" w14:textId="41F8AF4C" w:rsidR="002A40E8" w:rsidRPr="001D0C22" w:rsidRDefault="002A40E8" w:rsidP="002A40E8">
            <w:pPr>
              <w:pBdr>
                <w:top w:val="none" w:sz="0" w:space="0" w:color="auto"/>
                <w:left w:val="none" w:sz="0" w:space="0" w:color="auto"/>
                <w:bottom w:val="none" w:sz="0" w:space="0" w:color="auto"/>
                <w:right w:val="none" w:sz="0" w:space="0" w:color="auto"/>
                <w:between w:val="none" w:sz="0" w:space="0" w:color="auto"/>
                <w:bar w:val="none" w:sz="0" w:color="auto"/>
              </w:pBdr>
              <w:jc w:val="right"/>
              <w:outlineLvl w:val="9"/>
              <w:rPr>
                <w:rFonts w:eastAsia="Times New Roman"/>
                <w:b/>
                <w:bCs/>
                <w:sz w:val="16"/>
                <w:szCs w:val="16"/>
                <w:bdr w:val="none" w:sz="0" w:space="0" w:color="auto"/>
                <w:lang w:eastAsia="es-ES"/>
              </w:rPr>
            </w:pPr>
            <w:r>
              <w:rPr>
                <w:b/>
                <w:bCs/>
                <w:sz w:val="16"/>
                <w:szCs w:val="16"/>
              </w:rPr>
              <w:t xml:space="preserve"> -</w:t>
            </w:r>
          </w:p>
        </w:tc>
        <w:tc>
          <w:tcPr>
            <w:tcW w:w="330" w:type="pct"/>
            <w:tcBorders>
              <w:top w:val="nil"/>
              <w:left w:val="nil"/>
              <w:bottom w:val="single" w:sz="4" w:space="0" w:color="auto"/>
              <w:right w:val="nil"/>
            </w:tcBorders>
            <w:shd w:val="clear" w:color="auto" w:fill="auto"/>
            <w:vAlign w:val="center"/>
            <w:hideMark/>
          </w:tcPr>
          <w:p w14:paraId="32FAEDA8" w14:textId="002157F7" w:rsidR="002A40E8" w:rsidRPr="001D0C22" w:rsidRDefault="002A40E8" w:rsidP="002A40E8">
            <w:pPr>
              <w:pBdr>
                <w:top w:val="none" w:sz="0" w:space="0" w:color="auto"/>
                <w:left w:val="none" w:sz="0" w:space="0" w:color="auto"/>
                <w:bottom w:val="none" w:sz="0" w:space="0" w:color="auto"/>
                <w:right w:val="none" w:sz="0" w:space="0" w:color="auto"/>
                <w:between w:val="none" w:sz="0" w:space="0" w:color="auto"/>
                <w:bar w:val="none" w:sz="0" w:color="auto"/>
              </w:pBdr>
              <w:jc w:val="right"/>
              <w:outlineLvl w:val="9"/>
              <w:rPr>
                <w:rFonts w:eastAsia="Times New Roman"/>
                <w:b/>
                <w:bCs/>
                <w:sz w:val="16"/>
                <w:szCs w:val="16"/>
                <w:bdr w:val="none" w:sz="0" w:space="0" w:color="auto"/>
                <w:lang w:eastAsia="es-ES"/>
              </w:rPr>
            </w:pPr>
            <w:r>
              <w:rPr>
                <w:b/>
                <w:bCs/>
                <w:sz w:val="16"/>
                <w:szCs w:val="16"/>
              </w:rPr>
              <w:t xml:space="preserve"> -</w:t>
            </w:r>
          </w:p>
        </w:tc>
        <w:tc>
          <w:tcPr>
            <w:tcW w:w="412" w:type="pct"/>
            <w:tcBorders>
              <w:top w:val="nil"/>
              <w:left w:val="nil"/>
              <w:bottom w:val="single" w:sz="4" w:space="0" w:color="auto"/>
              <w:right w:val="nil"/>
            </w:tcBorders>
            <w:shd w:val="clear" w:color="auto" w:fill="auto"/>
            <w:vAlign w:val="center"/>
            <w:hideMark/>
          </w:tcPr>
          <w:p w14:paraId="5F7C2736" w14:textId="7DC7CC26" w:rsidR="002A40E8" w:rsidRPr="001D0C22" w:rsidRDefault="002A40E8" w:rsidP="002A40E8">
            <w:pPr>
              <w:pBdr>
                <w:top w:val="none" w:sz="0" w:space="0" w:color="auto"/>
                <w:left w:val="none" w:sz="0" w:space="0" w:color="auto"/>
                <w:bottom w:val="none" w:sz="0" w:space="0" w:color="auto"/>
                <w:right w:val="none" w:sz="0" w:space="0" w:color="auto"/>
                <w:between w:val="none" w:sz="0" w:space="0" w:color="auto"/>
                <w:bar w:val="none" w:sz="0" w:color="auto"/>
              </w:pBdr>
              <w:jc w:val="right"/>
              <w:outlineLvl w:val="9"/>
              <w:rPr>
                <w:rFonts w:eastAsia="Times New Roman"/>
                <w:b/>
                <w:bCs/>
                <w:sz w:val="16"/>
                <w:szCs w:val="16"/>
                <w:bdr w:val="none" w:sz="0" w:space="0" w:color="auto"/>
                <w:lang w:eastAsia="es-ES"/>
              </w:rPr>
            </w:pPr>
            <w:r>
              <w:rPr>
                <w:b/>
                <w:bCs/>
                <w:sz w:val="16"/>
                <w:szCs w:val="16"/>
              </w:rPr>
              <w:t xml:space="preserve"> -</w:t>
            </w:r>
          </w:p>
        </w:tc>
        <w:tc>
          <w:tcPr>
            <w:tcW w:w="556" w:type="pct"/>
            <w:tcBorders>
              <w:top w:val="nil"/>
              <w:left w:val="nil"/>
              <w:bottom w:val="single" w:sz="4" w:space="0" w:color="auto"/>
              <w:right w:val="nil"/>
            </w:tcBorders>
            <w:shd w:val="clear" w:color="auto" w:fill="auto"/>
            <w:vAlign w:val="center"/>
            <w:hideMark/>
          </w:tcPr>
          <w:p w14:paraId="38F93303" w14:textId="2D204F13" w:rsidR="002A40E8" w:rsidRPr="001D0C22" w:rsidRDefault="002A40E8" w:rsidP="002A40E8">
            <w:pPr>
              <w:pBdr>
                <w:top w:val="none" w:sz="0" w:space="0" w:color="auto"/>
                <w:left w:val="none" w:sz="0" w:space="0" w:color="auto"/>
                <w:bottom w:val="none" w:sz="0" w:space="0" w:color="auto"/>
                <w:right w:val="none" w:sz="0" w:space="0" w:color="auto"/>
                <w:between w:val="none" w:sz="0" w:space="0" w:color="auto"/>
                <w:bar w:val="none" w:sz="0" w:color="auto"/>
              </w:pBdr>
              <w:jc w:val="right"/>
              <w:outlineLvl w:val="9"/>
              <w:rPr>
                <w:rFonts w:eastAsia="Times New Roman"/>
                <w:b/>
                <w:bCs/>
                <w:sz w:val="16"/>
                <w:szCs w:val="16"/>
                <w:bdr w:val="none" w:sz="0" w:space="0" w:color="auto"/>
                <w:lang w:eastAsia="es-ES"/>
              </w:rPr>
            </w:pPr>
            <w:r>
              <w:rPr>
                <w:b/>
                <w:bCs/>
                <w:sz w:val="16"/>
                <w:szCs w:val="16"/>
              </w:rPr>
              <w:t xml:space="preserve"> -</w:t>
            </w:r>
          </w:p>
        </w:tc>
        <w:tc>
          <w:tcPr>
            <w:tcW w:w="663" w:type="pct"/>
            <w:tcBorders>
              <w:top w:val="nil"/>
              <w:left w:val="nil"/>
              <w:bottom w:val="single" w:sz="4" w:space="0" w:color="auto"/>
              <w:right w:val="nil"/>
            </w:tcBorders>
            <w:shd w:val="clear" w:color="auto" w:fill="auto"/>
            <w:vAlign w:val="center"/>
          </w:tcPr>
          <w:p w14:paraId="4B26BF40" w14:textId="4B8653C2" w:rsidR="002A40E8" w:rsidRPr="001D0C22" w:rsidRDefault="002A40E8" w:rsidP="002A40E8">
            <w:pPr>
              <w:pBdr>
                <w:top w:val="none" w:sz="0" w:space="0" w:color="auto"/>
                <w:left w:val="none" w:sz="0" w:space="0" w:color="auto"/>
                <w:bottom w:val="none" w:sz="0" w:space="0" w:color="auto"/>
                <w:right w:val="none" w:sz="0" w:space="0" w:color="auto"/>
                <w:between w:val="none" w:sz="0" w:space="0" w:color="auto"/>
                <w:bar w:val="none" w:sz="0" w:color="auto"/>
              </w:pBdr>
              <w:jc w:val="right"/>
              <w:outlineLvl w:val="9"/>
              <w:rPr>
                <w:rFonts w:eastAsia="Times New Roman"/>
                <w:b/>
                <w:bCs/>
                <w:sz w:val="16"/>
                <w:szCs w:val="16"/>
                <w:bdr w:val="none" w:sz="0" w:space="0" w:color="auto"/>
                <w:lang w:eastAsia="es-ES"/>
              </w:rPr>
            </w:pPr>
            <w:r>
              <w:rPr>
                <w:b/>
                <w:bCs/>
                <w:sz w:val="16"/>
                <w:szCs w:val="16"/>
              </w:rPr>
              <w:t>15.537.881,99</w:t>
            </w:r>
          </w:p>
        </w:tc>
      </w:tr>
    </w:tbl>
    <w:p w14:paraId="17D9879D" w14:textId="77777777" w:rsidR="00DE5FC3" w:rsidRPr="001D0C22" w:rsidRDefault="00DE5FC3" w:rsidP="00DE5FC3">
      <w:pPr>
        <w:keepNext/>
        <w:keepLines/>
        <w:widowControl w:val="0"/>
        <w:spacing w:before="120" w:after="120" w:line="260" w:lineRule="exact"/>
        <w:jc w:val="both"/>
        <w:rPr>
          <w:snapToGrid w:val="0"/>
          <w:sz w:val="20"/>
          <w:szCs w:val="22"/>
        </w:rPr>
      </w:pPr>
      <w:r w:rsidRPr="001D0C22">
        <w:rPr>
          <w:snapToGrid w:val="0"/>
          <w:sz w:val="20"/>
          <w:szCs w:val="22"/>
        </w:rPr>
        <w:t>Los importes de los instrumentos financieros de pasivo al cierre de 2023 son los siguientes:</w:t>
      </w:r>
    </w:p>
    <w:tbl>
      <w:tblPr>
        <w:tblW w:w="5000" w:type="pct"/>
        <w:tblCellMar>
          <w:left w:w="70" w:type="dxa"/>
          <w:right w:w="70" w:type="dxa"/>
        </w:tblCellMar>
        <w:tblLook w:val="04A0" w:firstRow="1" w:lastRow="0" w:firstColumn="1" w:lastColumn="0" w:noHBand="0" w:noVBand="1"/>
      </w:tblPr>
      <w:tblGrid>
        <w:gridCol w:w="2656"/>
        <w:gridCol w:w="1140"/>
        <w:gridCol w:w="763"/>
        <w:gridCol w:w="774"/>
        <w:gridCol w:w="588"/>
        <w:gridCol w:w="732"/>
        <w:gridCol w:w="985"/>
        <w:gridCol w:w="1143"/>
      </w:tblGrid>
      <w:tr w:rsidR="00DE5FC3" w:rsidRPr="001D0C22" w14:paraId="63B7801F" w14:textId="77777777" w:rsidTr="0098422D">
        <w:trPr>
          <w:trHeight w:val="227"/>
        </w:trPr>
        <w:tc>
          <w:tcPr>
            <w:tcW w:w="5000" w:type="pct"/>
            <w:gridSpan w:val="8"/>
            <w:tcBorders>
              <w:top w:val="single" w:sz="4" w:space="0" w:color="auto"/>
              <w:left w:val="nil"/>
              <w:bottom w:val="single" w:sz="4" w:space="0" w:color="auto"/>
              <w:right w:val="nil"/>
            </w:tcBorders>
            <w:shd w:val="clear" w:color="auto" w:fill="auto"/>
            <w:vAlign w:val="center"/>
            <w:hideMark/>
          </w:tcPr>
          <w:p w14:paraId="0F3447E9" w14:textId="77777777" w:rsidR="00DE5FC3" w:rsidRPr="001D0C22" w:rsidRDefault="00DE5FC3" w:rsidP="0098422D">
            <w:pPr>
              <w:keepNext/>
              <w:keepLines/>
              <w:widowControl w:val="0"/>
              <w:pBdr>
                <w:top w:val="none" w:sz="0" w:space="0" w:color="auto"/>
                <w:left w:val="none" w:sz="0" w:space="0" w:color="auto"/>
                <w:bottom w:val="none" w:sz="0" w:space="0" w:color="auto"/>
                <w:right w:val="none" w:sz="0" w:space="0" w:color="auto"/>
                <w:between w:val="none" w:sz="0" w:space="0" w:color="auto"/>
                <w:bar w:val="none" w:sz="0" w:color="auto"/>
              </w:pBdr>
              <w:jc w:val="center"/>
              <w:outlineLvl w:val="9"/>
              <w:rPr>
                <w:rFonts w:eastAsia="Times New Roman"/>
                <w:b/>
                <w:bCs/>
                <w:sz w:val="16"/>
                <w:szCs w:val="16"/>
                <w:bdr w:val="none" w:sz="0" w:space="0" w:color="auto"/>
                <w:lang w:eastAsia="es-ES"/>
              </w:rPr>
            </w:pPr>
            <w:r w:rsidRPr="001D0C22">
              <w:rPr>
                <w:rFonts w:eastAsia="Times New Roman"/>
                <w:b/>
                <w:bCs/>
                <w:sz w:val="16"/>
                <w:szCs w:val="16"/>
                <w:bdr w:val="none" w:sz="0" w:space="0" w:color="auto"/>
                <w:lang w:eastAsia="es-ES"/>
              </w:rPr>
              <w:t>PASIVOS FINANCIEROS</w:t>
            </w:r>
          </w:p>
        </w:tc>
      </w:tr>
      <w:tr w:rsidR="002A40E8" w:rsidRPr="001D0C22" w14:paraId="084246C4" w14:textId="77777777" w:rsidTr="002A40E8">
        <w:trPr>
          <w:trHeight w:val="283"/>
        </w:trPr>
        <w:tc>
          <w:tcPr>
            <w:tcW w:w="1512" w:type="pct"/>
            <w:tcBorders>
              <w:top w:val="nil"/>
              <w:left w:val="nil"/>
              <w:bottom w:val="single" w:sz="4" w:space="0" w:color="auto"/>
              <w:right w:val="nil"/>
            </w:tcBorders>
            <w:shd w:val="clear" w:color="auto" w:fill="auto"/>
            <w:vAlign w:val="center"/>
            <w:hideMark/>
          </w:tcPr>
          <w:p w14:paraId="11BB143C" w14:textId="77777777" w:rsidR="002A40E8" w:rsidRPr="001D0C22" w:rsidRDefault="002A40E8" w:rsidP="002A40E8">
            <w:pPr>
              <w:keepNext/>
              <w:keepLines/>
              <w:widowControl w:val="0"/>
              <w:pBdr>
                <w:top w:val="none" w:sz="0" w:space="0" w:color="auto"/>
                <w:left w:val="none" w:sz="0" w:space="0" w:color="auto"/>
                <w:bottom w:val="none" w:sz="0" w:space="0" w:color="auto"/>
                <w:right w:val="none" w:sz="0" w:space="0" w:color="auto"/>
                <w:between w:val="none" w:sz="0" w:space="0" w:color="auto"/>
                <w:bar w:val="none" w:sz="0" w:color="auto"/>
              </w:pBdr>
              <w:jc w:val="center"/>
              <w:outlineLvl w:val="9"/>
              <w:rPr>
                <w:rFonts w:eastAsia="Times New Roman"/>
                <w:sz w:val="16"/>
                <w:szCs w:val="16"/>
                <w:bdr w:val="none" w:sz="0" w:space="0" w:color="auto"/>
                <w:lang w:eastAsia="es-ES"/>
              </w:rPr>
            </w:pPr>
          </w:p>
        </w:tc>
        <w:tc>
          <w:tcPr>
            <w:tcW w:w="649" w:type="pct"/>
            <w:tcBorders>
              <w:top w:val="nil"/>
              <w:left w:val="nil"/>
              <w:bottom w:val="single" w:sz="4" w:space="0" w:color="auto"/>
              <w:right w:val="nil"/>
            </w:tcBorders>
            <w:shd w:val="clear" w:color="auto" w:fill="auto"/>
            <w:vAlign w:val="center"/>
            <w:hideMark/>
          </w:tcPr>
          <w:p w14:paraId="5103F5A6" w14:textId="006806A7" w:rsidR="002A40E8" w:rsidRPr="001D0C22" w:rsidRDefault="002A40E8" w:rsidP="002A40E8">
            <w:pPr>
              <w:keepNext/>
              <w:keepLines/>
              <w:widowControl w:val="0"/>
              <w:pBdr>
                <w:top w:val="none" w:sz="0" w:space="0" w:color="auto"/>
                <w:left w:val="none" w:sz="0" w:space="0" w:color="auto"/>
                <w:bottom w:val="none" w:sz="0" w:space="0" w:color="auto"/>
                <w:right w:val="none" w:sz="0" w:space="0" w:color="auto"/>
                <w:between w:val="none" w:sz="0" w:space="0" w:color="auto"/>
                <w:bar w:val="none" w:sz="0" w:color="auto"/>
              </w:pBdr>
              <w:jc w:val="center"/>
              <w:outlineLvl w:val="9"/>
              <w:rPr>
                <w:rFonts w:eastAsia="Times New Roman"/>
                <w:b/>
                <w:bCs/>
                <w:sz w:val="16"/>
                <w:szCs w:val="16"/>
                <w:bdr w:val="none" w:sz="0" w:space="0" w:color="auto"/>
                <w:lang w:eastAsia="es-ES"/>
              </w:rPr>
            </w:pPr>
            <w:r>
              <w:rPr>
                <w:rFonts w:eastAsia="Times New Roman"/>
                <w:b/>
                <w:bCs/>
                <w:sz w:val="16"/>
                <w:szCs w:val="16"/>
                <w:bdr w:val="none" w:sz="0" w:space="0" w:color="auto"/>
                <w:lang w:eastAsia="es-ES"/>
              </w:rPr>
              <w:t>2024</w:t>
            </w:r>
          </w:p>
        </w:tc>
        <w:tc>
          <w:tcPr>
            <w:tcW w:w="434" w:type="pct"/>
            <w:tcBorders>
              <w:top w:val="nil"/>
              <w:left w:val="nil"/>
              <w:bottom w:val="single" w:sz="4" w:space="0" w:color="auto"/>
              <w:right w:val="nil"/>
            </w:tcBorders>
            <w:shd w:val="clear" w:color="auto" w:fill="auto"/>
            <w:vAlign w:val="center"/>
            <w:hideMark/>
          </w:tcPr>
          <w:p w14:paraId="1FF3AF75" w14:textId="294147D5" w:rsidR="002A40E8" w:rsidRPr="001D0C22" w:rsidRDefault="002A40E8" w:rsidP="002A40E8">
            <w:pPr>
              <w:keepNext/>
              <w:keepLines/>
              <w:widowControl w:val="0"/>
              <w:pBdr>
                <w:top w:val="none" w:sz="0" w:space="0" w:color="auto"/>
                <w:left w:val="none" w:sz="0" w:space="0" w:color="auto"/>
                <w:bottom w:val="none" w:sz="0" w:space="0" w:color="auto"/>
                <w:right w:val="none" w:sz="0" w:space="0" w:color="auto"/>
                <w:between w:val="none" w:sz="0" w:space="0" w:color="auto"/>
                <w:bar w:val="none" w:sz="0" w:color="auto"/>
              </w:pBdr>
              <w:jc w:val="center"/>
              <w:outlineLvl w:val="9"/>
              <w:rPr>
                <w:rFonts w:eastAsia="Times New Roman"/>
                <w:b/>
                <w:bCs/>
                <w:sz w:val="16"/>
                <w:szCs w:val="16"/>
                <w:bdr w:val="none" w:sz="0" w:space="0" w:color="auto"/>
                <w:lang w:eastAsia="es-ES"/>
              </w:rPr>
            </w:pPr>
            <w:r>
              <w:rPr>
                <w:rFonts w:eastAsia="Times New Roman"/>
                <w:b/>
                <w:bCs/>
                <w:sz w:val="16"/>
                <w:szCs w:val="16"/>
                <w:bdr w:val="none" w:sz="0" w:space="0" w:color="auto"/>
                <w:lang w:eastAsia="es-ES"/>
              </w:rPr>
              <w:t>2025</w:t>
            </w:r>
          </w:p>
        </w:tc>
        <w:tc>
          <w:tcPr>
            <w:tcW w:w="441" w:type="pct"/>
            <w:tcBorders>
              <w:top w:val="nil"/>
              <w:left w:val="nil"/>
              <w:bottom w:val="single" w:sz="4" w:space="0" w:color="auto"/>
              <w:right w:val="nil"/>
            </w:tcBorders>
            <w:shd w:val="clear" w:color="auto" w:fill="auto"/>
            <w:vAlign w:val="center"/>
            <w:hideMark/>
          </w:tcPr>
          <w:p w14:paraId="629EE049" w14:textId="2C11FF3C" w:rsidR="002A40E8" w:rsidRPr="001D0C22" w:rsidRDefault="002A40E8" w:rsidP="002A40E8">
            <w:pPr>
              <w:keepNext/>
              <w:keepLines/>
              <w:widowControl w:val="0"/>
              <w:pBdr>
                <w:top w:val="none" w:sz="0" w:space="0" w:color="auto"/>
                <w:left w:val="none" w:sz="0" w:space="0" w:color="auto"/>
                <w:bottom w:val="none" w:sz="0" w:space="0" w:color="auto"/>
                <w:right w:val="none" w:sz="0" w:space="0" w:color="auto"/>
                <w:between w:val="none" w:sz="0" w:space="0" w:color="auto"/>
                <w:bar w:val="none" w:sz="0" w:color="auto"/>
              </w:pBdr>
              <w:jc w:val="center"/>
              <w:outlineLvl w:val="9"/>
              <w:rPr>
                <w:rFonts w:eastAsia="Times New Roman"/>
                <w:b/>
                <w:bCs/>
                <w:sz w:val="16"/>
                <w:szCs w:val="16"/>
                <w:bdr w:val="none" w:sz="0" w:space="0" w:color="auto"/>
                <w:lang w:eastAsia="es-ES"/>
              </w:rPr>
            </w:pPr>
            <w:r>
              <w:rPr>
                <w:rFonts w:eastAsia="Times New Roman"/>
                <w:b/>
                <w:bCs/>
                <w:sz w:val="16"/>
                <w:szCs w:val="16"/>
                <w:bdr w:val="none" w:sz="0" w:space="0" w:color="auto"/>
                <w:lang w:eastAsia="es-ES"/>
              </w:rPr>
              <w:t>2026</w:t>
            </w:r>
          </w:p>
        </w:tc>
        <w:tc>
          <w:tcPr>
            <w:tcW w:w="335" w:type="pct"/>
            <w:tcBorders>
              <w:top w:val="nil"/>
              <w:left w:val="nil"/>
              <w:bottom w:val="single" w:sz="4" w:space="0" w:color="auto"/>
              <w:right w:val="nil"/>
            </w:tcBorders>
            <w:shd w:val="clear" w:color="auto" w:fill="auto"/>
            <w:vAlign w:val="center"/>
            <w:hideMark/>
          </w:tcPr>
          <w:p w14:paraId="040F46FC" w14:textId="5403B527" w:rsidR="002A40E8" w:rsidRPr="001D0C22" w:rsidRDefault="002A40E8" w:rsidP="002A40E8">
            <w:pPr>
              <w:keepNext/>
              <w:keepLines/>
              <w:widowControl w:val="0"/>
              <w:pBdr>
                <w:top w:val="none" w:sz="0" w:space="0" w:color="auto"/>
                <w:left w:val="none" w:sz="0" w:space="0" w:color="auto"/>
                <w:bottom w:val="none" w:sz="0" w:space="0" w:color="auto"/>
                <w:right w:val="none" w:sz="0" w:space="0" w:color="auto"/>
                <w:between w:val="none" w:sz="0" w:space="0" w:color="auto"/>
                <w:bar w:val="none" w:sz="0" w:color="auto"/>
              </w:pBdr>
              <w:jc w:val="center"/>
              <w:outlineLvl w:val="9"/>
              <w:rPr>
                <w:rFonts w:eastAsia="Times New Roman"/>
                <w:b/>
                <w:bCs/>
                <w:sz w:val="16"/>
                <w:szCs w:val="16"/>
                <w:bdr w:val="none" w:sz="0" w:space="0" w:color="auto"/>
                <w:lang w:eastAsia="es-ES"/>
              </w:rPr>
            </w:pPr>
            <w:r>
              <w:rPr>
                <w:rFonts w:eastAsia="Times New Roman"/>
                <w:b/>
                <w:bCs/>
                <w:sz w:val="16"/>
                <w:szCs w:val="16"/>
                <w:bdr w:val="none" w:sz="0" w:space="0" w:color="auto"/>
                <w:lang w:eastAsia="es-ES"/>
              </w:rPr>
              <w:t>2027</w:t>
            </w:r>
          </w:p>
        </w:tc>
        <w:tc>
          <w:tcPr>
            <w:tcW w:w="417" w:type="pct"/>
            <w:tcBorders>
              <w:top w:val="nil"/>
              <w:left w:val="nil"/>
              <w:bottom w:val="single" w:sz="4" w:space="0" w:color="auto"/>
              <w:right w:val="nil"/>
            </w:tcBorders>
            <w:shd w:val="clear" w:color="auto" w:fill="auto"/>
            <w:vAlign w:val="center"/>
            <w:hideMark/>
          </w:tcPr>
          <w:p w14:paraId="5922EBB1" w14:textId="78DEA217" w:rsidR="002A40E8" w:rsidRPr="001D0C22" w:rsidRDefault="002A40E8" w:rsidP="002A40E8">
            <w:pPr>
              <w:keepNext/>
              <w:keepLines/>
              <w:widowControl w:val="0"/>
              <w:pBdr>
                <w:top w:val="none" w:sz="0" w:space="0" w:color="auto"/>
                <w:left w:val="none" w:sz="0" w:space="0" w:color="auto"/>
                <w:bottom w:val="none" w:sz="0" w:space="0" w:color="auto"/>
                <w:right w:val="none" w:sz="0" w:space="0" w:color="auto"/>
                <w:between w:val="none" w:sz="0" w:space="0" w:color="auto"/>
                <w:bar w:val="none" w:sz="0" w:color="auto"/>
              </w:pBdr>
              <w:jc w:val="center"/>
              <w:outlineLvl w:val="9"/>
              <w:rPr>
                <w:rFonts w:eastAsia="Times New Roman"/>
                <w:b/>
                <w:bCs/>
                <w:sz w:val="16"/>
                <w:szCs w:val="16"/>
                <w:bdr w:val="none" w:sz="0" w:space="0" w:color="auto"/>
                <w:lang w:eastAsia="es-ES"/>
              </w:rPr>
            </w:pPr>
            <w:r>
              <w:rPr>
                <w:rFonts w:eastAsia="Times New Roman"/>
                <w:b/>
                <w:bCs/>
                <w:sz w:val="16"/>
                <w:szCs w:val="16"/>
                <w:bdr w:val="none" w:sz="0" w:space="0" w:color="auto"/>
                <w:lang w:eastAsia="es-ES"/>
              </w:rPr>
              <w:t>2028</w:t>
            </w:r>
          </w:p>
        </w:tc>
        <w:tc>
          <w:tcPr>
            <w:tcW w:w="561" w:type="pct"/>
            <w:tcBorders>
              <w:top w:val="nil"/>
              <w:left w:val="nil"/>
              <w:bottom w:val="single" w:sz="4" w:space="0" w:color="auto"/>
              <w:right w:val="nil"/>
            </w:tcBorders>
            <w:shd w:val="clear" w:color="auto" w:fill="auto"/>
            <w:vAlign w:val="center"/>
            <w:hideMark/>
          </w:tcPr>
          <w:p w14:paraId="2BB8BD58" w14:textId="77777777" w:rsidR="002A40E8" w:rsidRPr="001D0C22" w:rsidRDefault="002A40E8" w:rsidP="002A40E8">
            <w:pPr>
              <w:keepNext/>
              <w:keepLines/>
              <w:widowControl w:val="0"/>
              <w:pBdr>
                <w:top w:val="none" w:sz="0" w:space="0" w:color="auto"/>
                <w:left w:val="none" w:sz="0" w:space="0" w:color="auto"/>
                <w:bottom w:val="none" w:sz="0" w:space="0" w:color="auto"/>
                <w:right w:val="none" w:sz="0" w:space="0" w:color="auto"/>
                <w:between w:val="none" w:sz="0" w:space="0" w:color="auto"/>
                <w:bar w:val="none" w:sz="0" w:color="auto"/>
              </w:pBdr>
              <w:jc w:val="center"/>
              <w:outlineLvl w:val="9"/>
              <w:rPr>
                <w:rFonts w:eastAsia="Times New Roman"/>
                <w:b/>
                <w:bCs/>
                <w:sz w:val="16"/>
                <w:szCs w:val="16"/>
                <w:bdr w:val="none" w:sz="0" w:space="0" w:color="auto"/>
                <w:lang w:eastAsia="es-ES"/>
              </w:rPr>
            </w:pPr>
            <w:r w:rsidRPr="001D0C22">
              <w:rPr>
                <w:rFonts w:eastAsia="Times New Roman"/>
                <w:b/>
                <w:bCs/>
                <w:sz w:val="16"/>
                <w:szCs w:val="16"/>
                <w:bdr w:val="none" w:sz="0" w:space="0" w:color="auto"/>
                <w:lang w:eastAsia="es-ES"/>
              </w:rPr>
              <w:t>+5 años</w:t>
            </w:r>
          </w:p>
        </w:tc>
        <w:tc>
          <w:tcPr>
            <w:tcW w:w="651" w:type="pct"/>
            <w:tcBorders>
              <w:top w:val="nil"/>
              <w:left w:val="nil"/>
              <w:bottom w:val="single" w:sz="4" w:space="0" w:color="auto"/>
              <w:right w:val="nil"/>
            </w:tcBorders>
            <w:shd w:val="clear" w:color="auto" w:fill="auto"/>
            <w:vAlign w:val="center"/>
            <w:hideMark/>
          </w:tcPr>
          <w:p w14:paraId="69449CDA" w14:textId="77777777" w:rsidR="002A40E8" w:rsidRPr="001D0C22" w:rsidRDefault="002A40E8" w:rsidP="002A40E8">
            <w:pPr>
              <w:keepNext/>
              <w:keepLines/>
              <w:widowControl w:val="0"/>
              <w:pBdr>
                <w:top w:val="none" w:sz="0" w:space="0" w:color="auto"/>
                <w:left w:val="none" w:sz="0" w:space="0" w:color="auto"/>
                <w:bottom w:val="none" w:sz="0" w:space="0" w:color="auto"/>
                <w:right w:val="none" w:sz="0" w:space="0" w:color="auto"/>
                <w:between w:val="none" w:sz="0" w:space="0" w:color="auto"/>
                <w:bar w:val="none" w:sz="0" w:color="auto"/>
              </w:pBdr>
              <w:jc w:val="center"/>
              <w:outlineLvl w:val="9"/>
              <w:rPr>
                <w:rFonts w:eastAsia="Times New Roman"/>
                <w:b/>
                <w:bCs/>
                <w:sz w:val="16"/>
                <w:szCs w:val="16"/>
                <w:bdr w:val="none" w:sz="0" w:space="0" w:color="auto"/>
                <w:lang w:eastAsia="es-ES"/>
              </w:rPr>
            </w:pPr>
            <w:r w:rsidRPr="001D0C22">
              <w:rPr>
                <w:rFonts w:eastAsia="Times New Roman"/>
                <w:b/>
                <w:bCs/>
                <w:sz w:val="16"/>
                <w:szCs w:val="16"/>
                <w:bdr w:val="none" w:sz="0" w:space="0" w:color="auto"/>
                <w:lang w:eastAsia="es-ES"/>
              </w:rPr>
              <w:t>Total</w:t>
            </w:r>
          </w:p>
        </w:tc>
      </w:tr>
      <w:tr w:rsidR="00DE5FC3" w:rsidRPr="001D0C22" w14:paraId="040F5060" w14:textId="77777777" w:rsidTr="002A40E8">
        <w:trPr>
          <w:trHeight w:val="283"/>
        </w:trPr>
        <w:tc>
          <w:tcPr>
            <w:tcW w:w="1512" w:type="pct"/>
            <w:tcBorders>
              <w:top w:val="nil"/>
              <w:left w:val="nil"/>
              <w:bottom w:val="single" w:sz="4" w:space="0" w:color="auto"/>
              <w:right w:val="nil"/>
            </w:tcBorders>
            <w:shd w:val="clear" w:color="auto" w:fill="auto"/>
            <w:vAlign w:val="center"/>
          </w:tcPr>
          <w:p w14:paraId="71A1926F" w14:textId="77777777" w:rsidR="00DE5FC3" w:rsidRPr="001D0C22" w:rsidRDefault="00DE5FC3" w:rsidP="0098422D">
            <w:pPr>
              <w:keepNext/>
              <w:keepLines/>
              <w:widowControl w:val="0"/>
              <w:pBdr>
                <w:top w:val="none" w:sz="0" w:space="0" w:color="auto"/>
                <w:left w:val="none" w:sz="0" w:space="0" w:color="auto"/>
                <w:bottom w:val="none" w:sz="0" w:space="0" w:color="auto"/>
                <w:right w:val="none" w:sz="0" w:space="0" w:color="auto"/>
                <w:between w:val="none" w:sz="0" w:space="0" w:color="auto"/>
                <w:bar w:val="none" w:sz="0" w:color="auto"/>
              </w:pBdr>
              <w:outlineLvl w:val="9"/>
              <w:rPr>
                <w:rFonts w:eastAsia="Times New Roman"/>
                <w:sz w:val="16"/>
                <w:szCs w:val="16"/>
                <w:bdr w:val="none" w:sz="0" w:space="0" w:color="auto"/>
                <w:lang w:eastAsia="es-ES"/>
              </w:rPr>
            </w:pPr>
            <w:r w:rsidRPr="001D0C22">
              <w:rPr>
                <w:rFonts w:eastAsia="Times New Roman"/>
                <w:sz w:val="16"/>
                <w:szCs w:val="16"/>
                <w:bdr w:val="none" w:sz="0" w:space="0" w:color="auto"/>
                <w:lang w:eastAsia="es-ES"/>
              </w:rPr>
              <w:t>Deudas con entidades de crédito (Nota 8.3.a)</w:t>
            </w:r>
          </w:p>
        </w:tc>
        <w:tc>
          <w:tcPr>
            <w:tcW w:w="649" w:type="pct"/>
            <w:tcBorders>
              <w:top w:val="nil"/>
              <w:left w:val="nil"/>
              <w:bottom w:val="single" w:sz="4" w:space="0" w:color="auto"/>
              <w:right w:val="nil"/>
            </w:tcBorders>
            <w:shd w:val="clear" w:color="auto" w:fill="auto"/>
            <w:vAlign w:val="center"/>
          </w:tcPr>
          <w:p w14:paraId="5E7BA63B" w14:textId="77777777" w:rsidR="00DE5FC3" w:rsidRPr="001D0C22" w:rsidRDefault="00DE5FC3" w:rsidP="0098422D">
            <w:pPr>
              <w:keepNext/>
              <w:keepLines/>
              <w:widowControl w:val="0"/>
              <w:pBdr>
                <w:top w:val="none" w:sz="0" w:space="0" w:color="auto"/>
                <w:left w:val="none" w:sz="0" w:space="0" w:color="auto"/>
                <w:bottom w:val="none" w:sz="0" w:space="0" w:color="auto"/>
                <w:right w:val="none" w:sz="0" w:space="0" w:color="auto"/>
                <w:between w:val="none" w:sz="0" w:space="0" w:color="auto"/>
                <w:bar w:val="none" w:sz="0" w:color="auto"/>
              </w:pBdr>
              <w:jc w:val="right"/>
              <w:outlineLvl w:val="9"/>
              <w:rPr>
                <w:rFonts w:eastAsia="Times New Roman"/>
                <w:b/>
                <w:bCs/>
                <w:sz w:val="16"/>
                <w:szCs w:val="16"/>
                <w:bdr w:val="none" w:sz="0" w:space="0" w:color="auto"/>
                <w:lang w:eastAsia="es-ES"/>
              </w:rPr>
            </w:pPr>
            <w:r w:rsidRPr="001D0C22">
              <w:rPr>
                <w:sz w:val="16"/>
                <w:szCs w:val="16"/>
              </w:rPr>
              <w:t>378,60</w:t>
            </w:r>
          </w:p>
        </w:tc>
        <w:tc>
          <w:tcPr>
            <w:tcW w:w="434" w:type="pct"/>
            <w:tcBorders>
              <w:top w:val="nil"/>
              <w:left w:val="nil"/>
              <w:bottom w:val="single" w:sz="4" w:space="0" w:color="auto"/>
              <w:right w:val="nil"/>
            </w:tcBorders>
            <w:shd w:val="clear" w:color="auto" w:fill="auto"/>
            <w:vAlign w:val="center"/>
          </w:tcPr>
          <w:p w14:paraId="48A513A7" w14:textId="77777777" w:rsidR="00DE5FC3" w:rsidRPr="001D0C22" w:rsidRDefault="00DE5FC3" w:rsidP="0098422D">
            <w:pPr>
              <w:keepNext/>
              <w:keepLines/>
              <w:widowControl w:val="0"/>
              <w:pBdr>
                <w:top w:val="none" w:sz="0" w:space="0" w:color="auto"/>
                <w:left w:val="none" w:sz="0" w:space="0" w:color="auto"/>
                <w:bottom w:val="none" w:sz="0" w:space="0" w:color="auto"/>
                <w:right w:val="none" w:sz="0" w:space="0" w:color="auto"/>
                <w:between w:val="none" w:sz="0" w:space="0" w:color="auto"/>
                <w:bar w:val="none" w:sz="0" w:color="auto"/>
              </w:pBdr>
              <w:jc w:val="right"/>
              <w:outlineLvl w:val="9"/>
              <w:rPr>
                <w:rFonts w:eastAsia="Times New Roman"/>
                <w:sz w:val="16"/>
                <w:szCs w:val="16"/>
                <w:bdr w:val="none" w:sz="0" w:space="0" w:color="auto"/>
                <w:lang w:eastAsia="es-ES"/>
              </w:rPr>
            </w:pPr>
            <w:r w:rsidRPr="001D0C22">
              <w:rPr>
                <w:sz w:val="16"/>
                <w:szCs w:val="16"/>
              </w:rPr>
              <w:t>-</w:t>
            </w:r>
          </w:p>
        </w:tc>
        <w:tc>
          <w:tcPr>
            <w:tcW w:w="441" w:type="pct"/>
            <w:tcBorders>
              <w:top w:val="nil"/>
              <w:left w:val="nil"/>
              <w:bottom w:val="single" w:sz="4" w:space="0" w:color="auto"/>
              <w:right w:val="nil"/>
            </w:tcBorders>
            <w:shd w:val="clear" w:color="auto" w:fill="auto"/>
            <w:vAlign w:val="center"/>
          </w:tcPr>
          <w:p w14:paraId="7FEFCEEC" w14:textId="77777777" w:rsidR="00DE5FC3" w:rsidRPr="001D0C22" w:rsidRDefault="00DE5FC3" w:rsidP="0098422D">
            <w:pPr>
              <w:keepNext/>
              <w:keepLines/>
              <w:widowControl w:val="0"/>
              <w:pBdr>
                <w:top w:val="none" w:sz="0" w:space="0" w:color="auto"/>
                <w:left w:val="none" w:sz="0" w:space="0" w:color="auto"/>
                <w:bottom w:val="none" w:sz="0" w:space="0" w:color="auto"/>
                <w:right w:val="none" w:sz="0" w:space="0" w:color="auto"/>
                <w:between w:val="none" w:sz="0" w:space="0" w:color="auto"/>
                <w:bar w:val="none" w:sz="0" w:color="auto"/>
              </w:pBdr>
              <w:jc w:val="right"/>
              <w:outlineLvl w:val="9"/>
              <w:rPr>
                <w:rFonts w:eastAsia="Times New Roman"/>
                <w:sz w:val="16"/>
                <w:szCs w:val="16"/>
                <w:bdr w:val="none" w:sz="0" w:space="0" w:color="auto"/>
                <w:lang w:eastAsia="es-ES"/>
              </w:rPr>
            </w:pPr>
            <w:r w:rsidRPr="001D0C22">
              <w:rPr>
                <w:sz w:val="16"/>
                <w:szCs w:val="16"/>
              </w:rPr>
              <w:t>-</w:t>
            </w:r>
          </w:p>
        </w:tc>
        <w:tc>
          <w:tcPr>
            <w:tcW w:w="335" w:type="pct"/>
            <w:tcBorders>
              <w:top w:val="nil"/>
              <w:left w:val="nil"/>
              <w:bottom w:val="single" w:sz="4" w:space="0" w:color="auto"/>
              <w:right w:val="nil"/>
            </w:tcBorders>
            <w:shd w:val="clear" w:color="auto" w:fill="auto"/>
            <w:vAlign w:val="center"/>
          </w:tcPr>
          <w:p w14:paraId="2DE22B19" w14:textId="77777777" w:rsidR="00DE5FC3" w:rsidRPr="001D0C22" w:rsidRDefault="00DE5FC3" w:rsidP="0098422D">
            <w:pPr>
              <w:keepNext/>
              <w:keepLines/>
              <w:widowControl w:val="0"/>
              <w:pBdr>
                <w:top w:val="none" w:sz="0" w:space="0" w:color="auto"/>
                <w:left w:val="none" w:sz="0" w:space="0" w:color="auto"/>
                <w:bottom w:val="none" w:sz="0" w:space="0" w:color="auto"/>
                <w:right w:val="none" w:sz="0" w:space="0" w:color="auto"/>
                <w:between w:val="none" w:sz="0" w:space="0" w:color="auto"/>
                <w:bar w:val="none" w:sz="0" w:color="auto"/>
              </w:pBdr>
              <w:jc w:val="right"/>
              <w:outlineLvl w:val="9"/>
              <w:rPr>
                <w:rFonts w:eastAsia="Times New Roman"/>
                <w:sz w:val="16"/>
                <w:szCs w:val="16"/>
                <w:bdr w:val="none" w:sz="0" w:space="0" w:color="auto"/>
                <w:lang w:eastAsia="es-ES"/>
              </w:rPr>
            </w:pPr>
            <w:r w:rsidRPr="001D0C22">
              <w:rPr>
                <w:sz w:val="16"/>
                <w:szCs w:val="16"/>
              </w:rPr>
              <w:t>-</w:t>
            </w:r>
          </w:p>
        </w:tc>
        <w:tc>
          <w:tcPr>
            <w:tcW w:w="417" w:type="pct"/>
            <w:tcBorders>
              <w:top w:val="nil"/>
              <w:left w:val="nil"/>
              <w:bottom w:val="single" w:sz="4" w:space="0" w:color="auto"/>
              <w:right w:val="nil"/>
            </w:tcBorders>
            <w:shd w:val="clear" w:color="auto" w:fill="auto"/>
            <w:vAlign w:val="center"/>
          </w:tcPr>
          <w:p w14:paraId="589C1F32" w14:textId="77777777" w:rsidR="00DE5FC3" w:rsidRPr="001D0C22" w:rsidRDefault="00DE5FC3" w:rsidP="0098422D">
            <w:pPr>
              <w:keepNext/>
              <w:keepLines/>
              <w:widowControl w:val="0"/>
              <w:pBdr>
                <w:top w:val="none" w:sz="0" w:space="0" w:color="auto"/>
                <w:left w:val="none" w:sz="0" w:space="0" w:color="auto"/>
                <w:bottom w:val="none" w:sz="0" w:space="0" w:color="auto"/>
                <w:right w:val="none" w:sz="0" w:space="0" w:color="auto"/>
                <w:between w:val="none" w:sz="0" w:space="0" w:color="auto"/>
                <w:bar w:val="none" w:sz="0" w:color="auto"/>
              </w:pBdr>
              <w:jc w:val="right"/>
              <w:outlineLvl w:val="9"/>
              <w:rPr>
                <w:rFonts w:eastAsia="Times New Roman"/>
                <w:sz w:val="16"/>
                <w:szCs w:val="16"/>
                <w:bdr w:val="none" w:sz="0" w:space="0" w:color="auto"/>
                <w:lang w:eastAsia="es-ES"/>
              </w:rPr>
            </w:pPr>
            <w:r w:rsidRPr="001D0C22">
              <w:rPr>
                <w:sz w:val="16"/>
                <w:szCs w:val="16"/>
              </w:rPr>
              <w:t xml:space="preserve"> -</w:t>
            </w:r>
          </w:p>
        </w:tc>
        <w:tc>
          <w:tcPr>
            <w:tcW w:w="561" w:type="pct"/>
            <w:tcBorders>
              <w:top w:val="nil"/>
              <w:left w:val="nil"/>
              <w:bottom w:val="single" w:sz="4" w:space="0" w:color="auto"/>
              <w:right w:val="nil"/>
            </w:tcBorders>
            <w:shd w:val="clear" w:color="auto" w:fill="auto"/>
            <w:vAlign w:val="center"/>
          </w:tcPr>
          <w:p w14:paraId="78659515" w14:textId="77777777" w:rsidR="00DE5FC3" w:rsidRPr="001D0C22" w:rsidRDefault="00DE5FC3" w:rsidP="0098422D">
            <w:pPr>
              <w:keepNext/>
              <w:keepLines/>
              <w:widowControl w:val="0"/>
              <w:pBdr>
                <w:top w:val="none" w:sz="0" w:space="0" w:color="auto"/>
                <w:left w:val="none" w:sz="0" w:space="0" w:color="auto"/>
                <w:bottom w:val="none" w:sz="0" w:space="0" w:color="auto"/>
                <w:right w:val="none" w:sz="0" w:space="0" w:color="auto"/>
                <w:between w:val="none" w:sz="0" w:space="0" w:color="auto"/>
                <w:bar w:val="none" w:sz="0" w:color="auto"/>
              </w:pBdr>
              <w:jc w:val="right"/>
              <w:outlineLvl w:val="9"/>
              <w:rPr>
                <w:rFonts w:eastAsia="Times New Roman"/>
                <w:sz w:val="16"/>
                <w:szCs w:val="16"/>
                <w:bdr w:val="none" w:sz="0" w:space="0" w:color="auto"/>
                <w:lang w:eastAsia="es-ES"/>
              </w:rPr>
            </w:pPr>
            <w:r w:rsidRPr="001D0C22">
              <w:rPr>
                <w:sz w:val="16"/>
                <w:szCs w:val="16"/>
              </w:rPr>
              <w:t>-</w:t>
            </w:r>
          </w:p>
        </w:tc>
        <w:tc>
          <w:tcPr>
            <w:tcW w:w="651" w:type="pct"/>
            <w:tcBorders>
              <w:top w:val="nil"/>
              <w:left w:val="nil"/>
              <w:bottom w:val="single" w:sz="4" w:space="0" w:color="auto"/>
              <w:right w:val="nil"/>
            </w:tcBorders>
            <w:shd w:val="clear" w:color="auto" w:fill="auto"/>
            <w:vAlign w:val="center"/>
          </w:tcPr>
          <w:p w14:paraId="6C153140" w14:textId="77777777" w:rsidR="00DE5FC3" w:rsidRPr="001D0C22" w:rsidRDefault="00DE5FC3" w:rsidP="0098422D">
            <w:pPr>
              <w:keepNext/>
              <w:keepLines/>
              <w:widowControl w:val="0"/>
              <w:pBdr>
                <w:top w:val="none" w:sz="0" w:space="0" w:color="auto"/>
                <w:left w:val="none" w:sz="0" w:space="0" w:color="auto"/>
                <w:bottom w:val="none" w:sz="0" w:space="0" w:color="auto"/>
                <w:right w:val="none" w:sz="0" w:space="0" w:color="auto"/>
                <w:between w:val="none" w:sz="0" w:space="0" w:color="auto"/>
                <w:bar w:val="none" w:sz="0" w:color="auto"/>
              </w:pBdr>
              <w:jc w:val="right"/>
              <w:outlineLvl w:val="9"/>
              <w:rPr>
                <w:rFonts w:eastAsia="Times New Roman"/>
                <w:sz w:val="16"/>
                <w:szCs w:val="16"/>
                <w:bdr w:val="none" w:sz="0" w:space="0" w:color="auto"/>
                <w:lang w:eastAsia="es-ES"/>
              </w:rPr>
            </w:pPr>
            <w:r w:rsidRPr="001D0C22">
              <w:rPr>
                <w:sz w:val="16"/>
                <w:szCs w:val="16"/>
              </w:rPr>
              <w:t>378,60</w:t>
            </w:r>
          </w:p>
        </w:tc>
      </w:tr>
      <w:tr w:rsidR="00DE5FC3" w:rsidRPr="001D0C22" w14:paraId="4E48393E" w14:textId="77777777" w:rsidTr="002A40E8">
        <w:trPr>
          <w:trHeight w:val="283"/>
        </w:trPr>
        <w:tc>
          <w:tcPr>
            <w:tcW w:w="1512" w:type="pct"/>
            <w:tcBorders>
              <w:top w:val="nil"/>
              <w:left w:val="nil"/>
              <w:bottom w:val="single" w:sz="4" w:space="0" w:color="auto"/>
              <w:right w:val="nil"/>
            </w:tcBorders>
            <w:shd w:val="clear" w:color="auto" w:fill="auto"/>
            <w:vAlign w:val="bottom"/>
          </w:tcPr>
          <w:p w14:paraId="5A8B2A8C" w14:textId="77777777" w:rsidR="00DE5FC3" w:rsidRPr="001D0C22" w:rsidRDefault="00DE5FC3" w:rsidP="0098422D">
            <w:pPr>
              <w:keepNext/>
              <w:keepLines/>
              <w:widowControl w:val="0"/>
              <w:pBdr>
                <w:top w:val="none" w:sz="0" w:space="0" w:color="auto"/>
                <w:left w:val="none" w:sz="0" w:space="0" w:color="auto"/>
                <w:bottom w:val="none" w:sz="0" w:space="0" w:color="auto"/>
                <w:right w:val="none" w:sz="0" w:space="0" w:color="auto"/>
                <w:between w:val="none" w:sz="0" w:space="0" w:color="auto"/>
                <w:bar w:val="none" w:sz="0" w:color="auto"/>
              </w:pBdr>
              <w:outlineLvl w:val="9"/>
              <w:rPr>
                <w:rFonts w:eastAsia="Times New Roman"/>
                <w:sz w:val="16"/>
                <w:szCs w:val="16"/>
                <w:bdr w:val="none" w:sz="0" w:space="0" w:color="auto"/>
                <w:lang w:eastAsia="es-ES"/>
              </w:rPr>
            </w:pPr>
            <w:r w:rsidRPr="001D0C22">
              <w:rPr>
                <w:rFonts w:eastAsia="Times New Roman"/>
                <w:sz w:val="16"/>
                <w:szCs w:val="16"/>
                <w:bdr w:val="none" w:sz="0" w:space="0" w:color="auto"/>
                <w:lang w:eastAsia="es-ES"/>
              </w:rPr>
              <w:t xml:space="preserve">Pasivos financieros a coste amortizado a otras empresas </w:t>
            </w:r>
          </w:p>
          <w:p w14:paraId="27EC1520" w14:textId="77777777" w:rsidR="00DE5FC3" w:rsidRPr="001D0C22" w:rsidRDefault="00DE5FC3" w:rsidP="0098422D">
            <w:pPr>
              <w:keepNext/>
              <w:keepLines/>
              <w:widowControl w:val="0"/>
              <w:pBdr>
                <w:top w:val="none" w:sz="0" w:space="0" w:color="auto"/>
                <w:left w:val="none" w:sz="0" w:space="0" w:color="auto"/>
                <w:bottom w:val="none" w:sz="0" w:space="0" w:color="auto"/>
                <w:right w:val="none" w:sz="0" w:space="0" w:color="auto"/>
                <w:between w:val="none" w:sz="0" w:space="0" w:color="auto"/>
                <w:bar w:val="none" w:sz="0" w:color="auto"/>
              </w:pBdr>
              <w:outlineLvl w:val="9"/>
              <w:rPr>
                <w:rFonts w:eastAsia="Times New Roman"/>
                <w:sz w:val="16"/>
                <w:szCs w:val="16"/>
                <w:bdr w:val="none" w:sz="0" w:space="0" w:color="auto"/>
                <w:lang w:eastAsia="es-ES"/>
              </w:rPr>
            </w:pPr>
            <w:r w:rsidRPr="001D0C22">
              <w:rPr>
                <w:rFonts w:eastAsia="Times New Roman"/>
                <w:sz w:val="16"/>
                <w:szCs w:val="16"/>
                <w:bdr w:val="none" w:sz="0" w:space="0" w:color="auto"/>
                <w:lang w:eastAsia="es-ES"/>
              </w:rPr>
              <w:t>(Nota 8.3.a)</w:t>
            </w:r>
          </w:p>
        </w:tc>
        <w:tc>
          <w:tcPr>
            <w:tcW w:w="649" w:type="pct"/>
            <w:tcBorders>
              <w:top w:val="nil"/>
              <w:left w:val="nil"/>
              <w:bottom w:val="single" w:sz="4" w:space="0" w:color="auto"/>
              <w:right w:val="nil"/>
            </w:tcBorders>
            <w:shd w:val="clear" w:color="auto" w:fill="auto"/>
            <w:vAlign w:val="center"/>
          </w:tcPr>
          <w:p w14:paraId="26F3456B" w14:textId="77777777" w:rsidR="00DE5FC3" w:rsidRPr="001D0C22" w:rsidRDefault="00DE5FC3" w:rsidP="0098422D">
            <w:pPr>
              <w:keepNext/>
              <w:keepLines/>
              <w:widowControl w:val="0"/>
              <w:pBdr>
                <w:top w:val="none" w:sz="0" w:space="0" w:color="auto"/>
                <w:left w:val="none" w:sz="0" w:space="0" w:color="auto"/>
                <w:bottom w:val="none" w:sz="0" w:space="0" w:color="auto"/>
                <w:right w:val="none" w:sz="0" w:space="0" w:color="auto"/>
                <w:between w:val="none" w:sz="0" w:space="0" w:color="auto"/>
                <w:bar w:val="none" w:sz="0" w:color="auto"/>
              </w:pBdr>
              <w:jc w:val="right"/>
              <w:outlineLvl w:val="9"/>
              <w:rPr>
                <w:rFonts w:eastAsia="Times New Roman"/>
                <w:b/>
                <w:bCs/>
                <w:sz w:val="16"/>
                <w:szCs w:val="16"/>
                <w:bdr w:val="none" w:sz="0" w:space="0" w:color="auto"/>
                <w:lang w:eastAsia="es-ES"/>
              </w:rPr>
            </w:pPr>
            <w:r w:rsidRPr="001D0C22">
              <w:rPr>
                <w:sz w:val="16"/>
                <w:szCs w:val="16"/>
              </w:rPr>
              <w:t>9.084.303,18</w:t>
            </w:r>
          </w:p>
        </w:tc>
        <w:tc>
          <w:tcPr>
            <w:tcW w:w="434" w:type="pct"/>
            <w:tcBorders>
              <w:top w:val="nil"/>
              <w:left w:val="nil"/>
              <w:bottom w:val="single" w:sz="4" w:space="0" w:color="auto"/>
              <w:right w:val="nil"/>
            </w:tcBorders>
            <w:shd w:val="clear" w:color="auto" w:fill="auto"/>
            <w:vAlign w:val="center"/>
          </w:tcPr>
          <w:p w14:paraId="5DBAD6B6" w14:textId="77777777" w:rsidR="00DE5FC3" w:rsidRPr="001D0C22" w:rsidRDefault="00DE5FC3" w:rsidP="0098422D">
            <w:pPr>
              <w:keepNext/>
              <w:keepLines/>
              <w:widowControl w:val="0"/>
              <w:pBdr>
                <w:top w:val="none" w:sz="0" w:space="0" w:color="auto"/>
                <w:left w:val="none" w:sz="0" w:space="0" w:color="auto"/>
                <w:bottom w:val="none" w:sz="0" w:space="0" w:color="auto"/>
                <w:right w:val="none" w:sz="0" w:space="0" w:color="auto"/>
                <w:between w:val="none" w:sz="0" w:space="0" w:color="auto"/>
                <w:bar w:val="none" w:sz="0" w:color="auto"/>
              </w:pBdr>
              <w:jc w:val="right"/>
              <w:outlineLvl w:val="9"/>
              <w:rPr>
                <w:rFonts w:eastAsia="Times New Roman"/>
                <w:sz w:val="16"/>
                <w:szCs w:val="16"/>
                <w:bdr w:val="none" w:sz="0" w:space="0" w:color="auto"/>
                <w:lang w:eastAsia="es-ES"/>
              </w:rPr>
            </w:pPr>
            <w:r w:rsidRPr="001D0C22">
              <w:rPr>
                <w:sz w:val="16"/>
                <w:szCs w:val="16"/>
              </w:rPr>
              <w:t>5.768,00</w:t>
            </w:r>
          </w:p>
        </w:tc>
        <w:tc>
          <w:tcPr>
            <w:tcW w:w="441" w:type="pct"/>
            <w:tcBorders>
              <w:top w:val="nil"/>
              <w:left w:val="nil"/>
              <w:bottom w:val="single" w:sz="4" w:space="0" w:color="auto"/>
              <w:right w:val="nil"/>
            </w:tcBorders>
            <w:shd w:val="clear" w:color="auto" w:fill="auto"/>
            <w:vAlign w:val="center"/>
          </w:tcPr>
          <w:p w14:paraId="63CBF0D6" w14:textId="77777777" w:rsidR="00DE5FC3" w:rsidRPr="001D0C22" w:rsidRDefault="00DE5FC3" w:rsidP="0098422D">
            <w:pPr>
              <w:keepNext/>
              <w:keepLines/>
              <w:widowControl w:val="0"/>
              <w:pBdr>
                <w:top w:val="none" w:sz="0" w:space="0" w:color="auto"/>
                <w:left w:val="none" w:sz="0" w:space="0" w:color="auto"/>
                <w:bottom w:val="none" w:sz="0" w:space="0" w:color="auto"/>
                <w:right w:val="none" w:sz="0" w:space="0" w:color="auto"/>
                <w:between w:val="none" w:sz="0" w:space="0" w:color="auto"/>
                <w:bar w:val="none" w:sz="0" w:color="auto"/>
              </w:pBdr>
              <w:jc w:val="right"/>
              <w:outlineLvl w:val="9"/>
              <w:rPr>
                <w:rFonts w:eastAsia="Times New Roman"/>
                <w:sz w:val="16"/>
                <w:szCs w:val="16"/>
                <w:bdr w:val="none" w:sz="0" w:space="0" w:color="auto"/>
                <w:lang w:eastAsia="es-ES"/>
              </w:rPr>
            </w:pPr>
            <w:r w:rsidRPr="001D0C22">
              <w:rPr>
                <w:sz w:val="16"/>
                <w:szCs w:val="16"/>
              </w:rPr>
              <w:t xml:space="preserve"> -</w:t>
            </w:r>
          </w:p>
        </w:tc>
        <w:tc>
          <w:tcPr>
            <w:tcW w:w="335" w:type="pct"/>
            <w:tcBorders>
              <w:top w:val="nil"/>
              <w:left w:val="nil"/>
              <w:bottom w:val="single" w:sz="4" w:space="0" w:color="auto"/>
              <w:right w:val="nil"/>
            </w:tcBorders>
            <w:shd w:val="clear" w:color="auto" w:fill="auto"/>
            <w:vAlign w:val="center"/>
          </w:tcPr>
          <w:p w14:paraId="21E33116" w14:textId="77777777" w:rsidR="00DE5FC3" w:rsidRPr="001D0C22" w:rsidRDefault="00DE5FC3" w:rsidP="0098422D">
            <w:pPr>
              <w:keepNext/>
              <w:keepLines/>
              <w:widowControl w:val="0"/>
              <w:pBdr>
                <w:top w:val="none" w:sz="0" w:space="0" w:color="auto"/>
                <w:left w:val="none" w:sz="0" w:space="0" w:color="auto"/>
                <w:bottom w:val="none" w:sz="0" w:space="0" w:color="auto"/>
                <w:right w:val="none" w:sz="0" w:space="0" w:color="auto"/>
                <w:between w:val="none" w:sz="0" w:space="0" w:color="auto"/>
                <w:bar w:val="none" w:sz="0" w:color="auto"/>
              </w:pBdr>
              <w:jc w:val="right"/>
              <w:outlineLvl w:val="9"/>
              <w:rPr>
                <w:rFonts w:eastAsia="Times New Roman"/>
                <w:sz w:val="16"/>
                <w:szCs w:val="16"/>
                <w:bdr w:val="none" w:sz="0" w:space="0" w:color="auto"/>
                <w:lang w:eastAsia="es-ES"/>
              </w:rPr>
            </w:pPr>
            <w:r w:rsidRPr="001D0C22">
              <w:rPr>
                <w:sz w:val="16"/>
                <w:szCs w:val="16"/>
              </w:rPr>
              <w:t>-</w:t>
            </w:r>
          </w:p>
        </w:tc>
        <w:tc>
          <w:tcPr>
            <w:tcW w:w="417" w:type="pct"/>
            <w:tcBorders>
              <w:top w:val="nil"/>
              <w:left w:val="nil"/>
              <w:bottom w:val="single" w:sz="4" w:space="0" w:color="auto"/>
              <w:right w:val="nil"/>
            </w:tcBorders>
            <w:shd w:val="clear" w:color="auto" w:fill="auto"/>
            <w:vAlign w:val="center"/>
          </w:tcPr>
          <w:p w14:paraId="23DEEFB0" w14:textId="77777777" w:rsidR="00DE5FC3" w:rsidRPr="001D0C22" w:rsidRDefault="00DE5FC3" w:rsidP="0098422D">
            <w:pPr>
              <w:keepNext/>
              <w:keepLines/>
              <w:widowControl w:val="0"/>
              <w:pBdr>
                <w:top w:val="none" w:sz="0" w:space="0" w:color="auto"/>
                <w:left w:val="none" w:sz="0" w:space="0" w:color="auto"/>
                <w:bottom w:val="none" w:sz="0" w:space="0" w:color="auto"/>
                <w:right w:val="none" w:sz="0" w:space="0" w:color="auto"/>
                <w:between w:val="none" w:sz="0" w:space="0" w:color="auto"/>
                <w:bar w:val="none" w:sz="0" w:color="auto"/>
              </w:pBdr>
              <w:jc w:val="right"/>
              <w:outlineLvl w:val="9"/>
              <w:rPr>
                <w:rFonts w:eastAsia="Times New Roman"/>
                <w:sz w:val="16"/>
                <w:szCs w:val="16"/>
                <w:bdr w:val="none" w:sz="0" w:space="0" w:color="auto"/>
                <w:lang w:eastAsia="es-ES"/>
              </w:rPr>
            </w:pPr>
            <w:r w:rsidRPr="001D0C22">
              <w:rPr>
                <w:sz w:val="16"/>
                <w:szCs w:val="16"/>
              </w:rPr>
              <w:t xml:space="preserve"> -</w:t>
            </w:r>
          </w:p>
        </w:tc>
        <w:tc>
          <w:tcPr>
            <w:tcW w:w="561" w:type="pct"/>
            <w:tcBorders>
              <w:top w:val="nil"/>
              <w:left w:val="nil"/>
              <w:bottom w:val="single" w:sz="4" w:space="0" w:color="auto"/>
              <w:right w:val="nil"/>
            </w:tcBorders>
            <w:shd w:val="clear" w:color="auto" w:fill="auto"/>
            <w:vAlign w:val="center"/>
          </w:tcPr>
          <w:p w14:paraId="3A9DEC7C" w14:textId="77777777" w:rsidR="00DE5FC3" w:rsidRPr="001D0C22" w:rsidRDefault="00DE5FC3" w:rsidP="0098422D">
            <w:pPr>
              <w:keepNext/>
              <w:keepLines/>
              <w:widowControl w:val="0"/>
              <w:pBdr>
                <w:top w:val="none" w:sz="0" w:space="0" w:color="auto"/>
                <w:left w:val="none" w:sz="0" w:space="0" w:color="auto"/>
                <w:bottom w:val="none" w:sz="0" w:space="0" w:color="auto"/>
                <w:right w:val="none" w:sz="0" w:space="0" w:color="auto"/>
                <w:between w:val="none" w:sz="0" w:space="0" w:color="auto"/>
                <w:bar w:val="none" w:sz="0" w:color="auto"/>
              </w:pBdr>
              <w:jc w:val="right"/>
              <w:outlineLvl w:val="9"/>
              <w:rPr>
                <w:rFonts w:eastAsia="Times New Roman"/>
                <w:sz w:val="16"/>
                <w:szCs w:val="16"/>
                <w:bdr w:val="none" w:sz="0" w:space="0" w:color="auto"/>
                <w:lang w:eastAsia="es-ES"/>
              </w:rPr>
            </w:pPr>
            <w:r w:rsidRPr="001D0C22">
              <w:rPr>
                <w:sz w:val="16"/>
                <w:szCs w:val="16"/>
              </w:rPr>
              <w:t>-</w:t>
            </w:r>
          </w:p>
        </w:tc>
        <w:tc>
          <w:tcPr>
            <w:tcW w:w="651" w:type="pct"/>
            <w:tcBorders>
              <w:top w:val="nil"/>
              <w:left w:val="nil"/>
              <w:bottom w:val="single" w:sz="4" w:space="0" w:color="auto"/>
              <w:right w:val="nil"/>
            </w:tcBorders>
            <w:shd w:val="clear" w:color="auto" w:fill="auto"/>
            <w:vAlign w:val="center"/>
          </w:tcPr>
          <w:p w14:paraId="578617B4" w14:textId="77777777" w:rsidR="00DE5FC3" w:rsidRPr="001D0C22" w:rsidRDefault="00DE5FC3" w:rsidP="0098422D">
            <w:pPr>
              <w:keepNext/>
              <w:keepLines/>
              <w:widowControl w:val="0"/>
              <w:pBdr>
                <w:top w:val="none" w:sz="0" w:space="0" w:color="auto"/>
                <w:left w:val="none" w:sz="0" w:space="0" w:color="auto"/>
                <w:bottom w:val="none" w:sz="0" w:space="0" w:color="auto"/>
                <w:right w:val="none" w:sz="0" w:space="0" w:color="auto"/>
                <w:between w:val="none" w:sz="0" w:space="0" w:color="auto"/>
                <w:bar w:val="none" w:sz="0" w:color="auto"/>
              </w:pBdr>
              <w:jc w:val="right"/>
              <w:outlineLvl w:val="9"/>
              <w:rPr>
                <w:rFonts w:eastAsia="Times New Roman"/>
                <w:sz w:val="16"/>
                <w:szCs w:val="16"/>
                <w:bdr w:val="none" w:sz="0" w:space="0" w:color="auto"/>
                <w:lang w:eastAsia="es-ES"/>
              </w:rPr>
            </w:pPr>
            <w:r w:rsidRPr="001D0C22">
              <w:rPr>
                <w:sz w:val="16"/>
                <w:szCs w:val="16"/>
              </w:rPr>
              <w:t>9.090.071,18</w:t>
            </w:r>
          </w:p>
        </w:tc>
      </w:tr>
      <w:tr w:rsidR="00DE5FC3" w:rsidRPr="001D0C22" w14:paraId="25CF595F" w14:textId="77777777" w:rsidTr="002A40E8">
        <w:trPr>
          <w:trHeight w:val="283"/>
        </w:trPr>
        <w:tc>
          <w:tcPr>
            <w:tcW w:w="1512" w:type="pct"/>
            <w:tcBorders>
              <w:top w:val="nil"/>
              <w:left w:val="nil"/>
              <w:bottom w:val="single" w:sz="4" w:space="0" w:color="auto"/>
              <w:right w:val="nil"/>
            </w:tcBorders>
            <w:shd w:val="clear" w:color="auto" w:fill="auto"/>
            <w:vAlign w:val="center"/>
            <w:hideMark/>
          </w:tcPr>
          <w:p w14:paraId="43C8EC18" w14:textId="77777777" w:rsidR="00DE5FC3" w:rsidRPr="001D0C22" w:rsidRDefault="00DE5FC3" w:rsidP="0098422D">
            <w:pPr>
              <w:pBdr>
                <w:top w:val="none" w:sz="0" w:space="0" w:color="auto"/>
                <w:left w:val="none" w:sz="0" w:space="0" w:color="auto"/>
                <w:bottom w:val="none" w:sz="0" w:space="0" w:color="auto"/>
                <w:right w:val="none" w:sz="0" w:space="0" w:color="auto"/>
                <w:between w:val="none" w:sz="0" w:space="0" w:color="auto"/>
                <w:bar w:val="none" w:sz="0" w:color="auto"/>
              </w:pBdr>
              <w:outlineLvl w:val="9"/>
              <w:rPr>
                <w:rFonts w:eastAsia="Times New Roman"/>
                <w:b/>
                <w:sz w:val="16"/>
                <w:szCs w:val="16"/>
                <w:bdr w:val="none" w:sz="0" w:space="0" w:color="auto"/>
                <w:lang w:eastAsia="es-ES"/>
              </w:rPr>
            </w:pPr>
            <w:r w:rsidRPr="001D0C22">
              <w:rPr>
                <w:rFonts w:eastAsia="Times New Roman"/>
                <w:b/>
                <w:sz w:val="16"/>
                <w:szCs w:val="16"/>
                <w:bdr w:val="none" w:sz="0" w:space="0" w:color="auto"/>
                <w:lang w:eastAsia="es-ES"/>
              </w:rPr>
              <w:t>Total</w:t>
            </w:r>
          </w:p>
        </w:tc>
        <w:tc>
          <w:tcPr>
            <w:tcW w:w="649" w:type="pct"/>
            <w:tcBorders>
              <w:top w:val="nil"/>
              <w:left w:val="nil"/>
              <w:bottom w:val="single" w:sz="4" w:space="0" w:color="auto"/>
              <w:right w:val="nil"/>
            </w:tcBorders>
            <w:shd w:val="clear" w:color="auto" w:fill="auto"/>
            <w:vAlign w:val="center"/>
          </w:tcPr>
          <w:p w14:paraId="0E163621" w14:textId="77777777" w:rsidR="00DE5FC3" w:rsidRPr="001D0C22" w:rsidRDefault="00DE5FC3" w:rsidP="0098422D">
            <w:pPr>
              <w:jc w:val="right"/>
              <w:rPr>
                <w:b/>
                <w:bCs/>
                <w:sz w:val="16"/>
                <w:szCs w:val="16"/>
              </w:rPr>
            </w:pPr>
            <w:r w:rsidRPr="001D0C22">
              <w:rPr>
                <w:b/>
                <w:bCs/>
                <w:sz w:val="16"/>
                <w:szCs w:val="16"/>
              </w:rPr>
              <w:t>9.084.681,78</w:t>
            </w:r>
          </w:p>
        </w:tc>
        <w:tc>
          <w:tcPr>
            <w:tcW w:w="434" w:type="pct"/>
            <w:tcBorders>
              <w:top w:val="nil"/>
              <w:left w:val="nil"/>
              <w:bottom w:val="single" w:sz="4" w:space="0" w:color="auto"/>
              <w:right w:val="nil"/>
            </w:tcBorders>
            <w:shd w:val="clear" w:color="auto" w:fill="auto"/>
            <w:vAlign w:val="center"/>
            <w:hideMark/>
          </w:tcPr>
          <w:p w14:paraId="05274890" w14:textId="77777777" w:rsidR="00DE5FC3" w:rsidRPr="001D0C22" w:rsidRDefault="00DE5FC3" w:rsidP="0098422D">
            <w:pPr>
              <w:pBdr>
                <w:top w:val="none" w:sz="0" w:space="0" w:color="auto"/>
                <w:left w:val="none" w:sz="0" w:space="0" w:color="auto"/>
                <w:bottom w:val="none" w:sz="0" w:space="0" w:color="auto"/>
                <w:right w:val="none" w:sz="0" w:space="0" w:color="auto"/>
                <w:between w:val="none" w:sz="0" w:space="0" w:color="auto"/>
                <w:bar w:val="none" w:sz="0" w:color="auto"/>
              </w:pBdr>
              <w:jc w:val="right"/>
              <w:outlineLvl w:val="9"/>
              <w:rPr>
                <w:rFonts w:eastAsia="Times New Roman"/>
                <w:b/>
                <w:bCs/>
                <w:sz w:val="16"/>
                <w:szCs w:val="16"/>
                <w:bdr w:val="none" w:sz="0" w:space="0" w:color="auto"/>
                <w:lang w:eastAsia="es-ES"/>
              </w:rPr>
            </w:pPr>
            <w:r w:rsidRPr="001D0C22">
              <w:rPr>
                <w:b/>
                <w:bCs/>
                <w:sz w:val="16"/>
                <w:szCs w:val="16"/>
              </w:rPr>
              <w:t>5.768,00</w:t>
            </w:r>
          </w:p>
        </w:tc>
        <w:tc>
          <w:tcPr>
            <w:tcW w:w="441" w:type="pct"/>
            <w:tcBorders>
              <w:top w:val="nil"/>
              <w:left w:val="nil"/>
              <w:bottom w:val="single" w:sz="4" w:space="0" w:color="auto"/>
              <w:right w:val="nil"/>
            </w:tcBorders>
            <w:shd w:val="clear" w:color="auto" w:fill="auto"/>
            <w:vAlign w:val="center"/>
            <w:hideMark/>
          </w:tcPr>
          <w:p w14:paraId="4F17751C" w14:textId="77777777" w:rsidR="00DE5FC3" w:rsidRPr="001D0C22" w:rsidRDefault="00DE5FC3" w:rsidP="0098422D">
            <w:pPr>
              <w:pBdr>
                <w:top w:val="none" w:sz="0" w:space="0" w:color="auto"/>
                <w:left w:val="none" w:sz="0" w:space="0" w:color="auto"/>
                <w:bottom w:val="none" w:sz="0" w:space="0" w:color="auto"/>
                <w:right w:val="none" w:sz="0" w:space="0" w:color="auto"/>
                <w:between w:val="none" w:sz="0" w:space="0" w:color="auto"/>
                <w:bar w:val="none" w:sz="0" w:color="auto"/>
              </w:pBdr>
              <w:jc w:val="right"/>
              <w:outlineLvl w:val="9"/>
              <w:rPr>
                <w:rFonts w:eastAsia="Times New Roman"/>
                <w:b/>
                <w:bCs/>
                <w:sz w:val="16"/>
                <w:szCs w:val="16"/>
                <w:bdr w:val="none" w:sz="0" w:space="0" w:color="auto"/>
                <w:lang w:eastAsia="es-ES"/>
              </w:rPr>
            </w:pPr>
            <w:r w:rsidRPr="001D0C22">
              <w:rPr>
                <w:b/>
                <w:bCs/>
                <w:sz w:val="16"/>
                <w:szCs w:val="16"/>
              </w:rPr>
              <w:t xml:space="preserve"> -</w:t>
            </w:r>
          </w:p>
        </w:tc>
        <w:tc>
          <w:tcPr>
            <w:tcW w:w="335" w:type="pct"/>
            <w:tcBorders>
              <w:top w:val="nil"/>
              <w:left w:val="nil"/>
              <w:bottom w:val="single" w:sz="4" w:space="0" w:color="auto"/>
              <w:right w:val="nil"/>
            </w:tcBorders>
            <w:shd w:val="clear" w:color="auto" w:fill="auto"/>
            <w:vAlign w:val="center"/>
            <w:hideMark/>
          </w:tcPr>
          <w:p w14:paraId="51F480DF" w14:textId="77777777" w:rsidR="00DE5FC3" w:rsidRPr="001D0C22" w:rsidRDefault="00DE5FC3" w:rsidP="0098422D">
            <w:pPr>
              <w:pBdr>
                <w:top w:val="none" w:sz="0" w:space="0" w:color="auto"/>
                <w:left w:val="none" w:sz="0" w:space="0" w:color="auto"/>
                <w:bottom w:val="none" w:sz="0" w:space="0" w:color="auto"/>
                <w:right w:val="none" w:sz="0" w:space="0" w:color="auto"/>
                <w:between w:val="none" w:sz="0" w:space="0" w:color="auto"/>
                <w:bar w:val="none" w:sz="0" w:color="auto"/>
              </w:pBdr>
              <w:jc w:val="right"/>
              <w:outlineLvl w:val="9"/>
              <w:rPr>
                <w:rFonts w:eastAsia="Times New Roman"/>
                <w:b/>
                <w:bCs/>
                <w:sz w:val="16"/>
                <w:szCs w:val="16"/>
                <w:bdr w:val="none" w:sz="0" w:space="0" w:color="auto"/>
                <w:lang w:eastAsia="es-ES"/>
              </w:rPr>
            </w:pPr>
            <w:r w:rsidRPr="001D0C22">
              <w:rPr>
                <w:b/>
                <w:bCs/>
                <w:sz w:val="16"/>
                <w:szCs w:val="16"/>
              </w:rPr>
              <w:t xml:space="preserve"> -</w:t>
            </w:r>
          </w:p>
        </w:tc>
        <w:tc>
          <w:tcPr>
            <w:tcW w:w="417" w:type="pct"/>
            <w:tcBorders>
              <w:top w:val="nil"/>
              <w:left w:val="nil"/>
              <w:bottom w:val="single" w:sz="4" w:space="0" w:color="auto"/>
              <w:right w:val="nil"/>
            </w:tcBorders>
            <w:shd w:val="clear" w:color="auto" w:fill="auto"/>
            <w:vAlign w:val="center"/>
            <w:hideMark/>
          </w:tcPr>
          <w:p w14:paraId="2C00D2B7" w14:textId="77777777" w:rsidR="00DE5FC3" w:rsidRPr="001D0C22" w:rsidRDefault="00DE5FC3" w:rsidP="0098422D">
            <w:pPr>
              <w:pBdr>
                <w:top w:val="none" w:sz="0" w:space="0" w:color="auto"/>
                <w:left w:val="none" w:sz="0" w:space="0" w:color="auto"/>
                <w:bottom w:val="none" w:sz="0" w:space="0" w:color="auto"/>
                <w:right w:val="none" w:sz="0" w:space="0" w:color="auto"/>
                <w:between w:val="none" w:sz="0" w:space="0" w:color="auto"/>
                <w:bar w:val="none" w:sz="0" w:color="auto"/>
              </w:pBdr>
              <w:jc w:val="right"/>
              <w:outlineLvl w:val="9"/>
              <w:rPr>
                <w:rFonts w:eastAsia="Times New Roman"/>
                <w:b/>
                <w:bCs/>
                <w:sz w:val="16"/>
                <w:szCs w:val="16"/>
                <w:bdr w:val="none" w:sz="0" w:space="0" w:color="auto"/>
                <w:lang w:eastAsia="es-ES"/>
              </w:rPr>
            </w:pPr>
            <w:r w:rsidRPr="001D0C22">
              <w:rPr>
                <w:b/>
                <w:bCs/>
                <w:sz w:val="16"/>
                <w:szCs w:val="16"/>
              </w:rPr>
              <w:t xml:space="preserve"> -</w:t>
            </w:r>
          </w:p>
        </w:tc>
        <w:tc>
          <w:tcPr>
            <w:tcW w:w="561" w:type="pct"/>
            <w:tcBorders>
              <w:top w:val="nil"/>
              <w:left w:val="nil"/>
              <w:bottom w:val="single" w:sz="4" w:space="0" w:color="auto"/>
              <w:right w:val="nil"/>
            </w:tcBorders>
            <w:shd w:val="clear" w:color="auto" w:fill="auto"/>
            <w:vAlign w:val="center"/>
            <w:hideMark/>
          </w:tcPr>
          <w:p w14:paraId="36A078F1" w14:textId="77777777" w:rsidR="00DE5FC3" w:rsidRPr="001D0C22" w:rsidRDefault="00DE5FC3" w:rsidP="0098422D">
            <w:pPr>
              <w:pBdr>
                <w:top w:val="none" w:sz="0" w:space="0" w:color="auto"/>
                <w:left w:val="none" w:sz="0" w:space="0" w:color="auto"/>
                <w:bottom w:val="none" w:sz="0" w:space="0" w:color="auto"/>
                <w:right w:val="none" w:sz="0" w:space="0" w:color="auto"/>
                <w:between w:val="none" w:sz="0" w:space="0" w:color="auto"/>
                <w:bar w:val="none" w:sz="0" w:color="auto"/>
              </w:pBdr>
              <w:jc w:val="right"/>
              <w:outlineLvl w:val="9"/>
              <w:rPr>
                <w:rFonts w:eastAsia="Times New Roman"/>
                <w:b/>
                <w:bCs/>
                <w:sz w:val="16"/>
                <w:szCs w:val="16"/>
                <w:bdr w:val="none" w:sz="0" w:space="0" w:color="auto"/>
                <w:lang w:eastAsia="es-ES"/>
              </w:rPr>
            </w:pPr>
            <w:r w:rsidRPr="001D0C22">
              <w:rPr>
                <w:b/>
                <w:bCs/>
                <w:sz w:val="16"/>
                <w:szCs w:val="16"/>
              </w:rPr>
              <w:t xml:space="preserve"> -</w:t>
            </w:r>
          </w:p>
        </w:tc>
        <w:tc>
          <w:tcPr>
            <w:tcW w:w="651" w:type="pct"/>
            <w:tcBorders>
              <w:top w:val="nil"/>
              <w:left w:val="nil"/>
              <w:bottom w:val="single" w:sz="4" w:space="0" w:color="auto"/>
              <w:right w:val="nil"/>
            </w:tcBorders>
            <w:shd w:val="clear" w:color="auto" w:fill="auto"/>
            <w:vAlign w:val="center"/>
          </w:tcPr>
          <w:p w14:paraId="454C93D0" w14:textId="77777777" w:rsidR="00DE5FC3" w:rsidRPr="001D0C22" w:rsidRDefault="00DE5FC3" w:rsidP="0098422D">
            <w:pPr>
              <w:pBdr>
                <w:top w:val="none" w:sz="0" w:space="0" w:color="auto"/>
                <w:left w:val="none" w:sz="0" w:space="0" w:color="auto"/>
                <w:bottom w:val="none" w:sz="0" w:space="0" w:color="auto"/>
                <w:right w:val="none" w:sz="0" w:space="0" w:color="auto"/>
                <w:between w:val="none" w:sz="0" w:space="0" w:color="auto"/>
                <w:bar w:val="none" w:sz="0" w:color="auto"/>
              </w:pBdr>
              <w:jc w:val="right"/>
              <w:outlineLvl w:val="9"/>
              <w:rPr>
                <w:rFonts w:eastAsia="Times New Roman"/>
                <w:b/>
                <w:bCs/>
                <w:sz w:val="16"/>
                <w:szCs w:val="16"/>
                <w:bdr w:val="none" w:sz="0" w:space="0" w:color="auto"/>
                <w:lang w:eastAsia="es-ES"/>
              </w:rPr>
            </w:pPr>
            <w:r w:rsidRPr="001D0C22">
              <w:rPr>
                <w:b/>
                <w:bCs/>
                <w:sz w:val="16"/>
                <w:szCs w:val="16"/>
              </w:rPr>
              <w:t>9.090.449,78</w:t>
            </w:r>
          </w:p>
        </w:tc>
      </w:tr>
    </w:tbl>
    <w:p w14:paraId="2E14444C" w14:textId="68986D19" w:rsidR="00767602" w:rsidRPr="001D0C22" w:rsidRDefault="00767602">
      <w:pPr>
        <w:keepNext/>
        <w:keepLines/>
        <w:widowControl w:val="0"/>
        <w:numPr>
          <w:ilvl w:val="0"/>
          <w:numId w:val="18"/>
        </w:numPr>
        <w:pBdr>
          <w:top w:val="none" w:sz="0" w:space="0" w:color="auto"/>
          <w:left w:val="none" w:sz="0" w:space="0" w:color="auto"/>
          <w:bottom w:val="none" w:sz="0" w:space="0" w:color="auto"/>
          <w:right w:val="none" w:sz="0" w:space="0" w:color="auto"/>
          <w:between w:val="none" w:sz="0" w:space="0" w:color="auto"/>
          <w:bar w:val="none" w:sz="0" w:color="auto"/>
        </w:pBdr>
        <w:tabs>
          <w:tab w:val="left" w:pos="284"/>
        </w:tabs>
        <w:spacing w:before="240" w:after="120" w:line="260" w:lineRule="exact"/>
        <w:ind w:left="0" w:firstLine="0"/>
        <w:jc w:val="both"/>
        <w:outlineLvl w:val="9"/>
        <w:rPr>
          <w:i/>
          <w:snapToGrid w:val="0"/>
          <w:sz w:val="20"/>
          <w:szCs w:val="22"/>
          <w:u w:val="single"/>
        </w:rPr>
      </w:pPr>
      <w:r w:rsidRPr="001D0C22">
        <w:rPr>
          <w:i/>
          <w:sz w:val="20"/>
          <w:szCs w:val="22"/>
          <w:u w:val="single"/>
        </w:rPr>
        <w:t xml:space="preserve">Periodificaciones a </w:t>
      </w:r>
      <w:r w:rsidR="00E50CFD" w:rsidRPr="001D0C22">
        <w:rPr>
          <w:i/>
          <w:sz w:val="20"/>
          <w:szCs w:val="22"/>
          <w:u w:val="single"/>
        </w:rPr>
        <w:t>largo y cort</w:t>
      </w:r>
      <w:r w:rsidR="00085996" w:rsidRPr="001D0C22">
        <w:rPr>
          <w:i/>
          <w:sz w:val="20"/>
          <w:szCs w:val="22"/>
          <w:u w:val="single"/>
        </w:rPr>
        <w:t>o</w:t>
      </w:r>
      <w:r w:rsidRPr="001D0C22">
        <w:rPr>
          <w:i/>
          <w:sz w:val="20"/>
          <w:szCs w:val="22"/>
          <w:u w:val="single"/>
        </w:rPr>
        <w:t xml:space="preserve"> plazo</w:t>
      </w:r>
    </w:p>
    <w:p w14:paraId="2A8E1AD8" w14:textId="66FC616D" w:rsidR="001D6767" w:rsidRPr="00D64516" w:rsidRDefault="001D6767" w:rsidP="00D67C6B">
      <w:pPr>
        <w:widowControl w:val="0"/>
        <w:spacing w:before="120" w:after="120" w:line="260" w:lineRule="exact"/>
        <w:jc w:val="both"/>
        <w:outlineLvl w:val="9"/>
        <w:rPr>
          <w:snapToGrid w:val="0"/>
          <w:sz w:val="20"/>
          <w:szCs w:val="22"/>
        </w:rPr>
      </w:pPr>
      <w:r w:rsidRPr="00D64516">
        <w:rPr>
          <w:snapToGrid w:val="0"/>
          <w:sz w:val="20"/>
          <w:szCs w:val="22"/>
        </w:rPr>
        <w:t>Los importes de las periodificaciones a largo y corto plazo a 31 de diciembre de 20</w:t>
      </w:r>
      <w:r w:rsidR="00D9270E">
        <w:rPr>
          <w:snapToGrid w:val="0"/>
          <w:sz w:val="20"/>
          <w:szCs w:val="22"/>
        </w:rPr>
        <w:t>2</w:t>
      </w:r>
      <w:r w:rsidR="00CD5E24">
        <w:rPr>
          <w:snapToGrid w:val="0"/>
          <w:sz w:val="20"/>
          <w:szCs w:val="22"/>
        </w:rPr>
        <w:t>4</w:t>
      </w:r>
      <w:r w:rsidRPr="00D64516">
        <w:rPr>
          <w:snapToGrid w:val="0"/>
          <w:sz w:val="20"/>
          <w:szCs w:val="22"/>
        </w:rPr>
        <w:t xml:space="preserve"> </w:t>
      </w:r>
      <w:r w:rsidR="00B9729C" w:rsidRPr="00D64516">
        <w:rPr>
          <w:snapToGrid w:val="0"/>
          <w:sz w:val="20"/>
          <w:szCs w:val="22"/>
        </w:rPr>
        <w:t>y 202</w:t>
      </w:r>
      <w:r w:rsidR="00CD5E24">
        <w:rPr>
          <w:snapToGrid w:val="0"/>
          <w:sz w:val="20"/>
          <w:szCs w:val="22"/>
        </w:rPr>
        <w:t>3</w:t>
      </w:r>
      <w:r w:rsidR="00B9729C" w:rsidRPr="00D64516">
        <w:rPr>
          <w:snapToGrid w:val="0"/>
          <w:sz w:val="20"/>
          <w:szCs w:val="22"/>
        </w:rPr>
        <w:t xml:space="preserve"> </w:t>
      </w:r>
      <w:r w:rsidRPr="00D64516">
        <w:rPr>
          <w:snapToGrid w:val="0"/>
          <w:sz w:val="20"/>
          <w:szCs w:val="22"/>
        </w:rPr>
        <w:t>son los siguientes:</w:t>
      </w:r>
    </w:p>
    <w:tbl>
      <w:tblPr>
        <w:tblW w:w="5000" w:type="pct"/>
        <w:tblCellMar>
          <w:left w:w="70" w:type="dxa"/>
          <w:right w:w="70" w:type="dxa"/>
        </w:tblCellMar>
        <w:tblLook w:val="04A0" w:firstRow="1" w:lastRow="0" w:firstColumn="1" w:lastColumn="0" w:noHBand="0" w:noVBand="1"/>
      </w:tblPr>
      <w:tblGrid>
        <w:gridCol w:w="5104"/>
        <w:gridCol w:w="1842"/>
        <w:gridCol w:w="1835"/>
      </w:tblGrid>
      <w:tr w:rsidR="00CD7884" w:rsidRPr="003E5A51" w14:paraId="449FC9EE" w14:textId="77777777" w:rsidTr="001B5A15">
        <w:trPr>
          <w:trHeight w:val="240"/>
        </w:trPr>
        <w:tc>
          <w:tcPr>
            <w:tcW w:w="2906" w:type="pct"/>
            <w:tcBorders>
              <w:top w:val="single" w:sz="4" w:space="0" w:color="auto"/>
              <w:left w:val="nil"/>
              <w:bottom w:val="nil"/>
              <w:right w:val="nil"/>
            </w:tcBorders>
            <w:shd w:val="clear" w:color="auto" w:fill="auto"/>
            <w:noWrap/>
            <w:vAlign w:val="center"/>
            <w:hideMark/>
          </w:tcPr>
          <w:p w14:paraId="2BEF2792" w14:textId="77777777" w:rsidR="00CD7884" w:rsidRPr="003E5A51" w:rsidRDefault="00CD7884" w:rsidP="00176BA0">
            <w:pPr>
              <w:pBdr>
                <w:top w:val="none" w:sz="0" w:space="0" w:color="auto"/>
                <w:left w:val="none" w:sz="0" w:space="0" w:color="auto"/>
                <w:bottom w:val="none" w:sz="0" w:space="0" w:color="auto"/>
                <w:right w:val="none" w:sz="0" w:space="0" w:color="auto"/>
                <w:between w:val="none" w:sz="0" w:space="0" w:color="auto"/>
                <w:bar w:val="none" w:sz="0" w:color="auto"/>
              </w:pBdr>
              <w:ind w:left="217"/>
              <w:outlineLvl w:val="9"/>
              <w:rPr>
                <w:rFonts w:eastAsia="Times New Roman"/>
                <w:sz w:val="18"/>
                <w:szCs w:val="18"/>
                <w:bdr w:val="none" w:sz="0" w:space="0" w:color="auto"/>
                <w:lang w:eastAsia="es-ES"/>
              </w:rPr>
            </w:pPr>
            <w:r w:rsidRPr="003E5A51">
              <w:rPr>
                <w:rFonts w:eastAsia="Times New Roman"/>
                <w:sz w:val="18"/>
                <w:szCs w:val="18"/>
                <w:bdr w:val="none" w:sz="0" w:space="0" w:color="auto"/>
                <w:lang w:eastAsia="es-ES"/>
              </w:rPr>
              <w:t> </w:t>
            </w:r>
          </w:p>
        </w:tc>
        <w:tc>
          <w:tcPr>
            <w:tcW w:w="2094" w:type="pct"/>
            <w:gridSpan w:val="2"/>
            <w:tcBorders>
              <w:top w:val="single" w:sz="4" w:space="0" w:color="auto"/>
              <w:left w:val="nil"/>
              <w:bottom w:val="single" w:sz="4" w:space="0" w:color="auto"/>
              <w:right w:val="nil"/>
            </w:tcBorders>
            <w:shd w:val="clear" w:color="auto" w:fill="auto"/>
            <w:noWrap/>
            <w:vAlign w:val="bottom"/>
            <w:hideMark/>
          </w:tcPr>
          <w:p w14:paraId="10CDDCE4" w14:textId="77777777" w:rsidR="00CD7884" w:rsidRPr="003E5A51" w:rsidRDefault="00CD7884" w:rsidP="00CD7884">
            <w:pPr>
              <w:pBdr>
                <w:top w:val="none" w:sz="0" w:space="0" w:color="auto"/>
                <w:left w:val="none" w:sz="0" w:space="0" w:color="auto"/>
                <w:bottom w:val="none" w:sz="0" w:space="0" w:color="auto"/>
                <w:right w:val="none" w:sz="0" w:space="0" w:color="auto"/>
                <w:between w:val="none" w:sz="0" w:space="0" w:color="auto"/>
                <w:bar w:val="none" w:sz="0" w:color="auto"/>
              </w:pBdr>
              <w:jc w:val="center"/>
              <w:outlineLvl w:val="9"/>
              <w:rPr>
                <w:rFonts w:eastAsia="Times New Roman"/>
                <w:b/>
                <w:bCs/>
                <w:sz w:val="18"/>
                <w:szCs w:val="18"/>
                <w:bdr w:val="none" w:sz="0" w:space="0" w:color="auto"/>
                <w:lang w:eastAsia="es-ES"/>
              </w:rPr>
            </w:pPr>
            <w:r w:rsidRPr="003E5A51">
              <w:rPr>
                <w:rFonts w:eastAsia="Times New Roman"/>
                <w:b/>
                <w:bCs/>
                <w:sz w:val="18"/>
                <w:szCs w:val="18"/>
                <w:bdr w:val="none" w:sz="0" w:space="0" w:color="auto"/>
                <w:lang w:eastAsia="es-ES"/>
              </w:rPr>
              <w:t>Euros</w:t>
            </w:r>
          </w:p>
        </w:tc>
      </w:tr>
      <w:tr w:rsidR="00D3744D" w:rsidRPr="003E5A51" w14:paraId="10C9A59C" w14:textId="77777777" w:rsidTr="001B5A15">
        <w:trPr>
          <w:trHeight w:val="283"/>
        </w:trPr>
        <w:tc>
          <w:tcPr>
            <w:tcW w:w="2906" w:type="pct"/>
            <w:tcBorders>
              <w:top w:val="nil"/>
              <w:left w:val="nil"/>
              <w:bottom w:val="single" w:sz="4" w:space="0" w:color="auto"/>
              <w:right w:val="nil"/>
            </w:tcBorders>
            <w:shd w:val="clear" w:color="auto" w:fill="auto"/>
            <w:noWrap/>
            <w:vAlign w:val="center"/>
            <w:hideMark/>
          </w:tcPr>
          <w:p w14:paraId="411284A8" w14:textId="77777777" w:rsidR="00D3744D" w:rsidRPr="003E5A51" w:rsidRDefault="00D3744D" w:rsidP="00D3744D">
            <w:pPr>
              <w:pBdr>
                <w:top w:val="none" w:sz="0" w:space="0" w:color="auto"/>
                <w:left w:val="none" w:sz="0" w:space="0" w:color="auto"/>
                <w:bottom w:val="none" w:sz="0" w:space="0" w:color="auto"/>
                <w:right w:val="none" w:sz="0" w:space="0" w:color="auto"/>
                <w:between w:val="none" w:sz="0" w:space="0" w:color="auto"/>
                <w:bar w:val="none" w:sz="0" w:color="auto"/>
              </w:pBdr>
              <w:ind w:left="217"/>
              <w:outlineLvl w:val="9"/>
              <w:rPr>
                <w:rFonts w:eastAsia="Times New Roman"/>
                <w:sz w:val="18"/>
                <w:szCs w:val="18"/>
                <w:bdr w:val="none" w:sz="0" w:space="0" w:color="auto"/>
                <w:lang w:eastAsia="es-ES"/>
              </w:rPr>
            </w:pPr>
            <w:r w:rsidRPr="003E5A51">
              <w:rPr>
                <w:rFonts w:eastAsia="Times New Roman"/>
                <w:sz w:val="18"/>
                <w:szCs w:val="18"/>
                <w:bdr w:val="none" w:sz="0" w:space="0" w:color="auto"/>
                <w:lang w:eastAsia="es-ES"/>
              </w:rPr>
              <w:t> </w:t>
            </w:r>
          </w:p>
        </w:tc>
        <w:tc>
          <w:tcPr>
            <w:tcW w:w="1049" w:type="pct"/>
            <w:tcBorders>
              <w:top w:val="nil"/>
              <w:left w:val="nil"/>
              <w:bottom w:val="single" w:sz="4" w:space="0" w:color="auto"/>
              <w:right w:val="nil"/>
            </w:tcBorders>
            <w:shd w:val="clear" w:color="auto" w:fill="auto"/>
            <w:noWrap/>
            <w:vAlign w:val="bottom"/>
            <w:hideMark/>
          </w:tcPr>
          <w:p w14:paraId="7E77E8A9" w14:textId="5E2B2020" w:rsidR="00D3744D" w:rsidRPr="003E5A51" w:rsidRDefault="00D3744D" w:rsidP="00D3744D">
            <w:pPr>
              <w:pBdr>
                <w:top w:val="none" w:sz="0" w:space="0" w:color="auto"/>
                <w:left w:val="none" w:sz="0" w:space="0" w:color="auto"/>
                <w:bottom w:val="none" w:sz="0" w:space="0" w:color="auto"/>
                <w:right w:val="none" w:sz="0" w:space="0" w:color="auto"/>
                <w:between w:val="none" w:sz="0" w:space="0" w:color="auto"/>
                <w:bar w:val="none" w:sz="0" w:color="auto"/>
              </w:pBdr>
              <w:jc w:val="center"/>
              <w:outlineLvl w:val="9"/>
              <w:rPr>
                <w:rFonts w:eastAsia="Times New Roman"/>
                <w:b/>
                <w:bCs/>
                <w:sz w:val="18"/>
                <w:szCs w:val="18"/>
                <w:bdr w:val="none" w:sz="0" w:space="0" w:color="auto"/>
                <w:lang w:eastAsia="es-ES"/>
              </w:rPr>
            </w:pPr>
            <w:r w:rsidRPr="003E5A51">
              <w:rPr>
                <w:rFonts w:eastAsia="Times New Roman"/>
                <w:b/>
                <w:bCs/>
                <w:sz w:val="18"/>
                <w:szCs w:val="18"/>
                <w:bdr w:val="none" w:sz="0" w:space="0" w:color="auto"/>
                <w:lang w:eastAsia="es-ES"/>
              </w:rPr>
              <w:t>31/12/202</w:t>
            </w:r>
            <w:r w:rsidR="00CD5E24">
              <w:rPr>
                <w:rFonts w:eastAsia="Times New Roman"/>
                <w:b/>
                <w:bCs/>
                <w:sz w:val="18"/>
                <w:szCs w:val="18"/>
                <w:bdr w:val="none" w:sz="0" w:space="0" w:color="auto"/>
                <w:lang w:eastAsia="es-ES"/>
              </w:rPr>
              <w:t>4</w:t>
            </w:r>
          </w:p>
        </w:tc>
        <w:tc>
          <w:tcPr>
            <w:tcW w:w="1045" w:type="pct"/>
            <w:tcBorders>
              <w:top w:val="nil"/>
              <w:left w:val="nil"/>
              <w:bottom w:val="single" w:sz="4" w:space="0" w:color="auto"/>
              <w:right w:val="nil"/>
            </w:tcBorders>
            <w:shd w:val="clear" w:color="auto" w:fill="auto"/>
            <w:noWrap/>
            <w:vAlign w:val="bottom"/>
            <w:hideMark/>
          </w:tcPr>
          <w:p w14:paraId="59258E1C" w14:textId="3B9DFF54" w:rsidR="00D3744D" w:rsidRPr="003E5A51" w:rsidRDefault="00D3744D" w:rsidP="00D3744D">
            <w:pPr>
              <w:pBdr>
                <w:top w:val="none" w:sz="0" w:space="0" w:color="auto"/>
                <w:left w:val="none" w:sz="0" w:space="0" w:color="auto"/>
                <w:bottom w:val="none" w:sz="0" w:space="0" w:color="auto"/>
                <w:right w:val="none" w:sz="0" w:space="0" w:color="auto"/>
                <w:between w:val="none" w:sz="0" w:space="0" w:color="auto"/>
                <w:bar w:val="none" w:sz="0" w:color="auto"/>
              </w:pBdr>
              <w:jc w:val="center"/>
              <w:outlineLvl w:val="9"/>
              <w:rPr>
                <w:rFonts w:eastAsia="Times New Roman"/>
                <w:b/>
                <w:bCs/>
                <w:sz w:val="18"/>
                <w:szCs w:val="18"/>
                <w:bdr w:val="none" w:sz="0" w:space="0" w:color="auto"/>
                <w:lang w:eastAsia="es-ES"/>
              </w:rPr>
            </w:pPr>
            <w:r w:rsidRPr="003E5A51">
              <w:rPr>
                <w:rFonts w:eastAsia="Times New Roman"/>
                <w:b/>
                <w:bCs/>
                <w:sz w:val="18"/>
                <w:szCs w:val="18"/>
                <w:bdr w:val="none" w:sz="0" w:space="0" w:color="auto"/>
                <w:lang w:eastAsia="es-ES"/>
              </w:rPr>
              <w:t>31/12/202</w:t>
            </w:r>
            <w:r w:rsidR="00CD5E24">
              <w:rPr>
                <w:rFonts w:eastAsia="Times New Roman"/>
                <w:b/>
                <w:bCs/>
                <w:sz w:val="18"/>
                <w:szCs w:val="18"/>
                <w:bdr w:val="none" w:sz="0" w:space="0" w:color="auto"/>
                <w:lang w:eastAsia="es-ES"/>
              </w:rPr>
              <w:t>3</w:t>
            </w:r>
          </w:p>
        </w:tc>
      </w:tr>
      <w:tr w:rsidR="002234E7" w:rsidRPr="003E5A51" w14:paraId="4264DC28" w14:textId="77777777" w:rsidTr="00CD5E24">
        <w:trPr>
          <w:trHeight w:val="283"/>
        </w:trPr>
        <w:tc>
          <w:tcPr>
            <w:tcW w:w="2906" w:type="pct"/>
            <w:tcBorders>
              <w:top w:val="nil"/>
              <w:left w:val="nil"/>
              <w:bottom w:val="nil"/>
              <w:right w:val="nil"/>
            </w:tcBorders>
            <w:shd w:val="clear" w:color="auto" w:fill="auto"/>
            <w:noWrap/>
            <w:vAlign w:val="center"/>
            <w:hideMark/>
          </w:tcPr>
          <w:p w14:paraId="58893A42" w14:textId="77777777" w:rsidR="002234E7" w:rsidRPr="003E5A51" w:rsidRDefault="002234E7" w:rsidP="002234E7">
            <w:pPr>
              <w:pBdr>
                <w:top w:val="none" w:sz="0" w:space="0" w:color="auto"/>
                <w:left w:val="none" w:sz="0" w:space="0" w:color="auto"/>
                <w:bottom w:val="none" w:sz="0" w:space="0" w:color="auto"/>
                <w:right w:val="none" w:sz="0" w:space="0" w:color="auto"/>
                <w:between w:val="none" w:sz="0" w:space="0" w:color="auto"/>
                <w:bar w:val="none" w:sz="0" w:color="auto"/>
              </w:pBdr>
              <w:ind w:left="217"/>
              <w:outlineLvl w:val="9"/>
              <w:rPr>
                <w:rFonts w:eastAsia="Times New Roman"/>
                <w:b/>
                <w:bCs/>
                <w:sz w:val="18"/>
                <w:szCs w:val="18"/>
                <w:bdr w:val="none" w:sz="0" w:space="0" w:color="auto"/>
                <w:lang w:eastAsia="es-ES"/>
              </w:rPr>
            </w:pPr>
            <w:r w:rsidRPr="003E5A51">
              <w:rPr>
                <w:rFonts w:eastAsia="Times New Roman"/>
                <w:b/>
                <w:bCs/>
                <w:sz w:val="18"/>
                <w:szCs w:val="18"/>
                <w:bdr w:val="none" w:sz="0" w:space="0" w:color="auto"/>
                <w:lang w:eastAsia="es-ES"/>
              </w:rPr>
              <w:t xml:space="preserve">Periodificaciones a </w:t>
            </w:r>
            <w:proofErr w:type="spellStart"/>
            <w:r w:rsidRPr="003E5A51">
              <w:rPr>
                <w:rFonts w:eastAsia="Times New Roman"/>
                <w:b/>
                <w:bCs/>
                <w:sz w:val="18"/>
                <w:szCs w:val="18"/>
                <w:bdr w:val="none" w:sz="0" w:space="0" w:color="auto"/>
                <w:lang w:eastAsia="es-ES"/>
              </w:rPr>
              <w:t>cp</w:t>
            </w:r>
            <w:proofErr w:type="spellEnd"/>
            <w:r w:rsidRPr="003E5A51">
              <w:rPr>
                <w:rFonts w:eastAsia="Times New Roman"/>
                <w:b/>
                <w:bCs/>
                <w:sz w:val="18"/>
                <w:szCs w:val="18"/>
                <w:bdr w:val="none" w:sz="0" w:space="0" w:color="auto"/>
                <w:lang w:eastAsia="es-ES"/>
              </w:rPr>
              <w:t>:</w:t>
            </w:r>
          </w:p>
        </w:tc>
        <w:tc>
          <w:tcPr>
            <w:tcW w:w="1049" w:type="pct"/>
            <w:tcBorders>
              <w:top w:val="nil"/>
              <w:left w:val="nil"/>
              <w:bottom w:val="nil"/>
              <w:right w:val="nil"/>
            </w:tcBorders>
            <w:shd w:val="clear" w:color="auto" w:fill="auto"/>
            <w:noWrap/>
            <w:vAlign w:val="center"/>
          </w:tcPr>
          <w:p w14:paraId="238CEA6B" w14:textId="49E44389" w:rsidR="002234E7" w:rsidRPr="003E5A51" w:rsidRDefault="002234E7" w:rsidP="002234E7">
            <w:pPr>
              <w:pBdr>
                <w:top w:val="none" w:sz="0" w:space="0" w:color="auto"/>
                <w:left w:val="none" w:sz="0" w:space="0" w:color="auto"/>
                <w:bottom w:val="none" w:sz="0" w:space="0" w:color="auto"/>
                <w:right w:val="none" w:sz="0" w:space="0" w:color="auto"/>
                <w:between w:val="none" w:sz="0" w:space="0" w:color="auto"/>
                <w:bar w:val="none" w:sz="0" w:color="auto"/>
              </w:pBdr>
              <w:jc w:val="right"/>
              <w:outlineLvl w:val="9"/>
              <w:rPr>
                <w:rFonts w:eastAsia="Times New Roman"/>
                <w:b/>
                <w:bCs/>
                <w:sz w:val="18"/>
                <w:szCs w:val="18"/>
                <w:bdr w:val="none" w:sz="0" w:space="0" w:color="auto"/>
                <w:lang w:eastAsia="es-ES"/>
              </w:rPr>
            </w:pPr>
            <w:r>
              <w:rPr>
                <w:b/>
                <w:bCs/>
                <w:sz w:val="18"/>
                <w:szCs w:val="18"/>
              </w:rPr>
              <w:t>13.189.331,71</w:t>
            </w:r>
          </w:p>
        </w:tc>
        <w:tc>
          <w:tcPr>
            <w:tcW w:w="1045" w:type="pct"/>
            <w:tcBorders>
              <w:top w:val="nil"/>
              <w:left w:val="nil"/>
              <w:bottom w:val="nil"/>
              <w:right w:val="nil"/>
            </w:tcBorders>
            <w:shd w:val="clear" w:color="auto" w:fill="auto"/>
            <w:noWrap/>
            <w:vAlign w:val="center"/>
            <w:hideMark/>
          </w:tcPr>
          <w:p w14:paraId="7009C8AF" w14:textId="329970D7" w:rsidR="002234E7" w:rsidRPr="003E5A51" w:rsidRDefault="002234E7" w:rsidP="002234E7">
            <w:pPr>
              <w:pBdr>
                <w:top w:val="none" w:sz="0" w:space="0" w:color="auto"/>
                <w:left w:val="none" w:sz="0" w:space="0" w:color="auto"/>
                <w:bottom w:val="none" w:sz="0" w:space="0" w:color="auto"/>
                <w:right w:val="none" w:sz="0" w:space="0" w:color="auto"/>
                <w:between w:val="none" w:sz="0" w:space="0" w:color="auto"/>
                <w:bar w:val="none" w:sz="0" w:color="auto"/>
              </w:pBdr>
              <w:jc w:val="right"/>
              <w:outlineLvl w:val="9"/>
              <w:rPr>
                <w:rFonts w:eastAsia="Times New Roman"/>
                <w:b/>
                <w:bCs/>
                <w:sz w:val="18"/>
                <w:szCs w:val="18"/>
                <w:bdr w:val="none" w:sz="0" w:space="0" w:color="auto"/>
                <w:lang w:eastAsia="es-ES"/>
              </w:rPr>
            </w:pPr>
            <w:r w:rsidRPr="003E5A51">
              <w:rPr>
                <w:b/>
                <w:bCs/>
                <w:sz w:val="18"/>
                <w:szCs w:val="18"/>
              </w:rPr>
              <w:t>38.696.982,76</w:t>
            </w:r>
          </w:p>
        </w:tc>
      </w:tr>
      <w:tr w:rsidR="002234E7" w:rsidRPr="003E5A51" w14:paraId="3EC89A90" w14:textId="77777777" w:rsidTr="00CD5E24">
        <w:trPr>
          <w:trHeight w:val="283"/>
        </w:trPr>
        <w:tc>
          <w:tcPr>
            <w:tcW w:w="2906" w:type="pct"/>
            <w:tcBorders>
              <w:top w:val="nil"/>
              <w:left w:val="nil"/>
              <w:bottom w:val="nil"/>
              <w:right w:val="nil"/>
            </w:tcBorders>
            <w:shd w:val="clear" w:color="auto" w:fill="auto"/>
            <w:noWrap/>
            <w:vAlign w:val="center"/>
            <w:hideMark/>
          </w:tcPr>
          <w:p w14:paraId="325ECAAA" w14:textId="43480D5A" w:rsidR="002234E7" w:rsidRPr="003E5A51" w:rsidRDefault="002234E7" w:rsidP="002234E7">
            <w:pPr>
              <w:pBdr>
                <w:top w:val="none" w:sz="0" w:space="0" w:color="auto"/>
                <w:left w:val="none" w:sz="0" w:space="0" w:color="auto"/>
                <w:bottom w:val="none" w:sz="0" w:space="0" w:color="auto"/>
                <w:right w:val="none" w:sz="0" w:space="0" w:color="auto"/>
                <w:between w:val="none" w:sz="0" w:space="0" w:color="auto"/>
                <w:bar w:val="none" w:sz="0" w:color="auto"/>
              </w:pBdr>
              <w:ind w:left="217"/>
              <w:outlineLvl w:val="9"/>
              <w:rPr>
                <w:rFonts w:eastAsia="Times New Roman"/>
                <w:sz w:val="18"/>
                <w:szCs w:val="18"/>
                <w:bdr w:val="none" w:sz="0" w:space="0" w:color="auto"/>
                <w:lang w:eastAsia="es-ES"/>
              </w:rPr>
            </w:pPr>
            <w:r w:rsidRPr="003E5A51">
              <w:rPr>
                <w:rFonts w:eastAsia="Times New Roman"/>
                <w:sz w:val="18"/>
                <w:szCs w:val="18"/>
                <w:bdr w:val="none" w:sz="0" w:space="0" w:color="auto"/>
                <w:lang w:eastAsia="es-ES"/>
              </w:rPr>
              <w:t>Subvenciones de explotación prorrogadas (Nota 15.2)</w:t>
            </w:r>
          </w:p>
        </w:tc>
        <w:tc>
          <w:tcPr>
            <w:tcW w:w="1049" w:type="pct"/>
            <w:tcBorders>
              <w:top w:val="nil"/>
              <w:left w:val="nil"/>
              <w:bottom w:val="nil"/>
              <w:right w:val="nil"/>
            </w:tcBorders>
            <w:shd w:val="clear" w:color="auto" w:fill="auto"/>
            <w:noWrap/>
            <w:vAlign w:val="center"/>
          </w:tcPr>
          <w:p w14:paraId="7991B751" w14:textId="54FFCBA4" w:rsidR="002234E7" w:rsidRPr="003E5A51" w:rsidRDefault="002234E7" w:rsidP="002234E7">
            <w:pPr>
              <w:pBdr>
                <w:top w:val="none" w:sz="0" w:space="0" w:color="auto"/>
                <w:left w:val="none" w:sz="0" w:space="0" w:color="auto"/>
                <w:bottom w:val="none" w:sz="0" w:space="0" w:color="auto"/>
                <w:right w:val="none" w:sz="0" w:space="0" w:color="auto"/>
                <w:between w:val="none" w:sz="0" w:space="0" w:color="auto"/>
                <w:bar w:val="none" w:sz="0" w:color="auto"/>
              </w:pBdr>
              <w:jc w:val="right"/>
              <w:outlineLvl w:val="9"/>
              <w:rPr>
                <w:rFonts w:eastAsia="Times New Roman"/>
                <w:sz w:val="18"/>
                <w:szCs w:val="18"/>
                <w:bdr w:val="none" w:sz="0" w:space="0" w:color="auto"/>
                <w:lang w:eastAsia="es-ES"/>
              </w:rPr>
            </w:pPr>
            <w:r>
              <w:rPr>
                <w:sz w:val="18"/>
                <w:szCs w:val="18"/>
              </w:rPr>
              <w:t>13.074.191,79</w:t>
            </w:r>
          </w:p>
        </w:tc>
        <w:tc>
          <w:tcPr>
            <w:tcW w:w="1045" w:type="pct"/>
            <w:tcBorders>
              <w:top w:val="nil"/>
              <w:left w:val="nil"/>
              <w:bottom w:val="nil"/>
              <w:right w:val="nil"/>
            </w:tcBorders>
            <w:shd w:val="clear" w:color="auto" w:fill="auto"/>
            <w:noWrap/>
            <w:vAlign w:val="center"/>
            <w:hideMark/>
          </w:tcPr>
          <w:p w14:paraId="66329D47" w14:textId="394B601C" w:rsidR="002234E7" w:rsidRPr="003E5A51" w:rsidRDefault="002234E7" w:rsidP="002234E7">
            <w:pPr>
              <w:pBdr>
                <w:top w:val="none" w:sz="0" w:space="0" w:color="auto"/>
                <w:left w:val="none" w:sz="0" w:space="0" w:color="auto"/>
                <w:bottom w:val="none" w:sz="0" w:space="0" w:color="auto"/>
                <w:right w:val="none" w:sz="0" w:space="0" w:color="auto"/>
                <w:between w:val="none" w:sz="0" w:space="0" w:color="auto"/>
                <w:bar w:val="none" w:sz="0" w:color="auto"/>
              </w:pBdr>
              <w:jc w:val="right"/>
              <w:outlineLvl w:val="9"/>
              <w:rPr>
                <w:rFonts w:eastAsia="Times New Roman"/>
                <w:sz w:val="18"/>
                <w:szCs w:val="18"/>
                <w:bdr w:val="none" w:sz="0" w:space="0" w:color="auto"/>
                <w:lang w:eastAsia="es-ES"/>
              </w:rPr>
            </w:pPr>
            <w:r w:rsidRPr="003E5A51">
              <w:rPr>
                <w:sz w:val="18"/>
                <w:szCs w:val="18"/>
              </w:rPr>
              <w:t>38.596.048,12</w:t>
            </w:r>
          </w:p>
        </w:tc>
      </w:tr>
      <w:tr w:rsidR="002234E7" w:rsidRPr="003E5A51" w14:paraId="48952F1C" w14:textId="77777777" w:rsidTr="00CD5E24">
        <w:trPr>
          <w:trHeight w:val="283"/>
        </w:trPr>
        <w:tc>
          <w:tcPr>
            <w:tcW w:w="2906" w:type="pct"/>
            <w:tcBorders>
              <w:top w:val="nil"/>
              <w:left w:val="nil"/>
              <w:bottom w:val="nil"/>
              <w:right w:val="nil"/>
            </w:tcBorders>
            <w:shd w:val="clear" w:color="auto" w:fill="auto"/>
            <w:noWrap/>
            <w:vAlign w:val="center"/>
            <w:hideMark/>
          </w:tcPr>
          <w:p w14:paraId="30DE6420" w14:textId="77777777" w:rsidR="002234E7" w:rsidRPr="003E5A51" w:rsidRDefault="002234E7" w:rsidP="002234E7">
            <w:pPr>
              <w:pBdr>
                <w:top w:val="none" w:sz="0" w:space="0" w:color="auto"/>
                <w:left w:val="none" w:sz="0" w:space="0" w:color="auto"/>
                <w:bottom w:val="none" w:sz="0" w:space="0" w:color="auto"/>
                <w:right w:val="none" w:sz="0" w:space="0" w:color="auto"/>
                <w:between w:val="none" w:sz="0" w:space="0" w:color="auto"/>
                <w:bar w:val="none" w:sz="0" w:color="auto"/>
              </w:pBdr>
              <w:ind w:left="217"/>
              <w:outlineLvl w:val="9"/>
              <w:rPr>
                <w:rFonts w:eastAsia="Times New Roman"/>
                <w:sz w:val="18"/>
                <w:szCs w:val="18"/>
                <w:bdr w:val="none" w:sz="0" w:space="0" w:color="auto"/>
                <w:lang w:eastAsia="es-ES"/>
              </w:rPr>
            </w:pPr>
            <w:r w:rsidRPr="003E5A51">
              <w:rPr>
                <w:rFonts w:eastAsia="Times New Roman"/>
                <w:sz w:val="18"/>
                <w:szCs w:val="18"/>
                <w:bdr w:val="none" w:sz="0" w:space="0" w:color="auto"/>
                <w:lang w:eastAsia="es-ES"/>
              </w:rPr>
              <w:t>Otros ingresos anticipados</w:t>
            </w:r>
          </w:p>
        </w:tc>
        <w:tc>
          <w:tcPr>
            <w:tcW w:w="1049" w:type="pct"/>
            <w:tcBorders>
              <w:top w:val="nil"/>
              <w:left w:val="nil"/>
              <w:bottom w:val="nil"/>
              <w:right w:val="nil"/>
            </w:tcBorders>
            <w:shd w:val="clear" w:color="auto" w:fill="auto"/>
            <w:noWrap/>
            <w:vAlign w:val="center"/>
          </w:tcPr>
          <w:p w14:paraId="5EB3E2FC" w14:textId="7434297E" w:rsidR="002234E7" w:rsidRPr="003E5A51" w:rsidRDefault="002234E7" w:rsidP="002234E7">
            <w:pPr>
              <w:pBdr>
                <w:top w:val="none" w:sz="0" w:space="0" w:color="auto"/>
                <w:left w:val="none" w:sz="0" w:space="0" w:color="auto"/>
                <w:bottom w:val="none" w:sz="0" w:space="0" w:color="auto"/>
                <w:right w:val="none" w:sz="0" w:space="0" w:color="auto"/>
                <w:between w:val="none" w:sz="0" w:space="0" w:color="auto"/>
                <w:bar w:val="none" w:sz="0" w:color="auto"/>
              </w:pBdr>
              <w:jc w:val="right"/>
              <w:outlineLvl w:val="9"/>
              <w:rPr>
                <w:rFonts w:eastAsia="Times New Roman"/>
                <w:sz w:val="18"/>
                <w:szCs w:val="18"/>
                <w:bdr w:val="none" w:sz="0" w:space="0" w:color="auto"/>
                <w:lang w:eastAsia="es-ES"/>
              </w:rPr>
            </w:pPr>
            <w:r>
              <w:rPr>
                <w:sz w:val="18"/>
                <w:szCs w:val="18"/>
              </w:rPr>
              <w:t>115.139,92</w:t>
            </w:r>
          </w:p>
        </w:tc>
        <w:tc>
          <w:tcPr>
            <w:tcW w:w="1045" w:type="pct"/>
            <w:tcBorders>
              <w:top w:val="nil"/>
              <w:left w:val="nil"/>
              <w:bottom w:val="nil"/>
              <w:right w:val="nil"/>
            </w:tcBorders>
            <w:shd w:val="clear" w:color="auto" w:fill="auto"/>
            <w:noWrap/>
            <w:vAlign w:val="center"/>
            <w:hideMark/>
          </w:tcPr>
          <w:p w14:paraId="3617C2B3" w14:textId="38EFCDF4" w:rsidR="002234E7" w:rsidRPr="003E5A51" w:rsidRDefault="002234E7" w:rsidP="002234E7">
            <w:pPr>
              <w:pBdr>
                <w:top w:val="none" w:sz="0" w:space="0" w:color="auto"/>
                <w:left w:val="none" w:sz="0" w:space="0" w:color="auto"/>
                <w:bottom w:val="none" w:sz="0" w:space="0" w:color="auto"/>
                <w:right w:val="none" w:sz="0" w:space="0" w:color="auto"/>
                <w:between w:val="none" w:sz="0" w:space="0" w:color="auto"/>
                <w:bar w:val="none" w:sz="0" w:color="auto"/>
              </w:pBdr>
              <w:jc w:val="right"/>
              <w:outlineLvl w:val="9"/>
              <w:rPr>
                <w:rFonts w:eastAsia="Times New Roman"/>
                <w:sz w:val="18"/>
                <w:szCs w:val="18"/>
                <w:bdr w:val="none" w:sz="0" w:space="0" w:color="auto"/>
                <w:lang w:eastAsia="es-ES"/>
              </w:rPr>
            </w:pPr>
            <w:r w:rsidRPr="003E5A51">
              <w:rPr>
                <w:sz w:val="18"/>
                <w:szCs w:val="18"/>
              </w:rPr>
              <w:t>100.934,64</w:t>
            </w:r>
          </w:p>
        </w:tc>
      </w:tr>
      <w:tr w:rsidR="002234E7" w:rsidRPr="00176BA0" w14:paraId="5898E687" w14:textId="77777777" w:rsidTr="00CD5E24">
        <w:trPr>
          <w:trHeight w:val="283"/>
        </w:trPr>
        <w:tc>
          <w:tcPr>
            <w:tcW w:w="2906" w:type="pct"/>
            <w:tcBorders>
              <w:top w:val="single" w:sz="4" w:space="0" w:color="auto"/>
              <w:left w:val="nil"/>
              <w:bottom w:val="single" w:sz="4" w:space="0" w:color="auto"/>
              <w:right w:val="nil"/>
            </w:tcBorders>
            <w:shd w:val="clear" w:color="auto" w:fill="auto"/>
            <w:noWrap/>
            <w:vAlign w:val="center"/>
            <w:hideMark/>
          </w:tcPr>
          <w:p w14:paraId="1E3D1619" w14:textId="77777777" w:rsidR="002234E7" w:rsidRPr="003E5A51" w:rsidRDefault="002234E7" w:rsidP="002234E7">
            <w:pPr>
              <w:pBdr>
                <w:top w:val="none" w:sz="0" w:space="0" w:color="auto"/>
                <w:left w:val="none" w:sz="0" w:space="0" w:color="auto"/>
                <w:bottom w:val="none" w:sz="0" w:space="0" w:color="auto"/>
                <w:right w:val="none" w:sz="0" w:space="0" w:color="auto"/>
                <w:between w:val="none" w:sz="0" w:space="0" w:color="auto"/>
                <w:bar w:val="none" w:sz="0" w:color="auto"/>
              </w:pBdr>
              <w:ind w:left="217"/>
              <w:outlineLvl w:val="9"/>
              <w:rPr>
                <w:rFonts w:eastAsia="Times New Roman"/>
                <w:b/>
                <w:bCs/>
                <w:sz w:val="18"/>
                <w:szCs w:val="18"/>
                <w:bdr w:val="none" w:sz="0" w:space="0" w:color="auto"/>
                <w:lang w:eastAsia="es-ES"/>
              </w:rPr>
            </w:pPr>
            <w:r w:rsidRPr="003E5A51">
              <w:rPr>
                <w:rFonts w:eastAsia="Times New Roman"/>
                <w:b/>
                <w:bCs/>
                <w:sz w:val="18"/>
                <w:szCs w:val="18"/>
                <w:bdr w:val="none" w:sz="0" w:space="0" w:color="auto"/>
                <w:lang w:eastAsia="es-ES"/>
              </w:rPr>
              <w:t>Total</w:t>
            </w:r>
          </w:p>
        </w:tc>
        <w:tc>
          <w:tcPr>
            <w:tcW w:w="1049" w:type="pct"/>
            <w:tcBorders>
              <w:top w:val="single" w:sz="4" w:space="0" w:color="auto"/>
              <w:left w:val="nil"/>
              <w:bottom w:val="single" w:sz="4" w:space="0" w:color="auto"/>
              <w:right w:val="nil"/>
            </w:tcBorders>
            <w:shd w:val="clear" w:color="auto" w:fill="auto"/>
            <w:noWrap/>
            <w:vAlign w:val="center"/>
          </w:tcPr>
          <w:p w14:paraId="28857727" w14:textId="1028BB97" w:rsidR="002234E7" w:rsidRPr="003E5A51" w:rsidRDefault="002234E7" w:rsidP="002234E7">
            <w:pPr>
              <w:pBdr>
                <w:top w:val="none" w:sz="0" w:space="0" w:color="auto"/>
                <w:left w:val="none" w:sz="0" w:space="0" w:color="auto"/>
                <w:bottom w:val="none" w:sz="0" w:space="0" w:color="auto"/>
                <w:right w:val="none" w:sz="0" w:space="0" w:color="auto"/>
                <w:between w:val="none" w:sz="0" w:space="0" w:color="auto"/>
                <w:bar w:val="none" w:sz="0" w:color="auto"/>
              </w:pBdr>
              <w:jc w:val="right"/>
              <w:outlineLvl w:val="9"/>
              <w:rPr>
                <w:rFonts w:eastAsia="Times New Roman"/>
                <w:b/>
                <w:bCs/>
                <w:sz w:val="18"/>
                <w:szCs w:val="18"/>
                <w:bdr w:val="none" w:sz="0" w:space="0" w:color="auto"/>
                <w:lang w:eastAsia="es-ES"/>
              </w:rPr>
            </w:pPr>
            <w:r>
              <w:rPr>
                <w:b/>
                <w:bCs/>
                <w:sz w:val="18"/>
                <w:szCs w:val="18"/>
              </w:rPr>
              <w:t>13.189.331,71</w:t>
            </w:r>
          </w:p>
        </w:tc>
        <w:tc>
          <w:tcPr>
            <w:tcW w:w="1045" w:type="pct"/>
            <w:tcBorders>
              <w:top w:val="single" w:sz="4" w:space="0" w:color="auto"/>
              <w:left w:val="nil"/>
              <w:bottom w:val="single" w:sz="4" w:space="0" w:color="auto"/>
              <w:right w:val="nil"/>
            </w:tcBorders>
            <w:shd w:val="clear" w:color="auto" w:fill="auto"/>
            <w:noWrap/>
            <w:vAlign w:val="center"/>
            <w:hideMark/>
          </w:tcPr>
          <w:p w14:paraId="2338E43E" w14:textId="031F3AFB" w:rsidR="002234E7" w:rsidRPr="00176BA0" w:rsidRDefault="002234E7" w:rsidP="002234E7">
            <w:pPr>
              <w:pBdr>
                <w:top w:val="none" w:sz="0" w:space="0" w:color="auto"/>
                <w:left w:val="none" w:sz="0" w:space="0" w:color="auto"/>
                <w:bottom w:val="none" w:sz="0" w:space="0" w:color="auto"/>
                <w:right w:val="none" w:sz="0" w:space="0" w:color="auto"/>
                <w:between w:val="none" w:sz="0" w:space="0" w:color="auto"/>
                <w:bar w:val="none" w:sz="0" w:color="auto"/>
              </w:pBdr>
              <w:jc w:val="right"/>
              <w:outlineLvl w:val="9"/>
              <w:rPr>
                <w:rFonts w:eastAsia="Times New Roman"/>
                <w:b/>
                <w:bCs/>
                <w:sz w:val="18"/>
                <w:szCs w:val="18"/>
                <w:bdr w:val="none" w:sz="0" w:space="0" w:color="auto"/>
                <w:lang w:eastAsia="es-ES"/>
              </w:rPr>
            </w:pPr>
            <w:r w:rsidRPr="003E5A51">
              <w:rPr>
                <w:b/>
                <w:bCs/>
                <w:sz w:val="18"/>
                <w:szCs w:val="18"/>
              </w:rPr>
              <w:t>38.696.982,76</w:t>
            </w:r>
          </w:p>
        </w:tc>
      </w:tr>
    </w:tbl>
    <w:p w14:paraId="7D7959A6" w14:textId="2C75F76B" w:rsidR="002234E7" w:rsidRPr="003E5A51" w:rsidRDefault="002234E7" w:rsidP="002234E7">
      <w:pPr>
        <w:keepNext/>
        <w:keepLines/>
        <w:widowControl w:val="0"/>
        <w:spacing w:before="240" w:after="120" w:line="260" w:lineRule="exact"/>
        <w:jc w:val="both"/>
        <w:outlineLvl w:val="9"/>
        <w:rPr>
          <w:snapToGrid w:val="0"/>
          <w:sz w:val="20"/>
          <w:szCs w:val="22"/>
        </w:rPr>
      </w:pPr>
      <w:r w:rsidRPr="003E5A51">
        <w:rPr>
          <w:snapToGrid w:val="0"/>
          <w:sz w:val="20"/>
          <w:szCs w:val="22"/>
        </w:rPr>
        <w:t>A 31 de diciembre de 202</w:t>
      </w:r>
      <w:r>
        <w:rPr>
          <w:snapToGrid w:val="0"/>
          <w:sz w:val="20"/>
          <w:szCs w:val="22"/>
        </w:rPr>
        <w:t>4</w:t>
      </w:r>
      <w:r w:rsidRPr="003E5A51">
        <w:rPr>
          <w:snapToGrid w:val="0"/>
          <w:sz w:val="20"/>
          <w:szCs w:val="22"/>
        </w:rPr>
        <w:t xml:space="preserve"> los ajustes por periodificación de pasivos a corto plazo por importe de </w:t>
      </w:r>
      <w:r>
        <w:rPr>
          <w:snapToGrid w:val="0"/>
          <w:sz w:val="20"/>
          <w:szCs w:val="22"/>
        </w:rPr>
        <w:t>13.074.191,79</w:t>
      </w:r>
      <w:r w:rsidRPr="003E5A51">
        <w:rPr>
          <w:snapToGrid w:val="0"/>
          <w:sz w:val="20"/>
          <w:szCs w:val="22"/>
        </w:rPr>
        <w:t xml:space="preserve"> euros corresponden a las subvenciones de explotación concedidas por el Socio Único en el ejercicio que serán ejecutadas durante el ejercicio 202</w:t>
      </w:r>
      <w:r>
        <w:rPr>
          <w:snapToGrid w:val="0"/>
          <w:sz w:val="20"/>
          <w:szCs w:val="22"/>
        </w:rPr>
        <w:t>5</w:t>
      </w:r>
      <w:r w:rsidR="00565394">
        <w:rPr>
          <w:snapToGrid w:val="0"/>
          <w:sz w:val="20"/>
          <w:szCs w:val="22"/>
        </w:rPr>
        <w:t xml:space="preserve"> y 2026</w:t>
      </w:r>
      <w:r w:rsidRPr="003E5A51">
        <w:rPr>
          <w:snapToGrid w:val="0"/>
          <w:sz w:val="20"/>
          <w:szCs w:val="22"/>
        </w:rPr>
        <w:t xml:space="preserve"> (Nota 15.2).</w:t>
      </w:r>
    </w:p>
    <w:p w14:paraId="5A8CE0E3" w14:textId="6BCC39B5" w:rsidR="00767602" w:rsidRPr="003E5A51" w:rsidRDefault="00767602" w:rsidP="001B5A15">
      <w:pPr>
        <w:keepNext/>
        <w:keepLines/>
        <w:widowControl w:val="0"/>
        <w:spacing w:before="240" w:after="120" w:line="260" w:lineRule="exact"/>
        <w:jc w:val="both"/>
        <w:outlineLvl w:val="9"/>
        <w:rPr>
          <w:snapToGrid w:val="0"/>
          <w:sz w:val="20"/>
          <w:szCs w:val="22"/>
        </w:rPr>
      </w:pPr>
      <w:r w:rsidRPr="003E5A51">
        <w:rPr>
          <w:snapToGrid w:val="0"/>
          <w:sz w:val="20"/>
          <w:szCs w:val="22"/>
        </w:rPr>
        <w:t>A 31 de diciembre de 202</w:t>
      </w:r>
      <w:r w:rsidR="003E5A51" w:rsidRPr="003E5A51">
        <w:rPr>
          <w:snapToGrid w:val="0"/>
          <w:sz w:val="20"/>
          <w:szCs w:val="22"/>
        </w:rPr>
        <w:t>3</w:t>
      </w:r>
      <w:r w:rsidRPr="003E5A51">
        <w:rPr>
          <w:snapToGrid w:val="0"/>
          <w:sz w:val="20"/>
          <w:szCs w:val="22"/>
        </w:rPr>
        <w:t xml:space="preserve"> los ajustes por periodificación de pasivos </w:t>
      </w:r>
      <w:r w:rsidR="00E50CFD" w:rsidRPr="003E5A51">
        <w:rPr>
          <w:snapToGrid w:val="0"/>
          <w:sz w:val="20"/>
          <w:szCs w:val="22"/>
        </w:rPr>
        <w:t xml:space="preserve">a </w:t>
      </w:r>
      <w:r w:rsidR="001D6767" w:rsidRPr="003E5A51">
        <w:rPr>
          <w:snapToGrid w:val="0"/>
          <w:sz w:val="20"/>
          <w:szCs w:val="22"/>
        </w:rPr>
        <w:t xml:space="preserve">corto plazo por importe de </w:t>
      </w:r>
      <w:r w:rsidR="003E5A51" w:rsidRPr="003E5A51">
        <w:rPr>
          <w:snapToGrid w:val="0"/>
          <w:sz w:val="20"/>
          <w:szCs w:val="22"/>
        </w:rPr>
        <w:t>38.596.048,12</w:t>
      </w:r>
      <w:r w:rsidR="001D6767" w:rsidRPr="003E5A51">
        <w:rPr>
          <w:snapToGrid w:val="0"/>
          <w:sz w:val="20"/>
          <w:szCs w:val="22"/>
        </w:rPr>
        <w:t xml:space="preserve"> euros </w:t>
      </w:r>
      <w:r w:rsidRPr="003E5A51">
        <w:rPr>
          <w:snapToGrid w:val="0"/>
          <w:sz w:val="20"/>
          <w:szCs w:val="22"/>
        </w:rPr>
        <w:t>correspond</w:t>
      </w:r>
      <w:r w:rsidR="002234E7">
        <w:rPr>
          <w:snapToGrid w:val="0"/>
          <w:sz w:val="20"/>
          <w:szCs w:val="22"/>
        </w:rPr>
        <w:t>ían</w:t>
      </w:r>
      <w:r w:rsidRPr="003E5A51">
        <w:rPr>
          <w:snapToGrid w:val="0"/>
          <w:sz w:val="20"/>
          <w:szCs w:val="22"/>
        </w:rPr>
        <w:t xml:space="preserve"> </w:t>
      </w:r>
      <w:r w:rsidR="00960471" w:rsidRPr="003E5A51">
        <w:rPr>
          <w:snapToGrid w:val="0"/>
          <w:sz w:val="20"/>
          <w:szCs w:val="22"/>
        </w:rPr>
        <w:t>a</w:t>
      </w:r>
      <w:r w:rsidRPr="003E5A51">
        <w:rPr>
          <w:snapToGrid w:val="0"/>
          <w:sz w:val="20"/>
          <w:szCs w:val="22"/>
        </w:rPr>
        <w:t xml:space="preserve"> las subvenciones de explotación concedidas por el Socio Único en el ejercicio que serán ejecutadas durante el ejercicio 202</w:t>
      </w:r>
      <w:r w:rsidR="003E5A51" w:rsidRPr="003E5A51">
        <w:rPr>
          <w:snapToGrid w:val="0"/>
          <w:sz w:val="20"/>
          <w:szCs w:val="22"/>
        </w:rPr>
        <w:t>4</w:t>
      </w:r>
      <w:r w:rsidRPr="003E5A51">
        <w:rPr>
          <w:snapToGrid w:val="0"/>
          <w:sz w:val="20"/>
          <w:szCs w:val="22"/>
        </w:rPr>
        <w:t xml:space="preserve"> (Nota 1</w:t>
      </w:r>
      <w:r w:rsidR="000778A8" w:rsidRPr="003E5A51">
        <w:rPr>
          <w:snapToGrid w:val="0"/>
          <w:sz w:val="20"/>
          <w:szCs w:val="22"/>
        </w:rPr>
        <w:t>5.2</w:t>
      </w:r>
      <w:r w:rsidRPr="003E5A51">
        <w:rPr>
          <w:snapToGrid w:val="0"/>
          <w:sz w:val="20"/>
          <w:szCs w:val="22"/>
        </w:rPr>
        <w:t>).</w:t>
      </w:r>
    </w:p>
    <w:p w14:paraId="0708C87E" w14:textId="77777777" w:rsidR="00B9729C" w:rsidRDefault="00B9729C">
      <w:pPr>
        <w:pBdr>
          <w:top w:val="none" w:sz="0" w:space="0" w:color="auto"/>
          <w:left w:val="none" w:sz="0" w:space="0" w:color="auto"/>
          <w:bottom w:val="none" w:sz="0" w:space="0" w:color="auto"/>
          <w:right w:val="none" w:sz="0" w:space="0" w:color="auto"/>
          <w:between w:val="none" w:sz="0" w:space="0" w:color="auto"/>
          <w:bar w:val="none" w:sz="0" w:color="auto"/>
        </w:pBdr>
        <w:outlineLvl w:val="9"/>
        <w:rPr>
          <w:snapToGrid w:val="0"/>
          <w:sz w:val="20"/>
          <w:szCs w:val="22"/>
        </w:rPr>
      </w:pPr>
      <w:r>
        <w:rPr>
          <w:snapToGrid w:val="0"/>
          <w:sz w:val="20"/>
          <w:szCs w:val="22"/>
        </w:rPr>
        <w:br w:type="page"/>
      </w:r>
    </w:p>
    <w:p w14:paraId="699C5707" w14:textId="58A7FAFC" w:rsidR="006220A2" w:rsidRPr="0083433F" w:rsidRDefault="00176BA0">
      <w:pPr>
        <w:widowControl w:val="0"/>
        <w:numPr>
          <w:ilvl w:val="1"/>
          <w:numId w:val="16"/>
        </w:numPr>
        <w:pBdr>
          <w:top w:val="none" w:sz="0" w:space="0" w:color="auto"/>
          <w:left w:val="none" w:sz="0" w:space="0" w:color="auto"/>
          <w:bottom w:val="none" w:sz="0" w:space="0" w:color="auto"/>
          <w:right w:val="none" w:sz="0" w:space="0" w:color="auto"/>
          <w:between w:val="none" w:sz="0" w:space="0" w:color="auto"/>
          <w:bar w:val="none" w:sz="0" w:color="auto"/>
        </w:pBdr>
        <w:spacing w:before="200" w:after="120" w:line="260" w:lineRule="exact"/>
        <w:ind w:left="284" w:hanging="284"/>
        <w:outlineLvl w:val="9"/>
        <w:rPr>
          <w:b/>
          <w:sz w:val="20"/>
          <w:szCs w:val="22"/>
        </w:rPr>
      </w:pPr>
      <w:r>
        <w:rPr>
          <w:b/>
          <w:sz w:val="20"/>
          <w:szCs w:val="22"/>
        </w:rPr>
        <w:lastRenderedPageBreak/>
        <w:t xml:space="preserve"> </w:t>
      </w:r>
      <w:r w:rsidR="006220A2" w:rsidRPr="0083433F">
        <w:rPr>
          <w:b/>
          <w:sz w:val="20"/>
          <w:szCs w:val="22"/>
        </w:rPr>
        <w:t>Fondos Propios</w:t>
      </w:r>
    </w:p>
    <w:p w14:paraId="2DC39D55" w14:textId="77777777" w:rsidR="006220A2" w:rsidRPr="0083433F" w:rsidRDefault="006220A2">
      <w:pPr>
        <w:widowControl w:val="0"/>
        <w:numPr>
          <w:ilvl w:val="0"/>
          <w:numId w:val="11"/>
        </w:numPr>
        <w:pBdr>
          <w:top w:val="none" w:sz="0" w:space="0" w:color="auto"/>
          <w:left w:val="none" w:sz="0" w:space="0" w:color="auto"/>
          <w:bottom w:val="none" w:sz="0" w:space="0" w:color="auto"/>
          <w:right w:val="none" w:sz="0" w:space="0" w:color="auto"/>
          <w:between w:val="none" w:sz="0" w:space="0" w:color="auto"/>
          <w:bar w:val="none" w:sz="0" w:color="auto"/>
        </w:pBdr>
        <w:tabs>
          <w:tab w:val="clear" w:pos="720"/>
          <w:tab w:val="num" w:pos="284"/>
        </w:tabs>
        <w:spacing w:before="200"/>
        <w:ind w:left="0" w:firstLine="0"/>
        <w:outlineLvl w:val="9"/>
        <w:rPr>
          <w:i/>
          <w:sz w:val="20"/>
          <w:szCs w:val="22"/>
          <w:u w:val="single"/>
        </w:rPr>
      </w:pPr>
      <w:r w:rsidRPr="0083433F">
        <w:rPr>
          <w:i/>
          <w:sz w:val="20"/>
          <w:szCs w:val="22"/>
          <w:u w:val="single"/>
        </w:rPr>
        <w:t>Capital Social</w:t>
      </w:r>
    </w:p>
    <w:p w14:paraId="44778E09" w14:textId="26FF9702" w:rsidR="006220A2" w:rsidRPr="0083433F" w:rsidRDefault="006220A2" w:rsidP="00D67C6B">
      <w:pPr>
        <w:widowControl w:val="0"/>
        <w:spacing w:before="120" w:after="120" w:line="260" w:lineRule="exact"/>
        <w:jc w:val="both"/>
        <w:outlineLvl w:val="9"/>
        <w:rPr>
          <w:snapToGrid w:val="0"/>
          <w:sz w:val="20"/>
          <w:szCs w:val="22"/>
        </w:rPr>
      </w:pPr>
      <w:r w:rsidRPr="0083433F">
        <w:rPr>
          <w:snapToGrid w:val="0"/>
          <w:sz w:val="20"/>
          <w:szCs w:val="22"/>
        </w:rPr>
        <w:t xml:space="preserve">El capital social está representado por 102 acciones clase “A” nominativas, de 3.000,00 euros nominales cada una, y 98 acciones clase “B” nominativas, de 3.000,00 euros nominales cada una. Todas las acciones gozan de iguales derechos políticos y económicos. El Capital </w:t>
      </w:r>
      <w:r w:rsidR="005644E5">
        <w:rPr>
          <w:snapToGrid w:val="0"/>
          <w:sz w:val="20"/>
          <w:szCs w:val="22"/>
        </w:rPr>
        <w:t>esta</w:t>
      </w:r>
      <w:r w:rsidRPr="0083433F">
        <w:rPr>
          <w:snapToGrid w:val="0"/>
          <w:sz w:val="20"/>
          <w:szCs w:val="22"/>
        </w:rPr>
        <w:t xml:space="preserve"> íntegramente desembolsado.</w:t>
      </w:r>
    </w:p>
    <w:tbl>
      <w:tblPr>
        <w:tblW w:w="5000" w:type="pct"/>
        <w:jc w:val="center"/>
        <w:tblCellMar>
          <w:left w:w="70" w:type="dxa"/>
          <w:right w:w="70" w:type="dxa"/>
        </w:tblCellMar>
        <w:tblLook w:val="04A0" w:firstRow="1" w:lastRow="0" w:firstColumn="1" w:lastColumn="0" w:noHBand="0" w:noVBand="1"/>
      </w:tblPr>
      <w:tblGrid>
        <w:gridCol w:w="4050"/>
        <w:gridCol w:w="2265"/>
        <w:gridCol w:w="2466"/>
      </w:tblGrid>
      <w:tr w:rsidR="006220A2" w:rsidRPr="00176BA0" w14:paraId="5B992A57" w14:textId="77777777" w:rsidTr="00176BA0">
        <w:trPr>
          <w:trHeight w:val="283"/>
          <w:jc w:val="center"/>
        </w:trPr>
        <w:tc>
          <w:tcPr>
            <w:tcW w:w="2306" w:type="pct"/>
            <w:tcBorders>
              <w:top w:val="single" w:sz="4" w:space="0" w:color="auto"/>
              <w:left w:val="nil"/>
              <w:bottom w:val="nil"/>
              <w:right w:val="nil"/>
            </w:tcBorders>
            <w:shd w:val="clear" w:color="auto" w:fill="auto"/>
            <w:vAlign w:val="bottom"/>
            <w:hideMark/>
          </w:tcPr>
          <w:p w14:paraId="3990C60A" w14:textId="77777777" w:rsidR="006220A2" w:rsidRPr="00176BA0" w:rsidRDefault="006220A2" w:rsidP="00176BA0">
            <w:pPr>
              <w:ind w:left="217"/>
              <w:jc w:val="center"/>
              <w:rPr>
                <w:rFonts w:eastAsia="Times New Roman"/>
                <w:sz w:val="18"/>
                <w:szCs w:val="18"/>
              </w:rPr>
            </w:pPr>
          </w:p>
        </w:tc>
        <w:tc>
          <w:tcPr>
            <w:tcW w:w="2694" w:type="pct"/>
            <w:gridSpan w:val="2"/>
            <w:tcBorders>
              <w:top w:val="single" w:sz="4" w:space="0" w:color="auto"/>
              <w:left w:val="nil"/>
              <w:bottom w:val="single" w:sz="4" w:space="0" w:color="auto"/>
              <w:right w:val="nil"/>
            </w:tcBorders>
            <w:shd w:val="clear" w:color="auto" w:fill="auto"/>
            <w:vAlign w:val="bottom"/>
            <w:hideMark/>
          </w:tcPr>
          <w:p w14:paraId="020A2E26" w14:textId="77777777" w:rsidR="006220A2" w:rsidRPr="00176BA0" w:rsidRDefault="006220A2" w:rsidP="005D3D49">
            <w:pPr>
              <w:jc w:val="center"/>
              <w:rPr>
                <w:rFonts w:eastAsia="Times New Roman"/>
                <w:b/>
                <w:bCs/>
                <w:sz w:val="18"/>
                <w:szCs w:val="18"/>
              </w:rPr>
            </w:pPr>
            <w:r w:rsidRPr="00176BA0">
              <w:rPr>
                <w:rFonts w:eastAsia="Times New Roman"/>
                <w:b/>
                <w:bCs/>
                <w:snapToGrid w:val="0"/>
                <w:sz w:val="18"/>
                <w:szCs w:val="18"/>
              </w:rPr>
              <w:t>Euros</w:t>
            </w:r>
          </w:p>
        </w:tc>
      </w:tr>
      <w:tr w:rsidR="000C2595" w:rsidRPr="00176BA0" w14:paraId="4207A215" w14:textId="77777777" w:rsidTr="000C2595">
        <w:trPr>
          <w:trHeight w:val="283"/>
          <w:jc w:val="center"/>
        </w:trPr>
        <w:tc>
          <w:tcPr>
            <w:tcW w:w="2306" w:type="pct"/>
            <w:tcBorders>
              <w:top w:val="nil"/>
              <w:left w:val="nil"/>
              <w:bottom w:val="single" w:sz="4" w:space="0" w:color="auto"/>
              <w:right w:val="nil"/>
            </w:tcBorders>
            <w:shd w:val="clear" w:color="auto" w:fill="auto"/>
            <w:vAlign w:val="bottom"/>
            <w:hideMark/>
          </w:tcPr>
          <w:p w14:paraId="1DFA30D7" w14:textId="77777777" w:rsidR="000C2595" w:rsidRPr="00176BA0" w:rsidRDefault="000C2595" w:rsidP="000C2595">
            <w:pPr>
              <w:ind w:left="217" w:firstLineChars="200" w:firstLine="360"/>
              <w:jc w:val="center"/>
              <w:rPr>
                <w:rFonts w:eastAsia="Times New Roman"/>
                <w:sz w:val="18"/>
                <w:szCs w:val="18"/>
              </w:rPr>
            </w:pPr>
          </w:p>
        </w:tc>
        <w:tc>
          <w:tcPr>
            <w:tcW w:w="1290" w:type="pct"/>
            <w:tcBorders>
              <w:top w:val="nil"/>
              <w:left w:val="nil"/>
              <w:bottom w:val="single" w:sz="4" w:space="0" w:color="auto"/>
              <w:right w:val="nil"/>
            </w:tcBorders>
            <w:shd w:val="clear" w:color="auto" w:fill="auto"/>
            <w:vAlign w:val="bottom"/>
            <w:hideMark/>
          </w:tcPr>
          <w:p w14:paraId="22305B6F" w14:textId="2FF90711" w:rsidR="000C2595" w:rsidRPr="00176BA0" w:rsidRDefault="000C2595" w:rsidP="000C2595">
            <w:pPr>
              <w:keepNext/>
              <w:keepLines/>
              <w:jc w:val="center"/>
              <w:rPr>
                <w:rFonts w:eastAsia="Times New Roman"/>
                <w:b/>
                <w:bCs/>
                <w:sz w:val="18"/>
                <w:szCs w:val="18"/>
              </w:rPr>
            </w:pPr>
            <w:r w:rsidRPr="00176BA0">
              <w:rPr>
                <w:rFonts w:eastAsia="Times New Roman"/>
                <w:b/>
                <w:bCs/>
                <w:sz w:val="18"/>
                <w:szCs w:val="18"/>
              </w:rPr>
              <w:t>31/12/202</w:t>
            </w:r>
            <w:r w:rsidR="00CD5E24">
              <w:rPr>
                <w:rFonts w:eastAsia="Times New Roman"/>
                <w:b/>
                <w:bCs/>
                <w:sz w:val="18"/>
                <w:szCs w:val="18"/>
              </w:rPr>
              <w:t>4</w:t>
            </w:r>
          </w:p>
        </w:tc>
        <w:tc>
          <w:tcPr>
            <w:tcW w:w="1404" w:type="pct"/>
            <w:tcBorders>
              <w:top w:val="nil"/>
              <w:left w:val="nil"/>
              <w:bottom w:val="single" w:sz="4" w:space="0" w:color="auto"/>
              <w:right w:val="nil"/>
            </w:tcBorders>
            <w:shd w:val="clear" w:color="auto" w:fill="auto"/>
            <w:vAlign w:val="bottom"/>
            <w:hideMark/>
          </w:tcPr>
          <w:p w14:paraId="3430750F" w14:textId="4B315517" w:rsidR="000C2595" w:rsidRPr="00176BA0" w:rsidRDefault="000C2595" w:rsidP="000C2595">
            <w:pPr>
              <w:keepNext/>
              <w:keepLines/>
              <w:jc w:val="center"/>
              <w:rPr>
                <w:rFonts w:eastAsia="Times New Roman"/>
                <w:b/>
                <w:bCs/>
                <w:sz w:val="18"/>
                <w:szCs w:val="18"/>
              </w:rPr>
            </w:pPr>
            <w:r w:rsidRPr="00176BA0">
              <w:rPr>
                <w:rFonts w:eastAsia="Times New Roman"/>
                <w:b/>
                <w:bCs/>
                <w:sz w:val="18"/>
                <w:szCs w:val="18"/>
              </w:rPr>
              <w:t>31/12/202</w:t>
            </w:r>
            <w:r w:rsidR="00CD5E24">
              <w:rPr>
                <w:rFonts w:eastAsia="Times New Roman"/>
                <w:b/>
                <w:bCs/>
                <w:sz w:val="18"/>
                <w:szCs w:val="18"/>
              </w:rPr>
              <w:t>3</w:t>
            </w:r>
          </w:p>
        </w:tc>
      </w:tr>
      <w:tr w:rsidR="00E23EC6" w:rsidRPr="00176BA0" w14:paraId="2734897D" w14:textId="77777777" w:rsidTr="000C2595">
        <w:trPr>
          <w:trHeight w:val="283"/>
          <w:jc w:val="center"/>
        </w:trPr>
        <w:tc>
          <w:tcPr>
            <w:tcW w:w="2306" w:type="pct"/>
            <w:tcBorders>
              <w:top w:val="nil"/>
              <w:left w:val="nil"/>
              <w:bottom w:val="single" w:sz="4" w:space="0" w:color="auto"/>
              <w:right w:val="nil"/>
            </w:tcBorders>
            <w:shd w:val="clear" w:color="auto" w:fill="auto"/>
            <w:vAlign w:val="center"/>
            <w:hideMark/>
          </w:tcPr>
          <w:p w14:paraId="39E1CD1B" w14:textId="77777777" w:rsidR="00E23EC6" w:rsidRPr="00176BA0" w:rsidRDefault="00E23EC6" w:rsidP="00E23EC6">
            <w:pPr>
              <w:ind w:left="217"/>
              <w:rPr>
                <w:rFonts w:eastAsia="Times New Roman"/>
                <w:sz w:val="18"/>
                <w:szCs w:val="18"/>
              </w:rPr>
            </w:pPr>
            <w:r w:rsidRPr="00176BA0">
              <w:rPr>
                <w:rFonts w:eastAsia="Times New Roman"/>
                <w:snapToGrid w:val="0"/>
                <w:sz w:val="18"/>
                <w:szCs w:val="18"/>
              </w:rPr>
              <w:t xml:space="preserve">Capital escriturado </w:t>
            </w:r>
          </w:p>
        </w:tc>
        <w:tc>
          <w:tcPr>
            <w:tcW w:w="1290" w:type="pct"/>
            <w:tcBorders>
              <w:top w:val="nil"/>
              <w:left w:val="nil"/>
              <w:bottom w:val="single" w:sz="4" w:space="0" w:color="auto"/>
              <w:right w:val="nil"/>
            </w:tcBorders>
            <w:shd w:val="clear" w:color="auto" w:fill="auto"/>
            <w:vAlign w:val="center"/>
          </w:tcPr>
          <w:p w14:paraId="2686579B" w14:textId="374A5D1C" w:rsidR="00E23EC6" w:rsidRPr="00176BA0" w:rsidRDefault="00E23EC6" w:rsidP="00E23EC6">
            <w:pPr>
              <w:ind w:right="354" w:firstLineChars="200" w:firstLine="360"/>
              <w:jc w:val="right"/>
              <w:rPr>
                <w:rFonts w:eastAsia="Times New Roman"/>
                <w:sz w:val="18"/>
                <w:szCs w:val="18"/>
              </w:rPr>
            </w:pPr>
            <w:r w:rsidRPr="00176BA0">
              <w:rPr>
                <w:rFonts w:eastAsia="Times New Roman"/>
                <w:snapToGrid w:val="0"/>
                <w:sz w:val="18"/>
                <w:szCs w:val="18"/>
              </w:rPr>
              <w:t>600.000,00</w:t>
            </w:r>
          </w:p>
        </w:tc>
        <w:tc>
          <w:tcPr>
            <w:tcW w:w="1404" w:type="pct"/>
            <w:tcBorders>
              <w:top w:val="nil"/>
              <w:left w:val="nil"/>
              <w:bottom w:val="single" w:sz="4" w:space="0" w:color="auto"/>
              <w:right w:val="nil"/>
            </w:tcBorders>
            <w:shd w:val="clear" w:color="auto" w:fill="auto"/>
            <w:vAlign w:val="center"/>
            <w:hideMark/>
          </w:tcPr>
          <w:p w14:paraId="0ADBA423" w14:textId="481F3877" w:rsidR="00E23EC6" w:rsidRPr="00176BA0" w:rsidRDefault="00E23EC6" w:rsidP="00E23EC6">
            <w:pPr>
              <w:ind w:right="354" w:firstLineChars="200" w:firstLine="360"/>
              <w:jc w:val="right"/>
              <w:rPr>
                <w:rFonts w:eastAsia="Times New Roman"/>
                <w:sz w:val="18"/>
                <w:szCs w:val="18"/>
              </w:rPr>
            </w:pPr>
            <w:r w:rsidRPr="00176BA0">
              <w:rPr>
                <w:rFonts w:eastAsia="Times New Roman"/>
                <w:snapToGrid w:val="0"/>
                <w:sz w:val="18"/>
                <w:szCs w:val="18"/>
              </w:rPr>
              <w:t>600.000,00</w:t>
            </w:r>
          </w:p>
        </w:tc>
      </w:tr>
      <w:tr w:rsidR="00E23EC6" w:rsidRPr="00176BA0" w14:paraId="5E7897F0" w14:textId="77777777" w:rsidTr="000C2595">
        <w:trPr>
          <w:trHeight w:val="283"/>
          <w:jc w:val="center"/>
        </w:trPr>
        <w:tc>
          <w:tcPr>
            <w:tcW w:w="2306" w:type="pct"/>
            <w:tcBorders>
              <w:top w:val="nil"/>
              <w:left w:val="nil"/>
              <w:bottom w:val="single" w:sz="4" w:space="0" w:color="auto"/>
              <w:right w:val="nil"/>
            </w:tcBorders>
            <w:shd w:val="clear" w:color="auto" w:fill="auto"/>
            <w:vAlign w:val="center"/>
            <w:hideMark/>
          </w:tcPr>
          <w:p w14:paraId="258B51C9" w14:textId="77777777" w:rsidR="00E23EC6" w:rsidRPr="00176BA0" w:rsidRDefault="00E23EC6" w:rsidP="00E23EC6">
            <w:pPr>
              <w:ind w:left="217" w:firstLineChars="200" w:firstLine="360"/>
              <w:rPr>
                <w:rFonts w:eastAsia="Times New Roman"/>
                <w:sz w:val="18"/>
                <w:szCs w:val="18"/>
              </w:rPr>
            </w:pPr>
            <w:r w:rsidRPr="00176BA0">
              <w:rPr>
                <w:rFonts w:eastAsia="Times New Roman"/>
                <w:snapToGrid w:val="0"/>
                <w:sz w:val="18"/>
                <w:szCs w:val="18"/>
              </w:rPr>
              <w:t> </w:t>
            </w:r>
          </w:p>
        </w:tc>
        <w:tc>
          <w:tcPr>
            <w:tcW w:w="1290" w:type="pct"/>
            <w:tcBorders>
              <w:top w:val="nil"/>
              <w:left w:val="nil"/>
              <w:bottom w:val="single" w:sz="4" w:space="0" w:color="auto"/>
              <w:right w:val="nil"/>
            </w:tcBorders>
            <w:shd w:val="clear" w:color="auto" w:fill="auto"/>
            <w:vAlign w:val="center"/>
          </w:tcPr>
          <w:p w14:paraId="6CCD4989" w14:textId="3AE2CB92" w:rsidR="00E23EC6" w:rsidRPr="00176BA0" w:rsidRDefault="00E23EC6" w:rsidP="00E23EC6">
            <w:pPr>
              <w:ind w:right="354" w:firstLineChars="200" w:firstLine="361"/>
              <w:jc w:val="right"/>
              <w:rPr>
                <w:rFonts w:eastAsia="Times New Roman"/>
                <w:b/>
                <w:bCs/>
                <w:sz w:val="18"/>
                <w:szCs w:val="18"/>
              </w:rPr>
            </w:pPr>
            <w:r w:rsidRPr="00176BA0">
              <w:rPr>
                <w:rFonts w:eastAsia="Times New Roman"/>
                <w:b/>
                <w:bCs/>
                <w:snapToGrid w:val="0"/>
                <w:sz w:val="18"/>
                <w:szCs w:val="18"/>
              </w:rPr>
              <w:t>600.000,00</w:t>
            </w:r>
          </w:p>
        </w:tc>
        <w:tc>
          <w:tcPr>
            <w:tcW w:w="1404" w:type="pct"/>
            <w:tcBorders>
              <w:top w:val="nil"/>
              <w:left w:val="nil"/>
              <w:bottom w:val="single" w:sz="4" w:space="0" w:color="auto"/>
              <w:right w:val="nil"/>
            </w:tcBorders>
            <w:shd w:val="clear" w:color="auto" w:fill="auto"/>
            <w:vAlign w:val="center"/>
            <w:hideMark/>
          </w:tcPr>
          <w:p w14:paraId="1A8AEB7B" w14:textId="7A461579" w:rsidR="00E23EC6" w:rsidRPr="00176BA0" w:rsidRDefault="00E23EC6" w:rsidP="00E23EC6">
            <w:pPr>
              <w:ind w:right="354" w:firstLineChars="200" w:firstLine="361"/>
              <w:jc w:val="right"/>
              <w:rPr>
                <w:rFonts w:eastAsia="Times New Roman"/>
                <w:b/>
                <w:bCs/>
                <w:sz w:val="18"/>
                <w:szCs w:val="18"/>
              </w:rPr>
            </w:pPr>
            <w:r w:rsidRPr="00176BA0">
              <w:rPr>
                <w:rFonts w:eastAsia="Times New Roman"/>
                <w:b/>
                <w:bCs/>
                <w:snapToGrid w:val="0"/>
                <w:sz w:val="18"/>
                <w:szCs w:val="18"/>
              </w:rPr>
              <w:t>600.000,00</w:t>
            </w:r>
          </w:p>
        </w:tc>
      </w:tr>
    </w:tbl>
    <w:p w14:paraId="5369AC40" w14:textId="77777777" w:rsidR="006220A2" w:rsidRPr="0083433F" w:rsidRDefault="006220A2" w:rsidP="001B5A15">
      <w:pPr>
        <w:widowControl w:val="0"/>
        <w:spacing w:before="240" w:after="120" w:line="260" w:lineRule="exact"/>
        <w:jc w:val="both"/>
        <w:outlineLvl w:val="9"/>
        <w:rPr>
          <w:snapToGrid w:val="0"/>
          <w:sz w:val="20"/>
          <w:szCs w:val="22"/>
        </w:rPr>
      </w:pPr>
      <w:r w:rsidRPr="0083433F">
        <w:rPr>
          <w:snapToGrid w:val="0"/>
          <w:sz w:val="20"/>
          <w:szCs w:val="22"/>
        </w:rPr>
        <w:t xml:space="preserve">El único accionista de la Sociedad es </w:t>
      </w:r>
      <w:smartTag w:uri="urn:schemas-microsoft-com:office:smarttags" w:element="PersonName">
        <w:smartTagPr>
          <w:attr w:name="ProductID" w:val="la Administraci￳n P￺blica"/>
        </w:smartTagPr>
        <w:r w:rsidRPr="0083433F">
          <w:rPr>
            <w:snapToGrid w:val="0"/>
            <w:sz w:val="20"/>
            <w:szCs w:val="22"/>
          </w:rPr>
          <w:t>la Administración Pública</w:t>
        </w:r>
      </w:smartTag>
      <w:r w:rsidRPr="0083433F">
        <w:rPr>
          <w:snapToGrid w:val="0"/>
          <w:sz w:val="20"/>
          <w:szCs w:val="22"/>
        </w:rPr>
        <w:t xml:space="preserve"> de </w:t>
      </w:r>
      <w:smartTag w:uri="urn:schemas-microsoft-com:office:smarttags" w:element="PersonName">
        <w:smartTagPr>
          <w:attr w:name="ProductID" w:val="la Comunidad Aut￳noma"/>
        </w:smartTagPr>
        <w:r w:rsidRPr="0083433F">
          <w:rPr>
            <w:snapToGrid w:val="0"/>
            <w:sz w:val="20"/>
            <w:szCs w:val="22"/>
          </w:rPr>
          <w:t>la Comunidad Autónoma</w:t>
        </w:r>
      </w:smartTag>
      <w:r w:rsidRPr="0083433F">
        <w:rPr>
          <w:snapToGrid w:val="0"/>
          <w:sz w:val="20"/>
          <w:szCs w:val="22"/>
        </w:rPr>
        <w:t xml:space="preserve"> de Canarias, aunque se prevé que las acciones de </w:t>
      </w:r>
      <w:smartTag w:uri="urn:schemas-microsoft-com:office:smarttags" w:element="PersonName">
        <w:smartTagPr>
          <w:attr w:name="ProductID" w:val="la Serie B"/>
        </w:smartTagPr>
        <w:r w:rsidRPr="0083433F">
          <w:rPr>
            <w:snapToGrid w:val="0"/>
            <w:sz w:val="20"/>
            <w:szCs w:val="22"/>
          </w:rPr>
          <w:t>la Serie B</w:t>
        </w:r>
      </w:smartTag>
      <w:r w:rsidRPr="0083433F">
        <w:rPr>
          <w:snapToGrid w:val="0"/>
          <w:sz w:val="20"/>
          <w:szCs w:val="22"/>
        </w:rPr>
        <w:t xml:space="preserve"> sean adquiridas por las Entidades de </w:t>
      </w:r>
      <w:smartTag w:uri="urn:schemas-microsoft-com:office:smarttags" w:element="PersonName">
        <w:r w:rsidRPr="0083433F">
          <w:rPr>
            <w:snapToGrid w:val="0"/>
            <w:sz w:val="20"/>
            <w:szCs w:val="22"/>
          </w:rPr>
          <w:t>Promoción</w:t>
        </w:r>
      </w:smartTag>
      <w:r w:rsidRPr="0083433F">
        <w:rPr>
          <w:snapToGrid w:val="0"/>
          <w:sz w:val="20"/>
          <w:szCs w:val="22"/>
        </w:rPr>
        <w:t xml:space="preserve"> Turística Insular constituidas por los Cabildos Insulares, o en su defecto, por los propios Cabildos Insulares.</w:t>
      </w:r>
    </w:p>
    <w:p w14:paraId="1801F9D4" w14:textId="77777777" w:rsidR="006220A2" w:rsidRPr="0083433F" w:rsidRDefault="006220A2" w:rsidP="00D67C6B">
      <w:pPr>
        <w:widowControl w:val="0"/>
        <w:spacing w:before="120" w:after="120" w:line="260" w:lineRule="exact"/>
        <w:jc w:val="both"/>
        <w:outlineLvl w:val="9"/>
        <w:rPr>
          <w:snapToGrid w:val="0"/>
          <w:sz w:val="20"/>
          <w:szCs w:val="22"/>
        </w:rPr>
      </w:pPr>
      <w:r w:rsidRPr="0083433F">
        <w:rPr>
          <w:snapToGrid w:val="0"/>
          <w:sz w:val="20"/>
          <w:szCs w:val="22"/>
        </w:rPr>
        <w:t xml:space="preserve">Adicionalmente, la Sociedad recibe con carácter general y, de acuerdo con los Presupuestos Generales de </w:t>
      </w:r>
      <w:smartTag w:uri="urn:schemas-microsoft-com:office:smarttags" w:element="PersonName">
        <w:smartTagPr>
          <w:attr w:name="ProductID" w:val="la Comunidad Aut￳noma"/>
        </w:smartTagPr>
        <w:r w:rsidRPr="0083433F">
          <w:rPr>
            <w:snapToGrid w:val="0"/>
            <w:sz w:val="20"/>
            <w:szCs w:val="22"/>
          </w:rPr>
          <w:t>la Comunidad Autónoma</w:t>
        </w:r>
      </w:smartTag>
      <w:r w:rsidRPr="0083433F">
        <w:rPr>
          <w:snapToGrid w:val="0"/>
          <w:sz w:val="20"/>
          <w:szCs w:val="22"/>
        </w:rPr>
        <w:t xml:space="preserve"> de Canarias de cada año, determinadas subvenciones y/o transferencias destinadas a garantizar su actividad habitual.</w:t>
      </w:r>
    </w:p>
    <w:p w14:paraId="1EDA070B" w14:textId="77777777" w:rsidR="006220A2" w:rsidRPr="0083433F" w:rsidRDefault="006220A2">
      <w:pPr>
        <w:keepNext/>
        <w:keepLines/>
        <w:widowControl w:val="0"/>
        <w:numPr>
          <w:ilvl w:val="0"/>
          <w:numId w:val="11"/>
        </w:numPr>
        <w:pBdr>
          <w:top w:val="none" w:sz="0" w:space="0" w:color="auto"/>
          <w:left w:val="none" w:sz="0" w:space="0" w:color="auto"/>
          <w:bottom w:val="none" w:sz="0" w:space="0" w:color="auto"/>
          <w:right w:val="none" w:sz="0" w:space="0" w:color="auto"/>
          <w:between w:val="none" w:sz="0" w:space="0" w:color="auto"/>
          <w:bar w:val="none" w:sz="0" w:color="auto"/>
        </w:pBdr>
        <w:tabs>
          <w:tab w:val="clear" w:pos="720"/>
          <w:tab w:val="num" w:pos="284"/>
        </w:tabs>
        <w:spacing w:before="200" w:line="276" w:lineRule="auto"/>
        <w:ind w:left="0" w:firstLine="0"/>
        <w:outlineLvl w:val="9"/>
        <w:rPr>
          <w:i/>
          <w:sz w:val="20"/>
          <w:szCs w:val="22"/>
          <w:u w:val="single"/>
        </w:rPr>
      </w:pPr>
      <w:r w:rsidRPr="0083433F">
        <w:rPr>
          <w:i/>
          <w:sz w:val="20"/>
          <w:szCs w:val="22"/>
          <w:u w:val="single"/>
        </w:rPr>
        <w:t>Reserva legal</w:t>
      </w:r>
    </w:p>
    <w:p w14:paraId="2D4D0059" w14:textId="77777777" w:rsidR="006220A2" w:rsidRPr="0083433F" w:rsidRDefault="006220A2" w:rsidP="00D67C6B">
      <w:pPr>
        <w:keepNext/>
        <w:keepLines/>
        <w:widowControl w:val="0"/>
        <w:spacing w:before="120" w:after="120" w:line="260" w:lineRule="exact"/>
        <w:jc w:val="both"/>
        <w:outlineLvl w:val="9"/>
        <w:rPr>
          <w:snapToGrid w:val="0"/>
          <w:sz w:val="20"/>
          <w:szCs w:val="22"/>
        </w:rPr>
      </w:pPr>
      <w:r w:rsidRPr="0083433F">
        <w:rPr>
          <w:snapToGrid w:val="0"/>
          <w:sz w:val="20"/>
          <w:szCs w:val="22"/>
        </w:rPr>
        <w:t>De acuerdo con la Ley de Sociedades de Capital, debe destinarse una cifra igual al 10% del beneficio del ejercicio a la reserva legal hasta que ésta alcance, al menos, el 20% del capital social.</w:t>
      </w:r>
    </w:p>
    <w:p w14:paraId="7E131784" w14:textId="77777777" w:rsidR="006220A2" w:rsidRPr="0083433F" w:rsidRDefault="006220A2" w:rsidP="00D67C6B">
      <w:pPr>
        <w:keepNext/>
        <w:keepLines/>
        <w:widowControl w:val="0"/>
        <w:spacing w:before="120" w:after="120" w:line="260" w:lineRule="exact"/>
        <w:jc w:val="both"/>
        <w:outlineLvl w:val="9"/>
        <w:rPr>
          <w:snapToGrid w:val="0"/>
          <w:sz w:val="20"/>
          <w:szCs w:val="22"/>
        </w:rPr>
      </w:pPr>
      <w:r w:rsidRPr="0083433F">
        <w:rPr>
          <w:snapToGrid w:val="0"/>
          <w:sz w:val="20"/>
          <w:szCs w:val="22"/>
        </w:rPr>
        <w:t>La reserva legal podrá utilizarse para aumentar el capital social en la parte de su saldo que exceda del 10% del capital ya aumentado.</w:t>
      </w:r>
    </w:p>
    <w:p w14:paraId="3D7A2434" w14:textId="77777777" w:rsidR="006220A2" w:rsidRPr="00E23EC6" w:rsidRDefault="006220A2" w:rsidP="00D67C6B">
      <w:pPr>
        <w:widowControl w:val="0"/>
        <w:spacing w:before="120" w:after="120" w:line="260" w:lineRule="exact"/>
        <w:jc w:val="both"/>
        <w:outlineLvl w:val="9"/>
        <w:rPr>
          <w:snapToGrid w:val="0"/>
          <w:sz w:val="20"/>
          <w:szCs w:val="22"/>
        </w:rPr>
      </w:pPr>
      <w:r w:rsidRPr="0083433F">
        <w:rPr>
          <w:snapToGrid w:val="0"/>
          <w:sz w:val="20"/>
          <w:szCs w:val="22"/>
        </w:rPr>
        <w:t xml:space="preserve">Salvo para la finalidad mencionada anteriormente, y mientras no supere el 20% del capital social, </w:t>
      </w:r>
      <w:r w:rsidRPr="00E23EC6">
        <w:rPr>
          <w:snapToGrid w:val="0"/>
          <w:sz w:val="20"/>
          <w:szCs w:val="22"/>
        </w:rPr>
        <w:t>esta reserva sólo podrá destinarse a la compensación de pérdidas y siempre que no existan otras reservas disponibles suficientes para este fin.</w:t>
      </w:r>
    </w:p>
    <w:p w14:paraId="11CBC578" w14:textId="654FF26C" w:rsidR="006220A2" w:rsidRPr="0083433F" w:rsidRDefault="006220A2" w:rsidP="00D67C6B">
      <w:pPr>
        <w:widowControl w:val="0"/>
        <w:spacing w:before="120" w:after="120" w:line="260" w:lineRule="exact"/>
        <w:jc w:val="both"/>
        <w:outlineLvl w:val="9"/>
        <w:rPr>
          <w:snapToGrid w:val="0"/>
          <w:sz w:val="20"/>
          <w:szCs w:val="22"/>
        </w:rPr>
      </w:pPr>
      <w:r w:rsidRPr="00E23EC6">
        <w:rPr>
          <w:snapToGrid w:val="0"/>
          <w:sz w:val="20"/>
          <w:szCs w:val="22"/>
        </w:rPr>
        <w:t xml:space="preserve">La Sociedad no ha destinado importe alguno a reserva legal debido a que no ha obtenido beneficios en los ejercicios fiscales cerrados hasta el 31 de diciembre de </w:t>
      </w:r>
      <w:r w:rsidR="004261D1" w:rsidRPr="00E23EC6">
        <w:rPr>
          <w:snapToGrid w:val="0"/>
          <w:sz w:val="20"/>
          <w:szCs w:val="22"/>
        </w:rPr>
        <w:t>20</w:t>
      </w:r>
      <w:r w:rsidR="000322A4" w:rsidRPr="00E23EC6">
        <w:rPr>
          <w:snapToGrid w:val="0"/>
          <w:sz w:val="20"/>
          <w:szCs w:val="22"/>
        </w:rPr>
        <w:t>2</w:t>
      </w:r>
      <w:r w:rsidR="00CD5E24" w:rsidRPr="00E23EC6">
        <w:rPr>
          <w:snapToGrid w:val="0"/>
          <w:sz w:val="20"/>
          <w:szCs w:val="22"/>
        </w:rPr>
        <w:t>4</w:t>
      </w:r>
      <w:r w:rsidRPr="00E23EC6">
        <w:rPr>
          <w:snapToGrid w:val="0"/>
          <w:sz w:val="20"/>
          <w:szCs w:val="22"/>
        </w:rPr>
        <w:t>.</w:t>
      </w:r>
    </w:p>
    <w:p w14:paraId="70AD103E" w14:textId="77777777" w:rsidR="006220A2" w:rsidRPr="0083433F" w:rsidRDefault="006220A2">
      <w:pPr>
        <w:keepNext/>
        <w:keepLines/>
        <w:widowControl w:val="0"/>
        <w:numPr>
          <w:ilvl w:val="0"/>
          <w:numId w:val="11"/>
        </w:numPr>
        <w:pBdr>
          <w:top w:val="none" w:sz="0" w:space="0" w:color="auto"/>
          <w:left w:val="none" w:sz="0" w:space="0" w:color="auto"/>
          <w:bottom w:val="none" w:sz="0" w:space="0" w:color="auto"/>
          <w:right w:val="none" w:sz="0" w:space="0" w:color="auto"/>
          <w:between w:val="none" w:sz="0" w:space="0" w:color="auto"/>
          <w:bar w:val="none" w:sz="0" w:color="auto"/>
        </w:pBdr>
        <w:tabs>
          <w:tab w:val="clear" w:pos="720"/>
          <w:tab w:val="num" w:pos="284"/>
        </w:tabs>
        <w:spacing w:before="200"/>
        <w:ind w:left="0" w:firstLine="0"/>
        <w:outlineLvl w:val="9"/>
        <w:rPr>
          <w:i/>
          <w:sz w:val="20"/>
          <w:szCs w:val="22"/>
          <w:u w:val="single"/>
        </w:rPr>
      </w:pPr>
      <w:r w:rsidRPr="0083433F">
        <w:rPr>
          <w:i/>
          <w:sz w:val="20"/>
          <w:szCs w:val="22"/>
          <w:u w:val="single"/>
        </w:rPr>
        <w:t>Otras aportaciones de socios</w:t>
      </w:r>
    </w:p>
    <w:p w14:paraId="3A54FD0E" w14:textId="674C2470" w:rsidR="006220A2" w:rsidRPr="0083433F" w:rsidRDefault="006220A2" w:rsidP="00D67C6B">
      <w:pPr>
        <w:widowControl w:val="0"/>
        <w:spacing w:before="120" w:after="120" w:line="260" w:lineRule="exact"/>
        <w:jc w:val="both"/>
        <w:outlineLvl w:val="9"/>
        <w:rPr>
          <w:snapToGrid w:val="0"/>
          <w:sz w:val="20"/>
          <w:szCs w:val="22"/>
        </w:rPr>
      </w:pPr>
      <w:r w:rsidRPr="0083433F">
        <w:rPr>
          <w:snapToGrid w:val="0"/>
          <w:sz w:val="20"/>
          <w:szCs w:val="22"/>
        </w:rPr>
        <w:t>El importe contabilizado en este epígrafe se corresponde con la transferencia concedida y dev</w:t>
      </w:r>
      <w:r w:rsidR="004261D1" w:rsidRPr="0083433F">
        <w:rPr>
          <w:snapToGrid w:val="0"/>
          <w:sz w:val="20"/>
          <w:szCs w:val="22"/>
        </w:rPr>
        <w:t>engada a 31 de diciembre de 20</w:t>
      </w:r>
      <w:r w:rsidR="000322A4">
        <w:rPr>
          <w:snapToGrid w:val="0"/>
          <w:sz w:val="20"/>
          <w:szCs w:val="22"/>
        </w:rPr>
        <w:t>2</w:t>
      </w:r>
      <w:r w:rsidR="00CD5E24">
        <w:rPr>
          <w:snapToGrid w:val="0"/>
          <w:sz w:val="20"/>
          <w:szCs w:val="22"/>
        </w:rPr>
        <w:t>4</w:t>
      </w:r>
      <w:r w:rsidRPr="0083433F">
        <w:rPr>
          <w:snapToGrid w:val="0"/>
          <w:sz w:val="20"/>
          <w:szCs w:val="22"/>
        </w:rPr>
        <w:t xml:space="preserve">, por parte de la Consejería de </w:t>
      </w:r>
      <w:r w:rsidRPr="00274EE1">
        <w:rPr>
          <w:snapToGrid w:val="0"/>
          <w:sz w:val="20"/>
          <w:szCs w:val="22"/>
        </w:rPr>
        <w:t>Turismo</w:t>
      </w:r>
      <w:r w:rsidR="00814E7A">
        <w:rPr>
          <w:snapToGrid w:val="0"/>
          <w:sz w:val="20"/>
          <w:szCs w:val="22"/>
        </w:rPr>
        <w:t xml:space="preserve"> y Empleo</w:t>
      </w:r>
      <w:r w:rsidRPr="0083433F">
        <w:rPr>
          <w:snapToGrid w:val="0"/>
          <w:sz w:val="20"/>
          <w:szCs w:val="22"/>
        </w:rPr>
        <w:t xml:space="preserve"> para financiar déficits de explotación o gastos generales de funcionamiento de la empresa, a </w:t>
      </w:r>
      <w:r w:rsidR="004E7CD6" w:rsidRPr="0083433F">
        <w:rPr>
          <w:snapToGrid w:val="0"/>
          <w:sz w:val="20"/>
          <w:szCs w:val="22"/>
        </w:rPr>
        <w:t>continuación,</w:t>
      </w:r>
      <w:r w:rsidRPr="0083433F">
        <w:rPr>
          <w:snapToGrid w:val="0"/>
          <w:sz w:val="20"/>
          <w:szCs w:val="22"/>
        </w:rPr>
        <w:t xml:space="preserve"> se detalla la misma:</w:t>
      </w:r>
    </w:p>
    <w:tbl>
      <w:tblPr>
        <w:tblW w:w="5000" w:type="pct"/>
        <w:jc w:val="center"/>
        <w:tblCellMar>
          <w:left w:w="70" w:type="dxa"/>
          <w:right w:w="70" w:type="dxa"/>
        </w:tblCellMar>
        <w:tblLook w:val="04A0" w:firstRow="1" w:lastRow="0" w:firstColumn="1" w:lastColumn="0" w:noHBand="0" w:noVBand="1"/>
      </w:tblPr>
      <w:tblGrid>
        <w:gridCol w:w="4681"/>
        <w:gridCol w:w="699"/>
        <w:gridCol w:w="1820"/>
        <w:gridCol w:w="1581"/>
      </w:tblGrid>
      <w:tr w:rsidR="000322A4" w:rsidRPr="00176BA0" w14:paraId="644F20B4" w14:textId="77777777" w:rsidTr="00CD5E24">
        <w:trPr>
          <w:trHeight w:val="283"/>
          <w:jc w:val="center"/>
        </w:trPr>
        <w:tc>
          <w:tcPr>
            <w:tcW w:w="2666" w:type="pct"/>
            <w:tcBorders>
              <w:top w:val="single" w:sz="4" w:space="0" w:color="auto"/>
              <w:left w:val="nil"/>
              <w:bottom w:val="nil"/>
              <w:right w:val="nil"/>
            </w:tcBorders>
            <w:shd w:val="clear" w:color="auto" w:fill="auto"/>
            <w:vAlign w:val="center"/>
            <w:hideMark/>
          </w:tcPr>
          <w:p w14:paraId="697CD687" w14:textId="77777777" w:rsidR="000322A4" w:rsidRPr="00176BA0" w:rsidRDefault="000322A4" w:rsidP="00176BA0">
            <w:pPr>
              <w:pBdr>
                <w:top w:val="none" w:sz="0" w:space="0" w:color="auto"/>
                <w:left w:val="none" w:sz="0" w:space="0" w:color="auto"/>
                <w:bottom w:val="none" w:sz="0" w:space="0" w:color="auto"/>
                <w:right w:val="none" w:sz="0" w:space="0" w:color="auto"/>
                <w:between w:val="none" w:sz="0" w:space="0" w:color="auto"/>
                <w:bar w:val="none" w:sz="0" w:color="auto"/>
              </w:pBdr>
              <w:ind w:left="217"/>
              <w:jc w:val="center"/>
              <w:outlineLvl w:val="9"/>
              <w:rPr>
                <w:rFonts w:eastAsia="Times New Roman"/>
                <w:sz w:val="18"/>
                <w:szCs w:val="18"/>
                <w:bdr w:val="none" w:sz="0" w:space="0" w:color="auto"/>
                <w:lang w:eastAsia="es-ES"/>
              </w:rPr>
            </w:pPr>
            <w:r w:rsidRPr="00176BA0">
              <w:rPr>
                <w:rFonts w:eastAsia="Times New Roman"/>
                <w:sz w:val="18"/>
                <w:szCs w:val="18"/>
                <w:bdr w:val="none" w:sz="0" w:space="0" w:color="auto"/>
                <w:lang w:eastAsia="es-ES"/>
              </w:rPr>
              <w:t> </w:t>
            </w:r>
          </w:p>
        </w:tc>
        <w:tc>
          <w:tcPr>
            <w:tcW w:w="398" w:type="pct"/>
            <w:tcBorders>
              <w:top w:val="single" w:sz="4" w:space="0" w:color="auto"/>
              <w:left w:val="nil"/>
              <w:bottom w:val="nil"/>
              <w:right w:val="nil"/>
            </w:tcBorders>
            <w:shd w:val="clear" w:color="auto" w:fill="auto"/>
            <w:vAlign w:val="center"/>
            <w:hideMark/>
          </w:tcPr>
          <w:p w14:paraId="753EEE14" w14:textId="77777777" w:rsidR="000322A4" w:rsidRPr="00176BA0" w:rsidRDefault="000322A4" w:rsidP="000322A4">
            <w:pPr>
              <w:pBdr>
                <w:top w:val="none" w:sz="0" w:space="0" w:color="auto"/>
                <w:left w:val="none" w:sz="0" w:space="0" w:color="auto"/>
                <w:bottom w:val="none" w:sz="0" w:space="0" w:color="auto"/>
                <w:right w:val="none" w:sz="0" w:space="0" w:color="auto"/>
                <w:between w:val="none" w:sz="0" w:space="0" w:color="auto"/>
                <w:bar w:val="none" w:sz="0" w:color="auto"/>
              </w:pBdr>
              <w:jc w:val="center"/>
              <w:outlineLvl w:val="9"/>
              <w:rPr>
                <w:rFonts w:eastAsia="Times New Roman"/>
                <w:sz w:val="18"/>
                <w:szCs w:val="18"/>
                <w:bdr w:val="none" w:sz="0" w:space="0" w:color="auto"/>
                <w:lang w:eastAsia="es-ES"/>
              </w:rPr>
            </w:pPr>
            <w:r w:rsidRPr="00176BA0">
              <w:rPr>
                <w:rFonts w:eastAsia="Times New Roman"/>
                <w:sz w:val="18"/>
                <w:szCs w:val="18"/>
                <w:bdr w:val="none" w:sz="0" w:space="0" w:color="auto"/>
                <w:lang w:eastAsia="es-ES"/>
              </w:rPr>
              <w:t> </w:t>
            </w:r>
          </w:p>
        </w:tc>
        <w:tc>
          <w:tcPr>
            <w:tcW w:w="1936" w:type="pct"/>
            <w:gridSpan w:val="2"/>
            <w:tcBorders>
              <w:top w:val="single" w:sz="4" w:space="0" w:color="auto"/>
              <w:left w:val="nil"/>
              <w:bottom w:val="single" w:sz="4" w:space="0" w:color="auto"/>
              <w:right w:val="nil"/>
            </w:tcBorders>
            <w:shd w:val="clear" w:color="auto" w:fill="auto"/>
            <w:vAlign w:val="bottom"/>
            <w:hideMark/>
          </w:tcPr>
          <w:p w14:paraId="0A406AD5" w14:textId="77777777" w:rsidR="000322A4" w:rsidRPr="00176BA0" w:rsidRDefault="000322A4" w:rsidP="00DA79F6">
            <w:pPr>
              <w:pBdr>
                <w:top w:val="none" w:sz="0" w:space="0" w:color="auto"/>
                <w:left w:val="none" w:sz="0" w:space="0" w:color="auto"/>
                <w:bottom w:val="none" w:sz="0" w:space="0" w:color="auto"/>
                <w:right w:val="none" w:sz="0" w:space="0" w:color="auto"/>
                <w:between w:val="none" w:sz="0" w:space="0" w:color="auto"/>
                <w:bar w:val="none" w:sz="0" w:color="auto"/>
              </w:pBdr>
              <w:jc w:val="center"/>
              <w:outlineLvl w:val="9"/>
              <w:rPr>
                <w:rFonts w:eastAsia="Times New Roman"/>
                <w:b/>
                <w:bCs/>
                <w:sz w:val="18"/>
                <w:szCs w:val="18"/>
                <w:bdr w:val="none" w:sz="0" w:space="0" w:color="auto"/>
                <w:lang w:eastAsia="es-ES"/>
              </w:rPr>
            </w:pPr>
            <w:r w:rsidRPr="00176BA0">
              <w:rPr>
                <w:rFonts w:eastAsia="Times New Roman"/>
                <w:b/>
                <w:bCs/>
                <w:sz w:val="18"/>
                <w:szCs w:val="18"/>
                <w:bdr w:val="none" w:sz="0" w:space="0" w:color="auto"/>
                <w:lang w:eastAsia="es-ES"/>
              </w:rPr>
              <w:t>Euros</w:t>
            </w:r>
          </w:p>
        </w:tc>
      </w:tr>
      <w:tr w:rsidR="00BE57E2" w:rsidRPr="00176BA0" w14:paraId="35D16DC1" w14:textId="77777777" w:rsidTr="00CD5E24">
        <w:trPr>
          <w:trHeight w:val="283"/>
          <w:jc w:val="center"/>
        </w:trPr>
        <w:tc>
          <w:tcPr>
            <w:tcW w:w="2666" w:type="pct"/>
            <w:tcBorders>
              <w:top w:val="nil"/>
              <w:left w:val="nil"/>
              <w:bottom w:val="single" w:sz="4" w:space="0" w:color="auto"/>
              <w:right w:val="nil"/>
            </w:tcBorders>
            <w:shd w:val="clear" w:color="auto" w:fill="auto"/>
            <w:vAlign w:val="center"/>
            <w:hideMark/>
          </w:tcPr>
          <w:p w14:paraId="4AA6837D" w14:textId="77777777" w:rsidR="00BE57E2" w:rsidRPr="00176BA0" w:rsidRDefault="00BE57E2" w:rsidP="00BE57E2">
            <w:pPr>
              <w:pBdr>
                <w:top w:val="none" w:sz="0" w:space="0" w:color="auto"/>
                <w:left w:val="none" w:sz="0" w:space="0" w:color="auto"/>
                <w:bottom w:val="none" w:sz="0" w:space="0" w:color="auto"/>
                <w:right w:val="none" w:sz="0" w:space="0" w:color="auto"/>
                <w:between w:val="none" w:sz="0" w:space="0" w:color="auto"/>
                <w:bar w:val="none" w:sz="0" w:color="auto"/>
              </w:pBdr>
              <w:ind w:left="217" w:firstLineChars="200" w:firstLine="360"/>
              <w:outlineLvl w:val="9"/>
              <w:rPr>
                <w:rFonts w:eastAsia="Times New Roman"/>
                <w:sz w:val="18"/>
                <w:szCs w:val="18"/>
                <w:bdr w:val="none" w:sz="0" w:space="0" w:color="auto"/>
                <w:lang w:eastAsia="es-ES"/>
              </w:rPr>
            </w:pPr>
            <w:r w:rsidRPr="00176BA0">
              <w:rPr>
                <w:rFonts w:eastAsia="Times New Roman"/>
                <w:sz w:val="18"/>
                <w:szCs w:val="18"/>
                <w:bdr w:val="none" w:sz="0" w:space="0" w:color="auto"/>
                <w:lang w:eastAsia="es-ES"/>
              </w:rPr>
              <w:t> </w:t>
            </w:r>
          </w:p>
        </w:tc>
        <w:tc>
          <w:tcPr>
            <w:tcW w:w="398" w:type="pct"/>
            <w:tcBorders>
              <w:top w:val="nil"/>
              <w:left w:val="nil"/>
              <w:bottom w:val="single" w:sz="4" w:space="0" w:color="auto"/>
              <w:right w:val="nil"/>
            </w:tcBorders>
            <w:shd w:val="clear" w:color="auto" w:fill="auto"/>
            <w:vAlign w:val="center"/>
            <w:hideMark/>
          </w:tcPr>
          <w:p w14:paraId="710F340A" w14:textId="77777777" w:rsidR="00BE57E2" w:rsidRPr="00176BA0" w:rsidRDefault="00BE57E2" w:rsidP="00BE57E2">
            <w:pPr>
              <w:pBdr>
                <w:top w:val="none" w:sz="0" w:space="0" w:color="auto"/>
                <w:left w:val="none" w:sz="0" w:space="0" w:color="auto"/>
                <w:bottom w:val="none" w:sz="0" w:space="0" w:color="auto"/>
                <w:right w:val="none" w:sz="0" w:space="0" w:color="auto"/>
                <w:between w:val="none" w:sz="0" w:space="0" w:color="auto"/>
                <w:bar w:val="none" w:sz="0" w:color="auto"/>
              </w:pBdr>
              <w:ind w:firstLineChars="200" w:firstLine="360"/>
              <w:outlineLvl w:val="9"/>
              <w:rPr>
                <w:rFonts w:eastAsia="Times New Roman"/>
                <w:sz w:val="18"/>
                <w:szCs w:val="18"/>
                <w:bdr w:val="none" w:sz="0" w:space="0" w:color="auto"/>
                <w:lang w:eastAsia="es-ES"/>
              </w:rPr>
            </w:pPr>
            <w:r w:rsidRPr="00176BA0">
              <w:rPr>
                <w:rFonts w:eastAsia="Times New Roman"/>
                <w:sz w:val="18"/>
                <w:szCs w:val="18"/>
                <w:bdr w:val="none" w:sz="0" w:space="0" w:color="auto"/>
                <w:lang w:eastAsia="es-ES"/>
              </w:rPr>
              <w:t> </w:t>
            </w:r>
          </w:p>
        </w:tc>
        <w:tc>
          <w:tcPr>
            <w:tcW w:w="1036" w:type="pct"/>
            <w:tcBorders>
              <w:top w:val="nil"/>
              <w:left w:val="nil"/>
              <w:bottom w:val="single" w:sz="4" w:space="0" w:color="auto"/>
              <w:right w:val="nil"/>
            </w:tcBorders>
            <w:shd w:val="clear" w:color="auto" w:fill="auto"/>
            <w:vAlign w:val="bottom"/>
            <w:hideMark/>
          </w:tcPr>
          <w:p w14:paraId="6F4C5778" w14:textId="0B2A29BE" w:rsidR="00BE57E2" w:rsidRPr="00176BA0" w:rsidRDefault="00B9729C" w:rsidP="00BE57E2">
            <w:pPr>
              <w:pBdr>
                <w:top w:val="none" w:sz="0" w:space="0" w:color="auto"/>
                <w:left w:val="none" w:sz="0" w:space="0" w:color="auto"/>
                <w:bottom w:val="none" w:sz="0" w:space="0" w:color="auto"/>
                <w:right w:val="none" w:sz="0" w:space="0" w:color="auto"/>
                <w:between w:val="none" w:sz="0" w:space="0" w:color="auto"/>
                <w:bar w:val="none" w:sz="0" w:color="auto"/>
              </w:pBdr>
              <w:jc w:val="center"/>
              <w:outlineLvl w:val="9"/>
              <w:rPr>
                <w:rFonts w:eastAsia="Times New Roman"/>
                <w:b/>
                <w:bCs/>
                <w:sz w:val="18"/>
                <w:szCs w:val="18"/>
                <w:bdr w:val="none" w:sz="0" w:space="0" w:color="auto"/>
                <w:lang w:eastAsia="es-ES"/>
              </w:rPr>
            </w:pPr>
            <w:r>
              <w:rPr>
                <w:b/>
                <w:bCs/>
                <w:sz w:val="18"/>
                <w:szCs w:val="18"/>
              </w:rPr>
              <w:t>31/12/</w:t>
            </w:r>
            <w:r w:rsidR="00BE57E2" w:rsidRPr="00176BA0">
              <w:rPr>
                <w:b/>
                <w:bCs/>
                <w:sz w:val="18"/>
                <w:szCs w:val="18"/>
              </w:rPr>
              <w:t>202</w:t>
            </w:r>
            <w:r w:rsidR="00CD5E24">
              <w:rPr>
                <w:b/>
                <w:bCs/>
                <w:sz w:val="18"/>
                <w:szCs w:val="18"/>
              </w:rPr>
              <w:t>4</w:t>
            </w:r>
          </w:p>
        </w:tc>
        <w:tc>
          <w:tcPr>
            <w:tcW w:w="900" w:type="pct"/>
            <w:tcBorders>
              <w:top w:val="nil"/>
              <w:left w:val="nil"/>
              <w:bottom w:val="single" w:sz="4" w:space="0" w:color="auto"/>
              <w:right w:val="nil"/>
            </w:tcBorders>
            <w:shd w:val="clear" w:color="auto" w:fill="auto"/>
            <w:vAlign w:val="bottom"/>
            <w:hideMark/>
          </w:tcPr>
          <w:p w14:paraId="5EC48FE7" w14:textId="0EAC07D1" w:rsidR="00BE57E2" w:rsidRPr="00176BA0" w:rsidRDefault="00B9729C" w:rsidP="00BE57E2">
            <w:pPr>
              <w:pBdr>
                <w:top w:val="none" w:sz="0" w:space="0" w:color="auto"/>
                <w:left w:val="none" w:sz="0" w:space="0" w:color="auto"/>
                <w:bottom w:val="none" w:sz="0" w:space="0" w:color="auto"/>
                <w:right w:val="none" w:sz="0" w:space="0" w:color="auto"/>
                <w:between w:val="none" w:sz="0" w:space="0" w:color="auto"/>
                <w:bar w:val="none" w:sz="0" w:color="auto"/>
              </w:pBdr>
              <w:jc w:val="center"/>
              <w:outlineLvl w:val="9"/>
              <w:rPr>
                <w:rFonts w:eastAsia="Times New Roman"/>
                <w:b/>
                <w:bCs/>
                <w:sz w:val="18"/>
                <w:szCs w:val="18"/>
                <w:bdr w:val="none" w:sz="0" w:space="0" w:color="auto"/>
                <w:lang w:eastAsia="es-ES"/>
              </w:rPr>
            </w:pPr>
            <w:r>
              <w:rPr>
                <w:b/>
                <w:bCs/>
                <w:sz w:val="18"/>
                <w:szCs w:val="18"/>
              </w:rPr>
              <w:t>31/12/</w:t>
            </w:r>
            <w:r w:rsidR="00BE57E2" w:rsidRPr="00176BA0">
              <w:rPr>
                <w:b/>
                <w:bCs/>
                <w:sz w:val="18"/>
                <w:szCs w:val="18"/>
              </w:rPr>
              <w:t>202</w:t>
            </w:r>
            <w:r w:rsidR="00CD5E24">
              <w:rPr>
                <w:b/>
                <w:bCs/>
                <w:sz w:val="18"/>
                <w:szCs w:val="18"/>
              </w:rPr>
              <w:t>3</w:t>
            </w:r>
          </w:p>
        </w:tc>
      </w:tr>
      <w:tr w:rsidR="00643910" w:rsidRPr="00176BA0" w14:paraId="1C78B6DE" w14:textId="77777777" w:rsidTr="00CD5E24">
        <w:trPr>
          <w:trHeight w:val="283"/>
          <w:jc w:val="center"/>
        </w:trPr>
        <w:tc>
          <w:tcPr>
            <w:tcW w:w="2666" w:type="pct"/>
            <w:tcBorders>
              <w:top w:val="nil"/>
              <w:left w:val="nil"/>
              <w:bottom w:val="single" w:sz="4" w:space="0" w:color="auto"/>
              <w:right w:val="nil"/>
            </w:tcBorders>
            <w:shd w:val="clear" w:color="auto" w:fill="auto"/>
            <w:vAlign w:val="center"/>
            <w:hideMark/>
          </w:tcPr>
          <w:p w14:paraId="3E6C60FA" w14:textId="77777777" w:rsidR="00643910" w:rsidRPr="00176BA0" w:rsidRDefault="00643910" w:rsidP="00501BC9">
            <w:pPr>
              <w:pBdr>
                <w:top w:val="none" w:sz="0" w:space="0" w:color="auto"/>
                <w:left w:val="none" w:sz="0" w:space="0" w:color="auto"/>
                <w:bottom w:val="none" w:sz="0" w:space="0" w:color="auto"/>
                <w:right w:val="none" w:sz="0" w:space="0" w:color="auto"/>
                <w:between w:val="none" w:sz="0" w:space="0" w:color="auto"/>
                <w:bar w:val="none" w:sz="0" w:color="auto"/>
              </w:pBdr>
              <w:ind w:left="217"/>
              <w:outlineLvl w:val="9"/>
              <w:rPr>
                <w:rFonts w:eastAsia="Times New Roman"/>
                <w:sz w:val="18"/>
                <w:szCs w:val="18"/>
                <w:bdr w:val="none" w:sz="0" w:space="0" w:color="auto"/>
                <w:lang w:eastAsia="es-ES"/>
              </w:rPr>
            </w:pPr>
            <w:r w:rsidRPr="00176BA0">
              <w:rPr>
                <w:rFonts w:eastAsia="Times New Roman"/>
                <w:sz w:val="18"/>
                <w:szCs w:val="18"/>
                <w:bdr w:val="none" w:sz="0" w:space="0" w:color="auto"/>
                <w:lang w:eastAsia="es-ES"/>
              </w:rPr>
              <w:t>Transferencia para gastos de explotación</w:t>
            </w:r>
          </w:p>
        </w:tc>
        <w:tc>
          <w:tcPr>
            <w:tcW w:w="398" w:type="pct"/>
            <w:tcBorders>
              <w:top w:val="nil"/>
              <w:left w:val="nil"/>
              <w:bottom w:val="single" w:sz="4" w:space="0" w:color="auto"/>
              <w:right w:val="nil"/>
            </w:tcBorders>
            <w:shd w:val="clear" w:color="auto" w:fill="auto"/>
            <w:vAlign w:val="center"/>
            <w:hideMark/>
          </w:tcPr>
          <w:p w14:paraId="5ED124D2" w14:textId="77777777" w:rsidR="00643910" w:rsidRPr="00176BA0" w:rsidRDefault="00643910" w:rsidP="00643910">
            <w:pPr>
              <w:pBdr>
                <w:top w:val="none" w:sz="0" w:space="0" w:color="auto"/>
                <w:left w:val="none" w:sz="0" w:space="0" w:color="auto"/>
                <w:bottom w:val="none" w:sz="0" w:space="0" w:color="auto"/>
                <w:right w:val="none" w:sz="0" w:space="0" w:color="auto"/>
                <w:between w:val="none" w:sz="0" w:space="0" w:color="auto"/>
                <w:bar w:val="none" w:sz="0" w:color="auto"/>
              </w:pBdr>
              <w:outlineLvl w:val="9"/>
              <w:rPr>
                <w:rFonts w:eastAsia="Times New Roman"/>
                <w:sz w:val="18"/>
                <w:szCs w:val="18"/>
                <w:bdr w:val="none" w:sz="0" w:space="0" w:color="auto"/>
                <w:lang w:eastAsia="es-ES"/>
              </w:rPr>
            </w:pPr>
            <w:r w:rsidRPr="00176BA0">
              <w:rPr>
                <w:rFonts w:eastAsia="Times New Roman"/>
                <w:sz w:val="18"/>
                <w:szCs w:val="18"/>
                <w:bdr w:val="none" w:sz="0" w:space="0" w:color="auto"/>
                <w:lang w:eastAsia="es-ES"/>
              </w:rPr>
              <w:t> </w:t>
            </w:r>
          </w:p>
        </w:tc>
        <w:tc>
          <w:tcPr>
            <w:tcW w:w="1036" w:type="pct"/>
            <w:tcBorders>
              <w:top w:val="nil"/>
              <w:left w:val="nil"/>
              <w:bottom w:val="single" w:sz="4" w:space="0" w:color="auto"/>
              <w:right w:val="nil"/>
            </w:tcBorders>
            <w:shd w:val="clear" w:color="auto" w:fill="auto"/>
            <w:vAlign w:val="center"/>
          </w:tcPr>
          <w:p w14:paraId="187E6981" w14:textId="2434FEEF" w:rsidR="00643910" w:rsidRPr="009C5B93" w:rsidRDefault="00643910" w:rsidP="00643910">
            <w:pPr>
              <w:pBdr>
                <w:top w:val="none" w:sz="0" w:space="0" w:color="auto"/>
                <w:left w:val="none" w:sz="0" w:space="0" w:color="auto"/>
                <w:bottom w:val="none" w:sz="0" w:space="0" w:color="auto"/>
                <w:right w:val="none" w:sz="0" w:space="0" w:color="auto"/>
                <w:between w:val="none" w:sz="0" w:space="0" w:color="auto"/>
                <w:bar w:val="none" w:sz="0" w:color="auto"/>
              </w:pBdr>
              <w:ind w:right="268" w:firstLineChars="200" w:firstLine="360"/>
              <w:jc w:val="center"/>
              <w:outlineLvl w:val="9"/>
              <w:rPr>
                <w:rFonts w:eastAsia="Times New Roman"/>
                <w:sz w:val="18"/>
                <w:szCs w:val="18"/>
                <w:bdr w:val="none" w:sz="0" w:space="0" w:color="auto"/>
                <w:lang w:eastAsia="es-ES"/>
              </w:rPr>
            </w:pPr>
            <w:r>
              <w:rPr>
                <w:sz w:val="18"/>
                <w:szCs w:val="18"/>
              </w:rPr>
              <w:t>3.590.000,00</w:t>
            </w:r>
          </w:p>
        </w:tc>
        <w:tc>
          <w:tcPr>
            <w:tcW w:w="900" w:type="pct"/>
            <w:tcBorders>
              <w:top w:val="nil"/>
              <w:left w:val="nil"/>
              <w:bottom w:val="single" w:sz="4" w:space="0" w:color="auto"/>
              <w:right w:val="nil"/>
            </w:tcBorders>
            <w:shd w:val="clear" w:color="auto" w:fill="auto"/>
            <w:vAlign w:val="center"/>
            <w:hideMark/>
          </w:tcPr>
          <w:p w14:paraId="44A22BD7" w14:textId="4126E156" w:rsidR="00643910" w:rsidRPr="00176BA0" w:rsidRDefault="00643910" w:rsidP="00643910">
            <w:pPr>
              <w:pBdr>
                <w:top w:val="none" w:sz="0" w:space="0" w:color="auto"/>
                <w:left w:val="none" w:sz="0" w:space="0" w:color="auto"/>
                <w:bottom w:val="none" w:sz="0" w:space="0" w:color="auto"/>
                <w:right w:val="none" w:sz="0" w:space="0" w:color="auto"/>
                <w:between w:val="none" w:sz="0" w:space="0" w:color="auto"/>
                <w:bar w:val="none" w:sz="0" w:color="auto"/>
              </w:pBdr>
              <w:jc w:val="center"/>
              <w:outlineLvl w:val="9"/>
              <w:rPr>
                <w:rFonts w:eastAsia="Times New Roman"/>
                <w:sz w:val="18"/>
                <w:szCs w:val="18"/>
                <w:bdr w:val="none" w:sz="0" w:space="0" w:color="auto"/>
                <w:lang w:eastAsia="es-ES"/>
              </w:rPr>
            </w:pPr>
            <w:r>
              <w:rPr>
                <w:sz w:val="18"/>
                <w:szCs w:val="18"/>
              </w:rPr>
              <w:t>3.577.139,00</w:t>
            </w:r>
          </w:p>
        </w:tc>
      </w:tr>
      <w:tr w:rsidR="00643910" w:rsidRPr="00176BA0" w14:paraId="691422A6" w14:textId="77777777" w:rsidTr="00CD5E24">
        <w:trPr>
          <w:trHeight w:val="283"/>
          <w:jc w:val="center"/>
        </w:trPr>
        <w:tc>
          <w:tcPr>
            <w:tcW w:w="2666" w:type="pct"/>
            <w:tcBorders>
              <w:top w:val="nil"/>
              <w:left w:val="nil"/>
              <w:bottom w:val="single" w:sz="4" w:space="0" w:color="auto"/>
              <w:right w:val="nil"/>
            </w:tcBorders>
            <w:shd w:val="clear" w:color="auto" w:fill="auto"/>
            <w:vAlign w:val="center"/>
            <w:hideMark/>
          </w:tcPr>
          <w:p w14:paraId="5E0C1B5E" w14:textId="545B23CE" w:rsidR="00643910" w:rsidRPr="00643910" w:rsidRDefault="00643910" w:rsidP="00501BC9">
            <w:pPr>
              <w:pBdr>
                <w:top w:val="none" w:sz="0" w:space="0" w:color="auto"/>
                <w:left w:val="none" w:sz="0" w:space="0" w:color="auto"/>
                <w:bottom w:val="none" w:sz="0" w:space="0" w:color="auto"/>
                <w:right w:val="none" w:sz="0" w:space="0" w:color="auto"/>
                <w:between w:val="none" w:sz="0" w:space="0" w:color="auto"/>
                <w:bar w:val="none" w:sz="0" w:color="auto"/>
              </w:pBdr>
              <w:ind w:leftChars="84" w:left="209" w:hangingChars="4" w:hanging="7"/>
              <w:outlineLvl w:val="9"/>
              <w:rPr>
                <w:rFonts w:eastAsia="Times New Roman"/>
                <w:b/>
                <w:bCs/>
                <w:sz w:val="18"/>
                <w:szCs w:val="18"/>
                <w:bdr w:val="none" w:sz="0" w:space="0" w:color="auto"/>
                <w:lang w:eastAsia="es-ES"/>
              </w:rPr>
            </w:pPr>
            <w:r w:rsidRPr="00643910">
              <w:rPr>
                <w:rFonts w:eastAsia="Times New Roman"/>
                <w:b/>
                <w:bCs/>
                <w:sz w:val="18"/>
                <w:szCs w:val="18"/>
                <w:bdr w:val="none" w:sz="0" w:space="0" w:color="auto"/>
                <w:lang w:eastAsia="es-ES"/>
              </w:rPr>
              <w:t> Total</w:t>
            </w:r>
          </w:p>
        </w:tc>
        <w:tc>
          <w:tcPr>
            <w:tcW w:w="398" w:type="pct"/>
            <w:tcBorders>
              <w:top w:val="nil"/>
              <w:left w:val="nil"/>
              <w:bottom w:val="single" w:sz="4" w:space="0" w:color="auto"/>
              <w:right w:val="nil"/>
            </w:tcBorders>
            <w:shd w:val="clear" w:color="auto" w:fill="auto"/>
            <w:vAlign w:val="center"/>
            <w:hideMark/>
          </w:tcPr>
          <w:p w14:paraId="1182D23F" w14:textId="77777777" w:rsidR="00643910" w:rsidRPr="00176BA0" w:rsidRDefault="00643910" w:rsidP="00643910">
            <w:pPr>
              <w:pBdr>
                <w:top w:val="none" w:sz="0" w:space="0" w:color="auto"/>
                <w:left w:val="none" w:sz="0" w:space="0" w:color="auto"/>
                <w:bottom w:val="none" w:sz="0" w:space="0" w:color="auto"/>
                <w:right w:val="none" w:sz="0" w:space="0" w:color="auto"/>
                <w:between w:val="none" w:sz="0" w:space="0" w:color="auto"/>
                <w:bar w:val="none" w:sz="0" w:color="auto"/>
              </w:pBdr>
              <w:ind w:firstLineChars="200" w:firstLine="360"/>
              <w:outlineLvl w:val="9"/>
              <w:rPr>
                <w:rFonts w:eastAsia="Times New Roman"/>
                <w:sz w:val="18"/>
                <w:szCs w:val="18"/>
                <w:bdr w:val="none" w:sz="0" w:space="0" w:color="auto"/>
                <w:lang w:eastAsia="es-ES"/>
              </w:rPr>
            </w:pPr>
            <w:r w:rsidRPr="00176BA0">
              <w:rPr>
                <w:rFonts w:eastAsia="Times New Roman"/>
                <w:sz w:val="18"/>
                <w:szCs w:val="18"/>
                <w:bdr w:val="none" w:sz="0" w:space="0" w:color="auto"/>
                <w:lang w:eastAsia="es-ES"/>
              </w:rPr>
              <w:t> </w:t>
            </w:r>
          </w:p>
        </w:tc>
        <w:tc>
          <w:tcPr>
            <w:tcW w:w="1036" w:type="pct"/>
            <w:tcBorders>
              <w:top w:val="nil"/>
              <w:left w:val="nil"/>
              <w:bottom w:val="single" w:sz="4" w:space="0" w:color="auto"/>
              <w:right w:val="nil"/>
            </w:tcBorders>
            <w:shd w:val="clear" w:color="auto" w:fill="auto"/>
            <w:vAlign w:val="center"/>
          </w:tcPr>
          <w:p w14:paraId="62C88058" w14:textId="2024DAC9" w:rsidR="00643910" w:rsidRPr="009C5B93" w:rsidRDefault="00643910" w:rsidP="00643910">
            <w:pPr>
              <w:pBdr>
                <w:top w:val="none" w:sz="0" w:space="0" w:color="auto"/>
                <w:left w:val="none" w:sz="0" w:space="0" w:color="auto"/>
                <w:bottom w:val="none" w:sz="0" w:space="0" w:color="auto"/>
                <w:right w:val="none" w:sz="0" w:space="0" w:color="auto"/>
                <w:between w:val="none" w:sz="0" w:space="0" w:color="auto"/>
                <w:bar w:val="none" w:sz="0" w:color="auto"/>
              </w:pBdr>
              <w:ind w:right="268" w:firstLineChars="200" w:firstLine="361"/>
              <w:jc w:val="center"/>
              <w:outlineLvl w:val="9"/>
              <w:rPr>
                <w:rFonts w:eastAsia="Times New Roman"/>
                <w:b/>
                <w:bCs/>
                <w:sz w:val="18"/>
                <w:szCs w:val="18"/>
                <w:bdr w:val="none" w:sz="0" w:space="0" w:color="auto"/>
                <w:lang w:eastAsia="es-ES"/>
              </w:rPr>
            </w:pPr>
            <w:r>
              <w:rPr>
                <w:b/>
                <w:bCs/>
                <w:sz w:val="18"/>
                <w:szCs w:val="18"/>
              </w:rPr>
              <w:t>3.590.000,00</w:t>
            </w:r>
          </w:p>
        </w:tc>
        <w:tc>
          <w:tcPr>
            <w:tcW w:w="900" w:type="pct"/>
            <w:tcBorders>
              <w:top w:val="nil"/>
              <w:left w:val="nil"/>
              <w:bottom w:val="single" w:sz="4" w:space="0" w:color="auto"/>
              <w:right w:val="nil"/>
            </w:tcBorders>
            <w:shd w:val="clear" w:color="auto" w:fill="auto"/>
            <w:vAlign w:val="center"/>
            <w:hideMark/>
          </w:tcPr>
          <w:p w14:paraId="40F0986B" w14:textId="00632612" w:rsidR="00643910" w:rsidRPr="009C5B93" w:rsidRDefault="00643910" w:rsidP="00643910">
            <w:pPr>
              <w:pBdr>
                <w:top w:val="none" w:sz="0" w:space="0" w:color="auto"/>
                <w:left w:val="none" w:sz="0" w:space="0" w:color="auto"/>
                <w:bottom w:val="none" w:sz="0" w:space="0" w:color="auto"/>
                <w:right w:val="none" w:sz="0" w:space="0" w:color="auto"/>
                <w:between w:val="none" w:sz="0" w:space="0" w:color="auto"/>
                <w:bar w:val="none" w:sz="0" w:color="auto"/>
              </w:pBdr>
              <w:jc w:val="center"/>
              <w:outlineLvl w:val="9"/>
              <w:rPr>
                <w:rFonts w:eastAsia="Times New Roman"/>
                <w:b/>
                <w:bCs/>
                <w:sz w:val="18"/>
                <w:szCs w:val="18"/>
                <w:bdr w:val="none" w:sz="0" w:space="0" w:color="auto"/>
                <w:lang w:eastAsia="es-ES"/>
              </w:rPr>
            </w:pPr>
            <w:r w:rsidRPr="009C5B93">
              <w:rPr>
                <w:b/>
                <w:bCs/>
                <w:sz w:val="18"/>
                <w:szCs w:val="18"/>
              </w:rPr>
              <w:t>3.577.139,00</w:t>
            </w:r>
          </w:p>
        </w:tc>
      </w:tr>
    </w:tbl>
    <w:p w14:paraId="44823C15" w14:textId="5C778403" w:rsidR="00176BA0" w:rsidRDefault="00176BA0" w:rsidP="006220A2">
      <w:pPr>
        <w:widowControl w:val="0"/>
        <w:tabs>
          <w:tab w:val="num" w:pos="644"/>
        </w:tabs>
        <w:rPr>
          <w:b/>
          <w:sz w:val="22"/>
          <w:szCs w:val="22"/>
        </w:rPr>
      </w:pPr>
    </w:p>
    <w:p w14:paraId="7010524F" w14:textId="77777777" w:rsidR="00176BA0" w:rsidRDefault="00176BA0">
      <w:pPr>
        <w:pBdr>
          <w:top w:val="none" w:sz="0" w:space="0" w:color="auto"/>
          <w:left w:val="none" w:sz="0" w:space="0" w:color="auto"/>
          <w:bottom w:val="none" w:sz="0" w:space="0" w:color="auto"/>
          <w:right w:val="none" w:sz="0" w:space="0" w:color="auto"/>
          <w:between w:val="none" w:sz="0" w:space="0" w:color="auto"/>
          <w:bar w:val="none" w:sz="0" w:color="auto"/>
        </w:pBdr>
        <w:outlineLvl w:val="9"/>
        <w:rPr>
          <w:b/>
          <w:sz w:val="22"/>
          <w:szCs w:val="22"/>
        </w:rPr>
      </w:pPr>
      <w:r>
        <w:rPr>
          <w:b/>
          <w:sz w:val="22"/>
          <w:szCs w:val="22"/>
        </w:rPr>
        <w:br w:type="page"/>
      </w:r>
    </w:p>
    <w:p w14:paraId="020B26A7" w14:textId="145920A6" w:rsidR="006220A2" w:rsidRPr="0083433F" w:rsidRDefault="003E75F6" w:rsidP="00052BF5">
      <w:pPr>
        <w:widowControl w:val="0"/>
        <w:numPr>
          <w:ilvl w:val="0"/>
          <w:numId w:val="6"/>
        </w:numPr>
        <w:pBdr>
          <w:top w:val="none" w:sz="0" w:space="0" w:color="auto"/>
          <w:left w:val="none" w:sz="0" w:space="0" w:color="auto"/>
          <w:bottom w:val="none" w:sz="0" w:space="0" w:color="auto"/>
          <w:right w:val="none" w:sz="0" w:space="0" w:color="auto"/>
          <w:between w:val="none" w:sz="0" w:space="0" w:color="auto"/>
          <w:bar w:val="none" w:sz="0" w:color="auto"/>
        </w:pBdr>
        <w:spacing w:after="120" w:line="280" w:lineRule="exact"/>
        <w:ind w:left="284" w:hanging="284"/>
        <w:outlineLvl w:val="9"/>
        <w:rPr>
          <w:b/>
          <w:snapToGrid w:val="0"/>
          <w:sz w:val="22"/>
          <w:szCs w:val="22"/>
        </w:rPr>
      </w:pPr>
      <w:r>
        <w:rPr>
          <w:b/>
          <w:snapToGrid w:val="0"/>
          <w:sz w:val="22"/>
          <w:szCs w:val="22"/>
        </w:rPr>
        <w:lastRenderedPageBreak/>
        <w:t xml:space="preserve"> </w:t>
      </w:r>
      <w:r w:rsidR="006220A2" w:rsidRPr="0083433F">
        <w:rPr>
          <w:b/>
          <w:snapToGrid w:val="0"/>
          <w:sz w:val="22"/>
          <w:szCs w:val="22"/>
        </w:rPr>
        <w:t>Gestión del riesgo financiero</w:t>
      </w:r>
    </w:p>
    <w:p w14:paraId="00D68467" w14:textId="77777777" w:rsidR="006220A2" w:rsidRPr="0083433F" w:rsidRDefault="006220A2" w:rsidP="00322988">
      <w:pPr>
        <w:keepNext/>
        <w:keepLines/>
        <w:widowControl w:val="0"/>
        <w:spacing w:before="200"/>
        <w:rPr>
          <w:b/>
          <w:sz w:val="20"/>
          <w:u w:val="single"/>
        </w:rPr>
      </w:pPr>
      <w:r w:rsidRPr="0083433F">
        <w:rPr>
          <w:b/>
          <w:sz w:val="20"/>
        </w:rPr>
        <w:t>9.1 Factores de riesgo financiero</w:t>
      </w:r>
    </w:p>
    <w:p w14:paraId="40A20B95" w14:textId="77777777" w:rsidR="006220A2" w:rsidRPr="00176BA0" w:rsidRDefault="006220A2" w:rsidP="00D67C6B">
      <w:pPr>
        <w:widowControl w:val="0"/>
        <w:spacing w:before="120" w:after="120" w:line="260" w:lineRule="exact"/>
        <w:jc w:val="both"/>
        <w:outlineLvl w:val="9"/>
        <w:rPr>
          <w:snapToGrid w:val="0"/>
          <w:sz w:val="20"/>
          <w:szCs w:val="22"/>
        </w:rPr>
      </w:pPr>
      <w:r w:rsidRPr="00176BA0">
        <w:rPr>
          <w:snapToGrid w:val="0"/>
          <w:sz w:val="20"/>
          <w:szCs w:val="22"/>
        </w:rPr>
        <w:t xml:space="preserve">Las actividades de la Sociedad están expuestas a riesgo de mercado. El programa de gestión del riesgo global de la Sociedad se centra en la incertidumbre de los mercados financieros y trata de minimizar los efectos potenciales adversos sobre su rentabilidad financiera. </w:t>
      </w:r>
    </w:p>
    <w:p w14:paraId="23A32B64" w14:textId="77777777" w:rsidR="006220A2" w:rsidRPr="00176BA0" w:rsidRDefault="006220A2" w:rsidP="00D67C6B">
      <w:pPr>
        <w:widowControl w:val="0"/>
        <w:spacing w:before="120" w:after="120" w:line="260" w:lineRule="exact"/>
        <w:jc w:val="both"/>
        <w:outlineLvl w:val="9"/>
        <w:rPr>
          <w:snapToGrid w:val="0"/>
          <w:sz w:val="20"/>
          <w:szCs w:val="22"/>
        </w:rPr>
      </w:pPr>
      <w:r w:rsidRPr="00176BA0">
        <w:rPr>
          <w:snapToGrid w:val="0"/>
          <w:sz w:val="20"/>
          <w:szCs w:val="22"/>
        </w:rPr>
        <w:t xml:space="preserve">La gestión del riesgo está controlada por la Dirección Financiera de la </w:t>
      </w:r>
      <w:r w:rsidR="00716A99" w:rsidRPr="00176BA0">
        <w:rPr>
          <w:snapToGrid w:val="0"/>
          <w:sz w:val="20"/>
          <w:szCs w:val="22"/>
        </w:rPr>
        <w:t>Sociedad que</w:t>
      </w:r>
      <w:r w:rsidRPr="00176BA0">
        <w:rPr>
          <w:snapToGrid w:val="0"/>
          <w:sz w:val="20"/>
          <w:szCs w:val="22"/>
        </w:rPr>
        <w:t xml:space="preserve"> identifica, evalúa y cubre los riesgos financieros con arreglo a las políticas aprobadas por el Consejo de Administración. El Consejo proporciona políticas para la gestión del riesgo global.</w:t>
      </w:r>
    </w:p>
    <w:p w14:paraId="45C46103" w14:textId="77777777" w:rsidR="006220A2" w:rsidRPr="0083433F" w:rsidRDefault="006220A2" w:rsidP="006220A2">
      <w:pPr>
        <w:widowControl w:val="0"/>
        <w:spacing w:before="200"/>
        <w:rPr>
          <w:sz w:val="20"/>
        </w:rPr>
      </w:pPr>
      <w:r w:rsidRPr="0083433F">
        <w:rPr>
          <w:b/>
          <w:sz w:val="20"/>
        </w:rPr>
        <w:t>9.2 Riesgo de mercado</w:t>
      </w:r>
    </w:p>
    <w:p w14:paraId="19CA8716" w14:textId="77777777" w:rsidR="006220A2" w:rsidRPr="00EB1533" w:rsidRDefault="006220A2" w:rsidP="00D67C6B">
      <w:pPr>
        <w:widowControl w:val="0"/>
        <w:spacing w:before="120" w:after="120" w:line="260" w:lineRule="exact"/>
        <w:jc w:val="both"/>
        <w:outlineLvl w:val="9"/>
        <w:rPr>
          <w:snapToGrid w:val="0"/>
          <w:sz w:val="20"/>
          <w:szCs w:val="22"/>
        </w:rPr>
      </w:pPr>
      <w:r w:rsidRPr="00176BA0">
        <w:rPr>
          <w:snapToGrid w:val="0"/>
          <w:sz w:val="20"/>
          <w:szCs w:val="22"/>
        </w:rPr>
        <w:t xml:space="preserve">Riesgo de tipo de cambio: las operaciones en moneda extranjera de </w:t>
      </w:r>
      <w:smartTag w:uri="urn:schemas-microsoft-com:office:smarttags" w:element="PersonName">
        <w:smartTagPr>
          <w:attr w:name="ProductID" w:val="la Sociedad"/>
        </w:smartTagPr>
        <w:r w:rsidRPr="00176BA0">
          <w:rPr>
            <w:snapToGrid w:val="0"/>
            <w:sz w:val="20"/>
            <w:szCs w:val="22"/>
          </w:rPr>
          <w:t>la Sociedad</w:t>
        </w:r>
      </w:smartTag>
      <w:r w:rsidRPr="00176BA0">
        <w:rPr>
          <w:snapToGrid w:val="0"/>
          <w:sz w:val="20"/>
          <w:szCs w:val="22"/>
        </w:rPr>
        <w:t xml:space="preserve"> tienen un volumen poco </w:t>
      </w:r>
      <w:r w:rsidRPr="00EB1533">
        <w:rPr>
          <w:snapToGrid w:val="0"/>
          <w:sz w:val="20"/>
          <w:szCs w:val="22"/>
        </w:rPr>
        <w:t>significativo.</w:t>
      </w:r>
    </w:p>
    <w:p w14:paraId="09AD060D" w14:textId="77777777" w:rsidR="006220A2" w:rsidRPr="00EB1533" w:rsidRDefault="006220A2" w:rsidP="00D34C69">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160"/>
        <w:rPr>
          <w:snapToGrid w:val="0"/>
          <w:sz w:val="22"/>
          <w:szCs w:val="22"/>
        </w:rPr>
      </w:pPr>
    </w:p>
    <w:p w14:paraId="4DCDD6E5" w14:textId="111E5BC4" w:rsidR="006220A2" w:rsidRPr="00EB1533" w:rsidRDefault="006220A2" w:rsidP="00052BF5">
      <w:pPr>
        <w:widowControl w:val="0"/>
        <w:numPr>
          <w:ilvl w:val="0"/>
          <w:numId w:val="6"/>
        </w:numPr>
        <w:pBdr>
          <w:top w:val="none" w:sz="0" w:space="0" w:color="auto"/>
          <w:left w:val="none" w:sz="0" w:space="0" w:color="auto"/>
          <w:bottom w:val="none" w:sz="0" w:space="0" w:color="auto"/>
          <w:right w:val="none" w:sz="0" w:space="0" w:color="auto"/>
          <w:between w:val="none" w:sz="0" w:space="0" w:color="auto"/>
          <w:bar w:val="none" w:sz="0" w:color="auto"/>
        </w:pBdr>
        <w:spacing w:after="120" w:line="280" w:lineRule="exact"/>
        <w:ind w:left="284" w:hanging="284"/>
        <w:outlineLvl w:val="9"/>
        <w:rPr>
          <w:b/>
          <w:snapToGrid w:val="0"/>
          <w:sz w:val="22"/>
          <w:szCs w:val="22"/>
        </w:rPr>
      </w:pPr>
      <w:bookmarkStart w:id="6" w:name="_Hlk193350133"/>
      <w:r w:rsidRPr="00EB1533">
        <w:rPr>
          <w:b/>
          <w:snapToGrid w:val="0"/>
          <w:sz w:val="22"/>
          <w:szCs w:val="22"/>
        </w:rPr>
        <w:t xml:space="preserve"> Moneda Extranjera</w:t>
      </w:r>
    </w:p>
    <w:p w14:paraId="6CB9F58B" w14:textId="77777777" w:rsidR="006220A2" w:rsidRPr="00EB1533" w:rsidRDefault="006220A2">
      <w:pPr>
        <w:keepNext/>
        <w:keepLines/>
        <w:widowControl w:val="0"/>
        <w:numPr>
          <w:ilvl w:val="0"/>
          <w:numId w:val="10"/>
        </w:numPr>
        <w:pBdr>
          <w:top w:val="none" w:sz="0" w:space="0" w:color="auto"/>
          <w:left w:val="none" w:sz="0" w:space="0" w:color="auto"/>
          <w:bottom w:val="none" w:sz="0" w:space="0" w:color="auto"/>
          <w:right w:val="none" w:sz="0" w:space="0" w:color="auto"/>
          <w:between w:val="none" w:sz="0" w:space="0" w:color="auto"/>
          <w:bar w:val="none" w:sz="0" w:color="auto"/>
        </w:pBdr>
        <w:tabs>
          <w:tab w:val="clear" w:pos="360"/>
          <w:tab w:val="num" w:pos="284"/>
        </w:tabs>
        <w:spacing w:before="120" w:after="120"/>
        <w:ind w:left="284" w:hanging="284"/>
        <w:outlineLvl w:val="9"/>
        <w:rPr>
          <w:i/>
          <w:sz w:val="20"/>
          <w:szCs w:val="22"/>
          <w:u w:val="single"/>
        </w:rPr>
      </w:pPr>
      <w:r w:rsidRPr="00EB1533">
        <w:rPr>
          <w:i/>
          <w:sz w:val="20"/>
          <w:szCs w:val="22"/>
          <w:u w:val="single"/>
        </w:rPr>
        <w:t>Transacciones en moneda extranjera</w:t>
      </w:r>
    </w:p>
    <w:p w14:paraId="350DB3FB" w14:textId="5F8E0FB9" w:rsidR="006220A2" w:rsidRPr="00EB1533" w:rsidRDefault="006220A2" w:rsidP="00D67C6B">
      <w:pPr>
        <w:widowControl w:val="0"/>
        <w:spacing w:before="120" w:after="120" w:line="260" w:lineRule="exact"/>
        <w:jc w:val="both"/>
        <w:outlineLvl w:val="9"/>
        <w:rPr>
          <w:snapToGrid w:val="0"/>
          <w:sz w:val="20"/>
          <w:szCs w:val="22"/>
        </w:rPr>
      </w:pPr>
      <w:r w:rsidRPr="00EB1533">
        <w:rPr>
          <w:snapToGrid w:val="0"/>
          <w:sz w:val="20"/>
          <w:szCs w:val="22"/>
        </w:rPr>
        <w:t>Las transacciones que se ha</w:t>
      </w:r>
      <w:r w:rsidR="003E1A27" w:rsidRPr="00EB1533">
        <w:rPr>
          <w:snapToGrid w:val="0"/>
          <w:sz w:val="20"/>
          <w:szCs w:val="22"/>
        </w:rPr>
        <w:t>n realizado en el ejercicio 20</w:t>
      </w:r>
      <w:r w:rsidR="00B6701C" w:rsidRPr="00EB1533">
        <w:rPr>
          <w:snapToGrid w:val="0"/>
          <w:sz w:val="20"/>
          <w:szCs w:val="22"/>
        </w:rPr>
        <w:t>2</w:t>
      </w:r>
      <w:r w:rsidR="00CD5E24" w:rsidRPr="00EB1533">
        <w:rPr>
          <w:snapToGrid w:val="0"/>
          <w:sz w:val="20"/>
          <w:szCs w:val="22"/>
        </w:rPr>
        <w:t>4</w:t>
      </w:r>
      <w:r w:rsidR="003E1A27" w:rsidRPr="00EB1533">
        <w:rPr>
          <w:snapToGrid w:val="0"/>
          <w:sz w:val="20"/>
          <w:szCs w:val="22"/>
        </w:rPr>
        <w:t xml:space="preserve"> y 20</w:t>
      </w:r>
      <w:r w:rsidR="00431587" w:rsidRPr="00EB1533">
        <w:rPr>
          <w:snapToGrid w:val="0"/>
          <w:sz w:val="20"/>
          <w:szCs w:val="22"/>
        </w:rPr>
        <w:t>2</w:t>
      </w:r>
      <w:r w:rsidR="00CD5E24" w:rsidRPr="00EB1533">
        <w:rPr>
          <w:snapToGrid w:val="0"/>
          <w:sz w:val="20"/>
          <w:szCs w:val="22"/>
        </w:rPr>
        <w:t>3</w:t>
      </w:r>
      <w:r w:rsidRPr="00EB1533">
        <w:rPr>
          <w:snapToGrid w:val="0"/>
          <w:sz w:val="20"/>
          <w:szCs w:val="22"/>
        </w:rPr>
        <w:t xml:space="preserve"> en moneda extranjera, distinguiendo por moneda son las siguientes (los datos están en euros):</w:t>
      </w:r>
    </w:p>
    <w:tbl>
      <w:tblPr>
        <w:tblW w:w="5000" w:type="pct"/>
        <w:jc w:val="center"/>
        <w:tblCellMar>
          <w:left w:w="70" w:type="dxa"/>
          <w:right w:w="70" w:type="dxa"/>
        </w:tblCellMar>
        <w:tblLook w:val="04A0" w:firstRow="1" w:lastRow="0" w:firstColumn="1" w:lastColumn="0" w:noHBand="0" w:noVBand="1"/>
      </w:tblPr>
      <w:tblGrid>
        <w:gridCol w:w="4011"/>
        <w:gridCol w:w="2385"/>
        <w:gridCol w:w="2385"/>
      </w:tblGrid>
      <w:tr w:rsidR="00F92D2C" w:rsidRPr="00EB1533" w14:paraId="5710AEBE" w14:textId="77777777" w:rsidTr="00176BA0">
        <w:trPr>
          <w:trHeight w:val="283"/>
          <w:jc w:val="center"/>
        </w:trPr>
        <w:tc>
          <w:tcPr>
            <w:tcW w:w="2284" w:type="pct"/>
            <w:tcBorders>
              <w:top w:val="single" w:sz="4" w:space="0" w:color="auto"/>
              <w:left w:val="nil"/>
              <w:bottom w:val="nil"/>
              <w:right w:val="nil"/>
            </w:tcBorders>
            <w:shd w:val="clear" w:color="auto" w:fill="auto"/>
            <w:noWrap/>
            <w:vAlign w:val="bottom"/>
            <w:hideMark/>
          </w:tcPr>
          <w:p w14:paraId="69BE7FF8" w14:textId="77777777" w:rsidR="00F92D2C" w:rsidRPr="00EB1533" w:rsidRDefault="00F92D2C" w:rsidP="00176BA0">
            <w:pPr>
              <w:keepNext/>
              <w:keepLines/>
              <w:widowControl w:val="0"/>
              <w:pBdr>
                <w:top w:val="none" w:sz="0" w:space="0" w:color="auto"/>
                <w:left w:val="none" w:sz="0" w:space="0" w:color="auto"/>
                <w:bottom w:val="none" w:sz="0" w:space="0" w:color="auto"/>
                <w:right w:val="none" w:sz="0" w:space="0" w:color="auto"/>
                <w:between w:val="none" w:sz="0" w:space="0" w:color="auto"/>
                <w:bar w:val="none" w:sz="0" w:color="auto"/>
              </w:pBdr>
              <w:ind w:left="359"/>
              <w:outlineLvl w:val="9"/>
              <w:rPr>
                <w:rFonts w:eastAsia="Times New Roman"/>
                <w:sz w:val="18"/>
                <w:szCs w:val="18"/>
                <w:bdr w:val="none" w:sz="0" w:space="0" w:color="auto"/>
                <w:lang w:eastAsia="es-ES"/>
              </w:rPr>
            </w:pPr>
            <w:bookmarkStart w:id="7" w:name="_Hlk128585966"/>
            <w:r w:rsidRPr="00EB1533">
              <w:rPr>
                <w:rFonts w:eastAsia="Times New Roman"/>
                <w:sz w:val="18"/>
                <w:szCs w:val="18"/>
                <w:bdr w:val="none" w:sz="0" w:space="0" w:color="auto"/>
                <w:lang w:eastAsia="es-ES"/>
              </w:rPr>
              <w:t> </w:t>
            </w:r>
          </w:p>
        </w:tc>
        <w:tc>
          <w:tcPr>
            <w:tcW w:w="2716" w:type="pct"/>
            <w:gridSpan w:val="2"/>
            <w:tcBorders>
              <w:top w:val="single" w:sz="4" w:space="0" w:color="auto"/>
              <w:left w:val="nil"/>
              <w:bottom w:val="single" w:sz="4" w:space="0" w:color="auto"/>
              <w:right w:val="nil"/>
            </w:tcBorders>
            <w:shd w:val="clear" w:color="auto" w:fill="auto"/>
            <w:noWrap/>
            <w:vAlign w:val="bottom"/>
            <w:hideMark/>
          </w:tcPr>
          <w:p w14:paraId="4C403A7D" w14:textId="77777777" w:rsidR="00F92D2C" w:rsidRPr="00EB1533" w:rsidRDefault="00F92D2C" w:rsidP="00E204E5">
            <w:pPr>
              <w:keepNext/>
              <w:keepLines/>
              <w:widowControl w:val="0"/>
              <w:pBdr>
                <w:top w:val="none" w:sz="0" w:space="0" w:color="auto"/>
                <w:left w:val="none" w:sz="0" w:space="0" w:color="auto"/>
                <w:bottom w:val="none" w:sz="0" w:space="0" w:color="auto"/>
                <w:right w:val="none" w:sz="0" w:space="0" w:color="auto"/>
                <w:between w:val="none" w:sz="0" w:space="0" w:color="auto"/>
                <w:bar w:val="none" w:sz="0" w:color="auto"/>
              </w:pBdr>
              <w:jc w:val="center"/>
              <w:outlineLvl w:val="9"/>
              <w:rPr>
                <w:rFonts w:eastAsia="Times New Roman"/>
                <w:b/>
                <w:bCs/>
                <w:sz w:val="18"/>
                <w:szCs w:val="18"/>
                <w:bdr w:val="none" w:sz="0" w:space="0" w:color="auto"/>
                <w:lang w:eastAsia="es-ES"/>
              </w:rPr>
            </w:pPr>
            <w:r w:rsidRPr="00EB1533">
              <w:rPr>
                <w:rFonts w:eastAsia="Times New Roman"/>
                <w:b/>
                <w:bCs/>
                <w:sz w:val="18"/>
                <w:szCs w:val="18"/>
                <w:bdr w:val="none" w:sz="0" w:space="0" w:color="auto"/>
                <w:lang w:eastAsia="es-ES"/>
              </w:rPr>
              <w:t>Euros</w:t>
            </w:r>
          </w:p>
        </w:tc>
      </w:tr>
      <w:tr w:rsidR="00FF478C" w:rsidRPr="00EB1533" w14:paraId="070BBADA" w14:textId="77777777" w:rsidTr="00176BA0">
        <w:trPr>
          <w:trHeight w:val="283"/>
          <w:jc w:val="center"/>
        </w:trPr>
        <w:tc>
          <w:tcPr>
            <w:tcW w:w="2284" w:type="pct"/>
            <w:tcBorders>
              <w:top w:val="nil"/>
              <w:left w:val="nil"/>
              <w:bottom w:val="single" w:sz="4" w:space="0" w:color="auto"/>
              <w:right w:val="nil"/>
            </w:tcBorders>
            <w:shd w:val="clear" w:color="auto" w:fill="auto"/>
            <w:noWrap/>
            <w:vAlign w:val="bottom"/>
            <w:hideMark/>
          </w:tcPr>
          <w:p w14:paraId="360C86FD" w14:textId="77777777" w:rsidR="00FF478C" w:rsidRPr="00EB1533" w:rsidRDefault="00FF478C" w:rsidP="00FF478C">
            <w:pPr>
              <w:keepNext/>
              <w:keepLines/>
              <w:widowControl w:val="0"/>
              <w:pBdr>
                <w:top w:val="none" w:sz="0" w:space="0" w:color="auto"/>
                <w:left w:val="none" w:sz="0" w:space="0" w:color="auto"/>
                <w:bottom w:val="none" w:sz="0" w:space="0" w:color="auto"/>
                <w:right w:val="none" w:sz="0" w:space="0" w:color="auto"/>
                <w:between w:val="none" w:sz="0" w:space="0" w:color="auto"/>
                <w:bar w:val="none" w:sz="0" w:color="auto"/>
              </w:pBdr>
              <w:ind w:left="359"/>
              <w:outlineLvl w:val="9"/>
              <w:rPr>
                <w:rFonts w:eastAsia="Times New Roman"/>
                <w:sz w:val="18"/>
                <w:szCs w:val="18"/>
                <w:bdr w:val="none" w:sz="0" w:space="0" w:color="auto"/>
                <w:lang w:eastAsia="es-ES"/>
              </w:rPr>
            </w:pPr>
            <w:r w:rsidRPr="00EB1533">
              <w:rPr>
                <w:rFonts w:eastAsia="Times New Roman"/>
                <w:sz w:val="18"/>
                <w:szCs w:val="18"/>
                <w:bdr w:val="none" w:sz="0" w:space="0" w:color="auto"/>
                <w:lang w:eastAsia="es-ES"/>
              </w:rPr>
              <w:t> </w:t>
            </w:r>
          </w:p>
        </w:tc>
        <w:tc>
          <w:tcPr>
            <w:tcW w:w="1358" w:type="pct"/>
            <w:tcBorders>
              <w:top w:val="nil"/>
              <w:left w:val="nil"/>
              <w:bottom w:val="single" w:sz="4" w:space="0" w:color="auto"/>
              <w:right w:val="nil"/>
            </w:tcBorders>
            <w:shd w:val="clear" w:color="auto" w:fill="auto"/>
            <w:noWrap/>
            <w:vAlign w:val="bottom"/>
            <w:hideMark/>
          </w:tcPr>
          <w:p w14:paraId="19A37B31" w14:textId="4B68AB98" w:rsidR="00FF478C" w:rsidRPr="00EB1533" w:rsidRDefault="00FF478C" w:rsidP="00FF478C">
            <w:pPr>
              <w:keepNext/>
              <w:keepLines/>
              <w:widowControl w:val="0"/>
              <w:pBdr>
                <w:top w:val="none" w:sz="0" w:space="0" w:color="auto"/>
                <w:left w:val="none" w:sz="0" w:space="0" w:color="auto"/>
                <w:bottom w:val="none" w:sz="0" w:space="0" w:color="auto"/>
                <w:right w:val="none" w:sz="0" w:space="0" w:color="auto"/>
                <w:between w:val="none" w:sz="0" w:space="0" w:color="auto"/>
                <w:bar w:val="none" w:sz="0" w:color="auto"/>
              </w:pBdr>
              <w:jc w:val="center"/>
              <w:outlineLvl w:val="9"/>
              <w:rPr>
                <w:rFonts w:eastAsia="Times New Roman"/>
                <w:b/>
                <w:bCs/>
                <w:sz w:val="18"/>
                <w:szCs w:val="18"/>
                <w:bdr w:val="none" w:sz="0" w:space="0" w:color="auto"/>
                <w:lang w:eastAsia="es-ES"/>
              </w:rPr>
            </w:pPr>
            <w:r w:rsidRPr="00EB1533">
              <w:rPr>
                <w:rFonts w:eastAsia="Times New Roman"/>
                <w:b/>
                <w:bCs/>
                <w:sz w:val="18"/>
                <w:szCs w:val="18"/>
                <w:bdr w:val="none" w:sz="0" w:space="0" w:color="auto"/>
                <w:lang w:eastAsia="es-ES"/>
              </w:rPr>
              <w:t>202</w:t>
            </w:r>
            <w:r w:rsidR="00CD5E24" w:rsidRPr="00EB1533">
              <w:rPr>
                <w:rFonts w:eastAsia="Times New Roman"/>
                <w:b/>
                <w:bCs/>
                <w:sz w:val="18"/>
                <w:szCs w:val="18"/>
                <w:bdr w:val="none" w:sz="0" w:space="0" w:color="auto"/>
                <w:lang w:eastAsia="es-ES"/>
              </w:rPr>
              <w:t>4</w:t>
            </w:r>
          </w:p>
        </w:tc>
        <w:tc>
          <w:tcPr>
            <w:tcW w:w="1358" w:type="pct"/>
            <w:tcBorders>
              <w:top w:val="nil"/>
              <w:left w:val="nil"/>
              <w:bottom w:val="single" w:sz="4" w:space="0" w:color="auto"/>
              <w:right w:val="nil"/>
            </w:tcBorders>
            <w:shd w:val="clear" w:color="auto" w:fill="auto"/>
            <w:noWrap/>
            <w:vAlign w:val="bottom"/>
            <w:hideMark/>
          </w:tcPr>
          <w:p w14:paraId="2FB9D421" w14:textId="1E74C205" w:rsidR="00FF478C" w:rsidRPr="00EB1533" w:rsidRDefault="00FF478C" w:rsidP="00FF478C">
            <w:pPr>
              <w:keepNext/>
              <w:keepLines/>
              <w:widowControl w:val="0"/>
              <w:pBdr>
                <w:top w:val="none" w:sz="0" w:space="0" w:color="auto"/>
                <w:left w:val="none" w:sz="0" w:space="0" w:color="auto"/>
                <w:bottom w:val="none" w:sz="0" w:space="0" w:color="auto"/>
                <w:right w:val="none" w:sz="0" w:space="0" w:color="auto"/>
                <w:between w:val="none" w:sz="0" w:space="0" w:color="auto"/>
                <w:bar w:val="none" w:sz="0" w:color="auto"/>
              </w:pBdr>
              <w:jc w:val="center"/>
              <w:outlineLvl w:val="9"/>
              <w:rPr>
                <w:rFonts w:eastAsia="Times New Roman"/>
                <w:b/>
                <w:bCs/>
                <w:sz w:val="18"/>
                <w:szCs w:val="18"/>
                <w:bdr w:val="none" w:sz="0" w:space="0" w:color="auto"/>
                <w:lang w:eastAsia="es-ES"/>
              </w:rPr>
            </w:pPr>
            <w:r w:rsidRPr="00EB1533">
              <w:rPr>
                <w:rFonts w:eastAsia="Times New Roman"/>
                <w:b/>
                <w:bCs/>
                <w:sz w:val="18"/>
                <w:szCs w:val="18"/>
                <w:bdr w:val="none" w:sz="0" w:space="0" w:color="auto"/>
                <w:lang w:eastAsia="es-ES"/>
              </w:rPr>
              <w:t>202</w:t>
            </w:r>
            <w:r w:rsidR="00CD5E24" w:rsidRPr="00EB1533">
              <w:rPr>
                <w:rFonts w:eastAsia="Times New Roman"/>
                <w:b/>
                <w:bCs/>
                <w:sz w:val="18"/>
                <w:szCs w:val="18"/>
                <w:bdr w:val="none" w:sz="0" w:space="0" w:color="auto"/>
                <w:lang w:eastAsia="es-ES"/>
              </w:rPr>
              <w:t>3</w:t>
            </w:r>
          </w:p>
        </w:tc>
      </w:tr>
      <w:tr w:rsidR="00EB1533" w:rsidRPr="00EB1533" w14:paraId="262BB776" w14:textId="77777777" w:rsidTr="00176BA0">
        <w:trPr>
          <w:trHeight w:val="283"/>
          <w:jc w:val="center"/>
        </w:trPr>
        <w:tc>
          <w:tcPr>
            <w:tcW w:w="2284" w:type="pct"/>
            <w:tcBorders>
              <w:top w:val="nil"/>
              <w:left w:val="nil"/>
              <w:bottom w:val="nil"/>
              <w:right w:val="nil"/>
            </w:tcBorders>
            <w:shd w:val="clear" w:color="auto" w:fill="auto"/>
            <w:noWrap/>
            <w:vAlign w:val="center"/>
            <w:hideMark/>
          </w:tcPr>
          <w:p w14:paraId="680BEDE6" w14:textId="77777777" w:rsidR="00EB1533" w:rsidRPr="00EB1533" w:rsidRDefault="00EB1533" w:rsidP="00EB1533">
            <w:pPr>
              <w:keepNext/>
              <w:keepLines/>
              <w:widowControl w:val="0"/>
              <w:pBdr>
                <w:top w:val="none" w:sz="0" w:space="0" w:color="auto"/>
                <w:left w:val="none" w:sz="0" w:space="0" w:color="auto"/>
                <w:bottom w:val="none" w:sz="0" w:space="0" w:color="auto"/>
                <w:right w:val="none" w:sz="0" w:space="0" w:color="auto"/>
                <w:between w:val="none" w:sz="0" w:space="0" w:color="auto"/>
                <w:bar w:val="none" w:sz="0" w:color="auto"/>
              </w:pBdr>
              <w:ind w:left="359"/>
              <w:outlineLvl w:val="9"/>
              <w:rPr>
                <w:rFonts w:eastAsia="Times New Roman"/>
                <w:sz w:val="18"/>
                <w:szCs w:val="18"/>
                <w:bdr w:val="none" w:sz="0" w:space="0" w:color="auto"/>
                <w:lang w:eastAsia="es-ES"/>
              </w:rPr>
            </w:pPr>
            <w:r w:rsidRPr="00EB1533">
              <w:rPr>
                <w:rFonts w:eastAsia="Times New Roman"/>
                <w:sz w:val="18"/>
                <w:szCs w:val="18"/>
                <w:bdr w:val="none" w:sz="0" w:space="0" w:color="auto"/>
                <w:lang w:eastAsia="es-ES"/>
              </w:rPr>
              <w:t>REINO UNIDO</w:t>
            </w:r>
          </w:p>
        </w:tc>
        <w:tc>
          <w:tcPr>
            <w:tcW w:w="1358" w:type="pct"/>
            <w:tcBorders>
              <w:top w:val="nil"/>
              <w:left w:val="nil"/>
              <w:bottom w:val="nil"/>
              <w:right w:val="nil"/>
            </w:tcBorders>
            <w:shd w:val="clear" w:color="auto" w:fill="auto"/>
            <w:vAlign w:val="center"/>
          </w:tcPr>
          <w:p w14:paraId="2CB26CF1" w14:textId="3280482F" w:rsidR="00EB1533" w:rsidRPr="00EB1533" w:rsidRDefault="00EB1533" w:rsidP="00EB1533">
            <w:pPr>
              <w:keepNext/>
              <w:keepLines/>
              <w:widowControl w:val="0"/>
              <w:pBdr>
                <w:top w:val="none" w:sz="0" w:space="0" w:color="auto"/>
                <w:left w:val="none" w:sz="0" w:space="0" w:color="auto"/>
                <w:bottom w:val="none" w:sz="0" w:space="0" w:color="auto"/>
                <w:right w:val="none" w:sz="0" w:space="0" w:color="auto"/>
                <w:between w:val="none" w:sz="0" w:space="0" w:color="auto"/>
                <w:bar w:val="none" w:sz="0" w:color="auto"/>
              </w:pBdr>
              <w:jc w:val="right"/>
              <w:outlineLvl w:val="9"/>
              <w:rPr>
                <w:rFonts w:eastAsia="Times New Roman"/>
                <w:sz w:val="18"/>
                <w:szCs w:val="18"/>
                <w:bdr w:val="none" w:sz="0" w:space="0" w:color="auto"/>
                <w:lang w:eastAsia="es-ES"/>
              </w:rPr>
            </w:pPr>
            <w:r w:rsidRPr="00EB1533">
              <w:rPr>
                <w:sz w:val="18"/>
                <w:szCs w:val="18"/>
              </w:rPr>
              <w:t>519.432,02</w:t>
            </w:r>
          </w:p>
        </w:tc>
        <w:tc>
          <w:tcPr>
            <w:tcW w:w="1358" w:type="pct"/>
            <w:tcBorders>
              <w:top w:val="nil"/>
              <w:left w:val="nil"/>
              <w:bottom w:val="nil"/>
              <w:right w:val="nil"/>
            </w:tcBorders>
            <w:shd w:val="clear" w:color="auto" w:fill="auto"/>
            <w:vAlign w:val="center"/>
            <w:hideMark/>
          </w:tcPr>
          <w:p w14:paraId="540A31F7" w14:textId="7EDE534E" w:rsidR="00EB1533" w:rsidRPr="00EB1533" w:rsidRDefault="00EB1533" w:rsidP="00EB1533">
            <w:pPr>
              <w:keepNext/>
              <w:keepLines/>
              <w:widowControl w:val="0"/>
              <w:pBdr>
                <w:top w:val="none" w:sz="0" w:space="0" w:color="auto"/>
                <w:left w:val="none" w:sz="0" w:space="0" w:color="auto"/>
                <w:bottom w:val="none" w:sz="0" w:space="0" w:color="auto"/>
                <w:right w:val="none" w:sz="0" w:space="0" w:color="auto"/>
                <w:between w:val="none" w:sz="0" w:space="0" w:color="auto"/>
                <w:bar w:val="none" w:sz="0" w:color="auto"/>
              </w:pBdr>
              <w:jc w:val="right"/>
              <w:outlineLvl w:val="9"/>
              <w:rPr>
                <w:rFonts w:eastAsia="Times New Roman"/>
                <w:sz w:val="18"/>
                <w:szCs w:val="18"/>
                <w:bdr w:val="none" w:sz="0" w:space="0" w:color="auto"/>
                <w:lang w:eastAsia="es-ES"/>
              </w:rPr>
            </w:pPr>
            <w:r w:rsidRPr="00EB1533">
              <w:rPr>
                <w:sz w:val="18"/>
                <w:szCs w:val="18"/>
              </w:rPr>
              <w:t>462.462,70</w:t>
            </w:r>
          </w:p>
        </w:tc>
      </w:tr>
      <w:tr w:rsidR="00EB1533" w:rsidRPr="00EB1533" w14:paraId="68FEE260" w14:textId="77777777" w:rsidTr="00176BA0">
        <w:trPr>
          <w:trHeight w:val="283"/>
          <w:jc w:val="center"/>
        </w:trPr>
        <w:tc>
          <w:tcPr>
            <w:tcW w:w="2284" w:type="pct"/>
            <w:tcBorders>
              <w:top w:val="nil"/>
              <w:left w:val="nil"/>
              <w:bottom w:val="nil"/>
              <w:right w:val="nil"/>
            </w:tcBorders>
            <w:shd w:val="clear" w:color="auto" w:fill="auto"/>
            <w:noWrap/>
            <w:vAlign w:val="center"/>
            <w:hideMark/>
          </w:tcPr>
          <w:p w14:paraId="594373F7" w14:textId="77777777" w:rsidR="00EB1533" w:rsidRPr="00EB1533" w:rsidRDefault="00EB1533" w:rsidP="00EB1533">
            <w:pPr>
              <w:keepNext/>
              <w:keepLines/>
              <w:widowControl w:val="0"/>
              <w:pBdr>
                <w:top w:val="none" w:sz="0" w:space="0" w:color="auto"/>
                <w:left w:val="none" w:sz="0" w:space="0" w:color="auto"/>
                <w:bottom w:val="none" w:sz="0" w:space="0" w:color="auto"/>
                <w:right w:val="none" w:sz="0" w:space="0" w:color="auto"/>
                <w:between w:val="none" w:sz="0" w:space="0" w:color="auto"/>
                <w:bar w:val="none" w:sz="0" w:color="auto"/>
              </w:pBdr>
              <w:ind w:left="359"/>
              <w:outlineLvl w:val="9"/>
              <w:rPr>
                <w:rFonts w:eastAsia="Times New Roman"/>
                <w:sz w:val="18"/>
                <w:szCs w:val="18"/>
                <w:bdr w:val="none" w:sz="0" w:space="0" w:color="auto"/>
                <w:lang w:eastAsia="es-ES"/>
              </w:rPr>
            </w:pPr>
            <w:r w:rsidRPr="00EB1533">
              <w:rPr>
                <w:rFonts w:eastAsia="Times New Roman"/>
                <w:sz w:val="18"/>
                <w:szCs w:val="18"/>
                <w:bdr w:val="none" w:sz="0" w:space="0" w:color="auto"/>
                <w:lang w:eastAsia="es-ES"/>
              </w:rPr>
              <w:t>ESTADOS UNIDOS</w:t>
            </w:r>
          </w:p>
        </w:tc>
        <w:tc>
          <w:tcPr>
            <w:tcW w:w="1358" w:type="pct"/>
            <w:tcBorders>
              <w:top w:val="nil"/>
              <w:left w:val="nil"/>
              <w:bottom w:val="nil"/>
              <w:right w:val="nil"/>
            </w:tcBorders>
            <w:shd w:val="clear" w:color="auto" w:fill="auto"/>
            <w:vAlign w:val="center"/>
          </w:tcPr>
          <w:p w14:paraId="0BC4BB47" w14:textId="7E5DFB9A" w:rsidR="00EB1533" w:rsidRPr="00EB1533" w:rsidRDefault="00EB1533" w:rsidP="00EB1533">
            <w:pPr>
              <w:keepNext/>
              <w:keepLines/>
              <w:widowControl w:val="0"/>
              <w:pBdr>
                <w:top w:val="none" w:sz="0" w:space="0" w:color="auto"/>
                <w:left w:val="none" w:sz="0" w:space="0" w:color="auto"/>
                <w:bottom w:val="none" w:sz="0" w:space="0" w:color="auto"/>
                <w:right w:val="none" w:sz="0" w:space="0" w:color="auto"/>
                <w:between w:val="none" w:sz="0" w:space="0" w:color="auto"/>
                <w:bar w:val="none" w:sz="0" w:color="auto"/>
              </w:pBdr>
              <w:jc w:val="right"/>
              <w:outlineLvl w:val="9"/>
              <w:rPr>
                <w:rFonts w:eastAsia="Times New Roman"/>
                <w:sz w:val="18"/>
                <w:szCs w:val="18"/>
                <w:bdr w:val="none" w:sz="0" w:space="0" w:color="auto"/>
                <w:lang w:eastAsia="es-ES"/>
              </w:rPr>
            </w:pPr>
            <w:r w:rsidRPr="00EB1533">
              <w:rPr>
                <w:sz w:val="18"/>
                <w:szCs w:val="18"/>
              </w:rPr>
              <w:t>20,20</w:t>
            </w:r>
          </w:p>
        </w:tc>
        <w:tc>
          <w:tcPr>
            <w:tcW w:w="1358" w:type="pct"/>
            <w:tcBorders>
              <w:top w:val="nil"/>
              <w:left w:val="nil"/>
              <w:bottom w:val="nil"/>
              <w:right w:val="nil"/>
            </w:tcBorders>
            <w:shd w:val="clear" w:color="auto" w:fill="auto"/>
            <w:vAlign w:val="center"/>
            <w:hideMark/>
          </w:tcPr>
          <w:p w14:paraId="15513F87" w14:textId="483B0FE2" w:rsidR="00EB1533" w:rsidRPr="00EB1533" w:rsidRDefault="00EB1533" w:rsidP="00EB1533">
            <w:pPr>
              <w:keepNext/>
              <w:keepLines/>
              <w:widowControl w:val="0"/>
              <w:pBdr>
                <w:top w:val="none" w:sz="0" w:space="0" w:color="auto"/>
                <w:left w:val="none" w:sz="0" w:space="0" w:color="auto"/>
                <w:bottom w:val="none" w:sz="0" w:space="0" w:color="auto"/>
                <w:right w:val="none" w:sz="0" w:space="0" w:color="auto"/>
                <w:between w:val="none" w:sz="0" w:space="0" w:color="auto"/>
                <w:bar w:val="none" w:sz="0" w:color="auto"/>
              </w:pBdr>
              <w:jc w:val="right"/>
              <w:outlineLvl w:val="9"/>
              <w:rPr>
                <w:rFonts w:eastAsia="Times New Roman"/>
                <w:sz w:val="18"/>
                <w:szCs w:val="18"/>
                <w:bdr w:val="none" w:sz="0" w:space="0" w:color="auto"/>
                <w:lang w:eastAsia="es-ES"/>
              </w:rPr>
            </w:pPr>
            <w:r w:rsidRPr="00EB1533">
              <w:rPr>
                <w:sz w:val="18"/>
                <w:szCs w:val="18"/>
              </w:rPr>
              <w:t>1.827,07</w:t>
            </w:r>
          </w:p>
        </w:tc>
      </w:tr>
      <w:tr w:rsidR="00EB1533" w:rsidRPr="00EB1533" w14:paraId="33C66B55" w14:textId="77777777" w:rsidTr="00176BA0">
        <w:trPr>
          <w:trHeight w:val="283"/>
          <w:jc w:val="center"/>
        </w:trPr>
        <w:tc>
          <w:tcPr>
            <w:tcW w:w="2284" w:type="pct"/>
            <w:tcBorders>
              <w:top w:val="nil"/>
              <w:left w:val="nil"/>
              <w:bottom w:val="nil"/>
              <w:right w:val="nil"/>
            </w:tcBorders>
            <w:shd w:val="clear" w:color="auto" w:fill="auto"/>
            <w:noWrap/>
            <w:vAlign w:val="center"/>
          </w:tcPr>
          <w:p w14:paraId="291085AB" w14:textId="76219C87" w:rsidR="00EB1533" w:rsidRPr="00EB1533" w:rsidRDefault="00EB1533" w:rsidP="00EB1533">
            <w:pPr>
              <w:keepNext/>
              <w:keepLines/>
              <w:widowControl w:val="0"/>
              <w:pBdr>
                <w:top w:val="none" w:sz="0" w:space="0" w:color="auto"/>
                <w:left w:val="none" w:sz="0" w:space="0" w:color="auto"/>
                <w:bottom w:val="none" w:sz="0" w:space="0" w:color="auto"/>
                <w:right w:val="none" w:sz="0" w:space="0" w:color="auto"/>
                <w:between w:val="none" w:sz="0" w:space="0" w:color="auto"/>
                <w:bar w:val="none" w:sz="0" w:color="auto"/>
              </w:pBdr>
              <w:ind w:left="359"/>
              <w:outlineLvl w:val="9"/>
              <w:rPr>
                <w:rFonts w:eastAsia="Times New Roman"/>
                <w:sz w:val="18"/>
                <w:szCs w:val="18"/>
                <w:bdr w:val="none" w:sz="0" w:space="0" w:color="auto"/>
                <w:lang w:eastAsia="es-ES"/>
              </w:rPr>
            </w:pPr>
            <w:r w:rsidRPr="00EB1533">
              <w:rPr>
                <w:sz w:val="18"/>
                <w:szCs w:val="18"/>
              </w:rPr>
              <w:t>SUECIA</w:t>
            </w:r>
          </w:p>
        </w:tc>
        <w:tc>
          <w:tcPr>
            <w:tcW w:w="1358" w:type="pct"/>
            <w:tcBorders>
              <w:top w:val="nil"/>
              <w:left w:val="nil"/>
              <w:bottom w:val="nil"/>
              <w:right w:val="nil"/>
            </w:tcBorders>
            <w:shd w:val="clear" w:color="auto" w:fill="auto"/>
            <w:vAlign w:val="center"/>
          </w:tcPr>
          <w:p w14:paraId="79E4CB7B" w14:textId="6CEF924F" w:rsidR="00EB1533" w:rsidRPr="00EB1533" w:rsidRDefault="00EB1533" w:rsidP="00EB1533">
            <w:pPr>
              <w:keepNext/>
              <w:keepLines/>
              <w:widowControl w:val="0"/>
              <w:pBdr>
                <w:top w:val="none" w:sz="0" w:space="0" w:color="auto"/>
                <w:left w:val="none" w:sz="0" w:space="0" w:color="auto"/>
                <w:bottom w:val="none" w:sz="0" w:space="0" w:color="auto"/>
                <w:right w:val="none" w:sz="0" w:space="0" w:color="auto"/>
                <w:between w:val="none" w:sz="0" w:space="0" w:color="auto"/>
                <w:bar w:val="none" w:sz="0" w:color="auto"/>
              </w:pBdr>
              <w:jc w:val="right"/>
              <w:outlineLvl w:val="9"/>
              <w:rPr>
                <w:rFonts w:eastAsia="Times New Roman"/>
                <w:sz w:val="18"/>
                <w:szCs w:val="18"/>
                <w:bdr w:val="none" w:sz="0" w:space="0" w:color="auto"/>
                <w:lang w:eastAsia="es-ES"/>
              </w:rPr>
            </w:pPr>
            <w:r w:rsidRPr="00EB1533">
              <w:rPr>
                <w:sz w:val="18"/>
                <w:szCs w:val="18"/>
              </w:rPr>
              <w:t>11.697,68</w:t>
            </w:r>
          </w:p>
        </w:tc>
        <w:tc>
          <w:tcPr>
            <w:tcW w:w="1358" w:type="pct"/>
            <w:tcBorders>
              <w:top w:val="nil"/>
              <w:left w:val="nil"/>
              <w:bottom w:val="nil"/>
              <w:right w:val="nil"/>
            </w:tcBorders>
            <w:shd w:val="clear" w:color="auto" w:fill="auto"/>
            <w:vAlign w:val="center"/>
          </w:tcPr>
          <w:p w14:paraId="595F3022" w14:textId="00505744" w:rsidR="00EB1533" w:rsidRPr="00EB1533" w:rsidRDefault="00EB1533" w:rsidP="00EB1533">
            <w:pPr>
              <w:keepNext/>
              <w:keepLines/>
              <w:widowControl w:val="0"/>
              <w:pBdr>
                <w:top w:val="none" w:sz="0" w:space="0" w:color="auto"/>
                <w:left w:val="none" w:sz="0" w:space="0" w:color="auto"/>
                <w:bottom w:val="none" w:sz="0" w:space="0" w:color="auto"/>
                <w:right w:val="none" w:sz="0" w:space="0" w:color="auto"/>
                <w:between w:val="none" w:sz="0" w:space="0" w:color="auto"/>
                <w:bar w:val="none" w:sz="0" w:color="auto"/>
              </w:pBdr>
              <w:jc w:val="right"/>
              <w:outlineLvl w:val="9"/>
              <w:rPr>
                <w:rFonts w:eastAsia="Times New Roman"/>
                <w:sz w:val="18"/>
                <w:szCs w:val="18"/>
                <w:bdr w:val="none" w:sz="0" w:space="0" w:color="auto"/>
                <w:lang w:eastAsia="es-ES"/>
              </w:rPr>
            </w:pPr>
            <w:r w:rsidRPr="00EB1533">
              <w:rPr>
                <w:sz w:val="18"/>
                <w:szCs w:val="18"/>
              </w:rPr>
              <w:t>3.570,78</w:t>
            </w:r>
          </w:p>
        </w:tc>
      </w:tr>
      <w:tr w:rsidR="00EB1533" w:rsidRPr="00EB1533" w14:paraId="3F84BA86" w14:textId="77777777" w:rsidTr="00176BA0">
        <w:trPr>
          <w:trHeight w:val="283"/>
          <w:jc w:val="center"/>
        </w:trPr>
        <w:tc>
          <w:tcPr>
            <w:tcW w:w="2284" w:type="pct"/>
            <w:tcBorders>
              <w:top w:val="nil"/>
              <w:left w:val="nil"/>
              <w:bottom w:val="nil"/>
              <w:right w:val="nil"/>
            </w:tcBorders>
            <w:shd w:val="clear" w:color="auto" w:fill="auto"/>
            <w:noWrap/>
            <w:vAlign w:val="center"/>
          </w:tcPr>
          <w:p w14:paraId="6A70CF72" w14:textId="4BEF6DA8" w:rsidR="00EB1533" w:rsidRPr="00EB1533" w:rsidRDefault="00EB1533" w:rsidP="00EB1533">
            <w:pPr>
              <w:keepNext/>
              <w:keepLines/>
              <w:widowControl w:val="0"/>
              <w:pBdr>
                <w:top w:val="none" w:sz="0" w:space="0" w:color="auto"/>
                <w:left w:val="none" w:sz="0" w:space="0" w:color="auto"/>
                <w:bottom w:val="none" w:sz="0" w:space="0" w:color="auto"/>
                <w:right w:val="none" w:sz="0" w:space="0" w:color="auto"/>
                <w:between w:val="none" w:sz="0" w:space="0" w:color="auto"/>
                <w:bar w:val="none" w:sz="0" w:color="auto"/>
              </w:pBdr>
              <w:ind w:left="359"/>
              <w:outlineLvl w:val="9"/>
              <w:rPr>
                <w:sz w:val="18"/>
                <w:szCs w:val="18"/>
              </w:rPr>
            </w:pPr>
            <w:r w:rsidRPr="00EB1533">
              <w:rPr>
                <w:sz w:val="18"/>
                <w:szCs w:val="18"/>
              </w:rPr>
              <w:t>EMIRATOS ARABES</w:t>
            </w:r>
          </w:p>
        </w:tc>
        <w:tc>
          <w:tcPr>
            <w:tcW w:w="1358" w:type="pct"/>
            <w:tcBorders>
              <w:top w:val="nil"/>
              <w:left w:val="nil"/>
              <w:bottom w:val="nil"/>
              <w:right w:val="nil"/>
            </w:tcBorders>
            <w:shd w:val="clear" w:color="auto" w:fill="auto"/>
            <w:vAlign w:val="center"/>
          </w:tcPr>
          <w:p w14:paraId="04D32960" w14:textId="17B5F343" w:rsidR="00EB1533" w:rsidRPr="00EB1533" w:rsidRDefault="00EB1533" w:rsidP="00EB1533">
            <w:pPr>
              <w:keepNext/>
              <w:keepLines/>
              <w:widowControl w:val="0"/>
              <w:pBdr>
                <w:top w:val="none" w:sz="0" w:space="0" w:color="auto"/>
                <w:left w:val="none" w:sz="0" w:space="0" w:color="auto"/>
                <w:bottom w:val="none" w:sz="0" w:space="0" w:color="auto"/>
                <w:right w:val="none" w:sz="0" w:space="0" w:color="auto"/>
                <w:between w:val="none" w:sz="0" w:space="0" w:color="auto"/>
                <w:bar w:val="none" w:sz="0" w:color="auto"/>
              </w:pBdr>
              <w:jc w:val="right"/>
              <w:outlineLvl w:val="9"/>
              <w:rPr>
                <w:sz w:val="18"/>
                <w:szCs w:val="18"/>
              </w:rPr>
            </w:pPr>
            <w:r w:rsidRPr="00EB1533">
              <w:rPr>
                <w:sz w:val="18"/>
                <w:szCs w:val="18"/>
              </w:rPr>
              <w:t xml:space="preserve"> -</w:t>
            </w:r>
          </w:p>
        </w:tc>
        <w:tc>
          <w:tcPr>
            <w:tcW w:w="1358" w:type="pct"/>
            <w:tcBorders>
              <w:top w:val="nil"/>
              <w:left w:val="nil"/>
              <w:bottom w:val="nil"/>
              <w:right w:val="nil"/>
            </w:tcBorders>
            <w:shd w:val="clear" w:color="auto" w:fill="auto"/>
            <w:vAlign w:val="center"/>
          </w:tcPr>
          <w:p w14:paraId="33E6FD00" w14:textId="4E725191" w:rsidR="00EB1533" w:rsidRPr="00EB1533" w:rsidRDefault="00EB1533" w:rsidP="00EB1533">
            <w:pPr>
              <w:keepNext/>
              <w:keepLines/>
              <w:widowControl w:val="0"/>
              <w:pBdr>
                <w:top w:val="none" w:sz="0" w:space="0" w:color="auto"/>
                <w:left w:val="none" w:sz="0" w:space="0" w:color="auto"/>
                <w:bottom w:val="none" w:sz="0" w:space="0" w:color="auto"/>
                <w:right w:val="none" w:sz="0" w:space="0" w:color="auto"/>
                <w:between w:val="none" w:sz="0" w:space="0" w:color="auto"/>
                <w:bar w:val="none" w:sz="0" w:color="auto"/>
              </w:pBdr>
              <w:jc w:val="right"/>
              <w:outlineLvl w:val="9"/>
              <w:rPr>
                <w:sz w:val="18"/>
                <w:szCs w:val="18"/>
              </w:rPr>
            </w:pPr>
            <w:r w:rsidRPr="00EB1533">
              <w:rPr>
                <w:sz w:val="18"/>
                <w:szCs w:val="18"/>
              </w:rPr>
              <w:t>119,95</w:t>
            </w:r>
          </w:p>
        </w:tc>
      </w:tr>
      <w:tr w:rsidR="00CD5E24" w:rsidRPr="00176BA0" w14:paraId="5A9581AF" w14:textId="77777777" w:rsidTr="00176BA0">
        <w:trPr>
          <w:trHeight w:val="283"/>
          <w:jc w:val="center"/>
        </w:trPr>
        <w:tc>
          <w:tcPr>
            <w:tcW w:w="2284" w:type="pct"/>
            <w:tcBorders>
              <w:top w:val="single" w:sz="4" w:space="0" w:color="auto"/>
              <w:left w:val="nil"/>
              <w:bottom w:val="single" w:sz="4" w:space="0" w:color="auto"/>
              <w:right w:val="nil"/>
            </w:tcBorders>
            <w:shd w:val="clear" w:color="auto" w:fill="auto"/>
            <w:noWrap/>
            <w:vAlign w:val="center"/>
            <w:hideMark/>
          </w:tcPr>
          <w:p w14:paraId="0809C9E3" w14:textId="77777777" w:rsidR="00CD5E24" w:rsidRPr="00EB1533" w:rsidRDefault="00CD5E24" w:rsidP="00CD5E24">
            <w:pPr>
              <w:keepNext/>
              <w:keepLines/>
              <w:widowControl w:val="0"/>
              <w:pBdr>
                <w:top w:val="none" w:sz="0" w:space="0" w:color="auto"/>
                <w:left w:val="none" w:sz="0" w:space="0" w:color="auto"/>
                <w:bottom w:val="none" w:sz="0" w:space="0" w:color="auto"/>
                <w:right w:val="none" w:sz="0" w:space="0" w:color="auto"/>
                <w:between w:val="none" w:sz="0" w:space="0" w:color="auto"/>
                <w:bar w:val="none" w:sz="0" w:color="auto"/>
              </w:pBdr>
              <w:ind w:left="359"/>
              <w:jc w:val="both"/>
              <w:outlineLvl w:val="9"/>
              <w:rPr>
                <w:rFonts w:eastAsia="Times New Roman"/>
                <w:b/>
                <w:bCs/>
                <w:sz w:val="18"/>
                <w:szCs w:val="18"/>
                <w:bdr w:val="none" w:sz="0" w:space="0" w:color="auto"/>
                <w:lang w:eastAsia="es-ES"/>
              </w:rPr>
            </w:pPr>
            <w:r w:rsidRPr="00EB1533">
              <w:rPr>
                <w:rFonts w:eastAsia="Times New Roman"/>
                <w:b/>
                <w:bCs/>
                <w:sz w:val="18"/>
                <w:szCs w:val="18"/>
                <w:bdr w:val="none" w:sz="0" w:space="0" w:color="auto"/>
                <w:lang w:eastAsia="es-ES"/>
              </w:rPr>
              <w:t>Total</w:t>
            </w:r>
          </w:p>
        </w:tc>
        <w:tc>
          <w:tcPr>
            <w:tcW w:w="1358" w:type="pct"/>
            <w:tcBorders>
              <w:top w:val="single" w:sz="4" w:space="0" w:color="auto"/>
              <w:left w:val="nil"/>
              <w:bottom w:val="single" w:sz="4" w:space="0" w:color="auto"/>
              <w:right w:val="nil"/>
            </w:tcBorders>
            <w:shd w:val="clear" w:color="auto" w:fill="auto"/>
            <w:vAlign w:val="center"/>
          </w:tcPr>
          <w:p w14:paraId="7A92B033" w14:textId="0B35E8E0" w:rsidR="00CD5E24" w:rsidRPr="00EB1533" w:rsidRDefault="00EB1533" w:rsidP="00EB1533">
            <w:pPr>
              <w:pBdr>
                <w:top w:val="none" w:sz="0" w:space="0" w:color="auto"/>
                <w:left w:val="none" w:sz="0" w:space="0" w:color="auto"/>
                <w:bottom w:val="none" w:sz="0" w:space="0" w:color="auto"/>
                <w:right w:val="none" w:sz="0" w:space="0" w:color="auto"/>
                <w:between w:val="none" w:sz="0" w:space="0" w:color="auto"/>
                <w:bar w:val="none" w:sz="0" w:color="auto"/>
              </w:pBdr>
              <w:jc w:val="right"/>
              <w:outlineLvl w:val="9"/>
              <w:rPr>
                <w:rFonts w:eastAsia="Times New Roman"/>
                <w:b/>
                <w:bCs/>
                <w:sz w:val="18"/>
                <w:szCs w:val="18"/>
                <w:bdr w:val="none" w:sz="0" w:space="0" w:color="auto"/>
                <w:lang w:eastAsia="es-ES"/>
              </w:rPr>
            </w:pPr>
            <w:r w:rsidRPr="00EB1533">
              <w:rPr>
                <w:b/>
                <w:bCs/>
                <w:sz w:val="18"/>
                <w:szCs w:val="18"/>
              </w:rPr>
              <w:t>531.149,90</w:t>
            </w:r>
          </w:p>
        </w:tc>
        <w:tc>
          <w:tcPr>
            <w:tcW w:w="1358" w:type="pct"/>
            <w:tcBorders>
              <w:top w:val="single" w:sz="4" w:space="0" w:color="auto"/>
              <w:left w:val="nil"/>
              <w:bottom w:val="single" w:sz="4" w:space="0" w:color="auto"/>
              <w:right w:val="nil"/>
            </w:tcBorders>
            <w:shd w:val="clear" w:color="auto" w:fill="auto"/>
            <w:vAlign w:val="center"/>
            <w:hideMark/>
          </w:tcPr>
          <w:p w14:paraId="687E9135" w14:textId="07CEF8C1" w:rsidR="00CD5E24" w:rsidRPr="00176BA0" w:rsidRDefault="00CD5E24" w:rsidP="00CD5E24">
            <w:pPr>
              <w:keepNext/>
              <w:keepLines/>
              <w:widowControl w:val="0"/>
              <w:pBdr>
                <w:top w:val="none" w:sz="0" w:space="0" w:color="auto"/>
                <w:left w:val="none" w:sz="0" w:space="0" w:color="auto"/>
                <w:bottom w:val="none" w:sz="0" w:space="0" w:color="auto"/>
                <w:right w:val="none" w:sz="0" w:space="0" w:color="auto"/>
                <w:between w:val="none" w:sz="0" w:space="0" w:color="auto"/>
                <w:bar w:val="none" w:sz="0" w:color="auto"/>
              </w:pBdr>
              <w:jc w:val="right"/>
              <w:outlineLvl w:val="9"/>
              <w:rPr>
                <w:rFonts w:eastAsia="Times New Roman"/>
                <w:b/>
                <w:bCs/>
                <w:sz w:val="18"/>
                <w:szCs w:val="18"/>
                <w:bdr w:val="none" w:sz="0" w:space="0" w:color="auto"/>
                <w:lang w:eastAsia="es-ES"/>
              </w:rPr>
            </w:pPr>
            <w:r w:rsidRPr="00EB1533">
              <w:rPr>
                <w:b/>
                <w:bCs/>
                <w:sz w:val="18"/>
                <w:szCs w:val="18"/>
              </w:rPr>
              <w:t>467.980,50</w:t>
            </w:r>
          </w:p>
        </w:tc>
      </w:tr>
      <w:bookmarkEnd w:id="6"/>
      <w:bookmarkEnd w:id="7"/>
    </w:tbl>
    <w:p w14:paraId="349CF1D7" w14:textId="2AACF3C9" w:rsidR="006220A2" w:rsidRDefault="006220A2" w:rsidP="008E57E1">
      <w:pPr>
        <w:keepNext/>
        <w:keepLines/>
        <w:widowControl w:val="0"/>
        <w:jc w:val="both"/>
        <w:rPr>
          <w:snapToGrid w:val="0"/>
          <w:sz w:val="22"/>
          <w:szCs w:val="22"/>
        </w:rPr>
      </w:pPr>
    </w:p>
    <w:p w14:paraId="48113452" w14:textId="77777777" w:rsidR="00D67C6B" w:rsidRDefault="00D67C6B" w:rsidP="008E57E1">
      <w:pPr>
        <w:keepNext/>
        <w:keepLines/>
        <w:widowControl w:val="0"/>
        <w:jc w:val="both"/>
        <w:rPr>
          <w:snapToGrid w:val="0"/>
          <w:sz w:val="22"/>
          <w:szCs w:val="22"/>
        </w:rPr>
      </w:pPr>
    </w:p>
    <w:p w14:paraId="22DB6E06" w14:textId="76AC584A" w:rsidR="003E75F6" w:rsidRPr="0083433F" w:rsidRDefault="006220A2" w:rsidP="00052BF5">
      <w:pPr>
        <w:widowControl w:val="0"/>
        <w:numPr>
          <w:ilvl w:val="0"/>
          <w:numId w:val="6"/>
        </w:numPr>
        <w:pBdr>
          <w:top w:val="none" w:sz="0" w:space="0" w:color="auto"/>
          <w:left w:val="none" w:sz="0" w:space="0" w:color="auto"/>
          <w:bottom w:val="none" w:sz="0" w:space="0" w:color="auto"/>
          <w:right w:val="none" w:sz="0" w:space="0" w:color="auto"/>
          <w:between w:val="none" w:sz="0" w:space="0" w:color="auto"/>
          <w:bar w:val="none" w:sz="0" w:color="auto"/>
        </w:pBdr>
        <w:spacing w:after="120" w:line="280" w:lineRule="exact"/>
        <w:ind w:left="284" w:hanging="284"/>
        <w:outlineLvl w:val="9"/>
        <w:rPr>
          <w:b/>
          <w:snapToGrid w:val="0"/>
          <w:sz w:val="22"/>
          <w:szCs w:val="22"/>
        </w:rPr>
      </w:pPr>
      <w:r w:rsidRPr="00DE1DD6">
        <w:rPr>
          <w:b/>
          <w:snapToGrid w:val="0"/>
          <w:sz w:val="22"/>
          <w:szCs w:val="22"/>
        </w:rPr>
        <w:t xml:space="preserve"> Administraciones Públicas</w:t>
      </w:r>
    </w:p>
    <w:p w14:paraId="5718B186" w14:textId="77777777" w:rsidR="006220A2" w:rsidRPr="0083433F" w:rsidRDefault="006220A2" w:rsidP="006220A2">
      <w:pPr>
        <w:keepNext/>
        <w:keepLines/>
        <w:widowControl w:val="0"/>
        <w:spacing w:before="200"/>
        <w:rPr>
          <w:b/>
          <w:sz w:val="20"/>
          <w:szCs w:val="22"/>
        </w:rPr>
      </w:pPr>
      <w:r w:rsidRPr="0083433F">
        <w:rPr>
          <w:b/>
          <w:sz w:val="20"/>
          <w:szCs w:val="22"/>
        </w:rPr>
        <w:t>11.1. Saldos con Administraciones Públicas</w:t>
      </w:r>
    </w:p>
    <w:p w14:paraId="695F373F" w14:textId="6699CA0E" w:rsidR="006220A2" w:rsidRDefault="006220A2" w:rsidP="00D67C6B">
      <w:pPr>
        <w:widowControl w:val="0"/>
        <w:spacing w:before="120" w:after="120" w:line="260" w:lineRule="exact"/>
        <w:jc w:val="both"/>
        <w:outlineLvl w:val="9"/>
        <w:rPr>
          <w:snapToGrid w:val="0"/>
          <w:sz w:val="20"/>
          <w:szCs w:val="22"/>
        </w:rPr>
      </w:pPr>
      <w:r w:rsidRPr="0083433F">
        <w:rPr>
          <w:snapToGrid w:val="0"/>
          <w:sz w:val="20"/>
          <w:szCs w:val="22"/>
        </w:rPr>
        <w:t xml:space="preserve">Los saldos </w:t>
      </w:r>
      <w:r w:rsidR="001476DB">
        <w:rPr>
          <w:snapToGrid w:val="0"/>
          <w:sz w:val="20"/>
          <w:szCs w:val="22"/>
        </w:rPr>
        <w:t xml:space="preserve">a </w:t>
      </w:r>
      <w:r w:rsidR="001476DB" w:rsidRPr="00804943">
        <w:rPr>
          <w:snapToGrid w:val="0"/>
          <w:sz w:val="20"/>
          <w:szCs w:val="22"/>
          <w:u w:val="single"/>
        </w:rPr>
        <w:t>corto plazo</w:t>
      </w:r>
      <w:r w:rsidR="001476DB">
        <w:rPr>
          <w:snapToGrid w:val="0"/>
          <w:sz w:val="20"/>
          <w:szCs w:val="22"/>
        </w:rPr>
        <w:t xml:space="preserve"> </w:t>
      </w:r>
      <w:r w:rsidRPr="0083433F">
        <w:rPr>
          <w:snapToGrid w:val="0"/>
          <w:sz w:val="20"/>
          <w:szCs w:val="22"/>
        </w:rPr>
        <w:t>con la Administración Pública al 31 de diciembre de 20</w:t>
      </w:r>
      <w:r w:rsidR="00B6701C">
        <w:rPr>
          <w:snapToGrid w:val="0"/>
          <w:sz w:val="20"/>
          <w:szCs w:val="22"/>
        </w:rPr>
        <w:t>2</w:t>
      </w:r>
      <w:r w:rsidR="00CD5E24">
        <w:rPr>
          <w:snapToGrid w:val="0"/>
          <w:sz w:val="20"/>
          <w:szCs w:val="22"/>
        </w:rPr>
        <w:t>4</w:t>
      </w:r>
      <w:r w:rsidR="00C67F6F" w:rsidRPr="0083433F">
        <w:rPr>
          <w:snapToGrid w:val="0"/>
          <w:sz w:val="20"/>
          <w:szCs w:val="22"/>
        </w:rPr>
        <w:t xml:space="preserve"> y 20</w:t>
      </w:r>
      <w:r w:rsidR="001F49F8">
        <w:rPr>
          <w:snapToGrid w:val="0"/>
          <w:sz w:val="20"/>
          <w:szCs w:val="22"/>
        </w:rPr>
        <w:t>2</w:t>
      </w:r>
      <w:r w:rsidR="00CD5E24">
        <w:rPr>
          <w:snapToGrid w:val="0"/>
          <w:sz w:val="20"/>
          <w:szCs w:val="22"/>
        </w:rPr>
        <w:t>3</w:t>
      </w:r>
      <w:r w:rsidRPr="0083433F">
        <w:rPr>
          <w:snapToGrid w:val="0"/>
          <w:sz w:val="20"/>
          <w:szCs w:val="22"/>
        </w:rPr>
        <w:t>, se distribuyen de la siguiente manera:</w:t>
      </w:r>
    </w:p>
    <w:tbl>
      <w:tblPr>
        <w:tblW w:w="5048" w:type="pct"/>
        <w:tblCellMar>
          <w:left w:w="70" w:type="dxa"/>
          <w:right w:w="70" w:type="dxa"/>
        </w:tblCellMar>
        <w:tblLook w:val="04A0" w:firstRow="1" w:lastRow="0" w:firstColumn="1" w:lastColumn="0" w:noHBand="0" w:noVBand="1"/>
      </w:tblPr>
      <w:tblGrid>
        <w:gridCol w:w="3577"/>
        <w:gridCol w:w="1385"/>
        <w:gridCol w:w="1301"/>
        <w:gridCol w:w="1301"/>
        <w:gridCol w:w="1301"/>
      </w:tblGrid>
      <w:tr w:rsidR="008459B8" w:rsidRPr="00804943" w14:paraId="5A2A71A4" w14:textId="77777777" w:rsidTr="00804943">
        <w:trPr>
          <w:trHeight w:val="227"/>
        </w:trPr>
        <w:tc>
          <w:tcPr>
            <w:tcW w:w="2017" w:type="pct"/>
            <w:tcBorders>
              <w:top w:val="single" w:sz="4" w:space="0" w:color="auto"/>
              <w:left w:val="nil"/>
              <w:bottom w:val="nil"/>
              <w:right w:val="nil"/>
            </w:tcBorders>
            <w:shd w:val="clear" w:color="auto" w:fill="auto"/>
            <w:vAlign w:val="bottom"/>
            <w:hideMark/>
          </w:tcPr>
          <w:p w14:paraId="04D7565D" w14:textId="77777777" w:rsidR="008459B8" w:rsidRPr="00804943" w:rsidRDefault="008459B8" w:rsidP="008459B8">
            <w:pPr>
              <w:pBdr>
                <w:top w:val="none" w:sz="0" w:space="0" w:color="auto"/>
                <w:left w:val="none" w:sz="0" w:space="0" w:color="auto"/>
                <w:bottom w:val="none" w:sz="0" w:space="0" w:color="auto"/>
                <w:right w:val="none" w:sz="0" w:space="0" w:color="auto"/>
                <w:between w:val="none" w:sz="0" w:space="0" w:color="auto"/>
                <w:bar w:val="none" w:sz="0" w:color="auto"/>
              </w:pBdr>
              <w:outlineLvl w:val="9"/>
              <w:rPr>
                <w:rFonts w:eastAsia="Times New Roman"/>
                <w:sz w:val="17"/>
                <w:szCs w:val="17"/>
                <w:bdr w:val="none" w:sz="0" w:space="0" w:color="auto"/>
                <w:lang w:eastAsia="es-ES"/>
              </w:rPr>
            </w:pPr>
          </w:p>
        </w:tc>
        <w:tc>
          <w:tcPr>
            <w:tcW w:w="2982" w:type="pct"/>
            <w:gridSpan w:val="4"/>
            <w:tcBorders>
              <w:top w:val="single" w:sz="4" w:space="0" w:color="auto"/>
              <w:left w:val="nil"/>
              <w:bottom w:val="single" w:sz="4" w:space="0" w:color="auto"/>
              <w:right w:val="nil"/>
            </w:tcBorders>
            <w:shd w:val="clear" w:color="auto" w:fill="auto"/>
            <w:vAlign w:val="bottom"/>
            <w:hideMark/>
          </w:tcPr>
          <w:p w14:paraId="5418E588" w14:textId="77777777" w:rsidR="008459B8" w:rsidRPr="00804943" w:rsidRDefault="008459B8" w:rsidP="008459B8">
            <w:pPr>
              <w:pBdr>
                <w:top w:val="none" w:sz="0" w:space="0" w:color="auto"/>
                <w:left w:val="none" w:sz="0" w:space="0" w:color="auto"/>
                <w:bottom w:val="none" w:sz="0" w:space="0" w:color="auto"/>
                <w:right w:val="none" w:sz="0" w:space="0" w:color="auto"/>
                <w:between w:val="none" w:sz="0" w:space="0" w:color="auto"/>
                <w:bar w:val="none" w:sz="0" w:color="auto"/>
              </w:pBdr>
              <w:jc w:val="center"/>
              <w:outlineLvl w:val="9"/>
              <w:rPr>
                <w:rFonts w:eastAsia="Times New Roman"/>
                <w:b/>
                <w:bCs/>
                <w:sz w:val="17"/>
                <w:szCs w:val="17"/>
                <w:bdr w:val="none" w:sz="0" w:space="0" w:color="auto"/>
                <w:lang w:eastAsia="es-ES"/>
              </w:rPr>
            </w:pPr>
            <w:r w:rsidRPr="00804943">
              <w:rPr>
                <w:rFonts w:eastAsia="Times New Roman"/>
                <w:b/>
                <w:bCs/>
                <w:sz w:val="17"/>
                <w:szCs w:val="17"/>
                <w:bdr w:val="none" w:sz="0" w:space="0" w:color="auto"/>
                <w:lang w:eastAsia="es-ES"/>
              </w:rPr>
              <w:t>Euros</w:t>
            </w:r>
          </w:p>
        </w:tc>
      </w:tr>
      <w:tr w:rsidR="008459B8" w:rsidRPr="00804943" w14:paraId="3B2099B3" w14:textId="77777777" w:rsidTr="00804943">
        <w:trPr>
          <w:trHeight w:val="227"/>
        </w:trPr>
        <w:tc>
          <w:tcPr>
            <w:tcW w:w="2017" w:type="pct"/>
            <w:tcBorders>
              <w:top w:val="nil"/>
              <w:left w:val="nil"/>
              <w:bottom w:val="nil"/>
              <w:right w:val="nil"/>
            </w:tcBorders>
            <w:shd w:val="clear" w:color="auto" w:fill="auto"/>
            <w:vAlign w:val="bottom"/>
            <w:hideMark/>
          </w:tcPr>
          <w:p w14:paraId="29567540" w14:textId="77777777" w:rsidR="008459B8" w:rsidRPr="00804943" w:rsidRDefault="008459B8" w:rsidP="008459B8">
            <w:pPr>
              <w:pBdr>
                <w:top w:val="none" w:sz="0" w:space="0" w:color="auto"/>
                <w:left w:val="none" w:sz="0" w:space="0" w:color="auto"/>
                <w:bottom w:val="none" w:sz="0" w:space="0" w:color="auto"/>
                <w:right w:val="none" w:sz="0" w:space="0" w:color="auto"/>
                <w:between w:val="none" w:sz="0" w:space="0" w:color="auto"/>
                <w:bar w:val="none" w:sz="0" w:color="auto"/>
              </w:pBdr>
              <w:jc w:val="center"/>
              <w:outlineLvl w:val="9"/>
              <w:rPr>
                <w:rFonts w:eastAsia="Times New Roman"/>
                <w:b/>
                <w:bCs/>
                <w:sz w:val="17"/>
                <w:szCs w:val="17"/>
                <w:bdr w:val="none" w:sz="0" w:space="0" w:color="auto"/>
                <w:lang w:eastAsia="es-ES"/>
              </w:rPr>
            </w:pPr>
          </w:p>
        </w:tc>
        <w:tc>
          <w:tcPr>
            <w:tcW w:w="1514" w:type="pct"/>
            <w:gridSpan w:val="2"/>
            <w:tcBorders>
              <w:top w:val="nil"/>
              <w:left w:val="nil"/>
              <w:bottom w:val="single" w:sz="4" w:space="0" w:color="auto"/>
              <w:right w:val="nil"/>
            </w:tcBorders>
            <w:shd w:val="clear" w:color="auto" w:fill="auto"/>
            <w:vAlign w:val="bottom"/>
            <w:hideMark/>
          </w:tcPr>
          <w:p w14:paraId="74DCD577" w14:textId="781546A0" w:rsidR="008459B8" w:rsidRPr="00804943" w:rsidRDefault="008459B8" w:rsidP="008459B8">
            <w:pPr>
              <w:pBdr>
                <w:top w:val="none" w:sz="0" w:space="0" w:color="auto"/>
                <w:left w:val="none" w:sz="0" w:space="0" w:color="auto"/>
                <w:bottom w:val="none" w:sz="0" w:space="0" w:color="auto"/>
                <w:right w:val="none" w:sz="0" w:space="0" w:color="auto"/>
                <w:between w:val="none" w:sz="0" w:space="0" w:color="auto"/>
                <w:bar w:val="none" w:sz="0" w:color="auto"/>
              </w:pBdr>
              <w:jc w:val="center"/>
              <w:outlineLvl w:val="9"/>
              <w:rPr>
                <w:rFonts w:eastAsia="Times New Roman"/>
                <w:b/>
                <w:bCs/>
                <w:sz w:val="17"/>
                <w:szCs w:val="17"/>
                <w:bdr w:val="none" w:sz="0" w:space="0" w:color="auto"/>
                <w:lang w:eastAsia="es-ES"/>
              </w:rPr>
            </w:pPr>
            <w:r w:rsidRPr="00804943">
              <w:rPr>
                <w:rFonts w:eastAsia="Times New Roman"/>
                <w:b/>
                <w:bCs/>
                <w:sz w:val="17"/>
                <w:szCs w:val="17"/>
                <w:bdr w:val="none" w:sz="0" w:space="0" w:color="auto"/>
                <w:lang w:eastAsia="es-ES"/>
              </w:rPr>
              <w:t>31/12/202</w:t>
            </w:r>
            <w:r w:rsidR="00CD5E24" w:rsidRPr="00804943">
              <w:rPr>
                <w:rFonts w:eastAsia="Times New Roman"/>
                <w:b/>
                <w:bCs/>
                <w:sz w:val="17"/>
                <w:szCs w:val="17"/>
                <w:bdr w:val="none" w:sz="0" w:space="0" w:color="auto"/>
                <w:lang w:eastAsia="es-ES"/>
              </w:rPr>
              <w:t>4</w:t>
            </w:r>
          </w:p>
        </w:tc>
        <w:tc>
          <w:tcPr>
            <w:tcW w:w="1468" w:type="pct"/>
            <w:gridSpan w:val="2"/>
            <w:tcBorders>
              <w:top w:val="nil"/>
              <w:left w:val="nil"/>
              <w:bottom w:val="single" w:sz="4" w:space="0" w:color="auto"/>
              <w:right w:val="nil"/>
            </w:tcBorders>
            <w:shd w:val="clear" w:color="auto" w:fill="auto"/>
            <w:vAlign w:val="bottom"/>
            <w:hideMark/>
          </w:tcPr>
          <w:p w14:paraId="56F61F6E" w14:textId="2C8A6A51" w:rsidR="008459B8" w:rsidRPr="00804943" w:rsidRDefault="008459B8" w:rsidP="008459B8">
            <w:pPr>
              <w:pBdr>
                <w:top w:val="none" w:sz="0" w:space="0" w:color="auto"/>
                <w:left w:val="none" w:sz="0" w:space="0" w:color="auto"/>
                <w:bottom w:val="none" w:sz="0" w:space="0" w:color="auto"/>
                <w:right w:val="none" w:sz="0" w:space="0" w:color="auto"/>
                <w:between w:val="none" w:sz="0" w:space="0" w:color="auto"/>
                <w:bar w:val="none" w:sz="0" w:color="auto"/>
              </w:pBdr>
              <w:jc w:val="center"/>
              <w:outlineLvl w:val="9"/>
              <w:rPr>
                <w:rFonts w:eastAsia="Times New Roman"/>
                <w:b/>
                <w:bCs/>
                <w:sz w:val="17"/>
                <w:szCs w:val="17"/>
                <w:bdr w:val="none" w:sz="0" w:space="0" w:color="auto"/>
                <w:lang w:eastAsia="es-ES"/>
              </w:rPr>
            </w:pPr>
            <w:r w:rsidRPr="00804943">
              <w:rPr>
                <w:rFonts w:eastAsia="Times New Roman"/>
                <w:b/>
                <w:bCs/>
                <w:sz w:val="17"/>
                <w:szCs w:val="17"/>
                <w:bdr w:val="none" w:sz="0" w:space="0" w:color="auto"/>
                <w:lang w:eastAsia="es-ES"/>
              </w:rPr>
              <w:t>31/12/20</w:t>
            </w:r>
            <w:r w:rsidR="001F49F8" w:rsidRPr="00804943">
              <w:rPr>
                <w:rFonts w:eastAsia="Times New Roman"/>
                <w:b/>
                <w:bCs/>
                <w:sz w:val="17"/>
                <w:szCs w:val="17"/>
                <w:bdr w:val="none" w:sz="0" w:space="0" w:color="auto"/>
                <w:lang w:eastAsia="es-ES"/>
              </w:rPr>
              <w:t>2</w:t>
            </w:r>
            <w:r w:rsidR="00CD5E24" w:rsidRPr="00804943">
              <w:rPr>
                <w:rFonts w:eastAsia="Times New Roman"/>
                <w:b/>
                <w:bCs/>
                <w:sz w:val="17"/>
                <w:szCs w:val="17"/>
                <w:bdr w:val="none" w:sz="0" w:space="0" w:color="auto"/>
                <w:lang w:eastAsia="es-ES"/>
              </w:rPr>
              <w:t>3</w:t>
            </w:r>
          </w:p>
        </w:tc>
      </w:tr>
      <w:tr w:rsidR="00856EA0" w:rsidRPr="00804943" w14:paraId="76A81278" w14:textId="77777777" w:rsidTr="00804943">
        <w:trPr>
          <w:trHeight w:val="227"/>
        </w:trPr>
        <w:tc>
          <w:tcPr>
            <w:tcW w:w="2017" w:type="pct"/>
            <w:tcBorders>
              <w:top w:val="nil"/>
              <w:left w:val="nil"/>
              <w:bottom w:val="single" w:sz="4" w:space="0" w:color="auto"/>
              <w:right w:val="nil"/>
            </w:tcBorders>
            <w:shd w:val="clear" w:color="auto" w:fill="auto"/>
            <w:vAlign w:val="bottom"/>
            <w:hideMark/>
          </w:tcPr>
          <w:p w14:paraId="6CB54097" w14:textId="77777777" w:rsidR="008459B8" w:rsidRPr="00804943" w:rsidRDefault="008459B8" w:rsidP="008459B8">
            <w:pPr>
              <w:pBdr>
                <w:top w:val="none" w:sz="0" w:space="0" w:color="auto"/>
                <w:left w:val="none" w:sz="0" w:space="0" w:color="auto"/>
                <w:bottom w:val="none" w:sz="0" w:space="0" w:color="auto"/>
                <w:right w:val="none" w:sz="0" w:space="0" w:color="auto"/>
                <w:between w:val="none" w:sz="0" w:space="0" w:color="auto"/>
                <w:bar w:val="none" w:sz="0" w:color="auto"/>
              </w:pBdr>
              <w:outlineLvl w:val="9"/>
              <w:rPr>
                <w:rFonts w:eastAsia="Times New Roman"/>
                <w:sz w:val="17"/>
                <w:szCs w:val="17"/>
                <w:bdr w:val="none" w:sz="0" w:space="0" w:color="auto"/>
                <w:lang w:eastAsia="es-ES"/>
              </w:rPr>
            </w:pPr>
            <w:r w:rsidRPr="00804943">
              <w:rPr>
                <w:rFonts w:eastAsia="Times New Roman"/>
                <w:sz w:val="17"/>
                <w:szCs w:val="17"/>
                <w:bdr w:val="none" w:sz="0" w:space="0" w:color="auto"/>
                <w:lang w:eastAsia="es-ES"/>
              </w:rPr>
              <w:t> </w:t>
            </w:r>
          </w:p>
        </w:tc>
        <w:tc>
          <w:tcPr>
            <w:tcW w:w="781" w:type="pct"/>
            <w:tcBorders>
              <w:top w:val="nil"/>
              <w:left w:val="nil"/>
              <w:bottom w:val="single" w:sz="4" w:space="0" w:color="auto"/>
              <w:right w:val="nil"/>
            </w:tcBorders>
            <w:shd w:val="clear" w:color="auto" w:fill="auto"/>
            <w:vAlign w:val="bottom"/>
            <w:hideMark/>
          </w:tcPr>
          <w:p w14:paraId="007BD586" w14:textId="77777777" w:rsidR="008459B8" w:rsidRPr="00804943" w:rsidRDefault="008459B8" w:rsidP="008459B8">
            <w:pPr>
              <w:pBdr>
                <w:top w:val="none" w:sz="0" w:space="0" w:color="auto"/>
                <w:left w:val="none" w:sz="0" w:space="0" w:color="auto"/>
                <w:bottom w:val="none" w:sz="0" w:space="0" w:color="auto"/>
                <w:right w:val="none" w:sz="0" w:space="0" w:color="auto"/>
                <w:between w:val="none" w:sz="0" w:space="0" w:color="auto"/>
                <w:bar w:val="none" w:sz="0" w:color="auto"/>
              </w:pBdr>
              <w:jc w:val="center"/>
              <w:outlineLvl w:val="9"/>
              <w:rPr>
                <w:rFonts w:eastAsia="Times New Roman"/>
                <w:b/>
                <w:bCs/>
                <w:sz w:val="17"/>
                <w:szCs w:val="17"/>
                <w:bdr w:val="none" w:sz="0" w:space="0" w:color="auto"/>
                <w:lang w:eastAsia="es-ES"/>
              </w:rPr>
            </w:pPr>
            <w:r w:rsidRPr="00804943">
              <w:rPr>
                <w:rFonts w:eastAsia="Times New Roman"/>
                <w:b/>
                <w:bCs/>
                <w:sz w:val="17"/>
                <w:szCs w:val="17"/>
                <w:bdr w:val="none" w:sz="0" w:space="0" w:color="auto"/>
                <w:lang w:eastAsia="es-ES"/>
              </w:rPr>
              <w:t>Deudor</w:t>
            </w:r>
          </w:p>
        </w:tc>
        <w:tc>
          <w:tcPr>
            <w:tcW w:w="734" w:type="pct"/>
            <w:tcBorders>
              <w:top w:val="nil"/>
              <w:left w:val="nil"/>
              <w:bottom w:val="single" w:sz="4" w:space="0" w:color="auto"/>
              <w:right w:val="nil"/>
            </w:tcBorders>
            <w:shd w:val="clear" w:color="auto" w:fill="auto"/>
            <w:vAlign w:val="bottom"/>
            <w:hideMark/>
          </w:tcPr>
          <w:p w14:paraId="29BB221D" w14:textId="77777777" w:rsidR="008459B8" w:rsidRPr="00804943" w:rsidRDefault="008459B8" w:rsidP="008459B8">
            <w:pPr>
              <w:pBdr>
                <w:top w:val="none" w:sz="0" w:space="0" w:color="auto"/>
                <w:left w:val="none" w:sz="0" w:space="0" w:color="auto"/>
                <w:bottom w:val="none" w:sz="0" w:space="0" w:color="auto"/>
                <w:right w:val="none" w:sz="0" w:space="0" w:color="auto"/>
                <w:between w:val="none" w:sz="0" w:space="0" w:color="auto"/>
                <w:bar w:val="none" w:sz="0" w:color="auto"/>
              </w:pBdr>
              <w:jc w:val="center"/>
              <w:outlineLvl w:val="9"/>
              <w:rPr>
                <w:rFonts w:eastAsia="Times New Roman"/>
                <w:b/>
                <w:bCs/>
                <w:sz w:val="17"/>
                <w:szCs w:val="17"/>
                <w:bdr w:val="none" w:sz="0" w:space="0" w:color="auto"/>
                <w:lang w:eastAsia="es-ES"/>
              </w:rPr>
            </w:pPr>
            <w:r w:rsidRPr="00804943">
              <w:rPr>
                <w:rFonts w:eastAsia="Times New Roman"/>
                <w:b/>
                <w:bCs/>
                <w:sz w:val="17"/>
                <w:szCs w:val="17"/>
                <w:bdr w:val="none" w:sz="0" w:space="0" w:color="auto"/>
                <w:lang w:eastAsia="es-ES"/>
              </w:rPr>
              <w:t>Acreedor</w:t>
            </w:r>
          </w:p>
        </w:tc>
        <w:tc>
          <w:tcPr>
            <w:tcW w:w="734" w:type="pct"/>
            <w:tcBorders>
              <w:top w:val="nil"/>
              <w:left w:val="nil"/>
              <w:bottom w:val="single" w:sz="4" w:space="0" w:color="auto"/>
              <w:right w:val="nil"/>
            </w:tcBorders>
            <w:shd w:val="clear" w:color="auto" w:fill="auto"/>
            <w:vAlign w:val="bottom"/>
            <w:hideMark/>
          </w:tcPr>
          <w:p w14:paraId="0B18815D" w14:textId="77777777" w:rsidR="008459B8" w:rsidRPr="00804943" w:rsidRDefault="008459B8" w:rsidP="008459B8">
            <w:pPr>
              <w:pBdr>
                <w:top w:val="none" w:sz="0" w:space="0" w:color="auto"/>
                <w:left w:val="none" w:sz="0" w:space="0" w:color="auto"/>
                <w:bottom w:val="none" w:sz="0" w:space="0" w:color="auto"/>
                <w:right w:val="none" w:sz="0" w:space="0" w:color="auto"/>
                <w:between w:val="none" w:sz="0" w:space="0" w:color="auto"/>
                <w:bar w:val="none" w:sz="0" w:color="auto"/>
              </w:pBdr>
              <w:jc w:val="center"/>
              <w:outlineLvl w:val="9"/>
              <w:rPr>
                <w:rFonts w:eastAsia="Times New Roman"/>
                <w:b/>
                <w:bCs/>
                <w:sz w:val="17"/>
                <w:szCs w:val="17"/>
                <w:bdr w:val="none" w:sz="0" w:space="0" w:color="auto"/>
                <w:lang w:eastAsia="es-ES"/>
              </w:rPr>
            </w:pPr>
            <w:r w:rsidRPr="00804943">
              <w:rPr>
                <w:rFonts w:eastAsia="Times New Roman"/>
                <w:b/>
                <w:bCs/>
                <w:sz w:val="17"/>
                <w:szCs w:val="17"/>
                <w:bdr w:val="none" w:sz="0" w:space="0" w:color="auto"/>
                <w:lang w:eastAsia="es-ES"/>
              </w:rPr>
              <w:t>Deudor</w:t>
            </w:r>
          </w:p>
        </w:tc>
        <w:tc>
          <w:tcPr>
            <w:tcW w:w="734" w:type="pct"/>
            <w:tcBorders>
              <w:top w:val="nil"/>
              <w:left w:val="nil"/>
              <w:bottom w:val="single" w:sz="4" w:space="0" w:color="auto"/>
              <w:right w:val="nil"/>
            </w:tcBorders>
            <w:shd w:val="clear" w:color="auto" w:fill="auto"/>
            <w:vAlign w:val="bottom"/>
            <w:hideMark/>
          </w:tcPr>
          <w:p w14:paraId="46278F0F" w14:textId="77777777" w:rsidR="008459B8" w:rsidRPr="00804943" w:rsidRDefault="008459B8" w:rsidP="008459B8">
            <w:pPr>
              <w:pBdr>
                <w:top w:val="none" w:sz="0" w:space="0" w:color="auto"/>
                <w:left w:val="none" w:sz="0" w:space="0" w:color="auto"/>
                <w:bottom w:val="none" w:sz="0" w:space="0" w:color="auto"/>
                <w:right w:val="none" w:sz="0" w:space="0" w:color="auto"/>
                <w:between w:val="none" w:sz="0" w:space="0" w:color="auto"/>
                <w:bar w:val="none" w:sz="0" w:color="auto"/>
              </w:pBdr>
              <w:jc w:val="center"/>
              <w:outlineLvl w:val="9"/>
              <w:rPr>
                <w:rFonts w:eastAsia="Times New Roman"/>
                <w:b/>
                <w:bCs/>
                <w:sz w:val="17"/>
                <w:szCs w:val="17"/>
                <w:bdr w:val="none" w:sz="0" w:space="0" w:color="auto"/>
                <w:lang w:eastAsia="es-ES"/>
              </w:rPr>
            </w:pPr>
            <w:r w:rsidRPr="00804943">
              <w:rPr>
                <w:rFonts w:eastAsia="Times New Roman"/>
                <w:b/>
                <w:bCs/>
                <w:sz w:val="17"/>
                <w:szCs w:val="17"/>
                <w:bdr w:val="none" w:sz="0" w:space="0" w:color="auto"/>
                <w:lang w:eastAsia="es-ES"/>
              </w:rPr>
              <w:t>Acreedor</w:t>
            </w:r>
          </w:p>
        </w:tc>
      </w:tr>
      <w:tr w:rsidR="00CD5E24" w:rsidRPr="00804943" w14:paraId="39E8D580" w14:textId="77777777" w:rsidTr="00804943">
        <w:trPr>
          <w:trHeight w:val="283"/>
        </w:trPr>
        <w:tc>
          <w:tcPr>
            <w:tcW w:w="2017" w:type="pct"/>
            <w:tcBorders>
              <w:top w:val="nil"/>
              <w:left w:val="nil"/>
              <w:bottom w:val="nil"/>
              <w:right w:val="nil"/>
            </w:tcBorders>
            <w:shd w:val="clear" w:color="auto" w:fill="auto"/>
            <w:vAlign w:val="center"/>
            <w:hideMark/>
          </w:tcPr>
          <w:p w14:paraId="28D969D9" w14:textId="77777777" w:rsidR="00CD5E24" w:rsidRPr="00804943" w:rsidRDefault="00CD5E24" w:rsidP="00CD5E24">
            <w:pPr>
              <w:pBdr>
                <w:top w:val="none" w:sz="0" w:space="0" w:color="auto"/>
                <w:left w:val="none" w:sz="0" w:space="0" w:color="auto"/>
                <w:bottom w:val="none" w:sz="0" w:space="0" w:color="auto"/>
                <w:right w:val="none" w:sz="0" w:space="0" w:color="auto"/>
                <w:between w:val="none" w:sz="0" w:space="0" w:color="auto"/>
                <w:bar w:val="none" w:sz="0" w:color="auto"/>
              </w:pBdr>
              <w:outlineLvl w:val="9"/>
              <w:rPr>
                <w:rFonts w:eastAsia="Times New Roman"/>
                <w:b/>
                <w:bCs/>
                <w:sz w:val="17"/>
                <w:szCs w:val="17"/>
                <w:bdr w:val="none" w:sz="0" w:space="0" w:color="auto"/>
                <w:lang w:eastAsia="es-ES"/>
              </w:rPr>
            </w:pPr>
            <w:r w:rsidRPr="00804943">
              <w:rPr>
                <w:rFonts w:eastAsia="Times New Roman"/>
                <w:b/>
                <w:bCs/>
                <w:sz w:val="17"/>
                <w:szCs w:val="17"/>
                <w:bdr w:val="none" w:sz="0" w:space="0" w:color="auto"/>
                <w:lang w:eastAsia="es-ES"/>
              </w:rPr>
              <w:t>Administraciones Públicas</w:t>
            </w:r>
          </w:p>
        </w:tc>
        <w:tc>
          <w:tcPr>
            <w:tcW w:w="781" w:type="pct"/>
            <w:tcBorders>
              <w:top w:val="nil"/>
              <w:left w:val="nil"/>
              <w:bottom w:val="nil"/>
              <w:right w:val="nil"/>
            </w:tcBorders>
            <w:shd w:val="clear" w:color="auto" w:fill="auto"/>
            <w:vAlign w:val="center"/>
          </w:tcPr>
          <w:p w14:paraId="37BE852C" w14:textId="77777777" w:rsidR="00CD5E24" w:rsidRPr="00804943" w:rsidRDefault="00CD5E24" w:rsidP="00CD5E24">
            <w:pPr>
              <w:pBdr>
                <w:top w:val="none" w:sz="0" w:space="0" w:color="auto"/>
                <w:left w:val="none" w:sz="0" w:space="0" w:color="auto"/>
                <w:bottom w:val="none" w:sz="0" w:space="0" w:color="auto"/>
                <w:right w:val="none" w:sz="0" w:space="0" w:color="auto"/>
                <w:between w:val="none" w:sz="0" w:space="0" w:color="auto"/>
                <w:bar w:val="none" w:sz="0" w:color="auto"/>
              </w:pBdr>
              <w:outlineLvl w:val="9"/>
              <w:rPr>
                <w:rFonts w:eastAsia="Times New Roman"/>
                <w:b/>
                <w:bCs/>
                <w:sz w:val="17"/>
                <w:szCs w:val="17"/>
                <w:bdr w:val="none" w:sz="0" w:space="0" w:color="auto"/>
                <w:lang w:eastAsia="es-ES"/>
              </w:rPr>
            </w:pPr>
          </w:p>
        </w:tc>
        <w:tc>
          <w:tcPr>
            <w:tcW w:w="734" w:type="pct"/>
            <w:tcBorders>
              <w:top w:val="nil"/>
              <w:left w:val="nil"/>
              <w:bottom w:val="nil"/>
              <w:right w:val="nil"/>
            </w:tcBorders>
            <w:shd w:val="clear" w:color="auto" w:fill="auto"/>
            <w:vAlign w:val="center"/>
          </w:tcPr>
          <w:p w14:paraId="2307AC92" w14:textId="77777777" w:rsidR="00CD5E24" w:rsidRPr="00804943" w:rsidRDefault="00CD5E24" w:rsidP="00CD5E24">
            <w:pPr>
              <w:pBdr>
                <w:top w:val="none" w:sz="0" w:space="0" w:color="auto"/>
                <w:left w:val="none" w:sz="0" w:space="0" w:color="auto"/>
                <w:bottom w:val="none" w:sz="0" w:space="0" w:color="auto"/>
                <w:right w:val="none" w:sz="0" w:space="0" w:color="auto"/>
                <w:between w:val="none" w:sz="0" w:space="0" w:color="auto"/>
                <w:bar w:val="none" w:sz="0" w:color="auto"/>
              </w:pBdr>
              <w:outlineLvl w:val="9"/>
              <w:rPr>
                <w:rFonts w:ascii="Times New Roman" w:eastAsia="Times New Roman" w:hAnsi="Times New Roman" w:cs="Times New Roman"/>
                <w:color w:val="auto"/>
                <w:sz w:val="17"/>
                <w:szCs w:val="17"/>
                <w:bdr w:val="none" w:sz="0" w:space="0" w:color="auto"/>
                <w:lang w:eastAsia="es-ES"/>
              </w:rPr>
            </w:pPr>
          </w:p>
        </w:tc>
        <w:tc>
          <w:tcPr>
            <w:tcW w:w="734" w:type="pct"/>
            <w:tcBorders>
              <w:top w:val="nil"/>
              <w:left w:val="nil"/>
              <w:bottom w:val="nil"/>
              <w:right w:val="nil"/>
            </w:tcBorders>
            <w:shd w:val="clear" w:color="auto" w:fill="auto"/>
            <w:vAlign w:val="center"/>
            <w:hideMark/>
          </w:tcPr>
          <w:p w14:paraId="787430BB" w14:textId="77777777" w:rsidR="00CD5E24" w:rsidRPr="00804943" w:rsidRDefault="00CD5E24" w:rsidP="00CD5E24">
            <w:pPr>
              <w:pBdr>
                <w:top w:val="none" w:sz="0" w:space="0" w:color="auto"/>
                <w:left w:val="none" w:sz="0" w:space="0" w:color="auto"/>
                <w:bottom w:val="none" w:sz="0" w:space="0" w:color="auto"/>
                <w:right w:val="none" w:sz="0" w:space="0" w:color="auto"/>
                <w:between w:val="none" w:sz="0" w:space="0" w:color="auto"/>
                <w:bar w:val="none" w:sz="0" w:color="auto"/>
              </w:pBdr>
              <w:outlineLvl w:val="9"/>
              <w:rPr>
                <w:rFonts w:ascii="Times New Roman" w:eastAsia="Times New Roman" w:hAnsi="Times New Roman" w:cs="Times New Roman"/>
                <w:color w:val="auto"/>
                <w:sz w:val="17"/>
                <w:szCs w:val="17"/>
                <w:bdr w:val="none" w:sz="0" w:space="0" w:color="auto"/>
                <w:lang w:eastAsia="es-ES"/>
              </w:rPr>
            </w:pPr>
          </w:p>
        </w:tc>
        <w:tc>
          <w:tcPr>
            <w:tcW w:w="734" w:type="pct"/>
            <w:tcBorders>
              <w:top w:val="nil"/>
              <w:left w:val="nil"/>
              <w:bottom w:val="nil"/>
              <w:right w:val="nil"/>
            </w:tcBorders>
            <w:shd w:val="clear" w:color="auto" w:fill="auto"/>
            <w:vAlign w:val="center"/>
            <w:hideMark/>
          </w:tcPr>
          <w:p w14:paraId="1C7E7204" w14:textId="77777777" w:rsidR="00CD5E24" w:rsidRPr="00804943" w:rsidRDefault="00CD5E24" w:rsidP="00CD5E24">
            <w:pPr>
              <w:pBdr>
                <w:top w:val="none" w:sz="0" w:space="0" w:color="auto"/>
                <w:left w:val="none" w:sz="0" w:space="0" w:color="auto"/>
                <w:bottom w:val="none" w:sz="0" w:space="0" w:color="auto"/>
                <w:right w:val="none" w:sz="0" w:space="0" w:color="auto"/>
                <w:between w:val="none" w:sz="0" w:space="0" w:color="auto"/>
                <w:bar w:val="none" w:sz="0" w:color="auto"/>
              </w:pBdr>
              <w:outlineLvl w:val="9"/>
              <w:rPr>
                <w:rFonts w:ascii="Times New Roman" w:eastAsia="Times New Roman" w:hAnsi="Times New Roman" w:cs="Times New Roman"/>
                <w:color w:val="auto"/>
                <w:sz w:val="17"/>
                <w:szCs w:val="17"/>
                <w:bdr w:val="none" w:sz="0" w:space="0" w:color="auto"/>
                <w:lang w:eastAsia="es-ES"/>
              </w:rPr>
            </w:pPr>
          </w:p>
        </w:tc>
      </w:tr>
      <w:tr w:rsidR="00804943" w:rsidRPr="00804943" w14:paraId="42E96461" w14:textId="77777777" w:rsidTr="00804943">
        <w:trPr>
          <w:trHeight w:val="283"/>
        </w:trPr>
        <w:tc>
          <w:tcPr>
            <w:tcW w:w="2017" w:type="pct"/>
            <w:tcBorders>
              <w:top w:val="nil"/>
              <w:left w:val="nil"/>
              <w:bottom w:val="nil"/>
              <w:right w:val="nil"/>
            </w:tcBorders>
            <w:shd w:val="clear" w:color="auto" w:fill="auto"/>
            <w:vAlign w:val="center"/>
            <w:hideMark/>
          </w:tcPr>
          <w:p w14:paraId="3453655E" w14:textId="77777777" w:rsidR="00804943" w:rsidRPr="00804943" w:rsidRDefault="00804943" w:rsidP="00804943">
            <w:pPr>
              <w:pBdr>
                <w:top w:val="none" w:sz="0" w:space="0" w:color="auto"/>
                <w:left w:val="none" w:sz="0" w:space="0" w:color="auto"/>
                <w:bottom w:val="none" w:sz="0" w:space="0" w:color="auto"/>
                <w:right w:val="none" w:sz="0" w:space="0" w:color="auto"/>
                <w:between w:val="none" w:sz="0" w:space="0" w:color="auto"/>
                <w:bar w:val="none" w:sz="0" w:color="auto"/>
              </w:pBdr>
              <w:outlineLvl w:val="9"/>
              <w:rPr>
                <w:rFonts w:eastAsia="Times New Roman"/>
                <w:sz w:val="17"/>
                <w:szCs w:val="17"/>
                <w:bdr w:val="none" w:sz="0" w:space="0" w:color="auto"/>
                <w:lang w:eastAsia="es-ES"/>
              </w:rPr>
            </w:pPr>
            <w:r w:rsidRPr="00804943">
              <w:rPr>
                <w:rFonts w:eastAsia="Times New Roman"/>
                <w:sz w:val="17"/>
                <w:szCs w:val="17"/>
                <w:bdr w:val="none" w:sz="0" w:space="0" w:color="auto"/>
                <w:lang w:eastAsia="es-ES"/>
              </w:rPr>
              <w:t>H.P. deudora por diversos conceptos</w:t>
            </w:r>
          </w:p>
        </w:tc>
        <w:tc>
          <w:tcPr>
            <w:tcW w:w="781" w:type="pct"/>
            <w:tcBorders>
              <w:top w:val="nil"/>
              <w:left w:val="nil"/>
              <w:bottom w:val="nil"/>
              <w:right w:val="nil"/>
            </w:tcBorders>
            <w:shd w:val="clear" w:color="auto" w:fill="auto"/>
            <w:vAlign w:val="center"/>
          </w:tcPr>
          <w:p w14:paraId="7E64A721" w14:textId="7DF37310" w:rsidR="00804943" w:rsidRPr="00804943" w:rsidRDefault="00804943" w:rsidP="00804943">
            <w:pPr>
              <w:pBdr>
                <w:top w:val="none" w:sz="0" w:space="0" w:color="auto"/>
                <w:left w:val="none" w:sz="0" w:space="0" w:color="auto"/>
                <w:bottom w:val="none" w:sz="0" w:space="0" w:color="auto"/>
                <w:right w:val="none" w:sz="0" w:space="0" w:color="auto"/>
                <w:between w:val="none" w:sz="0" w:space="0" w:color="auto"/>
                <w:bar w:val="none" w:sz="0" w:color="auto"/>
              </w:pBdr>
              <w:jc w:val="right"/>
              <w:outlineLvl w:val="9"/>
              <w:rPr>
                <w:rFonts w:eastAsia="Times New Roman"/>
                <w:sz w:val="17"/>
                <w:szCs w:val="17"/>
                <w:bdr w:val="none" w:sz="0" w:space="0" w:color="auto"/>
                <w:lang w:eastAsia="es-ES"/>
              </w:rPr>
            </w:pPr>
            <w:r w:rsidRPr="00804943">
              <w:rPr>
                <w:sz w:val="17"/>
                <w:szCs w:val="17"/>
              </w:rPr>
              <w:t xml:space="preserve">17.601.145,66   </w:t>
            </w:r>
          </w:p>
        </w:tc>
        <w:tc>
          <w:tcPr>
            <w:tcW w:w="734" w:type="pct"/>
            <w:tcBorders>
              <w:top w:val="nil"/>
              <w:left w:val="nil"/>
              <w:bottom w:val="nil"/>
              <w:right w:val="nil"/>
            </w:tcBorders>
            <w:shd w:val="clear" w:color="auto" w:fill="auto"/>
            <w:vAlign w:val="center"/>
          </w:tcPr>
          <w:p w14:paraId="766C90F9" w14:textId="43997CA4" w:rsidR="00804943" w:rsidRPr="00804943" w:rsidRDefault="00804943" w:rsidP="00804943">
            <w:pPr>
              <w:jc w:val="right"/>
              <w:rPr>
                <w:sz w:val="17"/>
                <w:szCs w:val="17"/>
              </w:rPr>
            </w:pPr>
            <w:r w:rsidRPr="00804943">
              <w:rPr>
                <w:sz w:val="17"/>
                <w:szCs w:val="17"/>
              </w:rPr>
              <w:t xml:space="preserve">                      -     </w:t>
            </w:r>
          </w:p>
        </w:tc>
        <w:tc>
          <w:tcPr>
            <w:tcW w:w="734" w:type="pct"/>
            <w:tcBorders>
              <w:top w:val="nil"/>
              <w:left w:val="nil"/>
              <w:bottom w:val="nil"/>
              <w:right w:val="nil"/>
            </w:tcBorders>
            <w:shd w:val="clear" w:color="auto" w:fill="auto"/>
            <w:vAlign w:val="center"/>
            <w:hideMark/>
          </w:tcPr>
          <w:p w14:paraId="3E02A78E" w14:textId="4539748F" w:rsidR="00804943" w:rsidRPr="00804943" w:rsidRDefault="00804943" w:rsidP="00804943">
            <w:pPr>
              <w:pBdr>
                <w:top w:val="none" w:sz="0" w:space="0" w:color="auto"/>
                <w:left w:val="none" w:sz="0" w:space="0" w:color="auto"/>
                <w:bottom w:val="none" w:sz="0" w:space="0" w:color="auto"/>
                <w:right w:val="none" w:sz="0" w:space="0" w:color="auto"/>
                <w:between w:val="none" w:sz="0" w:space="0" w:color="auto"/>
                <w:bar w:val="none" w:sz="0" w:color="auto"/>
              </w:pBdr>
              <w:jc w:val="right"/>
              <w:outlineLvl w:val="9"/>
              <w:rPr>
                <w:rFonts w:eastAsia="Times New Roman"/>
                <w:sz w:val="17"/>
                <w:szCs w:val="17"/>
                <w:bdr w:val="none" w:sz="0" w:space="0" w:color="auto"/>
                <w:lang w:eastAsia="es-ES"/>
              </w:rPr>
            </w:pPr>
            <w:r w:rsidRPr="00804943">
              <w:rPr>
                <w:sz w:val="17"/>
                <w:szCs w:val="17"/>
              </w:rPr>
              <w:t>36.945.519,55</w:t>
            </w:r>
          </w:p>
        </w:tc>
        <w:tc>
          <w:tcPr>
            <w:tcW w:w="734" w:type="pct"/>
            <w:tcBorders>
              <w:top w:val="nil"/>
              <w:left w:val="nil"/>
              <w:bottom w:val="nil"/>
              <w:right w:val="nil"/>
            </w:tcBorders>
            <w:shd w:val="clear" w:color="auto" w:fill="auto"/>
            <w:vAlign w:val="center"/>
            <w:hideMark/>
          </w:tcPr>
          <w:p w14:paraId="06E2B93F" w14:textId="5BB58F67" w:rsidR="00804943" w:rsidRPr="00804943" w:rsidRDefault="00804943" w:rsidP="00804943">
            <w:pPr>
              <w:pBdr>
                <w:top w:val="none" w:sz="0" w:space="0" w:color="auto"/>
                <w:left w:val="none" w:sz="0" w:space="0" w:color="auto"/>
                <w:bottom w:val="none" w:sz="0" w:space="0" w:color="auto"/>
                <w:right w:val="none" w:sz="0" w:space="0" w:color="auto"/>
                <w:between w:val="none" w:sz="0" w:space="0" w:color="auto"/>
                <w:bar w:val="none" w:sz="0" w:color="auto"/>
              </w:pBdr>
              <w:jc w:val="right"/>
              <w:outlineLvl w:val="9"/>
              <w:rPr>
                <w:rFonts w:eastAsia="Times New Roman"/>
                <w:sz w:val="17"/>
                <w:szCs w:val="17"/>
                <w:bdr w:val="none" w:sz="0" w:space="0" w:color="auto"/>
                <w:lang w:eastAsia="es-ES"/>
              </w:rPr>
            </w:pPr>
            <w:r w:rsidRPr="00804943">
              <w:rPr>
                <w:sz w:val="17"/>
                <w:szCs w:val="17"/>
              </w:rPr>
              <w:t xml:space="preserve">-     </w:t>
            </w:r>
          </w:p>
        </w:tc>
      </w:tr>
      <w:tr w:rsidR="00804943" w:rsidRPr="00804943" w14:paraId="458829CB" w14:textId="77777777" w:rsidTr="00804943">
        <w:trPr>
          <w:trHeight w:val="283"/>
        </w:trPr>
        <w:tc>
          <w:tcPr>
            <w:tcW w:w="2017" w:type="pct"/>
            <w:tcBorders>
              <w:top w:val="nil"/>
              <w:left w:val="nil"/>
              <w:bottom w:val="nil"/>
              <w:right w:val="nil"/>
            </w:tcBorders>
            <w:shd w:val="clear" w:color="auto" w:fill="auto"/>
            <w:vAlign w:val="center"/>
          </w:tcPr>
          <w:p w14:paraId="786CCBA9" w14:textId="5B052C87" w:rsidR="00804943" w:rsidRPr="00804943" w:rsidRDefault="00804943" w:rsidP="00804943">
            <w:pPr>
              <w:pBdr>
                <w:top w:val="none" w:sz="0" w:space="0" w:color="auto"/>
                <w:left w:val="none" w:sz="0" w:space="0" w:color="auto"/>
                <w:bottom w:val="none" w:sz="0" w:space="0" w:color="auto"/>
                <w:right w:val="none" w:sz="0" w:space="0" w:color="auto"/>
                <w:between w:val="none" w:sz="0" w:space="0" w:color="auto"/>
                <w:bar w:val="none" w:sz="0" w:color="auto"/>
              </w:pBdr>
              <w:outlineLvl w:val="9"/>
              <w:rPr>
                <w:rFonts w:eastAsia="Times New Roman"/>
                <w:sz w:val="17"/>
                <w:szCs w:val="17"/>
                <w:bdr w:val="none" w:sz="0" w:space="0" w:color="auto"/>
                <w:lang w:eastAsia="es-ES"/>
              </w:rPr>
            </w:pPr>
            <w:r w:rsidRPr="00804943">
              <w:rPr>
                <w:rFonts w:eastAsia="Times New Roman"/>
                <w:sz w:val="17"/>
                <w:szCs w:val="17"/>
                <w:bdr w:val="none" w:sz="0" w:space="0" w:color="auto"/>
                <w:lang w:eastAsia="es-ES"/>
              </w:rPr>
              <w:t>H.P. por subvenciones a reintegrar</w:t>
            </w:r>
          </w:p>
        </w:tc>
        <w:tc>
          <w:tcPr>
            <w:tcW w:w="781" w:type="pct"/>
            <w:tcBorders>
              <w:top w:val="nil"/>
              <w:left w:val="nil"/>
              <w:bottom w:val="nil"/>
              <w:right w:val="nil"/>
            </w:tcBorders>
            <w:shd w:val="clear" w:color="auto" w:fill="auto"/>
            <w:vAlign w:val="center"/>
          </w:tcPr>
          <w:p w14:paraId="00CE1A18" w14:textId="3F1E7C0A" w:rsidR="00804943" w:rsidRPr="00804943" w:rsidRDefault="00804943" w:rsidP="00804943">
            <w:pPr>
              <w:pBdr>
                <w:top w:val="none" w:sz="0" w:space="0" w:color="auto"/>
                <w:left w:val="none" w:sz="0" w:space="0" w:color="auto"/>
                <w:bottom w:val="none" w:sz="0" w:space="0" w:color="auto"/>
                <w:right w:val="none" w:sz="0" w:space="0" w:color="auto"/>
                <w:between w:val="none" w:sz="0" w:space="0" w:color="auto"/>
                <w:bar w:val="none" w:sz="0" w:color="auto"/>
              </w:pBdr>
              <w:jc w:val="right"/>
              <w:outlineLvl w:val="9"/>
              <w:rPr>
                <w:rFonts w:eastAsia="Times New Roman"/>
                <w:sz w:val="17"/>
                <w:szCs w:val="17"/>
                <w:bdr w:val="none" w:sz="0" w:space="0" w:color="auto"/>
                <w:lang w:eastAsia="es-ES"/>
              </w:rPr>
            </w:pPr>
            <w:r w:rsidRPr="00804943">
              <w:rPr>
                <w:sz w:val="17"/>
                <w:szCs w:val="17"/>
              </w:rPr>
              <w:t xml:space="preserve">-     </w:t>
            </w:r>
          </w:p>
        </w:tc>
        <w:tc>
          <w:tcPr>
            <w:tcW w:w="734" w:type="pct"/>
            <w:tcBorders>
              <w:top w:val="nil"/>
              <w:left w:val="nil"/>
              <w:bottom w:val="nil"/>
              <w:right w:val="nil"/>
            </w:tcBorders>
            <w:shd w:val="clear" w:color="auto" w:fill="auto"/>
            <w:vAlign w:val="center"/>
          </w:tcPr>
          <w:p w14:paraId="7DCBBC65" w14:textId="0D6473E7" w:rsidR="00804943" w:rsidRPr="00804943" w:rsidRDefault="00804943" w:rsidP="00804943">
            <w:pPr>
              <w:jc w:val="right"/>
              <w:rPr>
                <w:sz w:val="17"/>
                <w:szCs w:val="17"/>
              </w:rPr>
            </w:pPr>
            <w:r w:rsidRPr="00804943">
              <w:rPr>
                <w:sz w:val="17"/>
                <w:szCs w:val="17"/>
              </w:rPr>
              <w:t xml:space="preserve">2.229.718,78   </w:t>
            </w:r>
          </w:p>
        </w:tc>
        <w:tc>
          <w:tcPr>
            <w:tcW w:w="734" w:type="pct"/>
            <w:tcBorders>
              <w:top w:val="nil"/>
              <w:left w:val="nil"/>
              <w:bottom w:val="nil"/>
              <w:right w:val="nil"/>
            </w:tcBorders>
            <w:shd w:val="clear" w:color="auto" w:fill="auto"/>
            <w:vAlign w:val="center"/>
          </w:tcPr>
          <w:p w14:paraId="0C0758F2" w14:textId="5F4B3DE7" w:rsidR="00804943" w:rsidRPr="00804943" w:rsidRDefault="00804943" w:rsidP="00804943">
            <w:pPr>
              <w:pBdr>
                <w:top w:val="none" w:sz="0" w:space="0" w:color="auto"/>
                <w:left w:val="none" w:sz="0" w:space="0" w:color="auto"/>
                <w:bottom w:val="none" w:sz="0" w:space="0" w:color="auto"/>
                <w:right w:val="none" w:sz="0" w:space="0" w:color="auto"/>
                <w:between w:val="none" w:sz="0" w:space="0" w:color="auto"/>
                <w:bar w:val="none" w:sz="0" w:color="auto"/>
              </w:pBdr>
              <w:jc w:val="right"/>
              <w:outlineLvl w:val="9"/>
              <w:rPr>
                <w:sz w:val="17"/>
                <w:szCs w:val="17"/>
              </w:rPr>
            </w:pPr>
            <w:r w:rsidRPr="00804943">
              <w:rPr>
                <w:sz w:val="17"/>
                <w:szCs w:val="17"/>
              </w:rPr>
              <w:t xml:space="preserve">-     </w:t>
            </w:r>
          </w:p>
        </w:tc>
        <w:tc>
          <w:tcPr>
            <w:tcW w:w="734" w:type="pct"/>
            <w:tcBorders>
              <w:top w:val="nil"/>
              <w:left w:val="nil"/>
              <w:bottom w:val="nil"/>
              <w:right w:val="nil"/>
            </w:tcBorders>
            <w:shd w:val="clear" w:color="auto" w:fill="auto"/>
            <w:vAlign w:val="center"/>
          </w:tcPr>
          <w:p w14:paraId="10EBEA4C" w14:textId="6CAEB049" w:rsidR="00804943" w:rsidRPr="00804943" w:rsidRDefault="00804943" w:rsidP="00804943">
            <w:pPr>
              <w:pBdr>
                <w:top w:val="none" w:sz="0" w:space="0" w:color="auto"/>
                <w:left w:val="none" w:sz="0" w:space="0" w:color="auto"/>
                <w:bottom w:val="none" w:sz="0" w:space="0" w:color="auto"/>
                <w:right w:val="none" w:sz="0" w:space="0" w:color="auto"/>
                <w:between w:val="none" w:sz="0" w:space="0" w:color="auto"/>
                <w:bar w:val="none" w:sz="0" w:color="auto"/>
              </w:pBdr>
              <w:jc w:val="right"/>
              <w:outlineLvl w:val="9"/>
              <w:rPr>
                <w:sz w:val="17"/>
                <w:szCs w:val="17"/>
              </w:rPr>
            </w:pPr>
            <w:r w:rsidRPr="00804943">
              <w:rPr>
                <w:sz w:val="17"/>
                <w:szCs w:val="17"/>
              </w:rPr>
              <w:t>3.542.531,75</w:t>
            </w:r>
          </w:p>
        </w:tc>
      </w:tr>
      <w:tr w:rsidR="00804943" w:rsidRPr="00804943" w14:paraId="71BA12EC" w14:textId="77777777" w:rsidTr="00804943">
        <w:trPr>
          <w:trHeight w:val="283"/>
        </w:trPr>
        <w:tc>
          <w:tcPr>
            <w:tcW w:w="2017" w:type="pct"/>
            <w:tcBorders>
              <w:top w:val="nil"/>
              <w:left w:val="nil"/>
              <w:bottom w:val="nil"/>
              <w:right w:val="nil"/>
            </w:tcBorders>
            <w:shd w:val="clear" w:color="auto" w:fill="auto"/>
            <w:vAlign w:val="center"/>
            <w:hideMark/>
          </w:tcPr>
          <w:p w14:paraId="0EBCA373" w14:textId="269BE905" w:rsidR="00804943" w:rsidRPr="00804943" w:rsidRDefault="00804943" w:rsidP="00804943">
            <w:pPr>
              <w:pBdr>
                <w:top w:val="none" w:sz="0" w:space="0" w:color="auto"/>
                <w:left w:val="none" w:sz="0" w:space="0" w:color="auto"/>
                <w:bottom w:val="none" w:sz="0" w:space="0" w:color="auto"/>
                <w:right w:val="none" w:sz="0" w:space="0" w:color="auto"/>
                <w:between w:val="none" w:sz="0" w:space="0" w:color="auto"/>
                <w:bar w:val="none" w:sz="0" w:color="auto"/>
              </w:pBdr>
              <w:outlineLvl w:val="9"/>
              <w:rPr>
                <w:rFonts w:ascii="Times New Roman" w:eastAsia="Times New Roman" w:hAnsi="Times New Roman" w:cs="Times New Roman"/>
                <w:color w:val="auto"/>
                <w:sz w:val="17"/>
                <w:szCs w:val="17"/>
                <w:bdr w:val="none" w:sz="0" w:space="0" w:color="auto"/>
                <w:lang w:eastAsia="es-ES"/>
              </w:rPr>
            </w:pPr>
            <w:r w:rsidRPr="00804943">
              <w:rPr>
                <w:sz w:val="17"/>
                <w:szCs w:val="17"/>
              </w:rPr>
              <w:t>HP, deudora por devolución de impuestos</w:t>
            </w:r>
          </w:p>
        </w:tc>
        <w:tc>
          <w:tcPr>
            <w:tcW w:w="781" w:type="pct"/>
            <w:tcBorders>
              <w:top w:val="nil"/>
              <w:left w:val="nil"/>
              <w:bottom w:val="nil"/>
              <w:right w:val="nil"/>
            </w:tcBorders>
            <w:shd w:val="clear" w:color="auto" w:fill="auto"/>
            <w:vAlign w:val="center"/>
          </w:tcPr>
          <w:p w14:paraId="75D72DD1" w14:textId="27D0004E" w:rsidR="00804943" w:rsidRPr="00804943" w:rsidRDefault="00804943" w:rsidP="00804943">
            <w:pPr>
              <w:jc w:val="right"/>
              <w:rPr>
                <w:sz w:val="17"/>
                <w:szCs w:val="17"/>
              </w:rPr>
            </w:pPr>
            <w:r w:rsidRPr="00804943">
              <w:rPr>
                <w:sz w:val="17"/>
                <w:szCs w:val="17"/>
              </w:rPr>
              <w:t xml:space="preserve">17.036,01   </w:t>
            </w:r>
          </w:p>
        </w:tc>
        <w:tc>
          <w:tcPr>
            <w:tcW w:w="734" w:type="pct"/>
            <w:tcBorders>
              <w:top w:val="nil"/>
              <w:left w:val="nil"/>
              <w:bottom w:val="nil"/>
              <w:right w:val="nil"/>
            </w:tcBorders>
            <w:shd w:val="clear" w:color="auto" w:fill="auto"/>
            <w:vAlign w:val="center"/>
          </w:tcPr>
          <w:p w14:paraId="5B05B039" w14:textId="70A56DA3" w:rsidR="00804943" w:rsidRPr="00804943" w:rsidRDefault="00804943" w:rsidP="00804943">
            <w:pPr>
              <w:jc w:val="right"/>
              <w:rPr>
                <w:sz w:val="17"/>
                <w:szCs w:val="17"/>
              </w:rPr>
            </w:pPr>
            <w:r w:rsidRPr="00804943">
              <w:rPr>
                <w:sz w:val="17"/>
                <w:szCs w:val="17"/>
              </w:rPr>
              <w:t xml:space="preserve">                      -     </w:t>
            </w:r>
          </w:p>
        </w:tc>
        <w:tc>
          <w:tcPr>
            <w:tcW w:w="734" w:type="pct"/>
            <w:tcBorders>
              <w:top w:val="nil"/>
              <w:left w:val="nil"/>
              <w:bottom w:val="nil"/>
              <w:right w:val="nil"/>
            </w:tcBorders>
            <w:shd w:val="clear" w:color="auto" w:fill="auto"/>
            <w:vAlign w:val="center"/>
            <w:hideMark/>
          </w:tcPr>
          <w:p w14:paraId="044659F2" w14:textId="1D1190DA" w:rsidR="00804943" w:rsidRPr="00804943" w:rsidRDefault="00804943" w:rsidP="00804943">
            <w:pPr>
              <w:pBdr>
                <w:top w:val="none" w:sz="0" w:space="0" w:color="auto"/>
                <w:left w:val="none" w:sz="0" w:space="0" w:color="auto"/>
                <w:bottom w:val="none" w:sz="0" w:space="0" w:color="auto"/>
                <w:right w:val="none" w:sz="0" w:space="0" w:color="auto"/>
                <w:between w:val="none" w:sz="0" w:space="0" w:color="auto"/>
                <w:bar w:val="none" w:sz="0" w:color="auto"/>
              </w:pBdr>
              <w:jc w:val="right"/>
              <w:outlineLvl w:val="9"/>
              <w:rPr>
                <w:rFonts w:eastAsia="Times New Roman"/>
                <w:sz w:val="17"/>
                <w:szCs w:val="17"/>
                <w:bdr w:val="none" w:sz="0" w:space="0" w:color="auto"/>
                <w:lang w:eastAsia="es-ES"/>
              </w:rPr>
            </w:pPr>
            <w:r w:rsidRPr="00804943">
              <w:rPr>
                <w:sz w:val="17"/>
                <w:szCs w:val="17"/>
              </w:rPr>
              <w:t>3.623,07</w:t>
            </w:r>
          </w:p>
        </w:tc>
        <w:tc>
          <w:tcPr>
            <w:tcW w:w="734" w:type="pct"/>
            <w:tcBorders>
              <w:top w:val="nil"/>
              <w:left w:val="nil"/>
              <w:bottom w:val="nil"/>
              <w:right w:val="nil"/>
            </w:tcBorders>
            <w:shd w:val="clear" w:color="auto" w:fill="auto"/>
            <w:vAlign w:val="center"/>
            <w:hideMark/>
          </w:tcPr>
          <w:p w14:paraId="19F54739" w14:textId="71C0E1DE" w:rsidR="00804943" w:rsidRPr="00804943" w:rsidRDefault="00804943" w:rsidP="00804943">
            <w:pPr>
              <w:pBdr>
                <w:top w:val="none" w:sz="0" w:space="0" w:color="auto"/>
                <w:left w:val="none" w:sz="0" w:space="0" w:color="auto"/>
                <w:bottom w:val="none" w:sz="0" w:space="0" w:color="auto"/>
                <w:right w:val="none" w:sz="0" w:space="0" w:color="auto"/>
                <w:between w:val="none" w:sz="0" w:space="0" w:color="auto"/>
                <w:bar w:val="none" w:sz="0" w:color="auto"/>
              </w:pBdr>
              <w:jc w:val="right"/>
              <w:outlineLvl w:val="9"/>
              <w:rPr>
                <w:rFonts w:eastAsia="Times New Roman"/>
                <w:sz w:val="17"/>
                <w:szCs w:val="17"/>
                <w:bdr w:val="none" w:sz="0" w:space="0" w:color="auto"/>
                <w:lang w:eastAsia="es-ES"/>
              </w:rPr>
            </w:pPr>
            <w:r w:rsidRPr="00804943">
              <w:rPr>
                <w:sz w:val="17"/>
                <w:szCs w:val="17"/>
              </w:rPr>
              <w:t>-</w:t>
            </w:r>
          </w:p>
        </w:tc>
      </w:tr>
      <w:tr w:rsidR="00804943" w:rsidRPr="00804943" w14:paraId="2868B1EB" w14:textId="77777777" w:rsidTr="00804943">
        <w:trPr>
          <w:trHeight w:val="283"/>
        </w:trPr>
        <w:tc>
          <w:tcPr>
            <w:tcW w:w="2017" w:type="pct"/>
            <w:tcBorders>
              <w:top w:val="nil"/>
              <w:left w:val="nil"/>
              <w:bottom w:val="nil"/>
              <w:right w:val="nil"/>
            </w:tcBorders>
            <w:shd w:val="clear" w:color="auto" w:fill="auto"/>
            <w:vAlign w:val="center"/>
            <w:hideMark/>
          </w:tcPr>
          <w:p w14:paraId="0A74D0F0" w14:textId="77777777" w:rsidR="00804943" w:rsidRPr="00804943" w:rsidRDefault="00804943" w:rsidP="00804943">
            <w:pPr>
              <w:pBdr>
                <w:top w:val="none" w:sz="0" w:space="0" w:color="auto"/>
                <w:left w:val="none" w:sz="0" w:space="0" w:color="auto"/>
                <w:bottom w:val="none" w:sz="0" w:space="0" w:color="auto"/>
                <w:right w:val="none" w:sz="0" w:space="0" w:color="auto"/>
                <w:between w:val="none" w:sz="0" w:space="0" w:color="auto"/>
                <w:bar w:val="none" w:sz="0" w:color="auto"/>
              </w:pBdr>
              <w:outlineLvl w:val="9"/>
              <w:rPr>
                <w:rFonts w:eastAsia="Times New Roman"/>
                <w:sz w:val="17"/>
                <w:szCs w:val="17"/>
                <w:bdr w:val="none" w:sz="0" w:space="0" w:color="auto"/>
                <w:lang w:eastAsia="es-ES"/>
              </w:rPr>
            </w:pPr>
            <w:r w:rsidRPr="00804943">
              <w:rPr>
                <w:rFonts w:eastAsia="Times New Roman"/>
                <w:sz w:val="17"/>
                <w:szCs w:val="17"/>
                <w:bdr w:val="none" w:sz="0" w:space="0" w:color="auto"/>
                <w:lang w:eastAsia="es-ES"/>
              </w:rPr>
              <w:t>H.P. acreedora por conceptos fiscales</w:t>
            </w:r>
          </w:p>
        </w:tc>
        <w:tc>
          <w:tcPr>
            <w:tcW w:w="781" w:type="pct"/>
            <w:tcBorders>
              <w:top w:val="nil"/>
              <w:left w:val="nil"/>
              <w:bottom w:val="nil"/>
              <w:right w:val="nil"/>
            </w:tcBorders>
            <w:shd w:val="clear" w:color="auto" w:fill="auto"/>
            <w:vAlign w:val="center"/>
          </w:tcPr>
          <w:p w14:paraId="3E803B90" w14:textId="1D8A3213" w:rsidR="00804943" w:rsidRPr="00804943" w:rsidRDefault="00804943" w:rsidP="00804943">
            <w:pPr>
              <w:jc w:val="right"/>
              <w:rPr>
                <w:sz w:val="17"/>
                <w:szCs w:val="17"/>
              </w:rPr>
            </w:pPr>
            <w:r w:rsidRPr="00804943">
              <w:rPr>
                <w:sz w:val="17"/>
                <w:szCs w:val="17"/>
              </w:rPr>
              <w:t xml:space="preserve">   -     </w:t>
            </w:r>
          </w:p>
        </w:tc>
        <w:tc>
          <w:tcPr>
            <w:tcW w:w="734" w:type="pct"/>
            <w:tcBorders>
              <w:top w:val="nil"/>
              <w:left w:val="nil"/>
              <w:bottom w:val="nil"/>
              <w:right w:val="nil"/>
            </w:tcBorders>
            <w:shd w:val="clear" w:color="auto" w:fill="auto"/>
            <w:vAlign w:val="center"/>
          </w:tcPr>
          <w:p w14:paraId="5879DBE0" w14:textId="14BB3114" w:rsidR="00804943" w:rsidRPr="00804943" w:rsidRDefault="00804943" w:rsidP="00804943">
            <w:pPr>
              <w:jc w:val="right"/>
              <w:rPr>
                <w:sz w:val="17"/>
                <w:szCs w:val="17"/>
              </w:rPr>
            </w:pPr>
            <w:r w:rsidRPr="00804943">
              <w:rPr>
                <w:sz w:val="17"/>
                <w:szCs w:val="17"/>
              </w:rPr>
              <w:t xml:space="preserve">1.323.536,05   </w:t>
            </w:r>
          </w:p>
        </w:tc>
        <w:tc>
          <w:tcPr>
            <w:tcW w:w="734" w:type="pct"/>
            <w:tcBorders>
              <w:top w:val="nil"/>
              <w:left w:val="nil"/>
              <w:bottom w:val="nil"/>
              <w:right w:val="nil"/>
            </w:tcBorders>
            <w:shd w:val="clear" w:color="auto" w:fill="auto"/>
            <w:vAlign w:val="center"/>
            <w:hideMark/>
          </w:tcPr>
          <w:p w14:paraId="55F5150A" w14:textId="6D62C838" w:rsidR="00804943" w:rsidRPr="00804943" w:rsidRDefault="00804943" w:rsidP="00804943">
            <w:pPr>
              <w:pBdr>
                <w:top w:val="none" w:sz="0" w:space="0" w:color="auto"/>
                <w:left w:val="none" w:sz="0" w:space="0" w:color="auto"/>
                <w:bottom w:val="none" w:sz="0" w:space="0" w:color="auto"/>
                <w:right w:val="none" w:sz="0" w:space="0" w:color="auto"/>
                <w:between w:val="none" w:sz="0" w:space="0" w:color="auto"/>
                <w:bar w:val="none" w:sz="0" w:color="auto"/>
              </w:pBdr>
              <w:jc w:val="right"/>
              <w:outlineLvl w:val="9"/>
              <w:rPr>
                <w:rFonts w:eastAsia="Times New Roman"/>
                <w:sz w:val="17"/>
                <w:szCs w:val="17"/>
                <w:bdr w:val="none" w:sz="0" w:space="0" w:color="auto"/>
                <w:lang w:eastAsia="es-ES"/>
              </w:rPr>
            </w:pPr>
            <w:r w:rsidRPr="00804943">
              <w:rPr>
                <w:sz w:val="17"/>
                <w:szCs w:val="17"/>
              </w:rPr>
              <w:t xml:space="preserve">-     </w:t>
            </w:r>
          </w:p>
        </w:tc>
        <w:tc>
          <w:tcPr>
            <w:tcW w:w="734" w:type="pct"/>
            <w:tcBorders>
              <w:top w:val="nil"/>
              <w:left w:val="nil"/>
              <w:bottom w:val="nil"/>
              <w:right w:val="nil"/>
            </w:tcBorders>
            <w:shd w:val="clear" w:color="auto" w:fill="auto"/>
            <w:vAlign w:val="center"/>
            <w:hideMark/>
          </w:tcPr>
          <w:p w14:paraId="3634F35B" w14:textId="2674CE81" w:rsidR="00804943" w:rsidRPr="00804943" w:rsidRDefault="00804943" w:rsidP="00804943">
            <w:pPr>
              <w:pBdr>
                <w:top w:val="none" w:sz="0" w:space="0" w:color="auto"/>
                <w:left w:val="none" w:sz="0" w:space="0" w:color="auto"/>
                <w:bottom w:val="none" w:sz="0" w:space="0" w:color="auto"/>
                <w:right w:val="none" w:sz="0" w:space="0" w:color="auto"/>
                <w:between w:val="none" w:sz="0" w:space="0" w:color="auto"/>
                <w:bar w:val="none" w:sz="0" w:color="auto"/>
              </w:pBdr>
              <w:jc w:val="right"/>
              <w:outlineLvl w:val="9"/>
              <w:rPr>
                <w:rFonts w:eastAsia="Times New Roman"/>
                <w:sz w:val="17"/>
                <w:szCs w:val="17"/>
                <w:bdr w:val="none" w:sz="0" w:space="0" w:color="auto"/>
                <w:lang w:eastAsia="es-ES"/>
              </w:rPr>
            </w:pPr>
            <w:r w:rsidRPr="00804943">
              <w:rPr>
                <w:sz w:val="17"/>
                <w:szCs w:val="17"/>
              </w:rPr>
              <w:t>1.492.532,96</w:t>
            </w:r>
          </w:p>
        </w:tc>
      </w:tr>
      <w:tr w:rsidR="00804943" w:rsidRPr="00804943" w14:paraId="6842E4A2" w14:textId="77777777" w:rsidTr="00804943">
        <w:trPr>
          <w:trHeight w:val="283"/>
        </w:trPr>
        <w:tc>
          <w:tcPr>
            <w:tcW w:w="2017" w:type="pct"/>
            <w:tcBorders>
              <w:top w:val="nil"/>
              <w:left w:val="nil"/>
              <w:bottom w:val="nil"/>
              <w:right w:val="nil"/>
            </w:tcBorders>
            <w:shd w:val="clear" w:color="auto" w:fill="auto"/>
            <w:vAlign w:val="center"/>
            <w:hideMark/>
          </w:tcPr>
          <w:p w14:paraId="537E3F44" w14:textId="77777777" w:rsidR="00804943" w:rsidRPr="00804943" w:rsidRDefault="00804943" w:rsidP="00804943">
            <w:pPr>
              <w:pBdr>
                <w:top w:val="none" w:sz="0" w:space="0" w:color="auto"/>
                <w:left w:val="none" w:sz="0" w:space="0" w:color="auto"/>
                <w:bottom w:val="none" w:sz="0" w:space="0" w:color="auto"/>
                <w:right w:val="none" w:sz="0" w:space="0" w:color="auto"/>
                <w:between w:val="none" w:sz="0" w:space="0" w:color="auto"/>
                <w:bar w:val="none" w:sz="0" w:color="auto"/>
              </w:pBdr>
              <w:outlineLvl w:val="9"/>
              <w:rPr>
                <w:rFonts w:eastAsia="Times New Roman"/>
                <w:sz w:val="17"/>
                <w:szCs w:val="17"/>
                <w:bdr w:val="none" w:sz="0" w:space="0" w:color="auto"/>
                <w:lang w:eastAsia="es-ES"/>
              </w:rPr>
            </w:pPr>
            <w:proofErr w:type="spellStart"/>
            <w:r w:rsidRPr="00804943">
              <w:rPr>
                <w:rFonts w:eastAsia="Times New Roman"/>
                <w:sz w:val="17"/>
                <w:szCs w:val="17"/>
                <w:bdr w:val="none" w:sz="0" w:space="0" w:color="auto"/>
                <w:lang w:eastAsia="es-ES"/>
              </w:rPr>
              <w:t>Org</w:t>
            </w:r>
            <w:proofErr w:type="spellEnd"/>
            <w:r w:rsidRPr="00804943">
              <w:rPr>
                <w:rFonts w:eastAsia="Times New Roman"/>
                <w:sz w:val="17"/>
                <w:szCs w:val="17"/>
                <w:bdr w:val="none" w:sz="0" w:space="0" w:color="auto"/>
                <w:lang w:eastAsia="es-ES"/>
              </w:rPr>
              <w:t>. de la Seguridad Social, acreedores</w:t>
            </w:r>
          </w:p>
        </w:tc>
        <w:tc>
          <w:tcPr>
            <w:tcW w:w="781" w:type="pct"/>
            <w:tcBorders>
              <w:top w:val="nil"/>
              <w:left w:val="nil"/>
              <w:bottom w:val="nil"/>
              <w:right w:val="nil"/>
            </w:tcBorders>
            <w:shd w:val="clear" w:color="auto" w:fill="auto"/>
            <w:vAlign w:val="center"/>
          </w:tcPr>
          <w:p w14:paraId="2D4DE4B4" w14:textId="7942CA3D" w:rsidR="00804943" w:rsidRPr="00804943" w:rsidRDefault="00804943" w:rsidP="00804943">
            <w:pPr>
              <w:jc w:val="right"/>
              <w:rPr>
                <w:sz w:val="17"/>
                <w:szCs w:val="17"/>
              </w:rPr>
            </w:pPr>
            <w:r w:rsidRPr="00804943">
              <w:rPr>
                <w:sz w:val="17"/>
                <w:szCs w:val="17"/>
              </w:rPr>
              <w:t xml:space="preserve">     -     </w:t>
            </w:r>
          </w:p>
        </w:tc>
        <w:tc>
          <w:tcPr>
            <w:tcW w:w="734" w:type="pct"/>
            <w:tcBorders>
              <w:top w:val="nil"/>
              <w:left w:val="nil"/>
              <w:bottom w:val="nil"/>
              <w:right w:val="nil"/>
            </w:tcBorders>
            <w:shd w:val="clear" w:color="auto" w:fill="auto"/>
            <w:vAlign w:val="center"/>
          </w:tcPr>
          <w:p w14:paraId="204B8E6E" w14:textId="46CE489F" w:rsidR="00804943" w:rsidRPr="00804943" w:rsidRDefault="00804943" w:rsidP="00804943">
            <w:pPr>
              <w:jc w:val="right"/>
              <w:rPr>
                <w:sz w:val="17"/>
                <w:szCs w:val="17"/>
              </w:rPr>
            </w:pPr>
            <w:r w:rsidRPr="00804943">
              <w:rPr>
                <w:sz w:val="17"/>
                <w:szCs w:val="17"/>
              </w:rPr>
              <w:t xml:space="preserve">76.379,17   </w:t>
            </w:r>
          </w:p>
        </w:tc>
        <w:tc>
          <w:tcPr>
            <w:tcW w:w="734" w:type="pct"/>
            <w:tcBorders>
              <w:top w:val="nil"/>
              <w:left w:val="nil"/>
              <w:bottom w:val="nil"/>
              <w:right w:val="nil"/>
            </w:tcBorders>
            <w:shd w:val="clear" w:color="auto" w:fill="auto"/>
            <w:vAlign w:val="center"/>
            <w:hideMark/>
          </w:tcPr>
          <w:p w14:paraId="0DA3DEEA" w14:textId="57C9A07E" w:rsidR="00804943" w:rsidRPr="00804943" w:rsidRDefault="00804943" w:rsidP="00804943">
            <w:pPr>
              <w:pBdr>
                <w:top w:val="none" w:sz="0" w:space="0" w:color="auto"/>
                <w:left w:val="none" w:sz="0" w:space="0" w:color="auto"/>
                <w:bottom w:val="none" w:sz="0" w:space="0" w:color="auto"/>
                <w:right w:val="none" w:sz="0" w:space="0" w:color="auto"/>
                <w:between w:val="none" w:sz="0" w:space="0" w:color="auto"/>
                <w:bar w:val="none" w:sz="0" w:color="auto"/>
              </w:pBdr>
              <w:jc w:val="right"/>
              <w:outlineLvl w:val="9"/>
              <w:rPr>
                <w:rFonts w:eastAsia="Times New Roman"/>
                <w:sz w:val="17"/>
                <w:szCs w:val="17"/>
                <w:bdr w:val="none" w:sz="0" w:space="0" w:color="auto"/>
                <w:lang w:eastAsia="es-ES"/>
              </w:rPr>
            </w:pPr>
            <w:r w:rsidRPr="00804943">
              <w:rPr>
                <w:sz w:val="17"/>
                <w:szCs w:val="17"/>
              </w:rPr>
              <w:t xml:space="preserve">-     </w:t>
            </w:r>
          </w:p>
        </w:tc>
        <w:tc>
          <w:tcPr>
            <w:tcW w:w="734" w:type="pct"/>
            <w:tcBorders>
              <w:top w:val="nil"/>
              <w:left w:val="nil"/>
              <w:bottom w:val="nil"/>
              <w:right w:val="nil"/>
            </w:tcBorders>
            <w:shd w:val="clear" w:color="auto" w:fill="auto"/>
            <w:vAlign w:val="center"/>
            <w:hideMark/>
          </w:tcPr>
          <w:p w14:paraId="62AB7F63" w14:textId="54D03CB7" w:rsidR="00804943" w:rsidRPr="00804943" w:rsidRDefault="00804943" w:rsidP="00804943">
            <w:pPr>
              <w:pBdr>
                <w:top w:val="none" w:sz="0" w:space="0" w:color="auto"/>
                <w:left w:val="none" w:sz="0" w:space="0" w:color="auto"/>
                <w:bottom w:val="none" w:sz="0" w:space="0" w:color="auto"/>
                <w:right w:val="none" w:sz="0" w:space="0" w:color="auto"/>
                <w:between w:val="none" w:sz="0" w:space="0" w:color="auto"/>
                <w:bar w:val="none" w:sz="0" w:color="auto"/>
              </w:pBdr>
              <w:jc w:val="right"/>
              <w:outlineLvl w:val="9"/>
              <w:rPr>
                <w:rFonts w:eastAsia="Times New Roman"/>
                <w:sz w:val="17"/>
                <w:szCs w:val="17"/>
                <w:bdr w:val="none" w:sz="0" w:space="0" w:color="auto"/>
                <w:lang w:eastAsia="es-ES"/>
              </w:rPr>
            </w:pPr>
            <w:r w:rsidRPr="00804943">
              <w:rPr>
                <w:sz w:val="17"/>
                <w:szCs w:val="17"/>
              </w:rPr>
              <w:t>84.135,95</w:t>
            </w:r>
          </w:p>
        </w:tc>
      </w:tr>
      <w:tr w:rsidR="00804943" w:rsidRPr="00804943" w14:paraId="3FF1A320" w14:textId="77777777" w:rsidTr="00804943">
        <w:trPr>
          <w:trHeight w:val="283"/>
        </w:trPr>
        <w:tc>
          <w:tcPr>
            <w:tcW w:w="2017" w:type="pct"/>
            <w:tcBorders>
              <w:top w:val="single" w:sz="4" w:space="0" w:color="auto"/>
              <w:left w:val="nil"/>
              <w:bottom w:val="single" w:sz="4" w:space="0" w:color="auto"/>
              <w:right w:val="nil"/>
            </w:tcBorders>
            <w:shd w:val="clear" w:color="auto" w:fill="auto"/>
            <w:vAlign w:val="center"/>
            <w:hideMark/>
          </w:tcPr>
          <w:p w14:paraId="694A1BBA" w14:textId="77777777" w:rsidR="00804943" w:rsidRPr="00804943" w:rsidRDefault="00804943" w:rsidP="00804943">
            <w:pPr>
              <w:pBdr>
                <w:top w:val="none" w:sz="0" w:space="0" w:color="auto"/>
                <w:left w:val="none" w:sz="0" w:space="0" w:color="auto"/>
                <w:bottom w:val="none" w:sz="0" w:space="0" w:color="auto"/>
                <w:right w:val="none" w:sz="0" w:space="0" w:color="auto"/>
                <w:between w:val="none" w:sz="0" w:space="0" w:color="auto"/>
                <w:bar w:val="none" w:sz="0" w:color="auto"/>
              </w:pBdr>
              <w:outlineLvl w:val="9"/>
              <w:rPr>
                <w:rFonts w:eastAsia="Times New Roman"/>
                <w:b/>
                <w:bCs/>
                <w:sz w:val="17"/>
                <w:szCs w:val="17"/>
                <w:bdr w:val="none" w:sz="0" w:space="0" w:color="auto"/>
                <w:lang w:eastAsia="es-ES"/>
              </w:rPr>
            </w:pPr>
            <w:r w:rsidRPr="00804943">
              <w:rPr>
                <w:rFonts w:eastAsia="Times New Roman"/>
                <w:b/>
                <w:bCs/>
                <w:sz w:val="17"/>
                <w:szCs w:val="17"/>
                <w:bdr w:val="none" w:sz="0" w:space="0" w:color="auto"/>
                <w:lang w:eastAsia="es-ES"/>
              </w:rPr>
              <w:t>Total</w:t>
            </w:r>
          </w:p>
        </w:tc>
        <w:tc>
          <w:tcPr>
            <w:tcW w:w="781" w:type="pct"/>
            <w:tcBorders>
              <w:top w:val="single" w:sz="4" w:space="0" w:color="auto"/>
              <w:left w:val="nil"/>
              <w:bottom w:val="single" w:sz="4" w:space="0" w:color="auto"/>
              <w:right w:val="nil"/>
            </w:tcBorders>
            <w:shd w:val="clear" w:color="auto" w:fill="auto"/>
            <w:vAlign w:val="center"/>
          </w:tcPr>
          <w:p w14:paraId="5B169898" w14:textId="67811381" w:rsidR="00804943" w:rsidRPr="00804943" w:rsidRDefault="00804943" w:rsidP="00804943">
            <w:pPr>
              <w:jc w:val="right"/>
              <w:rPr>
                <w:b/>
                <w:bCs/>
                <w:sz w:val="17"/>
                <w:szCs w:val="17"/>
              </w:rPr>
            </w:pPr>
            <w:r w:rsidRPr="00804943">
              <w:rPr>
                <w:b/>
                <w:bCs/>
                <w:sz w:val="17"/>
                <w:szCs w:val="17"/>
              </w:rPr>
              <w:t>17.618.181,67</w:t>
            </w:r>
          </w:p>
        </w:tc>
        <w:tc>
          <w:tcPr>
            <w:tcW w:w="734" w:type="pct"/>
            <w:tcBorders>
              <w:top w:val="single" w:sz="4" w:space="0" w:color="auto"/>
              <w:left w:val="nil"/>
              <w:bottom w:val="single" w:sz="4" w:space="0" w:color="auto"/>
              <w:right w:val="nil"/>
            </w:tcBorders>
            <w:shd w:val="clear" w:color="auto" w:fill="auto"/>
            <w:vAlign w:val="center"/>
          </w:tcPr>
          <w:p w14:paraId="0CE8D9E3" w14:textId="5DD61FF7" w:rsidR="00804943" w:rsidRPr="00804943" w:rsidRDefault="00804943" w:rsidP="00804943">
            <w:pPr>
              <w:jc w:val="right"/>
              <w:rPr>
                <w:b/>
                <w:bCs/>
                <w:sz w:val="17"/>
                <w:szCs w:val="17"/>
              </w:rPr>
            </w:pPr>
            <w:r w:rsidRPr="00804943">
              <w:rPr>
                <w:b/>
                <w:bCs/>
                <w:sz w:val="17"/>
                <w:szCs w:val="17"/>
              </w:rPr>
              <w:t>3.629.634,00</w:t>
            </w:r>
          </w:p>
        </w:tc>
        <w:tc>
          <w:tcPr>
            <w:tcW w:w="734" w:type="pct"/>
            <w:tcBorders>
              <w:top w:val="single" w:sz="4" w:space="0" w:color="auto"/>
              <w:left w:val="nil"/>
              <w:bottom w:val="single" w:sz="4" w:space="0" w:color="auto"/>
              <w:right w:val="nil"/>
            </w:tcBorders>
            <w:shd w:val="clear" w:color="auto" w:fill="auto"/>
            <w:vAlign w:val="center"/>
            <w:hideMark/>
          </w:tcPr>
          <w:p w14:paraId="5BFB84B2" w14:textId="0A1AAEC7" w:rsidR="00804943" w:rsidRPr="00804943" w:rsidRDefault="00804943" w:rsidP="00804943">
            <w:pPr>
              <w:pBdr>
                <w:top w:val="none" w:sz="0" w:space="0" w:color="auto"/>
                <w:left w:val="none" w:sz="0" w:space="0" w:color="auto"/>
                <w:bottom w:val="none" w:sz="0" w:space="0" w:color="auto"/>
                <w:right w:val="none" w:sz="0" w:space="0" w:color="auto"/>
                <w:between w:val="none" w:sz="0" w:space="0" w:color="auto"/>
                <w:bar w:val="none" w:sz="0" w:color="auto"/>
              </w:pBdr>
              <w:jc w:val="right"/>
              <w:outlineLvl w:val="9"/>
              <w:rPr>
                <w:rFonts w:eastAsia="Times New Roman"/>
                <w:b/>
                <w:bCs/>
                <w:sz w:val="17"/>
                <w:szCs w:val="17"/>
                <w:bdr w:val="none" w:sz="0" w:space="0" w:color="auto"/>
                <w:lang w:eastAsia="es-ES"/>
              </w:rPr>
            </w:pPr>
            <w:r w:rsidRPr="00804943">
              <w:rPr>
                <w:b/>
                <w:bCs/>
                <w:sz w:val="17"/>
                <w:szCs w:val="17"/>
              </w:rPr>
              <w:t>36.949.142,62</w:t>
            </w:r>
          </w:p>
        </w:tc>
        <w:tc>
          <w:tcPr>
            <w:tcW w:w="734" w:type="pct"/>
            <w:tcBorders>
              <w:top w:val="single" w:sz="4" w:space="0" w:color="auto"/>
              <w:left w:val="nil"/>
              <w:bottom w:val="single" w:sz="4" w:space="0" w:color="auto"/>
              <w:right w:val="nil"/>
            </w:tcBorders>
            <w:shd w:val="clear" w:color="auto" w:fill="auto"/>
            <w:vAlign w:val="center"/>
            <w:hideMark/>
          </w:tcPr>
          <w:p w14:paraId="5B1E9972" w14:textId="3B2B189A" w:rsidR="00804943" w:rsidRPr="00804943" w:rsidRDefault="00804943" w:rsidP="00804943">
            <w:pPr>
              <w:pBdr>
                <w:top w:val="none" w:sz="0" w:space="0" w:color="auto"/>
                <w:left w:val="none" w:sz="0" w:space="0" w:color="auto"/>
                <w:bottom w:val="none" w:sz="0" w:space="0" w:color="auto"/>
                <w:right w:val="none" w:sz="0" w:space="0" w:color="auto"/>
                <w:between w:val="none" w:sz="0" w:space="0" w:color="auto"/>
                <w:bar w:val="none" w:sz="0" w:color="auto"/>
              </w:pBdr>
              <w:jc w:val="right"/>
              <w:outlineLvl w:val="9"/>
              <w:rPr>
                <w:rFonts w:eastAsia="Times New Roman"/>
                <w:b/>
                <w:bCs/>
                <w:sz w:val="17"/>
                <w:szCs w:val="17"/>
                <w:bdr w:val="none" w:sz="0" w:space="0" w:color="auto"/>
                <w:lang w:eastAsia="es-ES"/>
              </w:rPr>
            </w:pPr>
            <w:r w:rsidRPr="00804943">
              <w:rPr>
                <w:b/>
                <w:bCs/>
                <w:sz w:val="17"/>
                <w:szCs w:val="17"/>
              </w:rPr>
              <w:t>5.119.200,66</w:t>
            </w:r>
          </w:p>
        </w:tc>
      </w:tr>
    </w:tbl>
    <w:p w14:paraId="340BCE01" w14:textId="77777777" w:rsidR="006220A2" w:rsidRPr="0083433F" w:rsidRDefault="006220A2" w:rsidP="00D67C6B">
      <w:pPr>
        <w:keepNext/>
        <w:keepLines/>
        <w:widowControl w:val="0"/>
        <w:tabs>
          <w:tab w:val="left" w:pos="284"/>
        </w:tabs>
        <w:spacing w:before="200"/>
        <w:rPr>
          <w:i/>
          <w:color w:val="auto"/>
          <w:sz w:val="20"/>
          <w:szCs w:val="22"/>
        </w:rPr>
      </w:pPr>
      <w:r w:rsidRPr="0083433F">
        <w:rPr>
          <w:i/>
          <w:color w:val="auto"/>
          <w:sz w:val="20"/>
          <w:szCs w:val="22"/>
        </w:rPr>
        <w:lastRenderedPageBreak/>
        <w:t>a)</w:t>
      </w:r>
      <w:r w:rsidRPr="0083433F">
        <w:rPr>
          <w:i/>
          <w:color w:val="auto"/>
          <w:sz w:val="20"/>
          <w:szCs w:val="22"/>
        </w:rPr>
        <w:tab/>
      </w:r>
      <w:r w:rsidRPr="0083433F">
        <w:rPr>
          <w:i/>
          <w:color w:val="auto"/>
          <w:sz w:val="20"/>
          <w:szCs w:val="22"/>
          <w:u w:val="single"/>
        </w:rPr>
        <w:t>Administraciones Públicas deudoras</w:t>
      </w:r>
    </w:p>
    <w:p w14:paraId="43EACBDD" w14:textId="51B0AAB5" w:rsidR="008459B8" w:rsidRPr="00CD5E24" w:rsidRDefault="006220A2" w:rsidP="00D67C6B">
      <w:pPr>
        <w:keepNext/>
        <w:keepLines/>
        <w:widowControl w:val="0"/>
        <w:spacing w:before="120" w:after="120" w:line="260" w:lineRule="exact"/>
        <w:jc w:val="both"/>
        <w:outlineLvl w:val="9"/>
        <w:rPr>
          <w:snapToGrid w:val="0"/>
          <w:sz w:val="20"/>
          <w:szCs w:val="22"/>
        </w:rPr>
      </w:pPr>
      <w:r w:rsidRPr="004C4EE8">
        <w:rPr>
          <w:snapToGrid w:val="0"/>
          <w:sz w:val="20"/>
          <w:szCs w:val="22"/>
        </w:rPr>
        <w:t>El importe bajo el epígrafe de “Hacienda Pública, deudora por diversos conceptos” recoge el importe de las subvenciones concedidas y no cobrada</w:t>
      </w:r>
      <w:r w:rsidR="003E75F6" w:rsidRPr="004C4EE8">
        <w:rPr>
          <w:snapToGrid w:val="0"/>
          <w:sz w:val="20"/>
          <w:szCs w:val="22"/>
        </w:rPr>
        <w:t xml:space="preserve"> </w:t>
      </w:r>
      <w:r w:rsidR="00856EA0" w:rsidRPr="004C4EE8">
        <w:rPr>
          <w:snapToGrid w:val="0"/>
          <w:sz w:val="20"/>
          <w:szCs w:val="22"/>
        </w:rPr>
        <w:t>a 31 de diciembre de 202</w:t>
      </w:r>
      <w:r w:rsidR="00EF1DB5" w:rsidRPr="004C4EE8">
        <w:rPr>
          <w:snapToGrid w:val="0"/>
          <w:sz w:val="20"/>
          <w:szCs w:val="22"/>
        </w:rPr>
        <w:t>4</w:t>
      </w:r>
      <w:r w:rsidR="00856EA0" w:rsidRPr="004C4EE8">
        <w:rPr>
          <w:snapToGrid w:val="0"/>
          <w:sz w:val="20"/>
          <w:szCs w:val="22"/>
        </w:rPr>
        <w:t xml:space="preserve">. </w:t>
      </w:r>
      <w:r w:rsidR="009E2F2D" w:rsidRPr="004C4EE8">
        <w:rPr>
          <w:snapToGrid w:val="0"/>
          <w:sz w:val="20"/>
          <w:szCs w:val="22"/>
        </w:rPr>
        <w:t xml:space="preserve">A fecha de formulación de estas cuentas anuales se han cobrado </w:t>
      </w:r>
      <w:r w:rsidR="00565394">
        <w:rPr>
          <w:snapToGrid w:val="0"/>
          <w:sz w:val="20"/>
          <w:szCs w:val="22"/>
        </w:rPr>
        <w:t>9.262.112</w:t>
      </w:r>
      <w:r w:rsidR="009E2F2D" w:rsidRPr="004C4EE8">
        <w:rPr>
          <w:snapToGrid w:val="0"/>
          <w:sz w:val="20"/>
          <w:szCs w:val="22"/>
        </w:rPr>
        <w:t xml:space="preserve"> euros en 202</w:t>
      </w:r>
      <w:r w:rsidR="00EF1DB5" w:rsidRPr="004C4EE8">
        <w:rPr>
          <w:snapToGrid w:val="0"/>
          <w:sz w:val="20"/>
          <w:szCs w:val="22"/>
        </w:rPr>
        <w:t>5</w:t>
      </w:r>
      <w:r w:rsidR="00236065" w:rsidRPr="004C4EE8">
        <w:rPr>
          <w:snapToGrid w:val="0"/>
          <w:sz w:val="20"/>
          <w:szCs w:val="22"/>
        </w:rPr>
        <w:t>.</w:t>
      </w:r>
    </w:p>
    <w:p w14:paraId="219BAC69" w14:textId="77777777" w:rsidR="006220A2" w:rsidRPr="0083433F" w:rsidRDefault="006220A2" w:rsidP="006220A2">
      <w:pPr>
        <w:widowControl w:val="0"/>
        <w:tabs>
          <w:tab w:val="left" w:pos="284"/>
        </w:tabs>
        <w:spacing w:before="200"/>
        <w:rPr>
          <w:i/>
          <w:sz w:val="20"/>
          <w:szCs w:val="22"/>
        </w:rPr>
      </w:pPr>
      <w:r w:rsidRPr="0083433F">
        <w:rPr>
          <w:i/>
          <w:sz w:val="20"/>
          <w:szCs w:val="22"/>
        </w:rPr>
        <w:t>b)</w:t>
      </w:r>
      <w:r w:rsidRPr="0083433F">
        <w:rPr>
          <w:i/>
          <w:sz w:val="22"/>
          <w:szCs w:val="22"/>
        </w:rPr>
        <w:tab/>
      </w:r>
      <w:r w:rsidRPr="0083433F">
        <w:rPr>
          <w:i/>
          <w:sz w:val="20"/>
          <w:szCs w:val="22"/>
          <w:u w:val="single"/>
        </w:rPr>
        <w:t>Administraciones Públicas acreedoras</w:t>
      </w:r>
    </w:p>
    <w:p w14:paraId="6C320ACA" w14:textId="77777777" w:rsidR="006220A2" w:rsidRDefault="006220A2" w:rsidP="00D67C6B">
      <w:pPr>
        <w:widowControl w:val="0"/>
        <w:spacing w:before="120" w:after="120" w:line="260" w:lineRule="exact"/>
        <w:jc w:val="both"/>
        <w:outlineLvl w:val="9"/>
        <w:rPr>
          <w:snapToGrid w:val="0"/>
          <w:sz w:val="20"/>
          <w:szCs w:val="22"/>
        </w:rPr>
      </w:pPr>
      <w:r w:rsidRPr="0083433F">
        <w:rPr>
          <w:snapToGrid w:val="0"/>
          <w:sz w:val="20"/>
          <w:szCs w:val="22"/>
        </w:rPr>
        <w:t>El epígrafe de Hacienda Pública, acreedora por conceptos fiscales recoge:</w:t>
      </w:r>
    </w:p>
    <w:tbl>
      <w:tblPr>
        <w:tblW w:w="5000" w:type="pct"/>
        <w:tblCellMar>
          <w:left w:w="70" w:type="dxa"/>
          <w:right w:w="70" w:type="dxa"/>
        </w:tblCellMar>
        <w:tblLook w:val="04A0" w:firstRow="1" w:lastRow="0" w:firstColumn="1" w:lastColumn="0" w:noHBand="0" w:noVBand="1"/>
      </w:tblPr>
      <w:tblGrid>
        <w:gridCol w:w="5007"/>
        <w:gridCol w:w="1886"/>
        <w:gridCol w:w="1888"/>
      </w:tblGrid>
      <w:tr w:rsidR="007D680E" w:rsidRPr="00176BA0" w14:paraId="775021CB" w14:textId="77777777" w:rsidTr="00176BA0">
        <w:trPr>
          <w:trHeight w:val="227"/>
        </w:trPr>
        <w:tc>
          <w:tcPr>
            <w:tcW w:w="2851" w:type="pct"/>
            <w:tcBorders>
              <w:top w:val="single" w:sz="4" w:space="0" w:color="auto"/>
              <w:left w:val="nil"/>
              <w:bottom w:val="nil"/>
              <w:right w:val="nil"/>
            </w:tcBorders>
            <w:shd w:val="clear" w:color="auto" w:fill="auto"/>
            <w:vAlign w:val="bottom"/>
            <w:hideMark/>
          </w:tcPr>
          <w:p w14:paraId="56D4CEA2" w14:textId="77777777" w:rsidR="003E75F6" w:rsidRPr="00176BA0" w:rsidRDefault="003E75F6" w:rsidP="00EA53D1">
            <w:pPr>
              <w:pBdr>
                <w:top w:val="none" w:sz="0" w:space="0" w:color="auto"/>
                <w:left w:val="none" w:sz="0" w:space="0" w:color="auto"/>
                <w:bottom w:val="none" w:sz="0" w:space="0" w:color="auto"/>
                <w:right w:val="none" w:sz="0" w:space="0" w:color="auto"/>
                <w:between w:val="none" w:sz="0" w:space="0" w:color="auto"/>
                <w:bar w:val="none" w:sz="0" w:color="auto"/>
              </w:pBdr>
              <w:outlineLvl w:val="9"/>
              <w:rPr>
                <w:rFonts w:eastAsia="Times New Roman"/>
                <w:color w:val="auto"/>
                <w:sz w:val="18"/>
                <w:szCs w:val="18"/>
                <w:bdr w:val="none" w:sz="0" w:space="0" w:color="auto"/>
                <w:lang w:eastAsia="es-ES"/>
              </w:rPr>
            </w:pPr>
          </w:p>
        </w:tc>
        <w:tc>
          <w:tcPr>
            <w:tcW w:w="2149" w:type="pct"/>
            <w:gridSpan w:val="2"/>
            <w:tcBorders>
              <w:top w:val="single" w:sz="4" w:space="0" w:color="auto"/>
              <w:left w:val="nil"/>
              <w:bottom w:val="single" w:sz="4" w:space="0" w:color="auto"/>
              <w:right w:val="nil"/>
            </w:tcBorders>
            <w:shd w:val="clear" w:color="auto" w:fill="auto"/>
            <w:vAlign w:val="bottom"/>
            <w:hideMark/>
          </w:tcPr>
          <w:p w14:paraId="3D080261" w14:textId="77777777" w:rsidR="003E75F6" w:rsidRPr="00176BA0" w:rsidRDefault="003E75F6" w:rsidP="00EA53D1">
            <w:pPr>
              <w:pBdr>
                <w:top w:val="none" w:sz="0" w:space="0" w:color="auto"/>
                <w:left w:val="none" w:sz="0" w:space="0" w:color="auto"/>
                <w:bottom w:val="none" w:sz="0" w:space="0" w:color="auto"/>
                <w:right w:val="none" w:sz="0" w:space="0" w:color="auto"/>
                <w:between w:val="none" w:sz="0" w:space="0" w:color="auto"/>
                <w:bar w:val="none" w:sz="0" w:color="auto"/>
              </w:pBdr>
              <w:jc w:val="center"/>
              <w:outlineLvl w:val="9"/>
              <w:rPr>
                <w:rFonts w:eastAsia="Times New Roman"/>
                <w:b/>
                <w:bCs/>
                <w:sz w:val="18"/>
                <w:szCs w:val="18"/>
                <w:bdr w:val="none" w:sz="0" w:space="0" w:color="auto"/>
                <w:lang w:eastAsia="es-ES"/>
              </w:rPr>
            </w:pPr>
            <w:r w:rsidRPr="00176BA0">
              <w:rPr>
                <w:rFonts w:eastAsia="Times New Roman"/>
                <w:b/>
                <w:bCs/>
                <w:sz w:val="18"/>
                <w:szCs w:val="18"/>
                <w:bdr w:val="none" w:sz="0" w:space="0" w:color="auto"/>
                <w:lang w:eastAsia="es-ES"/>
              </w:rPr>
              <w:t>Euros</w:t>
            </w:r>
          </w:p>
        </w:tc>
      </w:tr>
      <w:tr w:rsidR="007D680E" w:rsidRPr="00176BA0" w14:paraId="60CA8229" w14:textId="77777777" w:rsidTr="00176BA0">
        <w:trPr>
          <w:trHeight w:val="227"/>
        </w:trPr>
        <w:tc>
          <w:tcPr>
            <w:tcW w:w="2851" w:type="pct"/>
            <w:tcBorders>
              <w:top w:val="nil"/>
              <w:left w:val="nil"/>
              <w:bottom w:val="single" w:sz="4" w:space="0" w:color="auto"/>
              <w:right w:val="nil"/>
            </w:tcBorders>
            <w:shd w:val="clear" w:color="auto" w:fill="auto"/>
            <w:vAlign w:val="bottom"/>
            <w:hideMark/>
          </w:tcPr>
          <w:p w14:paraId="582D71CA" w14:textId="77777777" w:rsidR="00074A4F" w:rsidRPr="00176BA0" w:rsidRDefault="00074A4F" w:rsidP="00074A4F">
            <w:pPr>
              <w:pBdr>
                <w:top w:val="none" w:sz="0" w:space="0" w:color="auto"/>
                <w:left w:val="none" w:sz="0" w:space="0" w:color="auto"/>
                <w:bottom w:val="none" w:sz="0" w:space="0" w:color="auto"/>
                <w:right w:val="none" w:sz="0" w:space="0" w:color="auto"/>
                <w:between w:val="none" w:sz="0" w:space="0" w:color="auto"/>
                <w:bar w:val="none" w:sz="0" w:color="auto"/>
              </w:pBdr>
              <w:outlineLvl w:val="9"/>
              <w:rPr>
                <w:rFonts w:eastAsia="Times New Roman"/>
                <w:sz w:val="18"/>
                <w:szCs w:val="18"/>
                <w:bdr w:val="none" w:sz="0" w:space="0" w:color="auto"/>
                <w:lang w:eastAsia="es-ES"/>
              </w:rPr>
            </w:pPr>
            <w:r w:rsidRPr="00176BA0">
              <w:rPr>
                <w:rFonts w:eastAsia="Times New Roman"/>
                <w:sz w:val="18"/>
                <w:szCs w:val="18"/>
                <w:bdr w:val="none" w:sz="0" w:space="0" w:color="auto"/>
                <w:lang w:eastAsia="es-ES"/>
              </w:rPr>
              <w:t> </w:t>
            </w:r>
          </w:p>
        </w:tc>
        <w:tc>
          <w:tcPr>
            <w:tcW w:w="1074" w:type="pct"/>
            <w:tcBorders>
              <w:top w:val="nil"/>
              <w:left w:val="nil"/>
              <w:bottom w:val="single" w:sz="4" w:space="0" w:color="auto"/>
              <w:right w:val="nil"/>
            </w:tcBorders>
            <w:shd w:val="clear" w:color="auto" w:fill="auto"/>
            <w:vAlign w:val="bottom"/>
            <w:hideMark/>
          </w:tcPr>
          <w:p w14:paraId="627334C3" w14:textId="66089AB4" w:rsidR="00074A4F" w:rsidRPr="00176BA0" w:rsidRDefault="00074A4F" w:rsidP="00074A4F">
            <w:pPr>
              <w:pBdr>
                <w:top w:val="none" w:sz="0" w:space="0" w:color="auto"/>
                <w:left w:val="none" w:sz="0" w:space="0" w:color="auto"/>
                <w:bottom w:val="none" w:sz="0" w:space="0" w:color="auto"/>
                <w:right w:val="none" w:sz="0" w:space="0" w:color="auto"/>
                <w:between w:val="none" w:sz="0" w:space="0" w:color="auto"/>
                <w:bar w:val="none" w:sz="0" w:color="auto"/>
              </w:pBdr>
              <w:jc w:val="center"/>
              <w:outlineLvl w:val="9"/>
              <w:rPr>
                <w:rFonts w:eastAsia="Times New Roman"/>
                <w:b/>
                <w:bCs/>
                <w:sz w:val="18"/>
                <w:szCs w:val="18"/>
                <w:bdr w:val="none" w:sz="0" w:space="0" w:color="auto"/>
                <w:lang w:eastAsia="es-ES"/>
              </w:rPr>
            </w:pPr>
            <w:r w:rsidRPr="00176BA0">
              <w:rPr>
                <w:rFonts w:eastAsia="Times New Roman"/>
                <w:b/>
                <w:bCs/>
                <w:sz w:val="18"/>
                <w:szCs w:val="18"/>
                <w:bdr w:val="none" w:sz="0" w:space="0" w:color="auto"/>
                <w:lang w:eastAsia="es-ES"/>
              </w:rPr>
              <w:t>31/12/202</w:t>
            </w:r>
            <w:r w:rsidR="00CD5E24">
              <w:rPr>
                <w:rFonts w:eastAsia="Times New Roman"/>
                <w:b/>
                <w:bCs/>
                <w:sz w:val="18"/>
                <w:szCs w:val="18"/>
                <w:bdr w:val="none" w:sz="0" w:space="0" w:color="auto"/>
                <w:lang w:eastAsia="es-ES"/>
              </w:rPr>
              <w:t>4</w:t>
            </w:r>
          </w:p>
        </w:tc>
        <w:tc>
          <w:tcPr>
            <w:tcW w:w="1075" w:type="pct"/>
            <w:tcBorders>
              <w:top w:val="nil"/>
              <w:left w:val="nil"/>
              <w:bottom w:val="single" w:sz="4" w:space="0" w:color="auto"/>
              <w:right w:val="nil"/>
            </w:tcBorders>
            <w:shd w:val="clear" w:color="auto" w:fill="auto"/>
            <w:vAlign w:val="bottom"/>
            <w:hideMark/>
          </w:tcPr>
          <w:p w14:paraId="78BC09A2" w14:textId="40632DC6" w:rsidR="00074A4F" w:rsidRPr="00176BA0" w:rsidRDefault="00074A4F" w:rsidP="00074A4F">
            <w:pPr>
              <w:pBdr>
                <w:top w:val="none" w:sz="0" w:space="0" w:color="auto"/>
                <w:left w:val="none" w:sz="0" w:space="0" w:color="auto"/>
                <w:bottom w:val="none" w:sz="0" w:space="0" w:color="auto"/>
                <w:right w:val="none" w:sz="0" w:space="0" w:color="auto"/>
                <w:between w:val="none" w:sz="0" w:space="0" w:color="auto"/>
                <w:bar w:val="none" w:sz="0" w:color="auto"/>
              </w:pBdr>
              <w:jc w:val="center"/>
              <w:outlineLvl w:val="9"/>
              <w:rPr>
                <w:rFonts w:eastAsia="Times New Roman"/>
                <w:b/>
                <w:bCs/>
                <w:sz w:val="18"/>
                <w:szCs w:val="18"/>
                <w:bdr w:val="none" w:sz="0" w:space="0" w:color="auto"/>
                <w:lang w:eastAsia="es-ES"/>
              </w:rPr>
            </w:pPr>
            <w:r w:rsidRPr="00176BA0">
              <w:rPr>
                <w:rFonts w:eastAsia="Times New Roman"/>
                <w:b/>
                <w:bCs/>
                <w:sz w:val="18"/>
                <w:szCs w:val="18"/>
                <w:bdr w:val="none" w:sz="0" w:space="0" w:color="auto"/>
                <w:lang w:eastAsia="es-ES"/>
              </w:rPr>
              <w:t>31/12/202</w:t>
            </w:r>
            <w:r w:rsidR="00CD5E24">
              <w:rPr>
                <w:rFonts w:eastAsia="Times New Roman"/>
                <w:b/>
                <w:bCs/>
                <w:sz w:val="18"/>
                <w:szCs w:val="18"/>
                <w:bdr w:val="none" w:sz="0" w:space="0" w:color="auto"/>
                <w:lang w:eastAsia="es-ES"/>
              </w:rPr>
              <w:t>3</w:t>
            </w:r>
          </w:p>
        </w:tc>
      </w:tr>
      <w:tr w:rsidR="00CD5E24" w:rsidRPr="00176BA0" w14:paraId="15278BA0" w14:textId="77777777" w:rsidTr="00CD5E24">
        <w:trPr>
          <w:trHeight w:val="283"/>
        </w:trPr>
        <w:tc>
          <w:tcPr>
            <w:tcW w:w="2851" w:type="pct"/>
            <w:tcBorders>
              <w:top w:val="nil"/>
              <w:left w:val="nil"/>
              <w:bottom w:val="nil"/>
              <w:right w:val="nil"/>
            </w:tcBorders>
            <w:shd w:val="clear" w:color="auto" w:fill="auto"/>
            <w:vAlign w:val="center"/>
            <w:hideMark/>
          </w:tcPr>
          <w:p w14:paraId="53F057E7" w14:textId="77777777" w:rsidR="00CD5E24" w:rsidRPr="00176BA0" w:rsidRDefault="00CD5E24" w:rsidP="00CD5E24">
            <w:pPr>
              <w:pBdr>
                <w:top w:val="none" w:sz="0" w:space="0" w:color="auto"/>
                <w:left w:val="none" w:sz="0" w:space="0" w:color="auto"/>
                <w:bottom w:val="none" w:sz="0" w:space="0" w:color="auto"/>
                <w:right w:val="none" w:sz="0" w:space="0" w:color="auto"/>
                <w:between w:val="none" w:sz="0" w:space="0" w:color="auto"/>
                <w:bar w:val="none" w:sz="0" w:color="auto"/>
              </w:pBdr>
              <w:outlineLvl w:val="9"/>
              <w:rPr>
                <w:rFonts w:eastAsia="Times New Roman"/>
                <w:b/>
                <w:bCs/>
                <w:sz w:val="18"/>
                <w:szCs w:val="18"/>
                <w:bdr w:val="none" w:sz="0" w:space="0" w:color="auto"/>
                <w:lang w:eastAsia="es-ES"/>
              </w:rPr>
            </w:pPr>
            <w:r w:rsidRPr="00176BA0">
              <w:rPr>
                <w:rFonts w:eastAsia="Times New Roman"/>
                <w:b/>
                <w:bCs/>
                <w:sz w:val="18"/>
                <w:szCs w:val="18"/>
                <w:bdr w:val="none" w:sz="0" w:space="0" w:color="auto"/>
                <w:lang w:eastAsia="es-ES"/>
              </w:rPr>
              <w:t>Administraciones Públicas acreedoras</w:t>
            </w:r>
          </w:p>
        </w:tc>
        <w:tc>
          <w:tcPr>
            <w:tcW w:w="1074" w:type="pct"/>
            <w:tcBorders>
              <w:top w:val="nil"/>
              <w:left w:val="nil"/>
              <w:bottom w:val="nil"/>
              <w:right w:val="nil"/>
            </w:tcBorders>
            <w:shd w:val="clear" w:color="auto" w:fill="auto"/>
            <w:noWrap/>
            <w:vAlign w:val="center"/>
          </w:tcPr>
          <w:p w14:paraId="4669202B" w14:textId="77777777" w:rsidR="00CD5E24" w:rsidRPr="00176BA0" w:rsidRDefault="00CD5E24" w:rsidP="00CD5E24">
            <w:pPr>
              <w:pBdr>
                <w:top w:val="none" w:sz="0" w:space="0" w:color="auto"/>
                <w:left w:val="none" w:sz="0" w:space="0" w:color="auto"/>
                <w:bottom w:val="none" w:sz="0" w:space="0" w:color="auto"/>
                <w:right w:val="none" w:sz="0" w:space="0" w:color="auto"/>
                <w:between w:val="none" w:sz="0" w:space="0" w:color="auto"/>
                <w:bar w:val="none" w:sz="0" w:color="auto"/>
              </w:pBdr>
              <w:jc w:val="right"/>
              <w:outlineLvl w:val="9"/>
              <w:rPr>
                <w:rFonts w:eastAsia="Times New Roman"/>
                <w:b/>
                <w:bCs/>
                <w:sz w:val="18"/>
                <w:szCs w:val="18"/>
                <w:bdr w:val="none" w:sz="0" w:space="0" w:color="auto"/>
                <w:lang w:eastAsia="es-ES"/>
              </w:rPr>
            </w:pPr>
          </w:p>
        </w:tc>
        <w:tc>
          <w:tcPr>
            <w:tcW w:w="1075" w:type="pct"/>
            <w:tcBorders>
              <w:top w:val="nil"/>
              <w:left w:val="nil"/>
              <w:bottom w:val="nil"/>
              <w:right w:val="nil"/>
            </w:tcBorders>
            <w:shd w:val="clear" w:color="auto" w:fill="auto"/>
            <w:vAlign w:val="center"/>
            <w:hideMark/>
          </w:tcPr>
          <w:p w14:paraId="4A03F700" w14:textId="77777777" w:rsidR="00CD5E24" w:rsidRPr="00176BA0" w:rsidRDefault="00CD5E24" w:rsidP="00CD5E24">
            <w:pPr>
              <w:pBdr>
                <w:top w:val="none" w:sz="0" w:space="0" w:color="auto"/>
                <w:left w:val="none" w:sz="0" w:space="0" w:color="auto"/>
                <w:bottom w:val="none" w:sz="0" w:space="0" w:color="auto"/>
                <w:right w:val="none" w:sz="0" w:space="0" w:color="auto"/>
                <w:between w:val="none" w:sz="0" w:space="0" w:color="auto"/>
                <w:bar w:val="none" w:sz="0" w:color="auto"/>
              </w:pBdr>
              <w:jc w:val="right"/>
              <w:outlineLvl w:val="9"/>
              <w:rPr>
                <w:rFonts w:eastAsia="Times New Roman"/>
                <w:color w:val="auto"/>
                <w:sz w:val="18"/>
                <w:szCs w:val="18"/>
                <w:bdr w:val="none" w:sz="0" w:space="0" w:color="auto"/>
                <w:lang w:eastAsia="es-ES"/>
              </w:rPr>
            </w:pPr>
          </w:p>
        </w:tc>
      </w:tr>
      <w:tr w:rsidR="00F66B07" w:rsidRPr="00176BA0" w14:paraId="519FD8EA" w14:textId="77777777" w:rsidTr="00176BA0">
        <w:trPr>
          <w:trHeight w:val="283"/>
        </w:trPr>
        <w:tc>
          <w:tcPr>
            <w:tcW w:w="2851" w:type="pct"/>
            <w:tcBorders>
              <w:top w:val="nil"/>
              <w:left w:val="nil"/>
              <w:bottom w:val="nil"/>
              <w:right w:val="nil"/>
            </w:tcBorders>
            <w:shd w:val="clear" w:color="auto" w:fill="auto"/>
            <w:vAlign w:val="center"/>
            <w:hideMark/>
          </w:tcPr>
          <w:p w14:paraId="29243DB0" w14:textId="77777777" w:rsidR="00F66B07" w:rsidRPr="00176BA0" w:rsidRDefault="00F66B07" w:rsidP="00F66B07">
            <w:pPr>
              <w:pBdr>
                <w:top w:val="none" w:sz="0" w:space="0" w:color="auto"/>
                <w:left w:val="none" w:sz="0" w:space="0" w:color="auto"/>
                <w:bottom w:val="none" w:sz="0" w:space="0" w:color="auto"/>
                <w:right w:val="none" w:sz="0" w:space="0" w:color="auto"/>
                <w:between w:val="none" w:sz="0" w:space="0" w:color="auto"/>
                <w:bar w:val="none" w:sz="0" w:color="auto"/>
              </w:pBdr>
              <w:outlineLvl w:val="9"/>
              <w:rPr>
                <w:rFonts w:eastAsia="Times New Roman"/>
                <w:sz w:val="18"/>
                <w:szCs w:val="18"/>
                <w:bdr w:val="none" w:sz="0" w:space="0" w:color="auto"/>
                <w:lang w:eastAsia="es-ES"/>
              </w:rPr>
            </w:pPr>
            <w:r w:rsidRPr="00176BA0">
              <w:rPr>
                <w:rFonts w:eastAsia="Times New Roman"/>
                <w:sz w:val="18"/>
                <w:szCs w:val="18"/>
                <w:bdr w:val="none" w:sz="0" w:space="0" w:color="auto"/>
                <w:lang w:eastAsia="es-ES"/>
              </w:rPr>
              <w:t>Hacienda Pública acreedora por IGIC</w:t>
            </w:r>
          </w:p>
        </w:tc>
        <w:tc>
          <w:tcPr>
            <w:tcW w:w="1074" w:type="pct"/>
            <w:tcBorders>
              <w:top w:val="nil"/>
              <w:left w:val="nil"/>
              <w:bottom w:val="nil"/>
              <w:right w:val="nil"/>
            </w:tcBorders>
            <w:shd w:val="clear" w:color="auto" w:fill="auto"/>
            <w:noWrap/>
            <w:vAlign w:val="center"/>
          </w:tcPr>
          <w:p w14:paraId="6E5F4421" w14:textId="19E2DF51" w:rsidR="00F66B07" w:rsidRPr="00176BA0" w:rsidRDefault="00F66B07" w:rsidP="00F66B07">
            <w:pPr>
              <w:pBdr>
                <w:top w:val="none" w:sz="0" w:space="0" w:color="auto"/>
                <w:left w:val="none" w:sz="0" w:space="0" w:color="auto"/>
                <w:bottom w:val="none" w:sz="0" w:space="0" w:color="auto"/>
                <w:right w:val="none" w:sz="0" w:space="0" w:color="auto"/>
                <w:between w:val="none" w:sz="0" w:space="0" w:color="auto"/>
                <w:bar w:val="none" w:sz="0" w:color="auto"/>
              </w:pBdr>
              <w:jc w:val="right"/>
              <w:outlineLvl w:val="9"/>
              <w:rPr>
                <w:rFonts w:eastAsia="Times New Roman"/>
                <w:sz w:val="18"/>
                <w:szCs w:val="18"/>
                <w:bdr w:val="none" w:sz="0" w:space="0" w:color="auto"/>
                <w:lang w:eastAsia="es-ES"/>
              </w:rPr>
            </w:pPr>
            <w:r>
              <w:rPr>
                <w:sz w:val="18"/>
                <w:szCs w:val="18"/>
              </w:rPr>
              <w:t xml:space="preserve">1.177.861,01   </w:t>
            </w:r>
          </w:p>
        </w:tc>
        <w:tc>
          <w:tcPr>
            <w:tcW w:w="1075" w:type="pct"/>
            <w:tcBorders>
              <w:top w:val="nil"/>
              <w:left w:val="nil"/>
              <w:bottom w:val="nil"/>
              <w:right w:val="nil"/>
            </w:tcBorders>
            <w:shd w:val="clear" w:color="auto" w:fill="auto"/>
            <w:vAlign w:val="center"/>
            <w:hideMark/>
          </w:tcPr>
          <w:p w14:paraId="57C592DC" w14:textId="75BCF68F" w:rsidR="00F66B07" w:rsidRPr="00176BA0" w:rsidRDefault="00F66B07" w:rsidP="00F66B07">
            <w:pPr>
              <w:pBdr>
                <w:top w:val="none" w:sz="0" w:space="0" w:color="auto"/>
                <w:left w:val="none" w:sz="0" w:space="0" w:color="auto"/>
                <w:bottom w:val="none" w:sz="0" w:space="0" w:color="auto"/>
                <w:right w:val="none" w:sz="0" w:space="0" w:color="auto"/>
                <w:between w:val="none" w:sz="0" w:space="0" w:color="auto"/>
                <w:bar w:val="none" w:sz="0" w:color="auto"/>
              </w:pBdr>
              <w:jc w:val="right"/>
              <w:outlineLvl w:val="9"/>
              <w:rPr>
                <w:rFonts w:eastAsia="Times New Roman"/>
                <w:sz w:val="18"/>
                <w:szCs w:val="18"/>
                <w:bdr w:val="none" w:sz="0" w:space="0" w:color="auto"/>
                <w:lang w:eastAsia="es-ES"/>
              </w:rPr>
            </w:pPr>
            <w:r>
              <w:rPr>
                <w:rFonts w:eastAsia="Times New Roman"/>
                <w:sz w:val="18"/>
                <w:szCs w:val="18"/>
                <w:bdr w:val="none" w:sz="0" w:space="0" w:color="auto"/>
                <w:lang w:eastAsia="es-ES"/>
              </w:rPr>
              <w:t>1.348.252,80</w:t>
            </w:r>
          </w:p>
        </w:tc>
      </w:tr>
      <w:tr w:rsidR="00F66B07" w:rsidRPr="00176BA0" w14:paraId="3B4515BF" w14:textId="77777777" w:rsidTr="00176BA0">
        <w:trPr>
          <w:trHeight w:val="283"/>
        </w:trPr>
        <w:tc>
          <w:tcPr>
            <w:tcW w:w="2851" w:type="pct"/>
            <w:tcBorders>
              <w:top w:val="nil"/>
              <w:left w:val="nil"/>
              <w:bottom w:val="nil"/>
              <w:right w:val="nil"/>
            </w:tcBorders>
            <w:shd w:val="clear" w:color="auto" w:fill="auto"/>
            <w:vAlign w:val="center"/>
            <w:hideMark/>
          </w:tcPr>
          <w:p w14:paraId="7C515E6C" w14:textId="77777777" w:rsidR="00F66B07" w:rsidRPr="00176BA0" w:rsidRDefault="00F66B07" w:rsidP="00F66B07">
            <w:pPr>
              <w:pBdr>
                <w:top w:val="none" w:sz="0" w:space="0" w:color="auto"/>
                <w:left w:val="none" w:sz="0" w:space="0" w:color="auto"/>
                <w:bottom w:val="none" w:sz="0" w:space="0" w:color="auto"/>
                <w:right w:val="none" w:sz="0" w:space="0" w:color="auto"/>
                <w:between w:val="none" w:sz="0" w:space="0" w:color="auto"/>
                <w:bar w:val="none" w:sz="0" w:color="auto"/>
              </w:pBdr>
              <w:outlineLvl w:val="9"/>
              <w:rPr>
                <w:rFonts w:eastAsia="Times New Roman"/>
                <w:sz w:val="18"/>
                <w:szCs w:val="18"/>
                <w:bdr w:val="none" w:sz="0" w:space="0" w:color="auto"/>
                <w:lang w:eastAsia="es-ES"/>
              </w:rPr>
            </w:pPr>
            <w:r w:rsidRPr="00176BA0">
              <w:rPr>
                <w:rFonts w:eastAsia="Times New Roman"/>
                <w:sz w:val="18"/>
                <w:szCs w:val="18"/>
                <w:bdr w:val="none" w:sz="0" w:space="0" w:color="auto"/>
                <w:lang w:eastAsia="es-ES"/>
              </w:rPr>
              <w:t>Subvenciones a reintegrar</w:t>
            </w:r>
          </w:p>
        </w:tc>
        <w:tc>
          <w:tcPr>
            <w:tcW w:w="1074" w:type="pct"/>
            <w:tcBorders>
              <w:top w:val="nil"/>
              <w:left w:val="nil"/>
              <w:bottom w:val="nil"/>
              <w:right w:val="nil"/>
            </w:tcBorders>
            <w:shd w:val="clear" w:color="auto" w:fill="auto"/>
            <w:noWrap/>
            <w:vAlign w:val="center"/>
          </w:tcPr>
          <w:p w14:paraId="58A05822" w14:textId="2F9DD6E8" w:rsidR="00F66B07" w:rsidRPr="00176BA0" w:rsidRDefault="00F66B07" w:rsidP="00F66B07">
            <w:pPr>
              <w:pBdr>
                <w:top w:val="none" w:sz="0" w:space="0" w:color="auto"/>
                <w:left w:val="none" w:sz="0" w:space="0" w:color="auto"/>
                <w:bottom w:val="none" w:sz="0" w:space="0" w:color="auto"/>
                <w:right w:val="none" w:sz="0" w:space="0" w:color="auto"/>
                <w:between w:val="none" w:sz="0" w:space="0" w:color="auto"/>
                <w:bar w:val="none" w:sz="0" w:color="auto"/>
              </w:pBdr>
              <w:jc w:val="right"/>
              <w:outlineLvl w:val="9"/>
              <w:rPr>
                <w:rFonts w:eastAsia="Times New Roman"/>
                <w:sz w:val="18"/>
                <w:szCs w:val="18"/>
                <w:bdr w:val="none" w:sz="0" w:space="0" w:color="auto"/>
                <w:lang w:eastAsia="es-ES"/>
              </w:rPr>
            </w:pPr>
            <w:r>
              <w:rPr>
                <w:sz w:val="18"/>
                <w:szCs w:val="18"/>
              </w:rPr>
              <w:t xml:space="preserve"> 2.229.718,78   </w:t>
            </w:r>
          </w:p>
        </w:tc>
        <w:tc>
          <w:tcPr>
            <w:tcW w:w="1075" w:type="pct"/>
            <w:tcBorders>
              <w:top w:val="nil"/>
              <w:left w:val="nil"/>
              <w:bottom w:val="nil"/>
              <w:right w:val="nil"/>
            </w:tcBorders>
            <w:shd w:val="clear" w:color="auto" w:fill="auto"/>
            <w:vAlign w:val="center"/>
            <w:hideMark/>
          </w:tcPr>
          <w:p w14:paraId="1A61F6C8" w14:textId="0DD89D75" w:rsidR="00F66B07" w:rsidRPr="00176BA0" w:rsidRDefault="00F66B07" w:rsidP="00F66B07">
            <w:pPr>
              <w:pBdr>
                <w:top w:val="none" w:sz="0" w:space="0" w:color="auto"/>
                <w:left w:val="none" w:sz="0" w:space="0" w:color="auto"/>
                <w:bottom w:val="none" w:sz="0" w:space="0" w:color="auto"/>
                <w:right w:val="none" w:sz="0" w:space="0" w:color="auto"/>
                <w:between w:val="none" w:sz="0" w:space="0" w:color="auto"/>
                <w:bar w:val="none" w:sz="0" w:color="auto"/>
              </w:pBdr>
              <w:jc w:val="right"/>
              <w:outlineLvl w:val="9"/>
              <w:rPr>
                <w:rFonts w:eastAsia="Times New Roman"/>
                <w:sz w:val="18"/>
                <w:szCs w:val="18"/>
                <w:bdr w:val="none" w:sz="0" w:space="0" w:color="auto"/>
                <w:lang w:eastAsia="es-ES"/>
              </w:rPr>
            </w:pPr>
            <w:r>
              <w:rPr>
                <w:rFonts w:eastAsia="Times New Roman"/>
                <w:sz w:val="18"/>
                <w:szCs w:val="18"/>
                <w:bdr w:val="none" w:sz="0" w:space="0" w:color="auto"/>
                <w:lang w:eastAsia="es-ES"/>
              </w:rPr>
              <w:t>3.542.531,75</w:t>
            </w:r>
          </w:p>
        </w:tc>
      </w:tr>
      <w:tr w:rsidR="00F66B07" w:rsidRPr="00176BA0" w14:paraId="5913F68B" w14:textId="77777777" w:rsidTr="00176BA0">
        <w:trPr>
          <w:trHeight w:val="283"/>
        </w:trPr>
        <w:tc>
          <w:tcPr>
            <w:tcW w:w="2851" w:type="pct"/>
            <w:tcBorders>
              <w:top w:val="nil"/>
              <w:left w:val="nil"/>
              <w:bottom w:val="nil"/>
              <w:right w:val="nil"/>
            </w:tcBorders>
            <w:shd w:val="clear" w:color="auto" w:fill="auto"/>
            <w:vAlign w:val="center"/>
            <w:hideMark/>
          </w:tcPr>
          <w:p w14:paraId="4ABDD0FB" w14:textId="77777777" w:rsidR="00F66B07" w:rsidRPr="00176BA0" w:rsidRDefault="00F66B07" w:rsidP="00F66B07">
            <w:pPr>
              <w:pBdr>
                <w:top w:val="none" w:sz="0" w:space="0" w:color="auto"/>
                <w:left w:val="none" w:sz="0" w:space="0" w:color="auto"/>
                <w:bottom w:val="none" w:sz="0" w:space="0" w:color="auto"/>
                <w:right w:val="none" w:sz="0" w:space="0" w:color="auto"/>
                <w:between w:val="none" w:sz="0" w:space="0" w:color="auto"/>
                <w:bar w:val="none" w:sz="0" w:color="auto"/>
              </w:pBdr>
              <w:outlineLvl w:val="9"/>
              <w:rPr>
                <w:rFonts w:eastAsia="Times New Roman"/>
                <w:sz w:val="18"/>
                <w:szCs w:val="18"/>
                <w:bdr w:val="none" w:sz="0" w:space="0" w:color="auto"/>
                <w:lang w:eastAsia="es-ES"/>
              </w:rPr>
            </w:pPr>
            <w:r w:rsidRPr="00176BA0">
              <w:rPr>
                <w:rFonts w:eastAsia="Times New Roman"/>
                <w:sz w:val="18"/>
                <w:szCs w:val="18"/>
                <w:bdr w:val="none" w:sz="0" w:space="0" w:color="auto"/>
                <w:lang w:eastAsia="es-ES"/>
              </w:rPr>
              <w:t>IRPF Personal</w:t>
            </w:r>
          </w:p>
        </w:tc>
        <w:tc>
          <w:tcPr>
            <w:tcW w:w="1074" w:type="pct"/>
            <w:tcBorders>
              <w:top w:val="nil"/>
              <w:left w:val="nil"/>
              <w:bottom w:val="nil"/>
              <w:right w:val="nil"/>
            </w:tcBorders>
            <w:shd w:val="clear" w:color="auto" w:fill="auto"/>
            <w:noWrap/>
            <w:vAlign w:val="center"/>
          </w:tcPr>
          <w:p w14:paraId="6F06FD81" w14:textId="554A49C3" w:rsidR="00F66B07" w:rsidRPr="00176BA0" w:rsidRDefault="00F66B07" w:rsidP="00F66B07">
            <w:pPr>
              <w:pBdr>
                <w:top w:val="none" w:sz="0" w:space="0" w:color="auto"/>
                <w:left w:val="none" w:sz="0" w:space="0" w:color="auto"/>
                <w:bottom w:val="none" w:sz="0" w:space="0" w:color="auto"/>
                <w:right w:val="none" w:sz="0" w:space="0" w:color="auto"/>
                <w:between w:val="none" w:sz="0" w:space="0" w:color="auto"/>
                <w:bar w:val="none" w:sz="0" w:color="auto"/>
              </w:pBdr>
              <w:jc w:val="right"/>
              <w:outlineLvl w:val="9"/>
              <w:rPr>
                <w:rFonts w:eastAsia="Times New Roman"/>
                <w:sz w:val="18"/>
                <w:szCs w:val="18"/>
                <w:bdr w:val="none" w:sz="0" w:space="0" w:color="auto"/>
                <w:lang w:eastAsia="es-ES"/>
              </w:rPr>
            </w:pPr>
            <w:r>
              <w:rPr>
                <w:sz w:val="18"/>
                <w:szCs w:val="18"/>
              </w:rPr>
              <w:t xml:space="preserve">140.921,24   </w:t>
            </w:r>
          </w:p>
        </w:tc>
        <w:tc>
          <w:tcPr>
            <w:tcW w:w="1075" w:type="pct"/>
            <w:tcBorders>
              <w:top w:val="nil"/>
              <w:left w:val="nil"/>
              <w:bottom w:val="nil"/>
              <w:right w:val="nil"/>
            </w:tcBorders>
            <w:shd w:val="clear" w:color="auto" w:fill="auto"/>
            <w:vAlign w:val="center"/>
            <w:hideMark/>
          </w:tcPr>
          <w:p w14:paraId="7A383346" w14:textId="5E53F538" w:rsidR="00F66B07" w:rsidRPr="00176BA0" w:rsidRDefault="00F66B07" w:rsidP="00F66B07">
            <w:pPr>
              <w:pBdr>
                <w:top w:val="none" w:sz="0" w:space="0" w:color="auto"/>
                <w:left w:val="none" w:sz="0" w:space="0" w:color="auto"/>
                <w:bottom w:val="none" w:sz="0" w:space="0" w:color="auto"/>
                <w:right w:val="none" w:sz="0" w:space="0" w:color="auto"/>
                <w:between w:val="none" w:sz="0" w:space="0" w:color="auto"/>
                <w:bar w:val="none" w:sz="0" w:color="auto"/>
              </w:pBdr>
              <w:jc w:val="right"/>
              <w:outlineLvl w:val="9"/>
              <w:rPr>
                <w:rFonts w:eastAsia="Times New Roman"/>
                <w:sz w:val="18"/>
                <w:szCs w:val="18"/>
                <w:bdr w:val="none" w:sz="0" w:space="0" w:color="auto"/>
                <w:lang w:eastAsia="es-ES"/>
              </w:rPr>
            </w:pPr>
            <w:r>
              <w:rPr>
                <w:rFonts w:eastAsia="Times New Roman"/>
                <w:sz w:val="18"/>
                <w:szCs w:val="18"/>
                <w:bdr w:val="none" w:sz="0" w:space="0" w:color="auto"/>
                <w:lang w:eastAsia="es-ES"/>
              </w:rPr>
              <w:t>131.568,61</w:t>
            </w:r>
          </w:p>
        </w:tc>
      </w:tr>
      <w:tr w:rsidR="00F66B07" w:rsidRPr="00176BA0" w14:paraId="21FD2B88" w14:textId="77777777" w:rsidTr="00176BA0">
        <w:trPr>
          <w:trHeight w:val="283"/>
        </w:trPr>
        <w:tc>
          <w:tcPr>
            <w:tcW w:w="2851" w:type="pct"/>
            <w:tcBorders>
              <w:top w:val="nil"/>
              <w:left w:val="nil"/>
              <w:right w:val="nil"/>
            </w:tcBorders>
            <w:shd w:val="clear" w:color="auto" w:fill="auto"/>
            <w:vAlign w:val="center"/>
            <w:hideMark/>
          </w:tcPr>
          <w:p w14:paraId="6DE624E9" w14:textId="77777777" w:rsidR="00F66B07" w:rsidRPr="00176BA0" w:rsidRDefault="00F66B07" w:rsidP="00F66B07">
            <w:pPr>
              <w:pBdr>
                <w:top w:val="none" w:sz="0" w:space="0" w:color="auto"/>
                <w:left w:val="none" w:sz="0" w:space="0" w:color="auto"/>
                <w:bottom w:val="none" w:sz="0" w:space="0" w:color="auto"/>
                <w:right w:val="none" w:sz="0" w:space="0" w:color="auto"/>
                <w:between w:val="none" w:sz="0" w:space="0" w:color="auto"/>
                <w:bar w:val="none" w:sz="0" w:color="auto"/>
              </w:pBdr>
              <w:outlineLvl w:val="9"/>
              <w:rPr>
                <w:rFonts w:eastAsia="Times New Roman"/>
                <w:sz w:val="18"/>
                <w:szCs w:val="18"/>
                <w:bdr w:val="none" w:sz="0" w:space="0" w:color="auto"/>
                <w:lang w:eastAsia="es-ES"/>
              </w:rPr>
            </w:pPr>
            <w:r w:rsidRPr="00176BA0">
              <w:rPr>
                <w:rFonts w:eastAsia="Times New Roman"/>
                <w:sz w:val="18"/>
                <w:szCs w:val="18"/>
                <w:bdr w:val="none" w:sz="0" w:space="0" w:color="auto"/>
                <w:lang w:eastAsia="es-ES"/>
              </w:rPr>
              <w:t>IRPF Profesionales</w:t>
            </w:r>
          </w:p>
        </w:tc>
        <w:tc>
          <w:tcPr>
            <w:tcW w:w="1074" w:type="pct"/>
            <w:tcBorders>
              <w:top w:val="nil"/>
              <w:left w:val="nil"/>
              <w:right w:val="nil"/>
            </w:tcBorders>
            <w:shd w:val="clear" w:color="auto" w:fill="auto"/>
            <w:noWrap/>
            <w:vAlign w:val="center"/>
          </w:tcPr>
          <w:p w14:paraId="3122E67F" w14:textId="1DFCA29F" w:rsidR="00F66B07" w:rsidRPr="00176BA0" w:rsidRDefault="00F66B07" w:rsidP="00F66B07">
            <w:pPr>
              <w:pBdr>
                <w:top w:val="none" w:sz="0" w:space="0" w:color="auto"/>
                <w:left w:val="none" w:sz="0" w:space="0" w:color="auto"/>
                <w:bottom w:val="none" w:sz="0" w:space="0" w:color="auto"/>
                <w:right w:val="none" w:sz="0" w:space="0" w:color="auto"/>
                <w:between w:val="none" w:sz="0" w:space="0" w:color="auto"/>
                <w:bar w:val="none" w:sz="0" w:color="auto"/>
              </w:pBdr>
              <w:jc w:val="right"/>
              <w:outlineLvl w:val="9"/>
              <w:rPr>
                <w:rFonts w:eastAsia="Times New Roman"/>
                <w:sz w:val="18"/>
                <w:szCs w:val="18"/>
                <w:bdr w:val="none" w:sz="0" w:space="0" w:color="auto"/>
                <w:lang w:eastAsia="es-ES"/>
              </w:rPr>
            </w:pPr>
            <w:r>
              <w:rPr>
                <w:sz w:val="18"/>
                <w:szCs w:val="18"/>
              </w:rPr>
              <w:t xml:space="preserve">-     </w:t>
            </w:r>
          </w:p>
        </w:tc>
        <w:tc>
          <w:tcPr>
            <w:tcW w:w="1075" w:type="pct"/>
            <w:tcBorders>
              <w:top w:val="nil"/>
              <w:left w:val="nil"/>
              <w:right w:val="nil"/>
            </w:tcBorders>
            <w:shd w:val="clear" w:color="auto" w:fill="auto"/>
            <w:vAlign w:val="center"/>
            <w:hideMark/>
          </w:tcPr>
          <w:p w14:paraId="22F166B0" w14:textId="71302FB5" w:rsidR="00F66B07" w:rsidRPr="00176BA0" w:rsidRDefault="00F66B07" w:rsidP="00F66B07">
            <w:pPr>
              <w:pBdr>
                <w:top w:val="none" w:sz="0" w:space="0" w:color="auto"/>
                <w:left w:val="none" w:sz="0" w:space="0" w:color="auto"/>
                <w:bottom w:val="none" w:sz="0" w:space="0" w:color="auto"/>
                <w:right w:val="none" w:sz="0" w:space="0" w:color="auto"/>
                <w:between w:val="none" w:sz="0" w:space="0" w:color="auto"/>
                <w:bar w:val="none" w:sz="0" w:color="auto"/>
              </w:pBdr>
              <w:jc w:val="right"/>
              <w:outlineLvl w:val="9"/>
              <w:rPr>
                <w:rFonts w:eastAsia="Times New Roman"/>
                <w:sz w:val="18"/>
                <w:szCs w:val="18"/>
                <w:bdr w:val="none" w:sz="0" w:space="0" w:color="auto"/>
                <w:lang w:eastAsia="es-ES"/>
              </w:rPr>
            </w:pPr>
            <w:r>
              <w:rPr>
                <w:rFonts w:eastAsia="Times New Roman"/>
                <w:sz w:val="18"/>
                <w:szCs w:val="18"/>
                <w:bdr w:val="none" w:sz="0" w:space="0" w:color="auto"/>
                <w:lang w:eastAsia="es-ES"/>
              </w:rPr>
              <w:t>9.503,08</w:t>
            </w:r>
          </w:p>
        </w:tc>
      </w:tr>
      <w:tr w:rsidR="00F66B07" w:rsidRPr="00176BA0" w14:paraId="097FCF0E" w14:textId="77777777" w:rsidTr="00176BA0">
        <w:trPr>
          <w:trHeight w:val="283"/>
        </w:trPr>
        <w:tc>
          <w:tcPr>
            <w:tcW w:w="2851" w:type="pct"/>
            <w:tcBorders>
              <w:top w:val="nil"/>
              <w:left w:val="nil"/>
              <w:right w:val="nil"/>
            </w:tcBorders>
            <w:shd w:val="clear" w:color="auto" w:fill="auto"/>
            <w:vAlign w:val="center"/>
            <w:hideMark/>
          </w:tcPr>
          <w:p w14:paraId="087BBFB9" w14:textId="77777777" w:rsidR="00F66B07" w:rsidRPr="00176BA0" w:rsidRDefault="00F66B07" w:rsidP="00F66B07">
            <w:pPr>
              <w:pBdr>
                <w:top w:val="none" w:sz="0" w:space="0" w:color="auto"/>
                <w:left w:val="none" w:sz="0" w:space="0" w:color="auto"/>
                <w:bottom w:val="none" w:sz="0" w:space="0" w:color="auto"/>
                <w:right w:val="none" w:sz="0" w:space="0" w:color="auto"/>
                <w:between w:val="none" w:sz="0" w:space="0" w:color="auto"/>
                <w:bar w:val="none" w:sz="0" w:color="auto"/>
              </w:pBdr>
              <w:outlineLvl w:val="9"/>
              <w:rPr>
                <w:rFonts w:eastAsia="Times New Roman"/>
                <w:sz w:val="18"/>
                <w:szCs w:val="18"/>
                <w:bdr w:val="none" w:sz="0" w:space="0" w:color="auto"/>
                <w:lang w:eastAsia="es-ES"/>
              </w:rPr>
            </w:pPr>
            <w:r w:rsidRPr="00176BA0">
              <w:rPr>
                <w:rFonts w:eastAsia="Times New Roman"/>
                <w:sz w:val="18"/>
                <w:szCs w:val="18"/>
                <w:bdr w:val="none" w:sz="0" w:space="0" w:color="auto"/>
                <w:lang w:eastAsia="es-ES"/>
              </w:rPr>
              <w:t>Retenciones alquiler</w:t>
            </w:r>
          </w:p>
        </w:tc>
        <w:tc>
          <w:tcPr>
            <w:tcW w:w="1074" w:type="pct"/>
            <w:tcBorders>
              <w:top w:val="nil"/>
              <w:left w:val="nil"/>
              <w:right w:val="nil"/>
            </w:tcBorders>
            <w:shd w:val="clear" w:color="auto" w:fill="auto"/>
            <w:noWrap/>
            <w:vAlign w:val="center"/>
          </w:tcPr>
          <w:p w14:paraId="0E76E258" w14:textId="7FF76CFF" w:rsidR="00F66B07" w:rsidRPr="00176BA0" w:rsidRDefault="00F66B07" w:rsidP="00F66B07">
            <w:pPr>
              <w:pBdr>
                <w:top w:val="none" w:sz="0" w:space="0" w:color="auto"/>
                <w:left w:val="none" w:sz="0" w:space="0" w:color="auto"/>
                <w:bottom w:val="none" w:sz="0" w:space="0" w:color="auto"/>
                <w:right w:val="none" w:sz="0" w:space="0" w:color="auto"/>
                <w:between w:val="none" w:sz="0" w:space="0" w:color="auto"/>
                <w:bar w:val="none" w:sz="0" w:color="auto"/>
              </w:pBdr>
              <w:jc w:val="right"/>
              <w:outlineLvl w:val="9"/>
              <w:rPr>
                <w:rFonts w:eastAsia="Times New Roman"/>
                <w:sz w:val="18"/>
                <w:szCs w:val="18"/>
                <w:bdr w:val="none" w:sz="0" w:space="0" w:color="auto"/>
                <w:lang w:eastAsia="es-ES"/>
              </w:rPr>
            </w:pPr>
            <w:r>
              <w:rPr>
                <w:sz w:val="18"/>
                <w:szCs w:val="18"/>
              </w:rPr>
              <w:t xml:space="preserve">4.753,80   </w:t>
            </w:r>
          </w:p>
        </w:tc>
        <w:tc>
          <w:tcPr>
            <w:tcW w:w="1075" w:type="pct"/>
            <w:tcBorders>
              <w:top w:val="nil"/>
              <w:left w:val="nil"/>
              <w:right w:val="nil"/>
            </w:tcBorders>
            <w:shd w:val="clear" w:color="auto" w:fill="auto"/>
            <w:vAlign w:val="center"/>
            <w:hideMark/>
          </w:tcPr>
          <w:p w14:paraId="01D5FE0C" w14:textId="6DFE08BC" w:rsidR="00F66B07" w:rsidRPr="00176BA0" w:rsidRDefault="00F66B07" w:rsidP="00F66B07">
            <w:pPr>
              <w:pBdr>
                <w:top w:val="none" w:sz="0" w:space="0" w:color="auto"/>
                <w:left w:val="none" w:sz="0" w:space="0" w:color="auto"/>
                <w:bottom w:val="none" w:sz="0" w:space="0" w:color="auto"/>
                <w:right w:val="none" w:sz="0" w:space="0" w:color="auto"/>
                <w:between w:val="none" w:sz="0" w:space="0" w:color="auto"/>
                <w:bar w:val="none" w:sz="0" w:color="auto"/>
              </w:pBdr>
              <w:jc w:val="right"/>
              <w:outlineLvl w:val="9"/>
              <w:rPr>
                <w:rFonts w:eastAsia="Times New Roman"/>
                <w:sz w:val="18"/>
                <w:szCs w:val="18"/>
                <w:bdr w:val="none" w:sz="0" w:space="0" w:color="auto"/>
                <w:lang w:eastAsia="es-ES"/>
              </w:rPr>
            </w:pPr>
            <w:r>
              <w:rPr>
                <w:rFonts w:eastAsia="Times New Roman"/>
                <w:sz w:val="18"/>
                <w:szCs w:val="18"/>
                <w:bdr w:val="none" w:sz="0" w:space="0" w:color="auto"/>
                <w:lang w:eastAsia="es-ES"/>
              </w:rPr>
              <w:t>3.208,47</w:t>
            </w:r>
          </w:p>
        </w:tc>
      </w:tr>
      <w:tr w:rsidR="00F66B07" w:rsidRPr="004C4EE8" w14:paraId="5FED9600" w14:textId="77777777" w:rsidTr="007D680E">
        <w:trPr>
          <w:trHeight w:val="283"/>
        </w:trPr>
        <w:tc>
          <w:tcPr>
            <w:tcW w:w="2851" w:type="pct"/>
            <w:tcBorders>
              <w:left w:val="nil"/>
              <w:bottom w:val="single" w:sz="4" w:space="0" w:color="auto"/>
              <w:right w:val="nil"/>
            </w:tcBorders>
            <w:shd w:val="clear" w:color="auto" w:fill="auto"/>
            <w:vAlign w:val="center"/>
          </w:tcPr>
          <w:p w14:paraId="07370483" w14:textId="017B753F" w:rsidR="00F66B07" w:rsidRPr="004C4EE8" w:rsidRDefault="00F66B07" w:rsidP="00F66B07">
            <w:pPr>
              <w:pBdr>
                <w:top w:val="none" w:sz="0" w:space="0" w:color="auto"/>
                <w:left w:val="none" w:sz="0" w:space="0" w:color="auto"/>
                <w:bottom w:val="none" w:sz="0" w:space="0" w:color="auto"/>
                <w:right w:val="none" w:sz="0" w:space="0" w:color="auto"/>
                <w:between w:val="none" w:sz="0" w:space="0" w:color="auto"/>
                <w:bar w:val="none" w:sz="0" w:color="auto"/>
              </w:pBdr>
              <w:outlineLvl w:val="9"/>
              <w:rPr>
                <w:rFonts w:eastAsia="Times New Roman"/>
                <w:sz w:val="18"/>
                <w:szCs w:val="18"/>
                <w:bdr w:val="none" w:sz="0" w:space="0" w:color="auto"/>
                <w:lang w:eastAsia="es-ES"/>
              </w:rPr>
            </w:pPr>
            <w:r w:rsidRPr="004C4EE8">
              <w:rPr>
                <w:sz w:val="18"/>
                <w:szCs w:val="18"/>
              </w:rPr>
              <w:t>Seguros sociales</w:t>
            </w:r>
          </w:p>
        </w:tc>
        <w:tc>
          <w:tcPr>
            <w:tcW w:w="1074" w:type="pct"/>
            <w:tcBorders>
              <w:left w:val="nil"/>
              <w:bottom w:val="nil"/>
              <w:right w:val="nil"/>
            </w:tcBorders>
            <w:shd w:val="clear" w:color="auto" w:fill="auto"/>
            <w:noWrap/>
            <w:vAlign w:val="center"/>
          </w:tcPr>
          <w:p w14:paraId="64B4D771" w14:textId="521D7E87" w:rsidR="00F66B07" w:rsidRPr="004C4EE8" w:rsidRDefault="00F66B07" w:rsidP="00F66B07">
            <w:pPr>
              <w:jc w:val="right"/>
              <w:rPr>
                <w:sz w:val="18"/>
                <w:szCs w:val="18"/>
              </w:rPr>
            </w:pPr>
            <w:r w:rsidRPr="004C4EE8">
              <w:rPr>
                <w:sz w:val="18"/>
                <w:szCs w:val="18"/>
              </w:rPr>
              <w:t xml:space="preserve">76.379,17   </w:t>
            </w:r>
          </w:p>
        </w:tc>
        <w:tc>
          <w:tcPr>
            <w:tcW w:w="1075" w:type="pct"/>
            <w:tcBorders>
              <w:left w:val="nil"/>
              <w:bottom w:val="nil"/>
              <w:right w:val="nil"/>
            </w:tcBorders>
            <w:shd w:val="clear" w:color="auto" w:fill="auto"/>
            <w:vAlign w:val="center"/>
          </w:tcPr>
          <w:p w14:paraId="08B9EE09" w14:textId="72B4C9CE" w:rsidR="00F66B07" w:rsidRPr="004C4EE8" w:rsidRDefault="00F66B07" w:rsidP="00F66B07">
            <w:pPr>
              <w:jc w:val="right"/>
              <w:rPr>
                <w:sz w:val="18"/>
                <w:szCs w:val="18"/>
              </w:rPr>
            </w:pPr>
            <w:r w:rsidRPr="004C4EE8">
              <w:rPr>
                <w:sz w:val="18"/>
                <w:szCs w:val="18"/>
              </w:rPr>
              <w:t>84.135,95</w:t>
            </w:r>
          </w:p>
        </w:tc>
      </w:tr>
      <w:tr w:rsidR="00F66B07" w:rsidRPr="004C4EE8" w14:paraId="47AF1B8A" w14:textId="77777777" w:rsidTr="00176BA0">
        <w:trPr>
          <w:trHeight w:val="283"/>
        </w:trPr>
        <w:tc>
          <w:tcPr>
            <w:tcW w:w="2851" w:type="pct"/>
            <w:tcBorders>
              <w:top w:val="nil"/>
              <w:left w:val="nil"/>
              <w:bottom w:val="single" w:sz="4" w:space="0" w:color="auto"/>
              <w:right w:val="nil"/>
            </w:tcBorders>
            <w:shd w:val="clear" w:color="auto" w:fill="auto"/>
            <w:vAlign w:val="center"/>
            <w:hideMark/>
          </w:tcPr>
          <w:p w14:paraId="38A069D3" w14:textId="77777777" w:rsidR="00F66B07" w:rsidRPr="004C4EE8" w:rsidRDefault="00F66B07" w:rsidP="00F66B07">
            <w:pPr>
              <w:rPr>
                <w:b/>
                <w:bCs/>
                <w:sz w:val="18"/>
                <w:szCs w:val="18"/>
              </w:rPr>
            </w:pPr>
            <w:r w:rsidRPr="004C4EE8">
              <w:rPr>
                <w:b/>
                <w:bCs/>
                <w:sz w:val="18"/>
                <w:szCs w:val="18"/>
              </w:rPr>
              <w:t>Total</w:t>
            </w:r>
          </w:p>
        </w:tc>
        <w:tc>
          <w:tcPr>
            <w:tcW w:w="1074" w:type="pct"/>
            <w:tcBorders>
              <w:top w:val="single" w:sz="4" w:space="0" w:color="auto"/>
              <w:left w:val="nil"/>
              <w:bottom w:val="single" w:sz="4" w:space="0" w:color="auto"/>
              <w:right w:val="nil"/>
            </w:tcBorders>
            <w:shd w:val="clear" w:color="auto" w:fill="auto"/>
            <w:vAlign w:val="center"/>
          </w:tcPr>
          <w:p w14:paraId="7D0885BC" w14:textId="2A33A237" w:rsidR="00F66B07" w:rsidRPr="004C4EE8" w:rsidRDefault="00F66B07" w:rsidP="00F66B07">
            <w:pPr>
              <w:jc w:val="right"/>
              <w:rPr>
                <w:b/>
                <w:bCs/>
                <w:sz w:val="18"/>
                <w:szCs w:val="18"/>
              </w:rPr>
            </w:pPr>
            <w:r w:rsidRPr="004C4EE8">
              <w:rPr>
                <w:b/>
                <w:bCs/>
                <w:sz w:val="18"/>
                <w:szCs w:val="18"/>
              </w:rPr>
              <w:t>3.629.634,00</w:t>
            </w:r>
          </w:p>
        </w:tc>
        <w:tc>
          <w:tcPr>
            <w:tcW w:w="1075" w:type="pct"/>
            <w:tcBorders>
              <w:top w:val="single" w:sz="4" w:space="0" w:color="auto"/>
              <w:left w:val="nil"/>
              <w:bottom w:val="single" w:sz="4" w:space="0" w:color="auto"/>
              <w:right w:val="nil"/>
            </w:tcBorders>
            <w:shd w:val="clear" w:color="auto" w:fill="auto"/>
            <w:vAlign w:val="center"/>
            <w:hideMark/>
          </w:tcPr>
          <w:p w14:paraId="4AFF8571" w14:textId="781C773E" w:rsidR="00F66B07" w:rsidRPr="004C4EE8" w:rsidRDefault="00F66B07" w:rsidP="00F66B07">
            <w:pPr>
              <w:jc w:val="right"/>
              <w:rPr>
                <w:b/>
                <w:bCs/>
                <w:sz w:val="18"/>
                <w:szCs w:val="18"/>
              </w:rPr>
            </w:pPr>
            <w:r w:rsidRPr="004C4EE8">
              <w:rPr>
                <w:b/>
                <w:bCs/>
                <w:sz w:val="18"/>
                <w:szCs w:val="18"/>
              </w:rPr>
              <w:t>5.119.200,66</w:t>
            </w:r>
          </w:p>
        </w:tc>
      </w:tr>
    </w:tbl>
    <w:p w14:paraId="31AD95D8" w14:textId="1E144C12" w:rsidR="008A2FF0" w:rsidRPr="00BC4DB9" w:rsidRDefault="008A2FF0" w:rsidP="008A2FF0">
      <w:pPr>
        <w:widowControl w:val="0"/>
        <w:spacing w:before="120" w:after="120" w:line="260" w:lineRule="exact"/>
        <w:jc w:val="both"/>
        <w:outlineLvl w:val="9"/>
        <w:rPr>
          <w:snapToGrid w:val="0"/>
          <w:color w:val="auto"/>
          <w:sz w:val="20"/>
          <w:szCs w:val="22"/>
        </w:rPr>
      </w:pPr>
      <w:r w:rsidRPr="004C4EE8">
        <w:rPr>
          <w:snapToGrid w:val="0"/>
          <w:color w:val="auto"/>
          <w:sz w:val="20"/>
          <w:szCs w:val="22"/>
        </w:rPr>
        <w:t>Durante el ejercicio 2023 la Sociedad abonó a los trabajadores los salarios minorados en 2010 al 5% del salario base, antigüedad y bolsa de vacaciones del ejercicio, con efecto desde el 1 de enero de 2019, reconocida por la Dirección General de Planificación y Presupuestos del Gobierno de Canarias, en base a la Ley 7/2022, de 28 de diciembre, de Presupuestos Generales de la Comunidad Autónoma de Canarias para 2023 (Notas 8.3.a y 12.c), reconociendo un exceso de provisión en la cuenta de pérdidas y ganancias por importe de 69.506,52 euros.</w:t>
      </w:r>
      <w:r w:rsidR="004C4EE8">
        <w:rPr>
          <w:snapToGrid w:val="0"/>
          <w:color w:val="auto"/>
          <w:sz w:val="20"/>
          <w:szCs w:val="22"/>
        </w:rPr>
        <w:t xml:space="preserve"> En el ejercicio 2024 se ha reconocido un exceso de 5.547,29 euros.</w:t>
      </w:r>
    </w:p>
    <w:p w14:paraId="23964E7C" w14:textId="649F1726" w:rsidR="006220A2" w:rsidRPr="00274EE1" w:rsidRDefault="006220A2" w:rsidP="00236065">
      <w:pPr>
        <w:keepNext/>
        <w:keepLines/>
        <w:widowControl w:val="0"/>
        <w:spacing w:before="200"/>
        <w:rPr>
          <w:b/>
          <w:sz w:val="20"/>
          <w:szCs w:val="22"/>
          <w:u w:val="single"/>
        </w:rPr>
      </w:pPr>
      <w:r w:rsidRPr="00D67C6B">
        <w:rPr>
          <w:b/>
          <w:sz w:val="20"/>
          <w:szCs w:val="22"/>
        </w:rPr>
        <w:t>11.2.</w:t>
      </w:r>
      <w:r w:rsidR="00841182" w:rsidRPr="00D67C6B">
        <w:rPr>
          <w:b/>
          <w:sz w:val="20"/>
          <w:szCs w:val="22"/>
        </w:rPr>
        <w:t xml:space="preserve"> </w:t>
      </w:r>
      <w:r w:rsidRPr="00D67C6B">
        <w:rPr>
          <w:b/>
          <w:sz w:val="20"/>
          <w:szCs w:val="22"/>
        </w:rPr>
        <w:t>Impuesto sobre beneficios y situación fiscal</w:t>
      </w:r>
    </w:p>
    <w:p w14:paraId="584DC183" w14:textId="77777777" w:rsidR="006220A2" w:rsidRPr="003626BA" w:rsidRDefault="006220A2" w:rsidP="00D67C6B">
      <w:pPr>
        <w:widowControl w:val="0"/>
        <w:spacing w:before="120" w:after="120" w:line="260" w:lineRule="exact"/>
        <w:jc w:val="both"/>
        <w:outlineLvl w:val="9"/>
        <w:rPr>
          <w:snapToGrid w:val="0"/>
          <w:sz w:val="20"/>
          <w:szCs w:val="22"/>
        </w:rPr>
      </w:pPr>
      <w:r w:rsidRPr="003626BA">
        <w:rPr>
          <w:snapToGrid w:val="0"/>
          <w:sz w:val="20"/>
          <w:szCs w:val="22"/>
        </w:rPr>
        <w:t>La conciliación entre el importe neto de ingresos y gastos del ejercicio y la base imponible del impuesto sobre beneficios es la siguiente:</w:t>
      </w:r>
    </w:p>
    <w:tbl>
      <w:tblPr>
        <w:tblW w:w="5000" w:type="pct"/>
        <w:jc w:val="center"/>
        <w:tblCellMar>
          <w:left w:w="70" w:type="dxa"/>
          <w:right w:w="70" w:type="dxa"/>
        </w:tblCellMar>
        <w:tblLook w:val="04A0" w:firstRow="1" w:lastRow="0" w:firstColumn="1" w:lastColumn="0" w:noHBand="0" w:noVBand="1"/>
      </w:tblPr>
      <w:tblGrid>
        <w:gridCol w:w="5298"/>
        <w:gridCol w:w="1758"/>
        <w:gridCol w:w="1725"/>
      </w:tblGrid>
      <w:tr w:rsidR="00236065" w:rsidRPr="003626BA" w14:paraId="283252E9" w14:textId="77777777" w:rsidTr="00723F3F">
        <w:trPr>
          <w:trHeight w:val="227"/>
          <w:jc w:val="center"/>
        </w:trPr>
        <w:tc>
          <w:tcPr>
            <w:tcW w:w="3017" w:type="pct"/>
            <w:tcBorders>
              <w:top w:val="single" w:sz="4" w:space="0" w:color="auto"/>
              <w:left w:val="nil"/>
              <w:bottom w:val="single" w:sz="4" w:space="0" w:color="auto"/>
              <w:right w:val="nil"/>
            </w:tcBorders>
            <w:shd w:val="clear" w:color="auto" w:fill="auto"/>
            <w:vAlign w:val="bottom"/>
            <w:hideMark/>
          </w:tcPr>
          <w:p w14:paraId="3A05AFF5" w14:textId="77777777" w:rsidR="00236065" w:rsidRPr="003626BA" w:rsidRDefault="00236065" w:rsidP="00852114">
            <w:pPr>
              <w:jc w:val="center"/>
              <w:rPr>
                <w:rFonts w:eastAsia="Times New Roman" w:cs="Times"/>
                <w:sz w:val="18"/>
                <w:szCs w:val="18"/>
              </w:rPr>
            </w:pPr>
          </w:p>
        </w:tc>
        <w:tc>
          <w:tcPr>
            <w:tcW w:w="1983" w:type="pct"/>
            <w:gridSpan w:val="2"/>
            <w:tcBorders>
              <w:top w:val="single" w:sz="4" w:space="0" w:color="auto"/>
              <w:left w:val="nil"/>
              <w:bottom w:val="single" w:sz="4" w:space="0" w:color="auto"/>
              <w:right w:val="nil"/>
            </w:tcBorders>
            <w:shd w:val="clear" w:color="auto" w:fill="auto"/>
            <w:vAlign w:val="bottom"/>
            <w:hideMark/>
          </w:tcPr>
          <w:p w14:paraId="073C1D07" w14:textId="77777777" w:rsidR="00236065" w:rsidRPr="003626BA" w:rsidRDefault="00236065" w:rsidP="00852114">
            <w:pPr>
              <w:jc w:val="center"/>
              <w:rPr>
                <w:rFonts w:eastAsia="Times New Roman"/>
                <w:b/>
                <w:bCs/>
                <w:sz w:val="18"/>
                <w:szCs w:val="18"/>
              </w:rPr>
            </w:pPr>
            <w:r w:rsidRPr="003626BA">
              <w:rPr>
                <w:rFonts w:eastAsia="Times New Roman"/>
                <w:b/>
                <w:bCs/>
                <w:sz w:val="18"/>
                <w:szCs w:val="18"/>
              </w:rPr>
              <w:t>Euros</w:t>
            </w:r>
          </w:p>
        </w:tc>
      </w:tr>
      <w:tr w:rsidR="003B4D48" w:rsidRPr="003626BA" w14:paraId="32D1FB7D" w14:textId="77777777" w:rsidTr="00723F3F">
        <w:trPr>
          <w:trHeight w:val="227"/>
          <w:jc w:val="center"/>
        </w:trPr>
        <w:tc>
          <w:tcPr>
            <w:tcW w:w="3017" w:type="pct"/>
            <w:tcBorders>
              <w:top w:val="single" w:sz="4" w:space="0" w:color="auto"/>
              <w:left w:val="nil"/>
              <w:bottom w:val="single" w:sz="4" w:space="0" w:color="auto"/>
              <w:right w:val="nil"/>
            </w:tcBorders>
            <w:shd w:val="clear" w:color="auto" w:fill="auto"/>
            <w:vAlign w:val="bottom"/>
          </w:tcPr>
          <w:p w14:paraId="2DA3856B" w14:textId="77777777" w:rsidR="003B4D48" w:rsidRPr="003626BA" w:rsidRDefault="003B4D48" w:rsidP="003B4D48">
            <w:pPr>
              <w:jc w:val="center"/>
              <w:rPr>
                <w:rFonts w:eastAsia="Times New Roman" w:cs="Times"/>
                <w:sz w:val="18"/>
                <w:szCs w:val="18"/>
              </w:rPr>
            </w:pPr>
          </w:p>
        </w:tc>
        <w:tc>
          <w:tcPr>
            <w:tcW w:w="1001" w:type="pct"/>
            <w:tcBorders>
              <w:top w:val="single" w:sz="4" w:space="0" w:color="auto"/>
              <w:left w:val="nil"/>
              <w:bottom w:val="single" w:sz="4" w:space="0" w:color="auto"/>
              <w:right w:val="nil"/>
            </w:tcBorders>
            <w:shd w:val="clear" w:color="auto" w:fill="auto"/>
            <w:vAlign w:val="bottom"/>
          </w:tcPr>
          <w:p w14:paraId="75422C5D" w14:textId="489882EE" w:rsidR="003B4D48" w:rsidRPr="003626BA" w:rsidRDefault="003B4D48" w:rsidP="003B4D48">
            <w:pPr>
              <w:jc w:val="center"/>
              <w:rPr>
                <w:rFonts w:eastAsia="Times New Roman"/>
                <w:b/>
                <w:bCs/>
                <w:sz w:val="18"/>
                <w:szCs w:val="18"/>
              </w:rPr>
            </w:pPr>
            <w:r w:rsidRPr="003626BA">
              <w:rPr>
                <w:rFonts w:eastAsia="Times New Roman"/>
                <w:b/>
                <w:bCs/>
                <w:sz w:val="18"/>
                <w:szCs w:val="18"/>
              </w:rPr>
              <w:t>202</w:t>
            </w:r>
            <w:r w:rsidR="00CD5E24">
              <w:rPr>
                <w:rFonts w:eastAsia="Times New Roman"/>
                <w:b/>
                <w:bCs/>
                <w:sz w:val="18"/>
                <w:szCs w:val="18"/>
              </w:rPr>
              <w:t>4</w:t>
            </w:r>
          </w:p>
        </w:tc>
        <w:tc>
          <w:tcPr>
            <w:tcW w:w="982" w:type="pct"/>
            <w:tcBorders>
              <w:top w:val="single" w:sz="4" w:space="0" w:color="auto"/>
              <w:left w:val="nil"/>
              <w:bottom w:val="single" w:sz="4" w:space="0" w:color="auto"/>
              <w:right w:val="nil"/>
            </w:tcBorders>
            <w:vAlign w:val="bottom"/>
          </w:tcPr>
          <w:p w14:paraId="06ACEB77" w14:textId="45981B2E" w:rsidR="003B4D48" w:rsidRPr="003626BA" w:rsidRDefault="003626BA" w:rsidP="003B4D48">
            <w:pPr>
              <w:jc w:val="center"/>
              <w:rPr>
                <w:rFonts w:eastAsia="Times New Roman"/>
                <w:b/>
                <w:bCs/>
                <w:sz w:val="18"/>
                <w:szCs w:val="18"/>
              </w:rPr>
            </w:pPr>
            <w:r w:rsidRPr="003626BA">
              <w:rPr>
                <w:rFonts w:eastAsia="Times New Roman"/>
                <w:b/>
                <w:bCs/>
                <w:sz w:val="18"/>
                <w:szCs w:val="18"/>
              </w:rPr>
              <w:t>202</w:t>
            </w:r>
            <w:r w:rsidR="00CD5E24">
              <w:rPr>
                <w:rFonts w:eastAsia="Times New Roman"/>
                <w:b/>
                <w:bCs/>
                <w:sz w:val="18"/>
                <w:szCs w:val="18"/>
              </w:rPr>
              <w:t>3</w:t>
            </w:r>
          </w:p>
        </w:tc>
      </w:tr>
      <w:tr w:rsidR="00CD5E24" w:rsidRPr="003626BA" w14:paraId="30EA65E2" w14:textId="77777777" w:rsidTr="00176BA0">
        <w:trPr>
          <w:trHeight w:val="283"/>
          <w:jc w:val="center"/>
        </w:trPr>
        <w:tc>
          <w:tcPr>
            <w:tcW w:w="3017" w:type="pct"/>
            <w:tcBorders>
              <w:top w:val="nil"/>
              <w:left w:val="nil"/>
              <w:bottom w:val="single" w:sz="4" w:space="0" w:color="auto"/>
              <w:right w:val="nil"/>
            </w:tcBorders>
            <w:shd w:val="clear" w:color="auto" w:fill="auto"/>
            <w:vAlign w:val="center"/>
            <w:hideMark/>
          </w:tcPr>
          <w:p w14:paraId="3CA9BA49" w14:textId="77777777" w:rsidR="00CD5E24" w:rsidRPr="003626BA" w:rsidRDefault="00CD5E24" w:rsidP="00CD5E24">
            <w:pPr>
              <w:jc w:val="both"/>
              <w:rPr>
                <w:rFonts w:eastAsia="Times New Roman"/>
                <w:b/>
                <w:bCs/>
                <w:sz w:val="18"/>
                <w:szCs w:val="18"/>
              </w:rPr>
            </w:pPr>
            <w:r w:rsidRPr="003626BA">
              <w:rPr>
                <w:rFonts w:eastAsia="Times New Roman"/>
                <w:b/>
                <w:bCs/>
                <w:sz w:val="18"/>
                <w:szCs w:val="18"/>
              </w:rPr>
              <w:t>RESULTADO CONTABLE</w:t>
            </w:r>
          </w:p>
        </w:tc>
        <w:tc>
          <w:tcPr>
            <w:tcW w:w="1001" w:type="pct"/>
            <w:tcBorders>
              <w:top w:val="nil"/>
              <w:left w:val="nil"/>
              <w:bottom w:val="single" w:sz="4" w:space="0" w:color="auto"/>
              <w:right w:val="nil"/>
            </w:tcBorders>
            <w:shd w:val="clear" w:color="auto" w:fill="auto"/>
            <w:vAlign w:val="center"/>
          </w:tcPr>
          <w:p w14:paraId="565C4E1F" w14:textId="60418DD0" w:rsidR="00CD5E24" w:rsidRPr="00017950" w:rsidRDefault="00017950" w:rsidP="00017950">
            <w:pPr>
              <w:pBdr>
                <w:top w:val="none" w:sz="0" w:space="0" w:color="auto"/>
                <w:left w:val="none" w:sz="0" w:space="0" w:color="auto"/>
                <w:bottom w:val="none" w:sz="0" w:space="0" w:color="auto"/>
                <w:right w:val="none" w:sz="0" w:space="0" w:color="auto"/>
                <w:between w:val="none" w:sz="0" w:space="0" w:color="auto"/>
                <w:bar w:val="none" w:sz="0" w:color="auto"/>
              </w:pBdr>
              <w:jc w:val="right"/>
              <w:outlineLvl w:val="9"/>
              <w:rPr>
                <w:rFonts w:eastAsia="Times New Roman"/>
                <w:sz w:val="18"/>
                <w:szCs w:val="18"/>
                <w:bdr w:val="none" w:sz="0" w:space="0" w:color="auto"/>
                <w:lang w:eastAsia="es-ES"/>
              </w:rPr>
            </w:pPr>
            <w:r w:rsidRPr="00017950">
              <w:rPr>
                <w:sz w:val="18"/>
                <w:szCs w:val="18"/>
              </w:rPr>
              <w:t>(3.590.000,00)</w:t>
            </w:r>
          </w:p>
        </w:tc>
        <w:tc>
          <w:tcPr>
            <w:tcW w:w="982" w:type="pct"/>
            <w:tcBorders>
              <w:top w:val="nil"/>
              <w:left w:val="nil"/>
              <w:bottom w:val="single" w:sz="4" w:space="0" w:color="auto"/>
              <w:right w:val="nil"/>
            </w:tcBorders>
            <w:vAlign w:val="center"/>
          </w:tcPr>
          <w:p w14:paraId="2E2DDFAB" w14:textId="60269176" w:rsidR="00CD5E24" w:rsidRPr="00017950" w:rsidRDefault="00CD5E24" w:rsidP="00CD5E24">
            <w:pPr>
              <w:jc w:val="right"/>
              <w:rPr>
                <w:sz w:val="18"/>
                <w:szCs w:val="18"/>
              </w:rPr>
            </w:pPr>
            <w:r w:rsidRPr="00017950">
              <w:rPr>
                <w:sz w:val="18"/>
                <w:szCs w:val="18"/>
              </w:rPr>
              <w:t>(3.577.139,00)</w:t>
            </w:r>
          </w:p>
        </w:tc>
      </w:tr>
      <w:tr w:rsidR="00CD5E24" w:rsidRPr="003626BA" w14:paraId="18482FE3" w14:textId="77777777" w:rsidTr="00176BA0">
        <w:trPr>
          <w:trHeight w:val="283"/>
          <w:jc w:val="center"/>
        </w:trPr>
        <w:tc>
          <w:tcPr>
            <w:tcW w:w="3017" w:type="pct"/>
            <w:tcBorders>
              <w:top w:val="nil"/>
              <w:left w:val="nil"/>
              <w:bottom w:val="nil"/>
              <w:right w:val="nil"/>
            </w:tcBorders>
            <w:shd w:val="clear" w:color="auto" w:fill="auto"/>
            <w:vAlign w:val="center"/>
            <w:hideMark/>
          </w:tcPr>
          <w:p w14:paraId="2B5362DF" w14:textId="77777777" w:rsidR="00CD5E24" w:rsidRPr="003626BA" w:rsidRDefault="00CD5E24" w:rsidP="00CD5E24">
            <w:pPr>
              <w:jc w:val="both"/>
              <w:rPr>
                <w:rFonts w:eastAsia="Times New Roman"/>
                <w:sz w:val="18"/>
                <w:szCs w:val="18"/>
              </w:rPr>
            </w:pPr>
            <w:r w:rsidRPr="003626BA">
              <w:rPr>
                <w:rFonts w:eastAsia="Times New Roman"/>
                <w:sz w:val="18"/>
                <w:szCs w:val="18"/>
              </w:rPr>
              <w:t xml:space="preserve">Diferencias permanentes: </w:t>
            </w:r>
          </w:p>
        </w:tc>
        <w:tc>
          <w:tcPr>
            <w:tcW w:w="1001" w:type="pct"/>
            <w:tcBorders>
              <w:top w:val="nil"/>
              <w:left w:val="nil"/>
              <w:bottom w:val="nil"/>
              <w:right w:val="nil"/>
            </w:tcBorders>
            <w:shd w:val="clear" w:color="auto" w:fill="auto"/>
            <w:noWrap/>
            <w:vAlign w:val="center"/>
          </w:tcPr>
          <w:p w14:paraId="3904E1B3" w14:textId="77777777" w:rsidR="00CD5E24" w:rsidRPr="003626BA" w:rsidRDefault="00CD5E24" w:rsidP="00CD5E24">
            <w:pPr>
              <w:jc w:val="right"/>
              <w:rPr>
                <w:sz w:val="18"/>
                <w:szCs w:val="18"/>
              </w:rPr>
            </w:pPr>
          </w:p>
        </w:tc>
        <w:tc>
          <w:tcPr>
            <w:tcW w:w="982" w:type="pct"/>
            <w:tcBorders>
              <w:top w:val="nil"/>
              <w:left w:val="nil"/>
              <w:bottom w:val="nil"/>
              <w:right w:val="nil"/>
            </w:tcBorders>
            <w:vAlign w:val="center"/>
          </w:tcPr>
          <w:p w14:paraId="0B535DF5" w14:textId="77777777" w:rsidR="00CD5E24" w:rsidRPr="003626BA" w:rsidRDefault="00CD5E24" w:rsidP="00CD5E24">
            <w:pPr>
              <w:jc w:val="right"/>
              <w:rPr>
                <w:sz w:val="18"/>
                <w:szCs w:val="18"/>
              </w:rPr>
            </w:pPr>
          </w:p>
        </w:tc>
      </w:tr>
      <w:tr w:rsidR="00017950" w:rsidRPr="003626BA" w14:paraId="76B47167" w14:textId="77777777" w:rsidTr="00176BA0">
        <w:trPr>
          <w:trHeight w:val="283"/>
          <w:jc w:val="center"/>
        </w:trPr>
        <w:tc>
          <w:tcPr>
            <w:tcW w:w="3017" w:type="pct"/>
            <w:tcBorders>
              <w:top w:val="nil"/>
              <w:left w:val="nil"/>
              <w:bottom w:val="nil"/>
              <w:right w:val="nil"/>
            </w:tcBorders>
            <w:shd w:val="clear" w:color="auto" w:fill="auto"/>
            <w:vAlign w:val="center"/>
            <w:hideMark/>
          </w:tcPr>
          <w:p w14:paraId="2461CD91" w14:textId="77777777" w:rsidR="00017950" w:rsidRPr="003626BA" w:rsidRDefault="00017950" w:rsidP="00017950">
            <w:pPr>
              <w:jc w:val="both"/>
              <w:rPr>
                <w:rFonts w:eastAsia="Times New Roman"/>
                <w:sz w:val="18"/>
                <w:szCs w:val="18"/>
              </w:rPr>
            </w:pPr>
            <w:r w:rsidRPr="003626BA">
              <w:rPr>
                <w:rFonts w:eastAsia="Times New Roman"/>
                <w:sz w:val="18"/>
                <w:szCs w:val="18"/>
              </w:rPr>
              <w:t xml:space="preserve">     Sanciones y recargos</w:t>
            </w:r>
          </w:p>
        </w:tc>
        <w:tc>
          <w:tcPr>
            <w:tcW w:w="1001" w:type="pct"/>
            <w:tcBorders>
              <w:top w:val="nil"/>
              <w:left w:val="nil"/>
              <w:bottom w:val="nil"/>
              <w:right w:val="nil"/>
            </w:tcBorders>
            <w:shd w:val="clear" w:color="auto" w:fill="auto"/>
            <w:vAlign w:val="center"/>
          </w:tcPr>
          <w:p w14:paraId="5717ECB2" w14:textId="24618C00" w:rsidR="00017950" w:rsidRPr="003626BA" w:rsidRDefault="00017950" w:rsidP="00017950">
            <w:pPr>
              <w:jc w:val="right"/>
              <w:rPr>
                <w:sz w:val="18"/>
                <w:szCs w:val="18"/>
              </w:rPr>
            </w:pPr>
            <w:r>
              <w:rPr>
                <w:sz w:val="18"/>
                <w:szCs w:val="18"/>
              </w:rPr>
              <w:t>751,00</w:t>
            </w:r>
          </w:p>
        </w:tc>
        <w:tc>
          <w:tcPr>
            <w:tcW w:w="982" w:type="pct"/>
            <w:tcBorders>
              <w:top w:val="nil"/>
              <w:left w:val="nil"/>
              <w:bottom w:val="nil"/>
              <w:right w:val="nil"/>
            </w:tcBorders>
            <w:vAlign w:val="center"/>
          </w:tcPr>
          <w:p w14:paraId="4BE04B45" w14:textId="2459ABB4" w:rsidR="00017950" w:rsidRPr="003626BA" w:rsidRDefault="00017950" w:rsidP="00017950">
            <w:pPr>
              <w:jc w:val="right"/>
              <w:rPr>
                <w:sz w:val="18"/>
                <w:szCs w:val="18"/>
              </w:rPr>
            </w:pPr>
            <w:r w:rsidRPr="003626BA">
              <w:rPr>
                <w:sz w:val="18"/>
                <w:szCs w:val="18"/>
              </w:rPr>
              <w:t xml:space="preserve"> -</w:t>
            </w:r>
          </w:p>
        </w:tc>
      </w:tr>
      <w:tr w:rsidR="00017950" w:rsidRPr="003626BA" w14:paraId="34C7AA44" w14:textId="77777777" w:rsidTr="00176BA0">
        <w:trPr>
          <w:trHeight w:val="283"/>
          <w:jc w:val="center"/>
        </w:trPr>
        <w:tc>
          <w:tcPr>
            <w:tcW w:w="3017" w:type="pct"/>
            <w:tcBorders>
              <w:top w:val="nil"/>
              <w:left w:val="nil"/>
              <w:bottom w:val="nil"/>
              <w:right w:val="nil"/>
            </w:tcBorders>
            <w:shd w:val="clear" w:color="auto" w:fill="auto"/>
            <w:vAlign w:val="center"/>
            <w:hideMark/>
          </w:tcPr>
          <w:p w14:paraId="036F665F" w14:textId="3C06EF93" w:rsidR="00017950" w:rsidRPr="003626BA" w:rsidRDefault="00017950" w:rsidP="00017950">
            <w:pPr>
              <w:jc w:val="both"/>
              <w:rPr>
                <w:rFonts w:eastAsia="Times New Roman"/>
                <w:sz w:val="18"/>
                <w:szCs w:val="18"/>
              </w:rPr>
            </w:pPr>
            <w:r w:rsidRPr="003626BA">
              <w:rPr>
                <w:rFonts w:eastAsia="Times New Roman"/>
                <w:sz w:val="18"/>
                <w:szCs w:val="18"/>
              </w:rPr>
              <w:t xml:space="preserve">     </w:t>
            </w:r>
            <w:r>
              <w:rPr>
                <w:rFonts w:eastAsia="Times New Roman"/>
                <w:sz w:val="18"/>
                <w:szCs w:val="18"/>
              </w:rPr>
              <w:t>Gastos no deducibles</w:t>
            </w:r>
          </w:p>
        </w:tc>
        <w:tc>
          <w:tcPr>
            <w:tcW w:w="1001" w:type="pct"/>
            <w:tcBorders>
              <w:top w:val="nil"/>
              <w:left w:val="nil"/>
              <w:bottom w:val="nil"/>
              <w:right w:val="nil"/>
            </w:tcBorders>
            <w:shd w:val="clear" w:color="auto" w:fill="auto"/>
            <w:vAlign w:val="center"/>
          </w:tcPr>
          <w:p w14:paraId="63B6F7FE" w14:textId="4D44B145" w:rsidR="00017950" w:rsidRPr="003626BA" w:rsidRDefault="00017950" w:rsidP="00017950">
            <w:pPr>
              <w:jc w:val="right"/>
              <w:rPr>
                <w:sz w:val="18"/>
                <w:szCs w:val="18"/>
              </w:rPr>
            </w:pPr>
            <w:r>
              <w:rPr>
                <w:sz w:val="18"/>
                <w:szCs w:val="18"/>
              </w:rPr>
              <w:t>125.694,47</w:t>
            </w:r>
          </w:p>
        </w:tc>
        <w:tc>
          <w:tcPr>
            <w:tcW w:w="982" w:type="pct"/>
            <w:tcBorders>
              <w:top w:val="nil"/>
              <w:left w:val="nil"/>
              <w:bottom w:val="nil"/>
              <w:right w:val="nil"/>
            </w:tcBorders>
            <w:vAlign w:val="center"/>
          </w:tcPr>
          <w:p w14:paraId="7D54AEED" w14:textId="3115FAAE" w:rsidR="00017950" w:rsidRPr="003626BA" w:rsidRDefault="00017950" w:rsidP="00017950">
            <w:pPr>
              <w:jc w:val="right"/>
              <w:rPr>
                <w:sz w:val="18"/>
                <w:szCs w:val="18"/>
              </w:rPr>
            </w:pPr>
            <w:r w:rsidRPr="003626BA">
              <w:rPr>
                <w:sz w:val="18"/>
                <w:szCs w:val="18"/>
              </w:rPr>
              <w:t xml:space="preserve"> -</w:t>
            </w:r>
          </w:p>
        </w:tc>
      </w:tr>
      <w:tr w:rsidR="00017950" w:rsidRPr="003626BA" w14:paraId="3450A9CD" w14:textId="77777777" w:rsidTr="00176BA0">
        <w:trPr>
          <w:trHeight w:val="283"/>
          <w:jc w:val="center"/>
        </w:trPr>
        <w:tc>
          <w:tcPr>
            <w:tcW w:w="3017" w:type="pct"/>
            <w:tcBorders>
              <w:top w:val="nil"/>
              <w:left w:val="nil"/>
              <w:bottom w:val="nil"/>
              <w:right w:val="nil"/>
            </w:tcBorders>
            <w:shd w:val="clear" w:color="auto" w:fill="auto"/>
            <w:vAlign w:val="center"/>
            <w:hideMark/>
          </w:tcPr>
          <w:p w14:paraId="6ADBC965" w14:textId="77777777" w:rsidR="00017950" w:rsidRPr="003626BA" w:rsidRDefault="00017950" w:rsidP="00017950">
            <w:pPr>
              <w:jc w:val="both"/>
              <w:rPr>
                <w:rFonts w:eastAsia="Times New Roman"/>
                <w:sz w:val="18"/>
                <w:szCs w:val="18"/>
              </w:rPr>
            </w:pPr>
            <w:r w:rsidRPr="003626BA">
              <w:rPr>
                <w:rFonts w:eastAsia="Times New Roman"/>
                <w:sz w:val="18"/>
                <w:szCs w:val="18"/>
              </w:rPr>
              <w:t xml:space="preserve">     Mayor valor de mercado de Operaciones vinculadas</w:t>
            </w:r>
          </w:p>
        </w:tc>
        <w:tc>
          <w:tcPr>
            <w:tcW w:w="1001" w:type="pct"/>
            <w:tcBorders>
              <w:top w:val="nil"/>
              <w:left w:val="nil"/>
              <w:bottom w:val="nil"/>
              <w:right w:val="nil"/>
            </w:tcBorders>
            <w:shd w:val="clear" w:color="auto" w:fill="auto"/>
            <w:vAlign w:val="center"/>
          </w:tcPr>
          <w:p w14:paraId="0CCA079A" w14:textId="5F5172AA" w:rsidR="00017950" w:rsidRPr="003626BA" w:rsidRDefault="00017950" w:rsidP="00017950">
            <w:pPr>
              <w:jc w:val="right"/>
              <w:rPr>
                <w:sz w:val="18"/>
                <w:szCs w:val="18"/>
              </w:rPr>
            </w:pPr>
            <w:r>
              <w:rPr>
                <w:sz w:val="18"/>
                <w:szCs w:val="18"/>
              </w:rPr>
              <w:t>2.412.315,82</w:t>
            </w:r>
          </w:p>
        </w:tc>
        <w:tc>
          <w:tcPr>
            <w:tcW w:w="982" w:type="pct"/>
            <w:tcBorders>
              <w:top w:val="nil"/>
              <w:left w:val="nil"/>
              <w:bottom w:val="nil"/>
              <w:right w:val="nil"/>
            </w:tcBorders>
            <w:vAlign w:val="center"/>
          </w:tcPr>
          <w:p w14:paraId="3D92659A" w14:textId="086530B6" w:rsidR="00017950" w:rsidRPr="003626BA" w:rsidRDefault="00017950" w:rsidP="00017950">
            <w:pPr>
              <w:jc w:val="right"/>
              <w:rPr>
                <w:sz w:val="18"/>
                <w:szCs w:val="18"/>
              </w:rPr>
            </w:pPr>
            <w:r w:rsidRPr="003626BA">
              <w:rPr>
                <w:sz w:val="18"/>
                <w:szCs w:val="18"/>
              </w:rPr>
              <w:t>2.337.194,71</w:t>
            </w:r>
          </w:p>
        </w:tc>
      </w:tr>
      <w:tr w:rsidR="00017950" w:rsidRPr="003626BA" w14:paraId="2A047B0A" w14:textId="77777777" w:rsidTr="00176BA0">
        <w:trPr>
          <w:trHeight w:val="283"/>
          <w:jc w:val="center"/>
        </w:trPr>
        <w:tc>
          <w:tcPr>
            <w:tcW w:w="3017" w:type="pct"/>
            <w:tcBorders>
              <w:top w:val="single" w:sz="4" w:space="0" w:color="auto"/>
              <w:left w:val="nil"/>
              <w:bottom w:val="single" w:sz="4" w:space="0" w:color="auto"/>
              <w:right w:val="nil"/>
            </w:tcBorders>
            <w:shd w:val="clear" w:color="auto" w:fill="auto"/>
            <w:vAlign w:val="center"/>
            <w:hideMark/>
          </w:tcPr>
          <w:p w14:paraId="158EE3AF" w14:textId="77777777" w:rsidR="00017950" w:rsidRPr="003626BA" w:rsidRDefault="00017950" w:rsidP="00017950">
            <w:pPr>
              <w:jc w:val="both"/>
              <w:rPr>
                <w:rFonts w:eastAsia="Times New Roman"/>
                <w:b/>
                <w:bCs/>
                <w:sz w:val="18"/>
                <w:szCs w:val="18"/>
              </w:rPr>
            </w:pPr>
            <w:r w:rsidRPr="003626BA">
              <w:rPr>
                <w:rFonts w:eastAsia="Times New Roman"/>
                <w:b/>
                <w:bCs/>
                <w:sz w:val="18"/>
                <w:szCs w:val="18"/>
              </w:rPr>
              <w:t>RESULTADO CONTABLE AJUSTADO</w:t>
            </w:r>
          </w:p>
        </w:tc>
        <w:tc>
          <w:tcPr>
            <w:tcW w:w="1001" w:type="pct"/>
            <w:tcBorders>
              <w:top w:val="single" w:sz="4" w:space="0" w:color="auto"/>
              <w:left w:val="nil"/>
              <w:bottom w:val="single" w:sz="4" w:space="0" w:color="auto"/>
              <w:right w:val="nil"/>
            </w:tcBorders>
            <w:shd w:val="clear" w:color="auto" w:fill="auto"/>
            <w:vAlign w:val="center"/>
          </w:tcPr>
          <w:p w14:paraId="25C16B9F" w14:textId="52A8D25A" w:rsidR="00017950" w:rsidRPr="003626BA" w:rsidRDefault="00017950" w:rsidP="00017950">
            <w:pPr>
              <w:jc w:val="right"/>
              <w:rPr>
                <w:b/>
                <w:bCs/>
                <w:sz w:val="18"/>
                <w:szCs w:val="18"/>
              </w:rPr>
            </w:pPr>
            <w:r>
              <w:rPr>
                <w:b/>
                <w:bCs/>
                <w:sz w:val="18"/>
                <w:szCs w:val="18"/>
              </w:rPr>
              <w:t>(1.051.238,71)</w:t>
            </w:r>
          </w:p>
        </w:tc>
        <w:tc>
          <w:tcPr>
            <w:tcW w:w="982" w:type="pct"/>
            <w:tcBorders>
              <w:top w:val="single" w:sz="4" w:space="0" w:color="auto"/>
              <w:left w:val="nil"/>
              <w:bottom w:val="single" w:sz="4" w:space="0" w:color="auto"/>
              <w:right w:val="nil"/>
            </w:tcBorders>
            <w:vAlign w:val="center"/>
          </w:tcPr>
          <w:p w14:paraId="084A6B56" w14:textId="01E99042" w:rsidR="00017950" w:rsidRPr="003626BA" w:rsidRDefault="00017950" w:rsidP="00017950">
            <w:pPr>
              <w:jc w:val="right"/>
              <w:rPr>
                <w:b/>
                <w:bCs/>
                <w:sz w:val="18"/>
                <w:szCs w:val="18"/>
              </w:rPr>
            </w:pPr>
            <w:r w:rsidRPr="003626BA">
              <w:rPr>
                <w:b/>
                <w:bCs/>
                <w:sz w:val="18"/>
                <w:szCs w:val="18"/>
              </w:rPr>
              <w:t>(1.239.944,29)</w:t>
            </w:r>
          </w:p>
        </w:tc>
      </w:tr>
      <w:tr w:rsidR="00017950" w:rsidRPr="003626BA" w14:paraId="62F12D1D" w14:textId="77777777" w:rsidTr="00176BA0">
        <w:trPr>
          <w:trHeight w:val="283"/>
          <w:jc w:val="center"/>
        </w:trPr>
        <w:tc>
          <w:tcPr>
            <w:tcW w:w="3017" w:type="pct"/>
            <w:tcBorders>
              <w:top w:val="nil"/>
              <w:left w:val="nil"/>
              <w:bottom w:val="nil"/>
              <w:right w:val="nil"/>
            </w:tcBorders>
            <w:shd w:val="clear" w:color="auto" w:fill="auto"/>
            <w:vAlign w:val="center"/>
            <w:hideMark/>
          </w:tcPr>
          <w:p w14:paraId="08F0FC56" w14:textId="77777777" w:rsidR="00017950" w:rsidRPr="003626BA" w:rsidRDefault="00017950" w:rsidP="00017950">
            <w:pPr>
              <w:jc w:val="both"/>
              <w:rPr>
                <w:rFonts w:eastAsia="Times New Roman"/>
                <w:sz w:val="18"/>
                <w:szCs w:val="18"/>
              </w:rPr>
            </w:pPr>
            <w:r w:rsidRPr="003626BA">
              <w:rPr>
                <w:rFonts w:eastAsia="Times New Roman"/>
                <w:sz w:val="18"/>
                <w:szCs w:val="18"/>
              </w:rPr>
              <w:t>Base imponible Impuesto sobre Sociedades</w:t>
            </w:r>
          </w:p>
        </w:tc>
        <w:tc>
          <w:tcPr>
            <w:tcW w:w="1001" w:type="pct"/>
            <w:tcBorders>
              <w:top w:val="nil"/>
              <w:left w:val="nil"/>
              <w:bottom w:val="nil"/>
              <w:right w:val="nil"/>
            </w:tcBorders>
            <w:shd w:val="clear" w:color="auto" w:fill="auto"/>
            <w:vAlign w:val="center"/>
          </w:tcPr>
          <w:p w14:paraId="200D3095" w14:textId="319AA46F" w:rsidR="00017950" w:rsidRPr="003626BA" w:rsidRDefault="00017950" w:rsidP="00017950">
            <w:pPr>
              <w:jc w:val="right"/>
              <w:rPr>
                <w:sz w:val="18"/>
                <w:szCs w:val="18"/>
              </w:rPr>
            </w:pPr>
            <w:r>
              <w:rPr>
                <w:sz w:val="18"/>
                <w:szCs w:val="18"/>
              </w:rPr>
              <w:t>(1.051.238,71)</w:t>
            </w:r>
          </w:p>
        </w:tc>
        <w:tc>
          <w:tcPr>
            <w:tcW w:w="982" w:type="pct"/>
            <w:tcBorders>
              <w:top w:val="nil"/>
              <w:left w:val="nil"/>
              <w:bottom w:val="nil"/>
              <w:right w:val="nil"/>
            </w:tcBorders>
            <w:vAlign w:val="center"/>
          </w:tcPr>
          <w:p w14:paraId="350D8697" w14:textId="2DD38EC8" w:rsidR="00017950" w:rsidRPr="003626BA" w:rsidRDefault="00017950" w:rsidP="00017950">
            <w:pPr>
              <w:jc w:val="right"/>
              <w:rPr>
                <w:sz w:val="18"/>
                <w:szCs w:val="18"/>
              </w:rPr>
            </w:pPr>
            <w:r w:rsidRPr="003626BA">
              <w:rPr>
                <w:sz w:val="18"/>
                <w:szCs w:val="18"/>
              </w:rPr>
              <w:t>(1.239.944,29)</w:t>
            </w:r>
          </w:p>
        </w:tc>
      </w:tr>
      <w:tr w:rsidR="00017950" w:rsidRPr="003626BA" w14:paraId="1B7830B1" w14:textId="77777777" w:rsidTr="00176BA0">
        <w:trPr>
          <w:trHeight w:val="283"/>
          <w:jc w:val="center"/>
        </w:trPr>
        <w:tc>
          <w:tcPr>
            <w:tcW w:w="3017" w:type="pct"/>
            <w:tcBorders>
              <w:top w:val="nil"/>
              <w:left w:val="nil"/>
              <w:bottom w:val="nil"/>
              <w:right w:val="nil"/>
            </w:tcBorders>
            <w:shd w:val="clear" w:color="auto" w:fill="auto"/>
            <w:vAlign w:val="center"/>
          </w:tcPr>
          <w:p w14:paraId="195D9E8E" w14:textId="5DCC4F23" w:rsidR="00017950" w:rsidRPr="003626BA" w:rsidRDefault="00017950" w:rsidP="00017950">
            <w:pPr>
              <w:jc w:val="both"/>
              <w:rPr>
                <w:rFonts w:eastAsia="Times New Roman"/>
                <w:sz w:val="18"/>
                <w:szCs w:val="18"/>
              </w:rPr>
            </w:pPr>
            <w:r w:rsidRPr="003626BA">
              <w:rPr>
                <w:rFonts w:eastAsia="Times New Roman"/>
                <w:sz w:val="18"/>
                <w:szCs w:val="18"/>
              </w:rPr>
              <w:t xml:space="preserve">Compensación de </w:t>
            </w:r>
            <w:proofErr w:type="spellStart"/>
            <w:r w:rsidRPr="003626BA">
              <w:rPr>
                <w:rFonts w:eastAsia="Times New Roman"/>
                <w:sz w:val="18"/>
                <w:szCs w:val="18"/>
              </w:rPr>
              <w:t>BINs</w:t>
            </w:r>
            <w:proofErr w:type="spellEnd"/>
          </w:p>
        </w:tc>
        <w:tc>
          <w:tcPr>
            <w:tcW w:w="1001" w:type="pct"/>
            <w:tcBorders>
              <w:top w:val="nil"/>
              <w:left w:val="nil"/>
              <w:bottom w:val="nil"/>
              <w:right w:val="nil"/>
            </w:tcBorders>
            <w:shd w:val="clear" w:color="auto" w:fill="auto"/>
            <w:vAlign w:val="center"/>
          </w:tcPr>
          <w:p w14:paraId="37986243" w14:textId="14A2F2B8" w:rsidR="00017950" w:rsidRPr="003626BA" w:rsidRDefault="00017950" w:rsidP="00017950">
            <w:pPr>
              <w:jc w:val="right"/>
              <w:rPr>
                <w:sz w:val="18"/>
                <w:szCs w:val="18"/>
              </w:rPr>
            </w:pPr>
            <w:r>
              <w:rPr>
                <w:sz w:val="18"/>
                <w:szCs w:val="18"/>
              </w:rPr>
              <w:t xml:space="preserve"> -</w:t>
            </w:r>
          </w:p>
        </w:tc>
        <w:tc>
          <w:tcPr>
            <w:tcW w:w="982" w:type="pct"/>
            <w:tcBorders>
              <w:top w:val="nil"/>
              <w:left w:val="nil"/>
              <w:bottom w:val="nil"/>
              <w:right w:val="nil"/>
            </w:tcBorders>
            <w:vAlign w:val="center"/>
          </w:tcPr>
          <w:p w14:paraId="6BFE726A" w14:textId="6D97922D" w:rsidR="00017950" w:rsidRPr="003626BA" w:rsidRDefault="00017950" w:rsidP="00017950">
            <w:pPr>
              <w:jc w:val="right"/>
              <w:rPr>
                <w:sz w:val="18"/>
                <w:szCs w:val="18"/>
              </w:rPr>
            </w:pPr>
            <w:r w:rsidRPr="003626BA">
              <w:rPr>
                <w:sz w:val="18"/>
                <w:szCs w:val="18"/>
              </w:rPr>
              <w:t>-</w:t>
            </w:r>
          </w:p>
        </w:tc>
      </w:tr>
      <w:tr w:rsidR="00017950" w:rsidRPr="003626BA" w14:paraId="14E7C8CB" w14:textId="77777777" w:rsidTr="00176BA0">
        <w:trPr>
          <w:trHeight w:val="283"/>
          <w:jc w:val="center"/>
        </w:trPr>
        <w:tc>
          <w:tcPr>
            <w:tcW w:w="3017" w:type="pct"/>
            <w:tcBorders>
              <w:top w:val="nil"/>
              <w:left w:val="nil"/>
              <w:bottom w:val="nil"/>
              <w:right w:val="nil"/>
            </w:tcBorders>
            <w:shd w:val="clear" w:color="auto" w:fill="auto"/>
            <w:vAlign w:val="center"/>
            <w:hideMark/>
          </w:tcPr>
          <w:p w14:paraId="595C9EB4" w14:textId="4F99C112" w:rsidR="00017950" w:rsidRPr="003626BA" w:rsidRDefault="00017950" w:rsidP="00017950">
            <w:pPr>
              <w:jc w:val="both"/>
              <w:rPr>
                <w:rFonts w:eastAsia="Times New Roman"/>
                <w:sz w:val="18"/>
                <w:szCs w:val="18"/>
              </w:rPr>
            </w:pPr>
            <w:r w:rsidRPr="003626BA">
              <w:rPr>
                <w:rFonts w:eastAsia="Times New Roman"/>
                <w:sz w:val="18"/>
                <w:szCs w:val="18"/>
              </w:rPr>
              <w:t xml:space="preserve">Tipo de gravamen </w:t>
            </w:r>
          </w:p>
        </w:tc>
        <w:tc>
          <w:tcPr>
            <w:tcW w:w="1001" w:type="pct"/>
            <w:tcBorders>
              <w:top w:val="nil"/>
              <w:left w:val="nil"/>
              <w:bottom w:val="nil"/>
              <w:right w:val="nil"/>
            </w:tcBorders>
            <w:shd w:val="clear" w:color="auto" w:fill="auto"/>
            <w:vAlign w:val="center"/>
          </w:tcPr>
          <w:p w14:paraId="5141522E" w14:textId="4A463FC1" w:rsidR="00017950" w:rsidRPr="003626BA" w:rsidRDefault="00017950" w:rsidP="00017950">
            <w:pPr>
              <w:jc w:val="right"/>
              <w:rPr>
                <w:sz w:val="18"/>
                <w:szCs w:val="18"/>
              </w:rPr>
            </w:pPr>
            <w:r>
              <w:rPr>
                <w:sz w:val="18"/>
                <w:szCs w:val="18"/>
              </w:rPr>
              <w:t xml:space="preserve"> -</w:t>
            </w:r>
          </w:p>
        </w:tc>
        <w:tc>
          <w:tcPr>
            <w:tcW w:w="982" w:type="pct"/>
            <w:tcBorders>
              <w:top w:val="nil"/>
              <w:left w:val="nil"/>
              <w:bottom w:val="nil"/>
              <w:right w:val="nil"/>
            </w:tcBorders>
            <w:vAlign w:val="center"/>
          </w:tcPr>
          <w:p w14:paraId="51FA930A" w14:textId="3B7F5252" w:rsidR="00017950" w:rsidRPr="003626BA" w:rsidRDefault="00017950" w:rsidP="00017950">
            <w:pPr>
              <w:jc w:val="right"/>
              <w:rPr>
                <w:sz w:val="18"/>
                <w:szCs w:val="18"/>
              </w:rPr>
            </w:pPr>
            <w:r w:rsidRPr="003626BA">
              <w:rPr>
                <w:sz w:val="18"/>
                <w:szCs w:val="18"/>
              </w:rPr>
              <w:t xml:space="preserve"> -</w:t>
            </w:r>
          </w:p>
        </w:tc>
      </w:tr>
      <w:tr w:rsidR="00017950" w:rsidRPr="003626BA" w14:paraId="73568270" w14:textId="77777777" w:rsidTr="00176BA0">
        <w:trPr>
          <w:trHeight w:val="283"/>
          <w:jc w:val="center"/>
        </w:trPr>
        <w:tc>
          <w:tcPr>
            <w:tcW w:w="3017" w:type="pct"/>
            <w:tcBorders>
              <w:top w:val="nil"/>
              <w:left w:val="nil"/>
              <w:bottom w:val="nil"/>
              <w:right w:val="nil"/>
            </w:tcBorders>
            <w:shd w:val="clear" w:color="auto" w:fill="auto"/>
            <w:vAlign w:val="center"/>
            <w:hideMark/>
          </w:tcPr>
          <w:p w14:paraId="1B0EC547" w14:textId="77777777" w:rsidR="00017950" w:rsidRPr="003626BA" w:rsidRDefault="00017950" w:rsidP="00017950">
            <w:pPr>
              <w:jc w:val="both"/>
              <w:rPr>
                <w:rFonts w:eastAsia="Times New Roman"/>
                <w:sz w:val="18"/>
                <w:szCs w:val="18"/>
              </w:rPr>
            </w:pPr>
            <w:r w:rsidRPr="003626BA">
              <w:rPr>
                <w:rFonts w:eastAsia="Times New Roman"/>
                <w:sz w:val="18"/>
                <w:szCs w:val="18"/>
              </w:rPr>
              <w:t>Cuota impositiva</w:t>
            </w:r>
          </w:p>
        </w:tc>
        <w:tc>
          <w:tcPr>
            <w:tcW w:w="1001" w:type="pct"/>
            <w:tcBorders>
              <w:top w:val="nil"/>
              <w:left w:val="nil"/>
              <w:bottom w:val="nil"/>
              <w:right w:val="nil"/>
            </w:tcBorders>
            <w:shd w:val="clear" w:color="auto" w:fill="auto"/>
            <w:vAlign w:val="center"/>
          </w:tcPr>
          <w:p w14:paraId="20B2EABE" w14:textId="0408B0D3" w:rsidR="00017950" w:rsidRPr="003626BA" w:rsidRDefault="00017950" w:rsidP="00017950">
            <w:pPr>
              <w:jc w:val="right"/>
              <w:rPr>
                <w:sz w:val="18"/>
                <w:szCs w:val="18"/>
              </w:rPr>
            </w:pPr>
            <w:r>
              <w:rPr>
                <w:sz w:val="18"/>
                <w:szCs w:val="18"/>
              </w:rPr>
              <w:t xml:space="preserve"> -</w:t>
            </w:r>
          </w:p>
        </w:tc>
        <w:tc>
          <w:tcPr>
            <w:tcW w:w="982" w:type="pct"/>
            <w:tcBorders>
              <w:top w:val="nil"/>
              <w:left w:val="nil"/>
              <w:bottom w:val="nil"/>
              <w:right w:val="nil"/>
            </w:tcBorders>
            <w:vAlign w:val="center"/>
          </w:tcPr>
          <w:p w14:paraId="0AE44C79" w14:textId="13D48156" w:rsidR="00017950" w:rsidRPr="003626BA" w:rsidRDefault="00017950" w:rsidP="00017950">
            <w:pPr>
              <w:jc w:val="right"/>
              <w:rPr>
                <w:sz w:val="18"/>
                <w:szCs w:val="18"/>
              </w:rPr>
            </w:pPr>
            <w:r w:rsidRPr="003626BA">
              <w:rPr>
                <w:sz w:val="18"/>
                <w:szCs w:val="18"/>
              </w:rPr>
              <w:t xml:space="preserve"> -</w:t>
            </w:r>
          </w:p>
        </w:tc>
      </w:tr>
      <w:tr w:rsidR="00017950" w:rsidRPr="003626BA" w14:paraId="2DCFF5F9" w14:textId="77777777" w:rsidTr="00176BA0">
        <w:trPr>
          <w:trHeight w:val="283"/>
          <w:jc w:val="center"/>
        </w:trPr>
        <w:tc>
          <w:tcPr>
            <w:tcW w:w="3017" w:type="pct"/>
            <w:tcBorders>
              <w:top w:val="single" w:sz="4" w:space="0" w:color="auto"/>
              <w:left w:val="nil"/>
              <w:bottom w:val="single" w:sz="4" w:space="0" w:color="auto"/>
              <w:right w:val="nil"/>
            </w:tcBorders>
            <w:shd w:val="clear" w:color="auto" w:fill="auto"/>
            <w:vAlign w:val="center"/>
            <w:hideMark/>
          </w:tcPr>
          <w:p w14:paraId="58D703A3" w14:textId="77777777" w:rsidR="00017950" w:rsidRPr="003626BA" w:rsidRDefault="00017950" w:rsidP="00017950">
            <w:pPr>
              <w:jc w:val="both"/>
              <w:rPr>
                <w:rFonts w:eastAsia="Times New Roman"/>
                <w:b/>
                <w:bCs/>
                <w:sz w:val="18"/>
                <w:szCs w:val="18"/>
              </w:rPr>
            </w:pPr>
            <w:r w:rsidRPr="003626BA">
              <w:rPr>
                <w:rFonts w:eastAsia="Times New Roman"/>
                <w:b/>
                <w:bCs/>
                <w:sz w:val="18"/>
                <w:szCs w:val="18"/>
              </w:rPr>
              <w:t>Impuesto sobre Beneficios</w:t>
            </w:r>
          </w:p>
        </w:tc>
        <w:tc>
          <w:tcPr>
            <w:tcW w:w="1001" w:type="pct"/>
            <w:tcBorders>
              <w:top w:val="single" w:sz="4" w:space="0" w:color="auto"/>
              <w:left w:val="nil"/>
              <w:bottom w:val="single" w:sz="4" w:space="0" w:color="auto"/>
              <w:right w:val="nil"/>
            </w:tcBorders>
            <w:shd w:val="clear" w:color="auto" w:fill="auto"/>
            <w:vAlign w:val="center"/>
          </w:tcPr>
          <w:p w14:paraId="4BB37548" w14:textId="5C743CBB" w:rsidR="00017950" w:rsidRPr="003626BA" w:rsidRDefault="00017950" w:rsidP="00017950">
            <w:pPr>
              <w:jc w:val="right"/>
              <w:rPr>
                <w:b/>
                <w:bCs/>
                <w:sz w:val="18"/>
                <w:szCs w:val="18"/>
              </w:rPr>
            </w:pPr>
            <w:r>
              <w:rPr>
                <w:b/>
                <w:bCs/>
                <w:sz w:val="18"/>
                <w:szCs w:val="18"/>
              </w:rPr>
              <w:t xml:space="preserve"> -</w:t>
            </w:r>
          </w:p>
        </w:tc>
        <w:tc>
          <w:tcPr>
            <w:tcW w:w="982" w:type="pct"/>
            <w:tcBorders>
              <w:top w:val="single" w:sz="4" w:space="0" w:color="auto"/>
              <w:left w:val="nil"/>
              <w:bottom w:val="single" w:sz="4" w:space="0" w:color="auto"/>
              <w:right w:val="nil"/>
            </w:tcBorders>
            <w:vAlign w:val="center"/>
          </w:tcPr>
          <w:p w14:paraId="3EA728AB" w14:textId="72CB7727" w:rsidR="00017950" w:rsidRPr="003626BA" w:rsidRDefault="00017950" w:rsidP="00017950">
            <w:pPr>
              <w:jc w:val="right"/>
              <w:rPr>
                <w:b/>
                <w:bCs/>
                <w:sz w:val="18"/>
                <w:szCs w:val="18"/>
              </w:rPr>
            </w:pPr>
            <w:r w:rsidRPr="003626BA">
              <w:rPr>
                <w:b/>
                <w:bCs/>
                <w:sz w:val="18"/>
                <w:szCs w:val="18"/>
              </w:rPr>
              <w:t xml:space="preserve"> -</w:t>
            </w:r>
          </w:p>
        </w:tc>
      </w:tr>
      <w:tr w:rsidR="00017950" w:rsidRPr="003626BA" w14:paraId="7DF9F07B" w14:textId="77777777" w:rsidTr="00176BA0">
        <w:trPr>
          <w:trHeight w:val="283"/>
          <w:jc w:val="center"/>
        </w:trPr>
        <w:tc>
          <w:tcPr>
            <w:tcW w:w="3017" w:type="pct"/>
            <w:tcBorders>
              <w:top w:val="nil"/>
              <w:left w:val="nil"/>
              <w:bottom w:val="nil"/>
              <w:right w:val="nil"/>
            </w:tcBorders>
            <w:shd w:val="clear" w:color="auto" w:fill="auto"/>
            <w:vAlign w:val="center"/>
            <w:hideMark/>
          </w:tcPr>
          <w:p w14:paraId="13A89CB8" w14:textId="77777777" w:rsidR="00017950" w:rsidRPr="003626BA" w:rsidRDefault="00017950" w:rsidP="00017950">
            <w:pPr>
              <w:jc w:val="both"/>
              <w:rPr>
                <w:rFonts w:eastAsia="Times New Roman"/>
                <w:sz w:val="18"/>
                <w:szCs w:val="18"/>
              </w:rPr>
            </w:pPr>
            <w:r w:rsidRPr="003626BA">
              <w:rPr>
                <w:rFonts w:eastAsia="Times New Roman"/>
                <w:sz w:val="18"/>
                <w:szCs w:val="18"/>
              </w:rPr>
              <w:t xml:space="preserve">Retenciones </w:t>
            </w:r>
          </w:p>
        </w:tc>
        <w:tc>
          <w:tcPr>
            <w:tcW w:w="1001" w:type="pct"/>
            <w:tcBorders>
              <w:top w:val="nil"/>
              <w:left w:val="nil"/>
              <w:bottom w:val="nil"/>
              <w:right w:val="nil"/>
            </w:tcBorders>
            <w:shd w:val="clear" w:color="auto" w:fill="auto"/>
            <w:vAlign w:val="center"/>
          </w:tcPr>
          <w:p w14:paraId="4691008E" w14:textId="39C00DA8" w:rsidR="00017950" w:rsidRPr="003626BA" w:rsidRDefault="00017950" w:rsidP="00017950">
            <w:pPr>
              <w:jc w:val="right"/>
              <w:rPr>
                <w:sz w:val="18"/>
                <w:szCs w:val="18"/>
              </w:rPr>
            </w:pPr>
            <w:r>
              <w:rPr>
                <w:sz w:val="18"/>
                <w:szCs w:val="18"/>
              </w:rPr>
              <w:t>17.036,01</w:t>
            </w:r>
          </w:p>
        </w:tc>
        <w:tc>
          <w:tcPr>
            <w:tcW w:w="982" w:type="pct"/>
            <w:tcBorders>
              <w:top w:val="nil"/>
              <w:left w:val="nil"/>
              <w:bottom w:val="nil"/>
              <w:right w:val="nil"/>
            </w:tcBorders>
            <w:vAlign w:val="center"/>
          </w:tcPr>
          <w:p w14:paraId="43CF2CE4" w14:textId="7FAF31A9" w:rsidR="00017950" w:rsidRPr="003626BA" w:rsidRDefault="00017950" w:rsidP="00017950">
            <w:pPr>
              <w:jc w:val="right"/>
              <w:rPr>
                <w:sz w:val="18"/>
                <w:szCs w:val="18"/>
              </w:rPr>
            </w:pPr>
            <w:r w:rsidRPr="003626BA">
              <w:rPr>
                <w:sz w:val="18"/>
                <w:szCs w:val="18"/>
              </w:rPr>
              <w:t>3.623,07</w:t>
            </w:r>
          </w:p>
        </w:tc>
      </w:tr>
      <w:tr w:rsidR="00017950" w:rsidRPr="003626BA" w14:paraId="476DA341" w14:textId="77777777" w:rsidTr="00176BA0">
        <w:trPr>
          <w:trHeight w:val="283"/>
          <w:jc w:val="center"/>
        </w:trPr>
        <w:tc>
          <w:tcPr>
            <w:tcW w:w="3017" w:type="pct"/>
            <w:tcBorders>
              <w:top w:val="single" w:sz="4" w:space="0" w:color="auto"/>
              <w:left w:val="nil"/>
              <w:bottom w:val="single" w:sz="4" w:space="0" w:color="auto"/>
              <w:right w:val="nil"/>
            </w:tcBorders>
            <w:shd w:val="clear" w:color="auto" w:fill="auto"/>
            <w:vAlign w:val="center"/>
            <w:hideMark/>
          </w:tcPr>
          <w:p w14:paraId="788B8DB9" w14:textId="77777777" w:rsidR="00017950" w:rsidRPr="003626BA" w:rsidRDefault="00017950" w:rsidP="00017950">
            <w:pPr>
              <w:jc w:val="both"/>
              <w:rPr>
                <w:rFonts w:eastAsia="Times New Roman"/>
                <w:b/>
                <w:bCs/>
                <w:sz w:val="18"/>
                <w:szCs w:val="18"/>
              </w:rPr>
            </w:pPr>
            <w:r w:rsidRPr="003626BA">
              <w:rPr>
                <w:rFonts w:eastAsia="Times New Roman"/>
                <w:b/>
                <w:bCs/>
                <w:sz w:val="18"/>
                <w:szCs w:val="18"/>
              </w:rPr>
              <w:t>A DEVOLVER</w:t>
            </w:r>
          </w:p>
        </w:tc>
        <w:tc>
          <w:tcPr>
            <w:tcW w:w="1001" w:type="pct"/>
            <w:tcBorders>
              <w:top w:val="single" w:sz="4" w:space="0" w:color="auto"/>
              <w:left w:val="nil"/>
              <w:bottom w:val="single" w:sz="4" w:space="0" w:color="auto"/>
              <w:right w:val="nil"/>
            </w:tcBorders>
            <w:shd w:val="clear" w:color="auto" w:fill="auto"/>
            <w:vAlign w:val="center"/>
          </w:tcPr>
          <w:p w14:paraId="1CC8F9E8" w14:textId="17D8BFB9" w:rsidR="00017950" w:rsidRPr="003626BA" w:rsidRDefault="00017950" w:rsidP="00017950">
            <w:pPr>
              <w:jc w:val="right"/>
              <w:rPr>
                <w:sz w:val="18"/>
                <w:szCs w:val="18"/>
              </w:rPr>
            </w:pPr>
            <w:r>
              <w:rPr>
                <w:b/>
                <w:bCs/>
                <w:sz w:val="18"/>
                <w:szCs w:val="18"/>
              </w:rPr>
              <w:t>17.036,01</w:t>
            </w:r>
          </w:p>
        </w:tc>
        <w:tc>
          <w:tcPr>
            <w:tcW w:w="982" w:type="pct"/>
            <w:tcBorders>
              <w:top w:val="single" w:sz="4" w:space="0" w:color="auto"/>
              <w:left w:val="nil"/>
              <w:bottom w:val="single" w:sz="4" w:space="0" w:color="auto"/>
              <w:right w:val="nil"/>
            </w:tcBorders>
            <w:vAlign w:val="center"/>
          </w:tcPr>
          <w:p w14:paraId="6527EAF5" w14:textId="4C987C4C" w:rsidR="00017950" w:rsidRPr="003626BA" w:rsidRDefault="00017950" w:rsidP="00017950">
            <w:pPr>
              <w:jc w:val="right"/>
              <w:rPr>
                <w:sz w:val="18"/>
                <w:szCs w:val="18"/>
              </w:rPr>
            </w:pPr>
            <w:r w:rsidRPr="003626BA">
              <w:rPr>
                <w:b/>
                <w:bCs/>
                <w:sz w:val="18"/>
                <w:szCs w:val="18"/>
              </w:rPr>
              <w:t>3.623,07</w:t>
            </w:r>
          </w:p>
        </w:tc>
      </w:tr>
    </w:tbl>
    <w:p w14:paraId="541CBDD1" w14:textId="77777777" w:rsidR="006220A2" w:rsidRPr="00017950" w:rsidRDefault="006220A2" w:rsidP="00343211">
      <w:pPr>
        <w:keepNext/>
        <w:keepLines/>
        <w:widowControl w:val="0"/>
        <w:spacing w:before="120" w:after="120" w:line="260" w:lineRule="exact"/>
        <w:jc w:val="both"/>
        <w:outlineLvl w:val="9"/>
        <w:rPr>
          <w:snapToGrid w:val="0"/>
          <w:sz w:val="20"/>
          <w:szCs w:val="22"/>
        </w:rPr>
      </w:pPr>
      <w:r w:rsidRPr="00017950">
        <w:rPr>
          <w:snapToGrid w:val="0"/>
          <w:sz w:val="20"/>
          <w:szCs w:val="22"/>
        </w:rPr>
        <w:lastRenderedPageBreak/>
        <w:t>Quedan pendientes de aplicación deducciones por inversión y formación cuyos importes y plazos son los siguientes:</w:t>
      </w:r>
    </w:p>
    <w:tbl>
      <w:tblPr>
        <w:tblW w:w="5000" w:type="pct"/>
        <w:jc w:val="center"/>
        <w:shd w:val="clear" w:color="auto" w:fill="D0CECE"/>
        <w:tblCellMar>
          <w:left w:w="70" w:type="dxa"/>
          <w:right w:w="70" w:type="dxa"/>
        </w:tblCellMar>
        <w:tblLook w:val="04A0" w:firstRow="1" w:lastRow="0" w:firstColumn="1" w:lastColumn="0" w:noHBand="0" w:noVBand="1"/>
      </w:tblPr>
      <w:tblGrid>
        <w:gridCol w:w="1843"/>
        <w:gridCol w:w="3239"/>
        <w:gridCol w:w="1730"/>
        <w:gridCol w:w="1969"/>
      </w:tblGrid>
      <w:tr w:rsidR="006220A2" w:rsidRPr="00B1370C" w14:paraId="5014AB0E" w14:textId="77777777" w:rsidTr="00B1370C">
        <w:trPr>
          <w:trHeight w:val="283"/>
          <w:jc w:val="center"/>
        </w:trPr>
        <w:tc>
          <w:tcPr>
            <w:tcW w:w="1049" w:type="pct"/>
            <w:tcBorders>
              <w:top w:val="single" w:sz="4" w:space="0" w:color="auto"/>
              <w:left w:val="nil"/>
              <w:bottom w:val="single" w:sz="4" w:space="0" w:color="auto"/>
              <w:right w:val="nil"/>
            </w:tcBorders>
            <w:shd w:val="clear" w:color="auto" w:fill="auto"/>
            <w:noWrap/>
            <w:vAlign w:val="center"/>
            <w:hideMark/>
          </w:tcPr>
          <w:p w14:paraId="6DAAE685" w14:textId="77777777" w:rsidR="006220A2" w:rsidRPr="00B1370C" w:rsidRDefault="006220A2" w:rsidP="00B1370C">
            <w:pPr>
              <w:keepNext/>
              <w:keepLines/>
              <w:widowControl w:val="0"/>
              <w:jc w:val="center"/>
              <w:rPr>
                <w:rFonts w:eastAsia="Times New Roman"/>
                <w:b/>
                <w:bCs/>
                <w:sz w:val="18"/>
                <w:szCs w:val="18"/>
              </w:rPr>
            </w:pPr>
            <w:r w:rsidRPr="00B1370C">
              <w:rPr>
                <w:rFonts w:eastAsia="Times New Roman"/>
                <w:b/>
                <w:bCs/>
                <w:sz w:val="18"/>
                <w:szCs w:val="18"/>
              </w:rPr>
              <w:t>Año</w:t>
            </w:r>
          </w:p>
        </w:tc>
        <w:tc>
          <w:tcPr>
            <w:tcW w:w="1844" w:type="pct"/>
            <w:tcBorders>
              <w:top w:val="single" w:sz="4" w:space="0" w:color="auto"/>
              <w:left w:val="nil"/>
              <w:bottom w:val="single" w:sz="4" w:space="0" w:color="auto"/>
              <w:right w:val="nil"/>
            </w:tcBorders>
            <w:shd w:val="clear" w:color="auto" w:fill="auto"/>
            <w:noWrap/>
            <w:vAlign w:val="center"/>
            <w:hideMark/>
          </w:tcPr>
          <w:p w14:paraId="505A7639" w14:textId="77777777" w:rsidR="006220A2" w:rsidRPr="00B1370C" w:rsidRDefault="006220A2" w:rsidP="00B1370C">
            <w:pPr>
              <w:keepNext/>
              <w:keepLines/>
              <w:widowControl w:val="0"/>
              <w:jc w:val="center"/>
              <w:rPr>
                <w:rFonts w:eastAsia="Times New Roman"/>
                <w:b/>
                <w:bCs/>
                <w:sz w:val="18"/>
                <w:szCs w:val="18"/>
              </w:rPr>
            </w:pPr>
            <w:r w:rsidRPr="00B1370C">
              <w:rPr>
                <w:rFonts w:eastAsia="Times New Roman"/>
                <w:b/>
                <w:bCs/>
                <w:sz w:val="18"/>
                <w:szCs w:val="18"/>
              </w:rPr>
              <w:t>Concepto</w:t>
            </w:r>
          </w:p>
        </w:tc>
        <w:tc>
          <w:tcPr>
            <w:tcW w:w="985" w:type="pct"/>
            <w:tcBorders>
              <w:top w:val="single" w:sz="4" w:space="0" w:color="auto"/>
              <w:left w:val="nil"/>
              <w:bottom w:val="single" w:sz="4" w:space="0" w:color="auto"/>
              <w:right w:val="nil"/>
            </w:tcBorders>
            <w:shd w:val="clear" w:color="auto" w:fill="auto"/>
            <w:noWrap/>
            <w:vAlign w:val="center"/>
            <w:hideMark/>
          </w:tcPr>
          <w:p w14:paraId="397656ED" w14:textId="77777777" w:rsidR="006220A2" w:rsidRPr="00B1370C" w:rsidRDefault="006220A2" w:rsidP="00B1370C">
            <w:pPr>
              <w:keepNext/>
              <w:keepLines/>
              <w:widowControl w:val="0"/>
              <w:jc w:val="center"/>
              <w:rPr>
                <w:rFonts w:eastAsia="Times New Roman"/>
                <w:b/>
                <w:bCs/>
                <w:sz w:val="18"/>
                <w:szCs w:val="18"/>
              </w:rPr>
            </w:pPr>
            <w:r w:rsidRPr="00B1370C">
              <w:rPr>
                <w:rFonts w:eastAsia="Times New Roman"/>
                <w:b/>
                <w:bCs/>
                <w:sz w:val="18"/>
                <w:szCs w:val="18"/>
              </w:rPr>
              <w:t>Euros</w:t>
            </w:r>
          </w:p>
        </w:tc>
        <w:tc>
          <w:tcPr>
            <w:tcW w:w="1121" w:type="pct"/>
            <w:tcBorders>
              <w:top w:val="single" w:sz="4" w:space="0" w:color="auto"/>
              <w:left w:val="nil"/>
              <w:bottom w:val="single" w:sz="4" w:space="0" w:color="auto"/>
              <w:right w:val="nil"/>
            </w:tcBorders>
            <w:shd w:val="clear" w:color="auto" w:fill="auto"/>
            <w:noWrap/>
            <w:vAlign w:val="center"/>
            <w:hideMark/>
          </w:tcPr>
          <w:p w14:paraId="0BF1A35C" w14:textId="77777777" w:rsidR="006220A2" w:rsidRPr="00B1370C" w:rsidRDefault="006220A2" w:rsidP="00B1370C">
            <w:pPr>
              <w:keepNext/>
              <w:keepLines/>
              <w:widowControl w:val="0"/>
              <w:jc w:val="center"/>
              <w:rPr>
                <w:rFonts w:eastAsia="Times New Roman"/>
                <w:b/>
                <w:bCs/>
                <w:sz w:val="18"/>
                <w:szCs w:val="18"/>
              </w:rPr>
            </w:pPr>
            <w:r w:rsidRPr="00B1370C">
              <w:rPr>
                <w:rFonts w:eastAsia="Times New Roman"/>
                <w:b/>
                <w:bCs/>
                <w:sz w:val="18"/>
                <w:szCs w:val="18"/>
              </w:rPr>
              <w:t>Último año</w:t>
            </w:r>
          </w:p>
        </w:tc>
      </w:tr>
      <w:tr w:rsidR="00017950" w:rsidRPr="00B1370C" w14:paraId="433A5BF5" w14:textId="77777777" w:rsidTr="00954AA6">
        <w:trPr>
          <w:trHeight w:val="283"/>
          <w:jc w:val="center"/>
        </w:trPr>
        <w:tc>
          <w:tcPr>
            <w:tcW w:w="1049" w:type="pct"/>
            <w:tcBorders>
              <w:top w:val="nil"/>
              <w:left w:val="nil"/>
              <w:right w:val="nil"/>
            </w:tcBorders>
            <w:shd w:val="clear" w:color="auto" w:fill="auto"/>
            <w:noWrap/>
            <w:vAlign w:val="center"/>
            <w:hideMark/>
          </w:tcPr>
          <w:p w14:paraId="52F0E77B" w14:textId="77777777" w:rsidR="00017950" w:rsidRPr="00B1370C" w:rsidRDefault="00017950" w:rsidP="00017950">
            <w:pPr>
              <w:keepNext/>
              <w:keepLines/>
              <w:widowControl w:val="0"/>
              <w:jc w:val="center"/>
              <w:rPr>
                <w:sz w:val="18"/>
                <w:szCs w:val="18"/>
              </w:rPr>
            </w:pPr>
            <w:r w:rsidRPr="00B1370C">
              <w:rPr>
                <w:sz w:val="18"/>
                <w:szCs w:val="18"/>
              </w:rPr>
              <w:t>2016</w:t>
            </w:r>
          </w:p>
        </w:tc>
        <w:tc>
          <w:tcPr>
            <w:tcW w:w="1844" w:type="pct"/>
            <w:tcBorders>
              <w:top w:val="nil"/>
              <w:left w:val="nil"/>
              <w:right w:val="nil"/>
            </w:tcBorders>
            <w:shd w:val="clear" w:color="auto" w:fill="auto"/>
            <w:noWrap/>
            <w:vAlign w:val="center"/>
            <w:hideMark/>
          </w:tcPr>
          <w:p w14:paraId="7EED3458" w14:textId="77777777" w:rsidR="00017950" w:rsidRPr="00B1370C" w:rsidRDefault="00017950" w:rsidP="00017950">
            <w:pPr>
              <w:keepNext/>
              <w:keepLines/>
              <w:widowControl w:val="0"/>
              <w:rPr>
                <w:sz w:val="18"/>
                <w:szCs w:val="18"/>
              </w:rPr>
            </w:pPr>
            <w:r w:rsidRPr="00B1370C">
              <w:rPr>
                <w:sz w:val="18"/>
                <w:szCs w:val="18"/>
              </w:rPr>
              <w:t>Deducción por inversión</w:t>
            </w:r>
          </w:p>
        </w:tc>
        <w:tc>
          <w:tcPr>
            <w:tcW w:w="985" w:type="pct"/>
            <w:tcBorders>
              <w:top w:val="nil"/>
              <w:left w:val="nil"/>
              <w:right w:val="nil"/>
            </w:tcBorders>
            <w:shd w:val="clear" w:color="auto" w:fill="auto"/>
            <w:noWrap/>
            <w:vAlign w:val="center"/>
            <w:hideMark/>
          </w:tcPr>
          <w:p w14:paraId="6CFE22EE" w14:textId="255BB687" w:rsidR="00017950" w:rsidRPr="00B1370C" w:rsidRDefault="00017950" w:rsidP="00017950">
            <w:pPr>
              <w:keepNext/>
              <w:keepLines/>
              <w:widowControl w:val="0"/>
              <w:jc w:val="right"/>
              <w:rPr>
                <w:sz w:val="18"/>
                <w:szCs w:val="18"/>
              </w:rPr>
            </w:pPr>
            <w:r w:rsidRPr="00B1370C">
              <w:rPr>
                <w:sz w:val="18"/>
                <w:szCs w:val="18"/>
              </w:rPr>
              <w:t>2.331,13</w:t>
            </w:r>
          </w:p>
        </w:tc>
        <w:tc>
          <w:tcPr>
            <w:tcW w:w="1121" w:type="pct"/>
            <w:tcBorders>
              <w:top w:val="nil"/>
              <w:left w:val="nil"/>
              <w:right w:val="nil"/>
            </w:tcBorders>
            <w:shd w:val="clear" w:color="auto" w:fill="auto"/>
            <w:noWrap/>
            <w:vAlign w:val="center"/>
            <w:hideMark/>
          </w:tcPr>
          <w:p w14:paraId="6C8EF42D" w14:textId="77777777" w:rsidR="00017950" w:rsidRPr="00B1370C" w:rsidRDefault="00017950" w:rsidP="00017950">
            <w:pPr>
              <w:keepNext/>
              <w:keepLines/>
              <w:widowControl w:val="0"/>
              <w:jc w:val="center"/>
              <w:rPr>
                <w:rFonts w:eastAsia="Times New Roman"/>
                <w:sz w:val="18"/>
                <w:szCs w:val="18"/>
              </w:rPr>
            </w:pPr>
            <w:r w:rsidRPr="00B1370C">
              <w:rPr>
                <w:rFonts w:eastAsia="Times New Roman"/>
                <w:sz w:val="18"/>
                <w:szCs w:val="18"/>
              </w:rPr>
              <w:t>2031</w:t>
            </w:r>
          </w:p>
        </w:tc>
      </w:tr>
      <w:tr w:rsidR="00017950" w:rsidRPr="00B1370C" w14:paraId="67189524" w14:textId="77777777" w:rsidTr="00954AA6">
        <w:trPr>
          <w:trHeight w:val="283"/>
          <w:jc w:val="center"/>
        </w:trPr>
        <w:tc>
          <w:tcPr>
            <w:tcW w:w="1049" w:type="pct"/>
            <w:tcBorders>
              <w:left w:val="nil"/>
              <w:right w:val="nil"/>
            </w:tcBorders>
            <w:shd w:val="clear" w:color="auto" w:fill="auto"/>
            <w:noWrap/>
            <w:vAlign w:val="center"/>
          </w:tcPr>
          <w:p w14:paraId="30E6985A" w14:textId="77777777" w:rsidR="00017950" w:rsidRPr="00B1370C" w:rsidRDefault="00017950" w:rsidP="00017950">
            <w:pPr>
              <w:keepNext/>
              <w:keepLines/>
              <w:widowControl w:val="0"/>
              <w:jc w:val="center"/>
              <w:rPr>
                <w:sz w:val="18"/>
                <w:szCs w:val="18"/>
              </w:rPr>
            </w:pPr>
            <w:r w:rsidRPr="00B1370C">
              <w:rPr>
                <w:sz w:val="18"/>
                <w:szCs w:val="18"/>
              </w:rPr>
              <w:t>2017</w:t>
            </w:r>
          </w:p>
        </w:tc>
        <w:tc>
          <w:tcPr>
            <w:tcW w:w="1844" w:type="pct"/>
            <w:tcBorders>
              <w:left w:val="nil"/>
              <w:right w:val="nil"/>
            </w:tcBorders>
            <w:shd w:val="clear" w:color="auto" w:fill="auto"/>
            <w:noWrap/>
            <w:vAlign w:val="center"/>
          </w:tcPr>
          <w:p w14:paraId="196F8013" w14:textId="77777777" w:rsidR="00017950" w:rsidRPr="00B1370C" w:rsidRDefault="00017950" w:rsidP="00017950">
            <w:pPr>
              <w:keepNext/>
              <w:keepLines/>
              <w:widowControl w:val="0"/>
              <w:rPr>
                <w:sz w:val="18"/>
                <w:szCs w:val="18"/>
              </w:rPr>
            </w:pPr>
            <w:r w:rsidRPr="00B1370C">
              <w:rPr>
                <w:sz w:val="18"/>
                <w:szCs w:val="18"/>
              </w:rPr>
              <w:t>Deducción por inversión</w:t>
            </w:r>
          </w:p>
        </w:tc>
        <w:tc>
          <w:tcPr>
            <w:tcW w:w="985" w:type="pct"/>
            <w:tcBorders>
              <w:left w:val="nil"/>
              <w:right w:val="nil"/>
            </w:tcBorders>
            <w:shd w:val="clear" w:color="auto" w:fill="auto"/>
            <w:noWrap/>
            <w:vAlign w:val="center"/>
          </w:tcPr>
          <w:p w14:paraId="65912866" w14:textId="322389F1" w:rsidR="00017950" w:rsidRPr="00B1370C" w:rsidRDefault="00017950" w:rsidP="00017950">
            <w:pPr>
              <w:keepNext/>
              <w:keepLines/>
              <w:widowControl w:val="0"/>
              <w:jc w:val="right"/>
              <w:rPr>
                <w:sz w:val="18"/>
                <w:szCs w:val="18"/>
              </w:rPr>
            </w:pPr>
            <w:r w:rsidRPr="00B1370C">
              <w:rPr>
                <w:sz w:val="18"/>
                <w:szCs w:val="18"/>
              </w:rPr>
              <w:t>4.501,76</w:t>
            </w:r>
          </w:p>
        </w:tc>
        <w:tc>
          <w:tcPr>
            <w:tcW w:w="1121" w:type="pct"/>
            <w:tcBorders>
              <w:left w:val="nil"/>
              <w:right w:val="nil"/>
            </w:tcBorders>
            <w:shd w:val="clear" w:color="auto" w:fill="auto"/>
            <w:noWrap/>
            <w:vAlign w:val="center"/>
          </w:tcPr>
          <w:p w14:paraId="0CC7C68C" w14:textId="77777777" w:rsidR="00017950" w:rsidRPr="00B1370C" w:rsidRDefault="00017950" w:rsidP="00017950">
            <w:pPr>
              <w:keepNext/>
              <w:keepLines/>
              <w:widowControl w:val="0"/>
              <w:jc w:val="center"/>
              <w:rPr>
                <w:rFonts w:eastAsia="Times New Roman"/>
                <w:bCs/>
                <w:sz w:val="18"/>
                <w:szCs w:val="18"/>
              </w:rPr>
            </w:pPr>
            <w:r w:rsidRPr="00B1370C">
              <w:rPr>
                <w:rFonts w:eastAsia="Times New Roman"/>
                <w:bCs/>
                <w:sz w:val="18"/>
                <w:szCs w:val="18"/>
              </w:rPr>
              <w:t>2032</w:t>
            </w:r>
          </w:p>
        </w:tc>
      </w:tr>
      <w:tr w:rsidR="00017950" w:rsidRPr="00B1370C" w14:paraId="540EC19A" w14:textId="77777777" w:rsidTr="00954AA6">
        <w:trPr>
          <w:trHeight w:val="283"/>
          <w:jc w:val="center"/>
        </w:trPr>
        <w:tc>
          <w:tcPr>
            <w:tcW w:w="1049" w:type="pct"/>
            <w:tcBorders>
              <w:top w:val="nil"/>
              <w:left w:val="nil"/>
              <w:bottom w:val="single" w:sz="4" w:space="0" w:color="auto"/>
              <w:right w:val="nil"/>
            </w:tcBorders>
            <w:shd w:val="clear" w:color="auto" w:fill="auto"/>
            <w:noWrap/>
            <w:vAlign w:val="center"/>
          </w:tcPr>
          <w:p w14:paraId="351E6D55" w14:textId="77777777" w:rsidR="00017950" w:rsidRPr="00B1370C" w:rsidRDefault="00017950" w:rsidP="00017950">
            <w:pPr>
              <w:jc w:val="center"/>
              <w:rPr>
                <w:rFonts w:eastAsia="Times New Roman"/>
                <w:bCs/>
                <w:sz w:val="18"/>
                <w:szCs w:val="18"/>
              </w:rPr>
            </w:pPr>
            <w:r w:rsidRPr="00B1370C">
              <w:rPr>
                <w:rFonts w:eastAsia="Times New Roman"/>
                <w:bCs/>
                <w:sz w:val="18"/>
                <w:szCs w:val="18"/>
              </w:rPr>
              <w:t>2018</w:t>
            </w:r>
          </w:p>
        </w:tc>
        <w:tc>
          <w:tcPr>
            <w:tcW w:w="1844" w:type="pct"/>
            <w:tcBorders>
              <w:top w:val="nil"/>
              <w:left w:val="nil"/>
              <w:bottom w:val="single" w:sz="4" w:space="0" w:color="auto"/>
              <w:right w:val="nil"/>
            </w:tcBorders>
            <w:shd w:val="clear" w:color="auto" w:fill="auto"/>
            <w:noWrap/>
            <w:vAlign w:val="center"/>
          </w:tcPr>
          <w:p w14:paraId="6B5514E4" w14:textId="77777777" w:rsidR="00017950" w:rsidRPr="00B1370C" w:rsidRDefault="00017950" w:rsidP="00017950">
            <w:pPr>
              <w:rPr>
                <w:rFonts w:eastAsia="Times New Roman"/>
                <w:bCs/>
                <w:sz w:val="18"/>
                <w:szCs w:val="18"/>
              </w:rPr>
            </w:pPr>
            <w:r w:rsidRPr="00B1370C">
              <w:rPr>
                <w:rFonts w:eastAsia="Times New Roman"/>
                <w:bCs/>
                <w:sz w:val="18"/>
                <w:szCs w:val="18"/>
              </w:rPr>
              <w:t>Deducción por inversión</w:t>
            </w:r>
          </w:p>
        </w:tc>
        <w:tc>
          <w:tcPr>
            <w:tcW w:w="985" w:type="pct"/>
            <w:tcBorders>
              <w:top w:val="nil"/>
              <w:left w:val="nil"/>
              <w:bottom w:val="single" w:sz="4" w:space="0" w:color="auto"/>
              <w:right w:val="nil"/>
            </w:tcBorders>
            <w:shd w:val="clear" w:color="auto" w:fill="auto"/>
            <w:noWrap/>
            <w:vAlign w:val="center"/>
          </w:tcPr>
          <w:p w14:paraId="3A0F65D1" w14:textId="0E3FA0AC" w:rsidR="00017950" w:rsidRPr="00B1370C" w:rsidRDefault="00017950" w:rsidP="00017950">
            <w:pPr>
              <w:jc w:val="right"/>
              <w:rPr>
                <w:bCs/>
                <w:sz w:val="18"/>
                <w:szCs w:val="18"/>
              </w:rPr>
            </w:pPr>
            <w:r w:rsidRPr="00B1370C">
              <w:rPr>
                <w:sz w:val="18"/>
                <w:szCs w:val="18"/>
              </w:rPr>
              <w:t>6.566,13</w:t>
            </w:r>
          </w:p>
        </w:tc>
        <w:tc>
          <w:tcPr>
            <w:tcW w:w="1121" w:type="pct"/>
            <w:tcBorders>
              <w:top w:val="nil"/>
              <w:left w:val="nil"/>
              <w:bottom w:val="single" w:sz="4" w:space="0" w:color="auto"/>
              <w:right w:val="nil"/>
            </w:tcBorders>
            <w:shd w:val="clear" w:color="auto" w:fill="auto"/>
            <w:noWrap/>
            <w:vAlign w:val="center"/>
          </w:tcPr>
          <w:p w14:paraId="7BC1C77B" w14:textId="77777777" w:rsidR="00017950" w:rsidRPr="00B1370C" w:rsidRDefault="00017950" w:rsidP="00017950">
            <w:pPr>
              <w:jc w:val="center"/>
              <w:rPr>
                <w:rFonts w:eastAsia="Times New Roman"/>
                <w:bCs/>
                <w:sz w:val="18"/>
                <w:szCs w:val="18"/>
              </w:rPr>
            </w:pPr>
            <w:r w:rsidRPr="00B1370C">
              <w:rPr>
                <w:rFonts w:eastAsia="Times New Roman"/>
                <w:bCs/>
                <w:sz w:val="18"/>
                <w:szCs w:val="18"/>
              </w:rPr>
              <w:t>2033</w:t>
            </w:r>
          </w:p>
        </w:tc>
      </w:tr>
      <w:tr w:rsidR="00017950" w:rsidRPr="00B1370C" w14:paraId="29315A43" w14:textId="77777777" w:rsidTr="00954AA6">
        <w:trPr>
          <w:trHeight w:val="283"/>
          <w:jc w:val="center"/>
        </w:trPr>
        <w:tc>
          <w:tcPr>
            <w:tcW w:w="1049" w:type="pct"/>
            <w:tcBorders>
              <w:top w:val="nil"/>
              <w:left w:val="nil"/>
              <w:bottom w:val="single" w:sz="4" w:space="0" w:color="auto"/>
              <w:right w:val="nil"/>
            </w:tcBorders>
            <w:shd w:val="clear" w:color="auto" w:fill="auto"/>
            <w:noWrap/>
            <w:vAlign w:val="center"/>
            <w:hideMark/>
          </w:tcPr>
          <w:p w14:paraId="55261DF7" w14:textId="77777777" w:rsidR="00017950" w:rsidRPr="00B1370C" w:rsidRDefault="00017950" w:rsidP="00017950">
            <w:pPr>
              <w:jc w:val="center"/>
              <w:rPr>
                <w:rFonts w:eastAsia="Times New Roman"/>
                <w:b/>
                <w:bCs/>
                <w:sz w:val="18"/>
                <w:szCs w:val="18"/>
              </w:rPr>
            </w:pPr>
            <w:r w:rsidRPr="00B1370C">
              <w:rPr>
                <w:rFonts w:eastAsia="Times New Roman"/>
                <w:b/>
                <w:bCs/>
                <w:sz w:val="18"/>
                <w:szCs w:val="18"/>
              </w:rPr>
              <w:t>Total </w:t>
            </w:r>
          </w:p>
        </w:tc>
        <w:tc>
          <w:tcPr>
            <w:tcW w:w="1844" w:type="pct"/>
            <w:tcBorders>
              <w:top w:val="nil"/>
              <w:left w:val="nil"/>
              <w:bottom w:val="single" w:sz="4" w:space="0" w:color="auto"/>
              <w:right w:val="nil"/>
            </w:tcBorders>
            <w:shd w:val="clear" w:color="auto" w:fill="auto"/>
            <w:noWrap/>
            <w:vAlign w:val="center"/>
            <w:hideMark/>
          </w:tcPr>
          <w:p w14:paraId="32587196" w14:textId="77777777" w:rsidR="00017950" w:rsidRPr="00B1370C" w:rsidRDefault="00017950" w:rsidP="00017950">
            <w:pPr>
              <w:rPr>
                <w:rFonts w:eastAsia="Times New Roman"/>
                <w:b/>
                <w:bCs/>
                <w:sz w:val="18"/>
                <w:szCs w:val="18"/>
              </w:rPr>
            </w:pPr>
            <w:r w:rsidRPr="00B1370C">
              <w:rPr>
                <w:rFonts w:eastAsia="Times New Roman"/>
                <w:b/>
                <w:bCs/>
                <w:sz w:val="18"/>
                <w:szCs w:val="18"/>
              </w:rPr>
              <w:t> </w:t>
            </w:r>
          </w:p>
        </w:tc>
        <w:tc>
          <w:tcPr>
            <w:tcW w:w="985" w:type="pct"/>
            <w:tcBorders>
              <w:top w:val="nil"/>
              <w:left w:val="nil"/>
              <w:bottom w:val="single" w:sz="4" w:space="0" w:color="auto"/>
              <w:right w:val="nil"/>
            </w:tcBorders>
            <w:shd w:val="clear" w:color="auto" w:fill="auto"/>
            <w:noWrap/>
            <w:vAlign w:val="center"/>
            <w:hideMark/>
          </w:tcPr>
          <w:p w14:paraId="060A4DB4" w14:textId="37D45CED" w:rsidR="00017950" w:rsidRPr="00B1370C" w:rsidRDefault="00017950" w:rsidP="00017950">
            <w:pPr>
              <w:jc w:val="right"/>
              <w:rPr>
                <w:b/>
                <w:bCs/>
                <w:sz w:val="18"/>
                <w:szCs w:val="18"/>
              </w:rPr>
            </w:pPr>
            <w:r w:rsidRPr="00B1370C">
              <w:rPr>
                <w:b/>
                <w:bCs/>
                <w:sz w:val="18"/>
                <w:szCs w:val="18"/>
              </w:rPr>
              <w:t>13.399,02</w:t>
            </w:r>
          </w:p>
        </w:tc>
        <w:tc>
          <w:tcPr>
            <w:tcW w:w="1121" w:type="pct"/>
            <w:tcBorders>
              <w:top w:val="nil"/>
              <w:left w:val="nil"/>
              <w:bottom w:val="single" w:sz="4" w:space="0" w:color="auto"/>
              <w:right w:val="nil"/>
            </w:tcBorders>
            <w:shd w:val="clear" w:color="auto" w:fill="auto"/>
            <w:noWrap/>
            <w:vAlign w:val="center"/>
            <w:hideMark/>
          </w:tcPr>
          <w:p w14:paraId="5453AD6F" w14:textId="77777777" w:rsidR="00017950" w:rsidRPr="00B1370C" w:rsidRDefault="00017950" w:rsidP="00017950">
            <w:pPr>
              <w:jc w:val="center"/>
              <w:rPr>
                <w:rFonts w:eastAsia="Times New Roman"/>
                <w:b/>
                <w:bCs/>
                <w:sz w:val="18"/>
                <w:szCs w:val="18"/>
              </w:rPr>
            </w:pPr>
            <w:r w:rsidRPr="00B1370C">
              <w:rPr>
                <w:rFonts w:eastAsia="Times New Roman"/>
                <w:b/>
                <w:bCs/>
                <w:sz w:val="18"/>
                <w:szCs w:val="18"/>
              </w:rPr>
              <w:t> </w:t>
            </w:r>
          </w:p>
        </w:tc>
      </w:tr>
    </w:tbl>
    <w:p w14:paraId="65607522" w14:textId="77777777" w:rsidR="006220A2" w:rsidRPr="00D67C6B" w:rsidRDefault="006220A2" w:rsidP="001B5A15">
      <w:pPr>
        <w:widowControl w:val="0"/>
        <w:spacing w:before="240" w:after="120" w:line="260" w:lineRule="exact"/>
        <w:jc w:val="both"/>
        <w:outlineLvl w:val="9"/>
        <w:rPr>
          <w:snapToGrid w:val="0"/>
          <w:sz w:val="20"/>
          <w:szCs w:val="22"/>
        </w:rPr>
      </w:pPr>
      <w:r w:rsidRPr="00017950">
        <w:rPr>
          <w:snapToGrid w:val="0"/>
          <w:sz w:val="20"/>
          <w:szCs w:val="22"/>
        </w:rPr>
        <w:t>Los activos en los que se aplica deducción por inversión</w:t>
      </w:r>
      <w:r w:rsidRPr="00D67C6B">
        <w:rPr>
          <w:snapToGrid w:val="0"/>
          <w:sz w:val="20"/>
          <w:szCs w:val="22"/>
        </w:rPr>
        <w:t xml:space="preserve"> en activos fijos materiales nuevos deben permanecer en funcionamiento en la empresa durante 5 años o durante su vida útil conforme a la amortización fiscal si ésta fuera inferior.</w:t>
      </w:r>
    </w:p>
    <w:p w14:paraId="407A8D6A" w14:textId="77777777" w:rsidR="006220A2" w:rsidRPr="00D67C6B" w:rsidRDefault="006220A2" w:rsidP="00D67C6B">
      <w:pPr>
        <w:widowControl w:val="0"/>
        <w:spacing w:before="120" w:after="120" w:line="260" w:lineRule="exact"/>
        <w:jc w:val="both"/>
        <w:outlineLvl w:val="9"/>
        <w:rPr>
          <w:snapToGrid w:val="0"/>
          <w:sz w:val="20"/>
          <w:szCs w:val="22"/>
        </w:rPr>
      </w:pPr>
      <w:r w:rsidRPr="00D67C6B">
        <w:rPr>
          <w:snapToGrid w:val="0"/>
          <w:sz w:val="20"/>
          <w:szCs w:val="22"/>
        </w:rPr>
        <w:t>La Sociedad incurrió en el pasado en pérdidas fiscales, de las cuáles quedan pendientes de compensar las siguientes:</w:t>
      </w:r>
    </w:p>
    <w:tbl>
      <w:tblPr>
        <w:tblW w:w="8781" w:type="dxa"/>
        <w:jc w:val="center"/>
        <w:tblCellMar>
          <w:left w:w="70" w:type="dxa"/>
          <w:right w:w="70" w:type="dxa"/>
        </w:tblCellMar>
        <w:tblLook w:val="04A0" w:firstRow="1" w:lastRow="0" w:firstColumn="1" w:lastColumn="0" w:noHBand="0" w:noVBand="1"/>
      </w:tblPr>
      <w:tblGrid>
        <w:gridCol w:w="2287"/>
        <w:gridCol w:w="1924"/>
        <w:gridCol w:w="1885"/>
        <w:gridCol w:w="1405"/>
        <w:gridCol w:w="1280"/>
      </w:tblGrid>
      <w:tr w:rsidR="003C0451" w:rsidRPr="00017950" w14:paraId="2F2B83DA" w14:textId="58086BD1" w:rsidTr="00567092">
        <w:trPr>
          <w:trHeight w:val="255"/>
          <w:jc w:val="center"/>
        </w:trPr>
        <w:tc>
          <w:tcPr>
            <w:tcW w:w="2287" w:type="dxa"/>
            <w:tcBorders>
              <w:top w:val="single" w:sz="4" w:space="0" w:color="auto"/>
              <w:left w:val="nil"/>
              <w:bottom w:val="single" w:sz="4" w:space="0" w:color="auto"/>
              <w:right w:val="nil"/>
            </w:tcBorders>
            <w:shd w:val="clear" w:color="auto" w:fill="auto"/>
            <w:noWrap/>
            <w:vAlign w:val="bottom"/>
            <w:hideMark/>
          </w:tcPr>
          <w:p w14:paraId="38900336" w14:textId="77777777" w:rsidR="003C0451" w:rsidRPr="00017950" w:rsidRDefault="003C0451" w:rsidP="00852114">
            <w:pPr>
              <w:jc w:val="center"/>
              <w:rPr>
                <w:rFonts w:eastAsia="Times New Roman"/>
                <w:b/>
                <w:bCs/>
                <w:sz w:val="16"/>
                <w:szCs w:val="16"/>
              </w:rPr>
            </w:pPr>
            <w:r w:rsidRPr="00017950">
              <w:rPr>
                <w:rFonts w:eastAsia="Times New Roman"/>
                <w:b/>
                <w:bCs/>
                <w:sz w:val="16"/>
                <w:szCs w:val="16"/>
              </w:rPr>
              <w:t>Año</w:t>
            </w:r>
          </w:p>
        </w:tc>
        <w:tc>
          <w:tcPr>
            <w:tcW w:w="1924" w:type="dxa"/>
            <w:tcBorders>
              <w:top w:val="single" w:sz="4" w:space="0" w:color="auto"/>
              <w:left w:val="nil"/>
              <w:bottom w:val="single" w:sz="4" w:space="0" w:color="auto"/>
              <w:right w:val="nil"/>
            </w:tcBorders>
            <w:shd w:val="clear" w:color="auto" w:fill="auto"/>
            <w:noWrap/>
            <w:vAlign w:val="bottom"/>
            <w:hideMark/>
          </w:tcPr>
          <w:p w14:paraId="07D7F115" w14:textId="77777777" w:rsidR="003C0451" w:rsidRPr="00017950" w:rsidRDefault="003C0451" w:rsidP="00852114">
            <w:pPr>
              <w:jc w:val="center"/>
              <w:rPr>
                <w:rFonts w:eastAsia="Times New Roman"/>
                <w:b/>
                <w:bCs/>
                <w:sz w:val="16"/>
                <w:szCs w:val="16"/>
              </w:rPr>
            </w:pPr>
            <w:r w:rsidRPr="00017950">
              <w:rPr>
                <w:rFonts w:eastAsia="Times New Roman"/>
                <w:b/>
                <w:bCs/>
                <w:sz w:val="16"/>
                <w:szCs w:val="16"/>
              </w:rPr>
              <w:t>Concepto</w:t>
            </w:r>
          </w:p>
        </w:tc>
        <w:tc>
          <w:tcPr>
            <w:tcW w:w="1885" w:type="dxa"/>
            <w:tcBorders>
              <w:top w:val="single" w:sz="4" w:space="0" w:color="auto"/>
              <w:left w:val="nil"/>
              <w:bottom w:val="single" w:sz="4" w:space="0" w:color="auto"/>
              <w:right w:val="nil"/>
            </w:tcBorders>
            <w:shd w:val="clear" w:color="auto" w:fill="auto"/>
            <w:noWrap/>
            <w:vAlign w:val="bottom"/>
            <w:hideMark/>
          </w:tcPr>
          <w:p w14:paraId="02486A88" w14:textId="77777777" w:rsidR="003C0451" w:rsidRPr="00017950" w:rsidRDefault="003C0451" w:rsidP="00852114">
            <w:pPr>
              <w:jc w:val="center"/>
              <w:rPr>
                <w:rFonts w:eastAsia="Times New Roman"/>
                <w:b/>
                <w:bCs/>
                <w:sz w:val="16"/>
                <w:szCs w:val="16"/>
              </w:rPr>
            </w:pPr>
            <w:r w:rsidRPr="00017950">
              <w:rPr>
                <w:rFonts w:eastAsia="Times New Roman"/>
                <w:b/>
                <w:bCs/>
                <w:sz w:val="16"/>
                <w:szCs w:val="16"/>
              </w:rPr>
              <w:t>Euros</w:t>
            </w:r>
          </w:p>
        </w:tc>
        <w:tc>
          <w:tcPr>
            <w:tcW w:w="1405" w:type="dxa"/>
            <w:tcBorders>
              <w:top w:val="single" w:sz="4" w:space="0" w:color="auto"/>
              <w:left w:val="nil"/>
              <w:bottom w:val="single" w:sz="4" w:space="0" w:color="auto"/>
              <w:right w:val="nil"/>
            </w:tcBorders>
            <w:vAlign w:val="bottom"/>
          </w:tcPr>
          <w:p w14:paraId="03F805A7" w14:textId="266FD213" w:rsidR="003C0451" w:rsidRPr="00017950" w:rsidRDefault="00567092" w:rsidP="00567092">
            <w:pPr>
              <w:jc w:val="center"/>
              <w:rPr>
                <w:rFonts w:eastAsia="Times New Roman"/>
                <w:b/>
                <w:bCs/>
                <w:sz w:val="16"/>
                <w:szCs w:val="16"/>
              </w:rPr>
            </w:pPr>
            <w:r w:rsidRPr="00017950">
              <w:rPr>
                <w:rFonts w:eastAsia="Times New Roman"/>
                <w:b/>
                <w:bCs/>
                <w:sz w:val="16"/>
                <w:szCs w:val="16"/>
              </w:rPr>
              <w:t>Aplicado</w:t>
            </w:r>
          </w:p>
        </w:tc>
        <w:tc>
          <w:tcPr>
            <w:tcW w:w="1280" w:type="dxa"/>
            <w:tcBorders>
              <w:top w:val="single" w:sz="4" w:space="0" w:color="auto"/>
              <w:left w:val="nil"/>
              <w:bottom w:val="single" w:sz="4" w:space="0" w:color="auto"/>
              <w:right w:val="nil"/>
            </w:tcBorders>
            <w:vAlign w:val="bottom"/>
          </w:tcPr>
          <w:p w14:paraId="561D08F7" w14:textId="26DE4F7D" w:rsidR="003C0451" w:rsidRPr="00017950" w:rsidRDefault="00567092" w:rsidP="00567092">
            <w:pPr>
              <w:jc w:val="center"/>
              <w:rPr>
                <w:rFonts w:eastAsia="Times New Roman"/>
                <w:b/>
                <w:bCs/>
                <w:sz w:val="16"/>
                <w:szCs w:val="16"/>
              </w:rPr>
            </w:pPr>
            <w:r w:rsidRPr="00017950">
              <w:rPr>
                <w:rFonts w:eastAsia="Times New Roman"/>
                <w:b/>
                <w:bCs/>
                <w:sz w:val="16"/>
                <w:szCs w:val="16"/>
              </w:rPr>
              <w:t>Pendiente de aplicar</w:t>
            </w:r>
          </w:p>
        </w:tc>
      </w:tr>
      <w:tr w:rsidR="00017950" w:rsidRPr="00017950" w14:paraId="54BAB7EA" w14:textId="32EDD5FB" w:rsidTr="002B2E50">
        <w:trPr>
          <w:trHeight w:val="255"/>
          <w:jc w:val="center"/>
        </w:trPr>
        <w:tc>
          <w:tcPr>
            <w:tcW w:w="2287" w:type="dxa"/>
            <w:tcBorders>
              <w:top w:val="nil"/>
              <w:left w:val="nil"/>
              <w:bottom w:val="nil"/>
              <w:right w:val="nil"/>
            </w:tcBorders>
            <w:shd w:val="clear" w:color="auto" w:fill="auto"/>
            <w:noWrap/>
            <w:vAlign w:val="center"/>
            <w:hideMark/>
          </w:tcPr>
          <w:p w14:paraId="336E0EA0" w14:textId="77777777" w:rsidR="00017950" w:rsidRPr="00017950" w:rsidRDefault="00017950" w:rsidP="00017950">
            <w:pPr>
              <w:jc w:val="center"/>
              <w:rPr>
                <w:rFonts w:eastAsia="Times New Roman"/>
                <w:sz w:val="16"/>
                <w:szCs w:val="16"/>
              </w:rPr>
            </w:pPr>
            <w:r w:rsidRPr="00017950">
              <w:rPr>
                <w:rFonts w:eastAsia="Times New Roman"/>
                <w:sz w:val="16"/>
                <w:szCs w:val="16"/>
              </w:rPr>
              <w:t>2009</w:t>
            </w:r>
          </w:p>
        </w:tc>
        <w:tc>
          <w:tcPr>
            <w:tcW w:w="1924" w:type="dxa"/>
            <w:tcBorders>
              <w:top w:val="nil"/>
              <w:left w:val="nil"/>
              <w:bottom w:val="nil"/>
              <w:right w:val="nil"/>
            </w:tcBorders>
            <w:shd w:val="clear" w:color="auto" w:fill="auto"/>
            <w:noWrap/>
            <w:vAlign w:val="center"/>
            <w:hideMark/>
          </w:tcPr>
          <w:p w14:paraId="2033E519" w14:textId="77777777" w:rsidR="00017950" w:rsidRPr="00017950" w:rsidRDefault="00017950" w:rsidP="00017950">
            <w:pPr>
              <w:rPr>
                <w:rFonts w:eastAsia="Times New Roman"/>
                <w:sz w:val="16"/>
                <w:szCs w:val="16"/>
              </w:rPr>
            </w:pPr>
            <w:r w:rsidRPr="00017950">
              <w:rPr>
                <w:rFonts w:eastAsia="Times New Roman"/>
                <w:sz w:val="16"/>
                <w:szCs w:val="16"/>
              </w:rPr>
              <w:t>Base imponible negativa</w:t>
            </w:r>
          </w:p>
        </w:tc>
        <w:tc>
          <w:tcPr>
            <w:tcW w:w="1885" w:type="dxa"/>
            <w:tcBorders>
              <w:top w:val="nil"/>
              <w:left w:val="nil"/>
              <w:bottom w:val="nil"/>
              <w:right w:val="nil"/>
            </w:tcBorders>
            <w:shd w:val="clear" w:color="auto" w:fill="auto"/>
            <w:noWrap/>
            <w:vAlign w:val="center"/>
            <w:hideMark/>
          </w:tcPr>
          <w:p w14:paraId="01E8A2D0" w14:textId="21EB7A68" w:rsidR="00017950" w:rsidRPr="00017950" w:rsidRDefault="00017950" w:rsidP="00017950">
            <w:pPr>
              <w:jc w:val="right"/>
              <w:rPr>
                <w:rFonts w:eastAsia="Times New Roman"/>
                <w:sz w:val="16"/>
                <w:szCs w:val="16"/>
              </w:rPr>
            </w:pPr>
            <w:r w:rsidRPr="00017950">
              <w:rPr>
                <w:sz w:val="16"/>
                <w:szCs w:val="16"/>
              </w:rPr>
              <w:t>917.470,77</w:t>
            </w:r>
          </w:p>
        </w:tc>
        <w:tc>
          <w:tcPr>
            <w:tcW w:w="1405" w:type="dxa"/>
            <w:tcBorders>
              <w:top w:val="nil"/>
              <w:left w:val="nil"/>
              <w:bottom w:val="nil"/>
              <w:right w:val="nil"/>
            </w:tcBorders>
            <w:vAlign w:val="center"/>
          </w:tcPr>
          <w:p w14:paraId="03B0948F" w14:textId="284D62F8" w:rsidR="00017950" w:rsidRPr="00017950" w:rsidRDefault="00017950" w:rsidP="00017950">
            <w:pPr>
              <w:jc w:val="right"/>
              <w:rPr>
                <w:sz w:val="16"/>
                <w:szCs w:val="16"/>
              </w:rPr>
            </w:pPr>
            <w:r w:rsidRPr="00017950">
              <w:rPr>
                <w:sz w:val="16"/>
                <w:szCs w:val="16"/>
              </w:rPr>
              <w:t xml:space="preserve"> -</w:t>
            </w:r>
          </w:p>
        </w:tc>
        <w:tc>
          <w:tcPr>
            <w:tcW w:w="1280" w:type="dxa"/>
            <w:tcBorders>
              <w:top w:val="nil"/>
              <w:left w:val="nil"/>
              <w:bottom w:val="nil"/>
              <w:right w:val="nil"/>
            </w:tcBorders>
            <w:vAlign w:val="center"/>
          </w:tcPr>
          <w:p w14:paraId="6936C763" w14:textId="4A90E686" w:rsidR="00017950" w:rsidRPr="00017950" w:rsidRDefault="00017950" w:rsidP="00017950">
            <w:pPr>
              <w:jc w:val="right"/>
              <w:rPr>
                <w:sz w:val="16"/>
                <w:szCs w:val="16"/>
              </w:rPr>
            </w:pPr>
            <w:r w:rsidRPr="00017950">
              <w:rPr>
                <w:sz w:val="16"/>
                <w:szCs w:val="16"/>
              </w:rPr>
              <w:t>917.470,77</w:t>
            </w:r>
          </w:p>
        </w:tc>
      </w:tr>
      <w:tr w:rsidR="00017950" w:rsidRPr="00017950" w14:paraId="5E7CC3C3" w14:textId="758C0C8F" w:rsidTr="002B2E50">
        <w:trPr>
          <w:trHeight w:val="255"/>
          <w:jc w:val="center"/>
        </w:trPr>
        <w:tc>
          <w:tcPr>
            <w:tcW w:w="2287" w:type="dxa"/>
            <w:tcBorders>
              <w:top w:val="nil"/>
              <w:left w:val="nil"/>
              <w:bottom w:val="nil"/>
              <w:right w:val="nil"/>
            </w:tcBorders>
            <w:shd w:val="clear" w:color="auto" w:fill="auto"/>
            <w:noWrap/>
            <w:vAlign w:val="center"/>
            <w:hideMark/>
          </w:tcPr>
          <w:p w14:paraId="1A2E6840" w14:textId="77777777" w:rsidR="00017950" w:rsidRPr="00017950" w:rsidRDefault="00017950" w:rsidP="00017950">
            <w:pPr>
              <w:jc w:val="center"/>
              <w:rPr>
                <w:rFonts w:eastAsia="Times New Roman"/>
                <w:sz w:val="16"/>
                <w:szCs w:val="16"/>
              </w:rPr>
            </w:pPr>
            <w:r w:rsidRPr="00017950">
              <w:rPr>
                <w:rFonts w:eastAsia="Times New Roman"/>
                <w:sz w:val="16"/>
                <w:szCs w:val="16"/>
              </w:rPr>
              <w:t>2010</w:t>
            </w:r>
          </w:p>
        </w:tc>
        <w:tc>
          <w:tcPr>
            <w:tcW w:w="1924" w:type="dxa"/>
            <w:tcBorders>
              <w:top w:val="nil"/>
              <w:left w:val="nil"/>
              <w:bottom w:val="nil"/>
              <w:right w:val="nil"/>
            </w:tcBorders>
            <w:shd w:val="clear" w:color="auto" w:fill="auto"/>
            <w:noWrap/>
            <w:vAlign w:val="center"/>
            <w:hideMark/>
          </w:tcPr>
          <w:p w14:paraId="01621A5F" w14:textId="77777777" w:rsidR="00017950" w:rsidRPr="00017950" w:rsidRDefault="00017950" w:rsidP="00017950">
            <w:pPr>
              <w:rPr>
                <w:rFonts w:eastAsia="Times New Roman"/>
                <w:sz w:val="16"/>
                <w:szCs w:val="16"/>
              </w:rPr>
            </w:pPr>
            <w:r w:rsidRPr="00017950">
              <w:rPr>
                <w:rFonts w:eastAsia="Times New Roman"/>
                <w:sz w:val="16"/>
                <w:szCs w:val="16"/>
              </w:rPr>
              <w:t>Base imponible negativa</w:t>
            </w:r>
          </w:p>
        </w:tc>
        <w:tc>
          <w:tcPr>
            <w:tcW w:w="1885" w:type="dxa"/>
            <w:tcBorders>
              <w:top w:val="nil"/>
              <w:left w:val="nil"/>
              <w:bottom w:val="nil"/>
              <w:right w:val="nil"/>
            </w:tcBorders>
            <w:shd w:val="clear" w:color="auto" w:fill="auto"/>
            <w:noWrap/>
            <w:vAlign w:val="center"/>
            <w:hideMark/>
          </w:tcPr>
          <w:p w14:paraId="2B9A6E0D" w14:textId="7B848EE3" w:rsidR="00017950" w:rsidRPr="00017950" w:rsidRDefault="00017950" w:rsidP="00017950">
            <w:pPr>
              <w:jc w:val="right"/>
              <w:rPr>
                <w:rFonts w:eastAsia="Times New Roman"/>
                <w:sz w:val="16"/>
                <w:szCs w:val="16"/>
              </w:rPr>
            </w:pPr>
            <w:r w:rsidRPr="00017950">
              <w:rPr>
                <w:sz w:val="16"/>
                <w:szCs w:val="16"/>
              </w:rPr>
              <w:t>2.083.833,07</w:t>
            </w:r>
          </w:p>
        </w:tc>
        <w:tc>
          <w:tcPr>
            <w:tcW w:w="1405" w:type="dxa"/>
            <w:tcBorders>
              <w:top w:val="nil"/>
              <w:left w:val="nil"/>
              <w:bottom w:val="nil"/>
              <w:right w:val="nil"/>
            </w:tcBorders>
            <w:vAlign w:val="center"/>
          </w:tcPr>
          <w:p w14:paraId="37FDA500" w14:textId="3EB10FF8" w:rsidR="00017950" w:rsidRPr="00017950" w:rsidRDefault="00017950" w:rsidP="00017950">
            <w:pPr>
              <w:jc w:val="right"/>
              <w:rPr>
                <w:sz w:val="16"/>
                <w:szCs w:val="16"/>
              </w:rPr>
            </w:pPr>
            <w:r w:rsidRPr="00017950">
              <w:rPr>
                <w:sz w:val="16"/>
                <w:szCs w:val="16"/>
              </w:rPr>
              <w:t xml:space="preserve"> -</w:t>
            </w:r>
          </w:p>
        </w:tc>
        <w:tc>
          <w:tcPr>
            <w:tcW w:w="1280" w:type="dxa"/>
            <w:tcBorders>
              <w:top w:val="nil"/>
              <w:left w:val="nil"/>
              <w:bottom w:val="nil"/>
              <w:right w:val="nil"/>
            </w:tcBorders>
            <w:vAlign w:val="center"/>
          </w:tcPr>
          <w:p w14:paraId="18CAC3DC" w14:textId="0CDC89DE" w:rsidR="00017950" w:rsidRPr="00017950" w:rsidRDefault="00017950" w:rsidP="00017950">
            <w:pPr>
              <w:jc w:val="right"/>
              <w:rPr>
                <w:sz w:val="16"/>
                <w:szCs w:val="16"/>
              </w:rPr>
            </w:pPr>
            <w:r w:rsidRPr="00017950">
              <w:rPr>
                <w:sz w:val="16"/>
                <w:szCs w:val="16"/>
              </w:rPr>
              <w:t>2.083.833,07</w:t>
            </w:r>
          </w:p>
        </w:tc>
      </w:tr>
      <w:tr w:rsidR="00017950" w:rsidRPr="00017950" w14:paraId="7DA36E57" w14:textId="35C896C7" w:rsidTr="002B2E50">
        <w:trPr>
          <w:trHeight w:val="255"/>
          <w:jc w:val="center"/>
        </w:trPr>
        <w:tc>
          <w:tcPr>
            <w:tcW w:w="2287" w:type="dxa"/>
            <w:tcBorders>
              <w:top w:val="nil"/>
              <w:left w:val="nil"/>
              <w:bottom w:val="nil"/>
              <w:right w:val="nil"/>
            </w:tcBorders>
            <w:shd w:val="clear" w:color="auto" w:fill="auto"/>
            <w:noWrap/>
            <w:vAlign w:val="center"/>
            <w:hideMark/>
          </w:tcPr>
          <w:p w14:paraId="736EE96A" w14:textId="77777777" w:rsidR="00017950" w:rsidRPr="00017950" w:rsidRDefault="00017950" w:rsidP="00017950">
            <w:pPr>
              <w:jc w:val="center"/>
              <w:rPr>
                <w:rFonts w:eastAsia="Times New Roman"/>
                <w:sz w:val="16"/>
                <w:szCs w:val="16"/>
              </w:rPr>
            </w:pPr>
            <w:r w:rsidRPr="00017950">
              <w:rPr>
                <w:rFonts w:eastAsia="Times New Roman"/>
                <w:sz w:val="16"/>
                <w:szCs w:val="16"/>
              </w:rPr>
              <w:t>2011</w:t>
            </w:r>
          </w:p>
        </w:tc>
        <w:tc>
          <w:tcPr>
            <w:tcW w:w="1924" w:type="dxa"/>
            <w:tcBorders>
              <w:top w:val="nil"/>
              <w:left w:val="nil"/>
              <w:bottom w:val="nil"/>
              <w:right w:val="nil"/>
            </w:tcBorders>
            <w:shd w:val="clear" w:color="auto" w:fill="auto"/>
            <w:noWrap/>
            <w:vAlign w:val="center"/>
            <w:hideMark/>
          </w:tcPr>
          <w:p w14:paraId="00FD7A4D" w14:textId="77777777" w:rsidR="00017950" w:rsidRPr="00017950" w:rsidRDefault="00017950" w:rsidP="00017950">
            <w:pPr>
              <w:rPr>
                <w:rFonts w:eastAsia="Times New Roman"/>
                <w:sz w:val="16"/>
                <w:szCs w:val="16"/>
              </w:rPr>
            </w:pPr>
            <w:r w:rsidRPr="00017950">
              <w:rPr>
                <w:rFonts w:eastAsia="Times New Roman"/>
                <w:sz w:val="16"/>
                <w:szCs w:val="16"/>
              </w:rPr>
              <w:t>Base imponible negativa</w:t>
            </w:r>
          </w:p>
        </w:tc>
        <w:tc>
          <w:tcPr>
            <w:tcW w:w="1885" w:type="dxa"/>
            <w:tcBorders>
              <w:top w:val="nil"/>
              <w:left w:val="nil"/>
              <w:bottom w:val="nil"/>
              <w:right w:val="nil"/>
            </w:tcBorders>
            <w:shd w:val="clear" w:color="auto" w:fill="auto"/>
            <w:noWrap/>
            <w:vAlign w:val="center"/>
            <w:hideMark/>
          </w:tcPr>
          <w:p w14:paraId="174999F1" w14:textId="6FF819C0" w:rsidR="00017950" w:rsidRPr="00017950" w:rsidRDefault="00017950" w:rsidP="00017950">
            <w:pPr>
              <w:jc w:val="right"/>
              <w:rPr>
                <w:rFonts w:eastAsia="Times New Roman"/>
                <w:sz w:val="16"/>
                <w:szCs w:val="16"/>
              </w:rPr>
            </w:pPr>
            <w:r w:rsidRPr="00017950">
              <w:rPr>
                <w:sz w:val="16"/>
                <w:szCs w:val="16"/>
              </w:rPr>
              <w:t>2.530.082,21</w:t>
            </w:r>
          </w:p>
        </w:tc>
        <w:tc>
          <w:tcPr>
            <w:tcW w:w="1405" w:type="dxa"/>
            <w:tcBorders>
              <w:top w:val="nil"/>
              <w:left w:val="nil"/>
              <w:bottom w:val="nil"/>
              <w:right w:val="nil"/>
            </w:tcBorders>
            <w:vAlign w:val="center"/>
          </w:tcPr>
          <w:p w14:paraId="2AEB8CF1" w14:textId="6561510B" w:rsidR="00017950" w:rsidRPr="00017950" w:rsidRDefault="00017950" w:rsidP="00017950">
            <w:pPr>
              <w:jc w:val="right"/>
              <w:rPr>
                <w:sz w:val="16"/>
                <w:szCs w:val="16"/>
              </w:rPr>
            </w:pPr>
            <w:r w:rsidRPr="00017950">
              <w:rPr>
                <w:sz w:val="16"/>
                <w:szCs w:val="16"/>
              </w:rPr>
              <w:t xml:space="preserve"> -</w:t>
            </w:r>
          </w:p>
        </w:tc>
        <w:tc>
          <w:tcPr>
            <w:tcW w:w="1280" w:type="dxa"/>
            <w:tcBorders>
              <w:top w:val="nil"/>
              <w:left w:val="nil"/>
              <w:bottom w:val="nil"/>
              <w:right w:val="nil"/>
            </w:tcBorders>
            <w:vAlign w:val="center"/>
          </w:tcPr>
          <w:p w14:paraId="6B4D318C" w14:textId="7807B955" w:rsidR="00017950" w:rsidRPr="00017950" w:rsidRDefault="00017950" w:rsidP="00017950">
            <w:pPr>
              <w:jc w:val="right"/>
              <w:rPr>
                <w:sz w:val="16"/>
                <w:szCs w:val="16"/>
              </w:rPr>
            </w:pPr>
            <w:r w:rsidRPr="00017950">
              <w:rPr>
                <w:sz w:val="16"/>
                <w:szCs w:val="16"/>
              </w:rPr>
              <w:t>2.530.082,21</w:t>
            </w:r>
          </w:p>
        </w:tc>
      </w:tr>
      <w:tr w:rsidR="00017950" w:rsidRPr="00017950" w14:paraId="1C909A56" w14:textId="0B72BF39" w:rsidTr="002B2E50">
        <w:trPr>
          <w:trHeight w:val="255"/>
          <w:jc w:val="center"/>
        </w:trPr>
        <w:tc>
          <w:tcPr>
            <w:tcW w:w="2287" w:type="dxa"/>
            <w:tcBorders>
              <w:top w:val="nil"/>
              <w:left w:val="nil"/>
              <w:bottom w:val="nil"/>
              <w:right w:val="nil"/>
            </w:tcBorders>
            <w:shd w:val="clear" w:color="auto" w:fill="auto"/>
            <w:noWrap/>
            <w:vAlign w:val="center"/>
            <w:hideMark/>
          </w:tcPr>
          <w:p w14:paraId="01CD095E" w14:textId="77777777" w:rsidR="00017950" w:rsidRPr="00017950" w:rsidRDefault="00017950" w:rsidP="00017950">
            <w:pPr>
              <w:jc w:val="center"/>
              <w:rPr>
                <w:rFonts w:eastAsia="Times New Roman"/>
                <w:sz w:val="16"/>
                <w:szCs w:val="16"/>
              </w:rPr>
            </w:pPr>
            <w:r w:rsidRPr="00017950">
              <w:rPr>
                <w:rFonts w:eastAsia="Times New Roman"/>
                <w:sz w:val="16"/>
                <w:szCs w:val="16"/>
              </w:rPr>
              <w:t>2012</w:t>
            </w:r>
          </w:p>
        </w:tc>
        <w:tc>
          <w:tcPr>
            <w:tcW w:w="1924" w:type="dxa"/>
            <w:tcBorders>
              <w:top w:val="nil"/>
              <w:left w:val="nil"/>
              <w:bottom w:val="nil"/>
              <w:right w:val="nil"/>
            </w:tcBorders>
            <w:shd w:val="clear" w:color="auto" w:fill="auto"/>
            <w:noWrap/>
            <w:vAlign w:val="center"/>
            <w:hideMark/>
          </w:tcPr>
          <w:p w14:paraId="31ECF97F" w14:textId="77777777" w:rsidR="00017950" w:rsidRPr="00017950" w:rsidRDefault="00017950" w:rsidP="00017950">
            <w:pPr>
              <w:rPr>
                <w:rFonts w:eastAsia="Times New Roman"/>
                <w:sz w:val="16"/>
                <w:szCs w:val="16"/>
              </w:rPr>
            </w:pPr>
            <w:r w:rsidRPr="00017950">
              <w:rPr>
                <w:rFonts w:eastAsia="Times New Roman"/>
                <w:sz w:val="16"/>
                <w:szCs w:val="16"/>
              </w:rPr>
              <w:t>Base imponible negativa</w:t>
            </w:r>
          </w:p>
        </w:tc>
        <w:tc>
          <w:tcPr>
            <w:tcW w:w="1885" w:type="dxa"/>
            <w:tcBorders>
              <w:top w:val="nil"/>
              <w:left w:val="nil"/>
              <w:bottom w:val="nil"/>
              <w:right w:val="nil"/>
            </w:tcBorders>
            <w:shd w:val="clear" w:color="auto" w:fill="auto"/>
            <w:noWrap/>
            <w:vAlign w:val="center"/>
            <w:hideMark/>
          </w:tcPr>
          <w:p w14:paraId="6B2C4644" w14:textId="3DC3C54F" w:rsidR="00017950" w:rsidRPr="00017950" w:rsidRDefault="00017950" w:rsidP="00017950">
            <w:pPr>
              <w:jc w:val="right"/>
              <w:rPr>
                <w:rFonts w:eastAsia="Times New Roman"/>
                <w:sz w:val="16"/>
                <w:szCs w:val="16"/>
              </w:rPr>
            </w:pPr>
            <w:r w:rsidRPr="00017950">
              <w:rPr>
                <w:sz w:val="16"/>
                <w:szCs w:val="16"/>
              </w:rPr>
              <w:t>2.118.377,26</w:t>
            </w:r>
          </w:p>
        </w:tc>
        <w:tc>
          <w:tcPr>
            <w:tcW w:w="1405" w:type="dxa"/>
            <w:tcBorders>
              <w:top w:val="nil"/>
              <w:left w:val="nil"/>
              <w:bottom w:val="nil"/>
              <w:right w:val="nil"/>
            </w:tcBorders>
            <w:vAlign w:val="center"/>
          </w:tcPr>
          <w:p w14:paraId="4D9A57F9" w14:textId="2134A7BA" w:rsidR="00017950" w:rsidRPr="00017950" w:rsidRDefault="00017950" w:rsidP="00017950">
            <w:pPr>
              <w:jc w:val="right"/>
              <w:rPr>
                <w:sz w:val="16"/>
                <w:szCs w:val="16"/>
              </w:rPr>
            </w:pPr>
            <w:r w:rsidRPr="00017950">
              <w:rPr>
                <w:sz w:val="16"/>
                <w:szCs w:val="16"/>
              </w:rPr>
              <w:t xml:space="preserve"> -</w:t>
            </w:r>
          </w:p>
        </w:tc>
        <w:tc>
          <w:tcPr>
            <w:tcW w:w="1280" w:type="dxa"/>
            <w:tcBorders>
              <w:top w:val="nil"/>
              <w:left w:val="nil"/>
              <w:bottom w:val="nil"/>
              <w:right w:val="nil"/>
            </w:tcBorders>
            <w:vAlign w:val="center"/>
          </w:tcPr>
          <w:p w14:paraId="4C1EAED2" w14:textId="0C00645A" w:rsidR="00017950" w:rsidRPr="00017950" w:rsidRDefault="00017950" w:rsidP="00017950">
            <w:pPr>
              <w:jc w:val="right"/>
              <w:rPr>
                <w:sz w:val="16"/>
                <w:szCs w:val="16"/>
              </w:rPr>
            </w:pPr>
            <w:r w:rsidRPr="00017950">
              <w:rPr>
                <w:sz w:val="16"/>
                <w:szCs w:val="16"/>
              </w:rPr>
              <w:t>2.118.377,26</w:t>
            </w:r>
          </w:p>
        </w:tc>
      </w:tr>
      <w:tr w:rsidR="00017950" w:rsidRPr="00017950" w14:paraId="25A070BF" w14:textId="50258235" w:rsidTr="002B2E50">
        <w:trPr>
          <w:trHeight w:val="255"/>
          <w:jc w:val="center"/>
        </w:trPr>
        <w:tc>
          <w:tcPr>
            <w:tcW w:w="2287" w:type="dxa"/>
            <w:tcBorders>
              <w:top w:val="nil"/>
              <w:left w:val="nil"/>
              <w:bottom w:val="nil"/>
              <w:right w:val="nil"/>
            </w:tcBorders>
            <w:shd w:val="clear" w:color="auto" w:fill="auto"/>
            <w:noWrap/>
            <w:vAlign w:val="center"/>
            <w:hideMark/>
          </w:tcPr>
          <w:p w14:paraId="727DA3FD" w14:textId="77777777" w:rsidR="00017950" w:rsidRPr="00017950" w:rsidRDefault="00017950" w:rsidP="00017950">
            <w:pPr>
              <w:jc w:val="center"/>
              <w:rPr>
                <w:rFonts w:eastAsia="Times New Roman"/>
                <w:sz w:val="16"/>
                <w:szCs w:val="16"/>
              </w:rPr>
            </w:pPr>
            <w:r w:rsidRPr="00017950">
              <w:rPr>
                <w:rFonts w:eastAsia="Times New Roman"/>
                <w:sz w:val="16"/>
                <w:szCs w:val="16"/>
              </w:rPr>
              <w:t>2013</w:t>
            </w:r>
          </w:p>
        </w:tc>
        <w:tc>
          <w:tcPr>
            <w:tcW w:w="1924" w:type="dxa"/>
            <w:tcBorders>
              <w:top w:val="nil"/>
              <w:left w:val="nil"/>
              <w:bottom w:val="nil"/>
              <w:right w:val="nil"/>
            </w:tcBorders>
            <w:shd w:val="clear" w:color="auto" w:fill="auto"/>
            <w:noWrap/>
            <w:vAlign w:val="center"/>
            <w:hideMark/>
          </w:tcPr>
          <w:p w14:paraId="59091D71" w14:textId="77777777" w:rsidR="00017950" w:rsidRPr="00017950" w:rsidRDefault="00017950" w:rsidP="00017950">
            <w:pPr>
              <w:rPr>
                <w:rFonts w:eastAsia="Times New Roman"/>
                <w:sz w:val="16"/>
                <w:szCs w:val="16"/>
              </w:rPr>
            </w:pPr>
            <w:r w:rsidRPr="00017950">
              <w:rPr>
                <w:rFonts w:eastAsia="Times New Roman"/>
                <w:sz w:val="16"/>
                <w:szCs w:val="16"/>
              </w:rPr>
              <w:t>Base imponible negativa</w:t>
            </w:r>
          </w:p>
        </w:tc>
        <w:tc>
          <w:tcPr>
            <w:tcW w:w="1885" w:type="dxa"/>
            <w:tcBorders>
              <w:top w:val="nil"/>
              <w:left w:val="nil"/>
              <w:bottom w:val="nil"/>
              <w:right w:val="nil"/>
            </w:tcBorders>
            <w:shd w:val="clear" w:color="auto" w:fill="auto"/>
            <w:noWrap/>
            <w:vAlign w:val="center"/>
            <w:hideMark/>
          </w:tcPr>
          <w:p w14:paraId="4DBB4DB1" w14:textId="26F67363" w:rsidR="00017950" w:rsidRPr="00017950" w:rsidRDefault="00017950" w:rsidP="00017950">
            <w:pPr>
              <w:jc w:val="right"/>
              <w:rPr>
                <w:rFonts w:eastAsia="Times New Roman"/>
                <w:sz w:val="16"/>
                <w:szCs w:val="16"/>
              </w:rPr>
            </w:pPr>
            <w:r w:rsidRPr="00017950">
              <w:rPr>
                <w:sz w:val="16"/>
                <w:szCs w:val="16"/>
              </w:rPr>
              <w:t>1.365.508,47</w:t>
            </w:r>
          </w:p>
        </w:tc>
        <w:tc>
          <w:tcPr>
            <w:tcW w:w="1405" w:type="dxa"/>
            <w:tcBorders>
              <w:top w:val="nil"/>
              <w:left w:val="nil"/>
              <w:bottom w:val="nil"/>
              <w:right w:val="nil"/>
            </w:tcBorders>
            <w:vAlign w:val="center"/>
          </w:tcPr>
          <w:p w14:paraId="3A9A47E4" w14:textId="620F8E65" w:rsidR="00017950" w:rsidRPr="00017950" w:rsidRDefault="00017950" w:rsidP="00017950">
            <w:pPr>
              <w:jc w:val="right"/>
              <w:rPr>
                <w:sz w:val="16"/>
                <w:szCs w:val="16"/>
              </w:rPr>
            </w:pPr>
            <w:r w:rsidRPr="00017950">
              <w:rPr>
                <w:sz w:val="16"/>
                <w:szCs w:val="16"/>
              </w:rPr>
              <w:t xml:space="preserve"> -</w:t>
            </w:r>
          </w:p>
        </w:tc>
        <w:tc>
          <w:tcPr>
            <w:tcW w:w="1280" w:type="dxa"/>
            <w:tcBorders>
              <w:top w:val="nil"/>
              <w:left w:val="nil"/>
              <w:bottom w:val="nil"/>
              <w:right w:val="nil"/>
            </w:tcBorders>
            <w:vAlign w:val="center"/>
          </w:tcPr>
          <w:p w14:paraId="4A0115E0" w14:textId="0810B976" w:rsidR="00017950" w:rsidRPr="00017950" w:rsidRDefault="00017950" w:rsidP="00017950">
            <w:pPr>
              <w:jc w:val="right"/>
              <w:rPr>
                <w:sz w:val="16"/>
                <w:szCs w:val="16"/>
              </w:rPr>
            </w:pPr>
            <w:r w:rsidRPr="00017950">
              <w:rPr>
                <w:sz w:val="16"/>
                <w:szCs w:val="16"/>
              </w:rPr>
              <w:t>1.365.508,47</w:t>
            </w:r>
          </w:p>
        </w:tc>
      </w:tr>
      <w:tr w:rsidR="00017950" w:rsidRPr="00017950" w14:paraId="1A839253" w14:textId="26B11E6C" w:rsidTr="002B2E50">
        <w:trPr>
          <w:trHeight w:val="255"/>
          <w:jc w:val="center"/>
        </w:trPr>
        <w:tc>
          <w:tcPr>
            <w:tcW w:w="2287" w:type="dxa"/>
            <w:tcBorders>
              <w:top w:val="nil"/>
              <w:left w:val="nil"/>
              <w:bottom w:val="nil"/>
              <w:right w:val="nil"/>
            </w:tcBorders>
            <w:shd w:val="clear" w:color="auto" w:fill="auto"/>
            <w:noWrap/>
            <w:vAlign w:val="center"/>
            <w:hideMark/>
          </w:tcPr>
          <w:p w14:paraId="17120304" w14:textId="77777777" w:rsidR="00017950" w:rsidRPr="00017950" w:rsidRDefault="00017950" w:rsidP="00017950">
            <w:pPr>
              <w:jc w:val="center"/>
              <w:rPr>
                <w:rFonts w:eastAsia="Times New Roman"/>
                <w:sz w:val="16"/>
                <w:szCs w:val="16"/>
              </w:rPr>
            </w:pPr>
            <w:r w:rsidRPr="00017950">
              <w:rPr>
                <w:rFonts w:eastAsia="Times New Roman"/>
                <w:sz w:val="16"/>
                <w:szCs w:val="16"/>
              </w:rPr>
              <w:t>2014</w:t>
            </w:r>
          </w:p>
        </w:tc>
        <w:tc>
          <w:tcPr>
            <w:tcW w:w="1924" w:type="dxa"/>
            <w:tcBorders>
              <w:top w:val="nil"/>
              <w:left w:val="nil"/>
              <w:bottom w:val="nil"/>
              <w:right w:val="nil"/>
            </w:tcBorders>
            <w:shd w:val="clear" w:color="auto" w:fill="auto"/>
            <w:noWrap/>
            <w:vAlign w:val="center"/>
            <w:hideMark/>
          </w:tcPr>
          <w:p w14:paraId="290A69B3" w14:textId="77777777" w:rsidR="00017950" w:rsidRPr="00017950" w:rsidRDefault="00017950" w:rsidP="00017950">
            <w:pPr>
              <w:rPr>
                <w:rFonts w:eastAsia="Times New Roman"/>
                <w:sz w:val="16"/>
                <w:szCs w:val="16"/>
              </w:rPr>
            </w:pPr>
            <w:r w:rsidRPr="00017950">
              <w:rPr>
                <w:rFonts w:eastAsia="Times New Roman"/>
                <w:sz w:val="16"/>
                <w:szCs w:val="16"/>
              </w:rPr>
              <w:t>Base imponible negativa</w:t>
            </w:r>
          </w:p>
        </w:tc>
        <w:tc>
          <w:tcPr>
            <w:tcW w:w="1885" w:type="dxa"/>
            <w:tcBorders>
              <w:top w:val="nil"/>
              <w:left w:val="nil"/>
              <w:bottom w:val="nil"/>
              <w:right w:val="nil"/>
            </w:tcBorders>
            <w:shd w:val="clear" w:color="auto" w:fill="auto"/>
            <w:noWrap/>
            <w:vAlign w:val="center"/>
            <w:hideMark/>
          </w:tcPr>
          <w:p w14:paraId="0F85C92E" w14:textId="2C491DEF" w:rsidR="00017950" w:rsidRPr="00017950" w:rsidRDefault="00017950" w:rsidP="00017950">
            <w:pPr>
              <w:jc w:val="right"/>
              <w:rPr>
                <w:rFonts w:eastAsia="Times New Roman"/>
                <w:sz w:val="16"/>
                <w:szCs w:val="16"/>
              </w:rPr>
            </w:pPr>
            <w:r w:rsidRPr="00017950">
              <w:rPr>
                <w:sz w:val="16"/>
                <w:szCs w:val="16"/>
              </w:rPr>
              <w:t>1.182.908,09</w:t>
            </w:r>
          </w:p>
        </w:tc>
        <w:tc>
          <w:tcPr>
            <w:tcW w:w="1405" w:type="dxa"/>
            <w:tcBorders>
              <w:top w:val="nil"/>
              <w:left w:val="nil"/>
              <w:bottom w:val="nil"/>
              <w:right w:val="nil"/>
            </w:tcBorders>
            <w:vAlign w:val="center"/>
          </w:tcPr>
          <w:p w14:paraId="56E715BC" w14:textId="183CCE4B" w:rsidR="00017950" w:rsidRPr="00017950" w:rsidRDefault="00017950" w:rsidP="00017950">
            <w:pPr>
              <w:jc w:val="right"/>
              <w:rPr>
                <w:sz w:val="16"/>
                <w:szCs w:val="16"/>
              </w:rPr>
            </w:pPr>
            <w:r w:rsidRPr="00017950">
              <w:rPr>
                <w:sz w:val="16"/>
                <w:szCs w:val="16"/>
              </w:rPr>
              <w:t xml:space="preserve"> -</w:t>
            </w:r>
          </w:p>
        </w:tc>
        <w:tc>
          <w:tcPr>
            <w:tcW w:w="1280" w:type="dxa"/>
            <w:tcBorders>
              <w:top w:val="nil"/>
              <w:left w:val="nil"/>
              <w:bottom w:val="nil"/>
              <w:right w:val="nil"/>
            </w:tcBorders>
            <w:vAlign w:val="center"/>
          </w:tcPr>
          <w:p w14:paraId="73E8EC39" w14:textId="21791469" w:rsidR="00017950" w:rsidRPr="00017950" w:rsidRDefault="00017950" w:rsidP="00017950">
            <w:pPr>
              <w:jc w:val="right"/>
              <w:rPr>
                <w:sz w:val="16"/>
                <w:szCs w:val="16"/>
              </w:rPr>
            </w:pPr>
            <w:r w:rsidRPr="00017950">
              <w:rPr>
                <w:sz w:val="16"/>
                <w:szCs w:val="16"/>
              </w:rPr>
              <w:t>1.182.908,09</w:t>
            </w:r>
          </w:p>
        </w:tc>
      </w:tr>
      <w:tr w:rsidR="00017950" w:rsidRPr="00017950" w14:paraId="36EBF662" w14:textId="49BB427D" w:rsidTr="002B2E50">
        <w:trPr>
          <w:trHeight w:val="255"/>
          <w:jc w:val="center"/>
        </w:trPr>
        <w:tc>
          <w:tcPr>
            <w:tcW w:w="2287" w:type="dxa"/>
            <w:tcBorders>
              <w:top w:val="nil"/>
              <w:left w:val="nil"/>
              <w:right w:val="nil"/>
            </w:tcBorders>
            <w:shd w:val="clear" w:color="auto" w:fill="auto"/>
            <w:noWrap/>
            <w:vAlign w:val="center"/>
            <w:hideMark/>
          </w:tcPr>
          <w:p w14:paraId="44913EDD" w14:textId="77777777" w:rsidR="00017950" w:rsidRPr="00017950" w:rsidRDefault="00017950" w:rsidP="00017950">
            <w:pPr>
              <w:jc w:val="center"/>
              <w:rPr>
                <w:rFonts w:eastAsia="Times New Roman"/>
                <w:sz w:val="16"/>
                <w:szCs w:val="16"/>
              </w:rPr>
            </w:pPr>
            <w:r w:rsidRPr="00017950">
              <w:rPr>
                <w:rFonts w:eastAsia="Times New Roman"/>
                <w:sz w:val="16"/>
                <w:szCs w:val="16"/>
              </w:rPr>
              <w:t>2015</w:t>
            </w:r>
          </w:p>
        </w:tc>
        <w:tc>
          <w:tcPr>
            <w:tcW w:w="1924" w:type="dxa"/>
            <w:tcBorders>
              <w:top w:val="nil"/>
              <w:left w:val="nil"/>
              <w:right w:val="nil"/>
            </w:tcBorders>
            <w:shd w:val="clear" w:color="auto" w:fill="auto"/>
            <w:noWrap/>
            <w:vAlign w:val="center"/>
            <w:hideMark/>
          </w:tcPr>
          <w:p w14:paraId="13256D6B" w14:textId="77777777" w:rsidR="00017950" w:rsidRPr="00017950" w:rsidRDefault="00017950" w:rsidP="00017950">
            <w:pPr>
              <w:rPr>
                <w:rFonts w:eastAsia="Times New Roman"/>
                <w:sz w:val="16"/>
                <w:szCs w:val="16"/>
              </w:rPr>
            </w:pPr>
            <w:r w:rsidRPr="00017950">
              <w:rPr>
                <w:rFonts w:eastAsia="Times New Roman"/>
                <w:sz w:val="16"/>
                <w:szCs w:val="16"/>
              </w:rPr>
              <w:t>Base imponible negativa</w:t>
            </w:r>
          </w:p>
        </w:tc>
        <w:tc>
          <w:tcPr>
            <w:tcW w:w="1885" w:type="dxa"/>
            <w:tcBorders>
              <w:top w:val="nil"/>
              <w:left w:val="nil"/>
              <w:right w:val="nil"/>
            </w:tcBorders>
            <w:shd w:val="clear" w:color="auto" w:fill="auto"/>
            <w:noWrap/>
            <w:vAlign w:val="center"/>
            <w:hideMark/>
          </w:tcPr>
          <w:p w14:paraId="1DE36024" w14:textId="48C6FE65" w:rsidR="00017950" w:rsidRPr="00017950" w:rsidRDefault="00017950" w:rsidP="00017950">
            <w:pPr>
              <w:jc w:val="right"/>
              <w:rPr>
                <w:rFonts w:eastAsia="Times New Roman"/>
                <w:sz w:val="16"/>
                <w:szCs w:val="16"/>
              </w:rPr>
            </w:pPr>
            <w:r w:rsidRPr="00017950">
              <w:rPr>
                <w:sz w:val="16"/>
                <w:szCs w:val="16"/>
              </w:rPr>
              <w:t>1.213.335,43</w:t>
            </w:r>
          </w:p>
        </w:tc>
        <w:tc>
          <w:tcPr>
            <w:tcW w:w="1405" w:type="dxa"/>
            <w:tcBorders>
              <w:top w:val="nil"/>
              <w:left w:val="nil"/>
              <w:right w:val="nil"/>
            </w:tcBorders>
            <w:vAlign w:val="center"/>
          </w:tcPr>
          <w:p w14:paraId="1126D761" w14:textId="2A017DE4" w:rsidR="00017950" w:rsidRPr="00017950" w:rsidRDefault="00017950" w:rsidP="00017950">
            <w:pPr>
              <w:jc w:val="right"/>
              <w:rPr>
                <w:sz w:val="16"/>
                <w:szCs w:val="16"/>
              </w:rPr>
            </w:pPr>
            <w:r w:rsidRPr="00017950">
              <w:rPr>
                <w:sz w:val="16"/>
                <w:szCs w:val="16"/>
              </w:rPr>
              <w:t xml:space="preserve"> -</w:t>
            </w:r>
          </w:p>
        </w:tc>
        <w:tc>
          <w:tcPr>
            <w:tcW w:w="1280" w:type="dxa"/>
            <w:tcBorders>
              <w:top w:val="nil"/>
              <w:left w:val="nil"/>
              <w:right w:val="nil"/>
            </w:tcBorders>
            <w:vAlign w:val="center"/>
          </w:tcPr>
          <w:p w14:paraId="2FF291F3" w14:textId="4D020DE5" w:rsidR="00017950" w:rsidRPr="00017950" w:rsidRDefault="00017950" w:rsidP="00017950">
            <w:pPr>
              <w:jc w:val="right"/>
              <w:rPr>
                <w:sz w:val="16"/>
                <w:szCs w:val="16"/>
              </w:rPr>
            </w:pPr>
            <w:r w:rsidRPr="00017950">
              <w:rPr>
                <w:sz w:val="16"/>
                <w:szCs w:val="16"/>
              </w:rPr>
              <w:t>1.213.335,43</w:t>
            </w:r>
          </w:p>
        </w:tc>
      </w:tr>
      <w:tr w:rsidR="00017950" w:rsidRPr="00017950" w14:paraId="5082F6ED" w14:textId="07D5D745" w:rsidTr="002B2E50">
        <w:trPr>
          <w:trHeight w:val="255"/>
          <w:jc w:val="center"/>
        </w:trPr>
        <w:tc>
          <w:tcPr>
            <w:tcW w:w="2287" w:type="dxa"/>
            <w:tcBorders>
              <w:top w:val="nil"/>
              <w:left w:val="nil"/>
              <w:right w:val="nil"/>
            </w:tcBorders>
            <w:shd w:val="clear" w:color="auto" w:fill="auto"/>
            <w:noWrap/>
            <w:vAlign w:val="center"/>
            <w:hideMark/>
          </w:tcPr>
          <w:p w14:paraId="1557D503" w14:textId="77777777" w:rsidR="00017950" w:rsidRPr="00017950" w:rsidRDefault="00017950" w:rsidP="00017950">
            <w:pPr>
              <w:jc w:val="center"/>
              <w:rPr>
                <w:rFonts w:eastAsia="Times New Roman"/>
                <w:sz w:val="16"/>
                <w:szCs w:val="16"/>
              </w:rPr>
            </w:pPr>
            <w:r w:rsidRPr="00017950">
              <w:rPr>
                <w:rFonts w:eastAsia="Times New Roman"/>
                <w:sz w:val="16"/>
                <w:szCs w:val="16"/>
              </w:rPr>
              <w:t>2016</w:t>
            </w:r>
          </w:p>
        </w:tc>
        <w:tc>
          <w:tcPr>
            <w:tcW w:w="1924" w:type="dxa"/>
            <w:tcBorders>
              <w:top w:val="nil"/>
              <w:left w:val="nil"/>
              <w:right w:val="nil"/>
            </w:tcBorders>
            <w:shd w:val="clear" w:color="auto" w:fill="auto"/>
            <w:noWrap/>
            <w:vAlign w:val="center"/>
            <w:hideMark/>
          </w:tcPr>
          <w:p w14:paraId="65938B89" w14:textId="77777777" w:rsidR="00017950" w:rsidRPr="00017950" w:rsidRDefault="00017950" w:rsidP="00017950">
            <w:pPr>
              <w:rPr>
                <w:rFonts w:eastAsia="Times New Roman"/>
                <w:sz w:val="16"/>
                <w:szCs w:val="16"/>
              </w:rPr>
            </w:pPr>
            <w:r w:rsidRPr="00017950">
              <w:rPr>
                <w:rFonts w:eastAsia="Times New Roman"/>
                <w:sz w:val="16"/>
                <w:szCs w:val="16"/>
              </w:rPr>
              <w:t>Base imponible negativa</w:t>
            </w:r>
          </w:p>
        </w:tc>
        <w:tc>
          <w:tcPr>
            <w:tcW w:w="1885" w:type="dxa"/>
            <w:tcBorders>
              <w:top w:val="nil"/>
              <w:left w:val="nil"/>
              <w:right w:val="nil"/>
            </w:tcBorders>
            <w:shd w:val="clear" w:color="auto" w:fill="auto"/>
            <w:noWrap/>
            <w:vAlign w:val="center"/>
            <w:hideMark/>
          </w:tcPr>
          <w:p w14:paraId="685CF07E" w14:textId="2C097313" w:rsidR="00017950" w:rsidRPr="00017950" w:rsidRDefault="00017950" w:rsidP="00017950">
            <w:pPr>
              <w:jc w:val="right"/>
              <w:rPr>
                <w:rFonts w:eastAsia="Times New Roman"/>
                <w:sz w:val="16"/>
                <w:szCs w:val="16"/>
              </w:rPr>
            </w:pPr>
            <w:r w:rsidRPr="00017950">
              <w:rPr>
                <w:sz w:val="16"/>
                <w:szCs w:val="16"/>
              </w:rPr>
              <w:t>739.569,14</w:t>
            </w:r>
          </w:p>
        </w:tc>
        <w:tc>
          <w:tcPr>
            <w:tcW w:w="1405" w:type="dxa"/>
            <w:tcBorders>
              <w:top w:val="nil"/>
              <w:left w:val="nil"/>
              <w:right w:val="nil"/>
            </w:tcBorders>
            <w:vAlign w:val="center"/>
          </w:tcPr>
          <w:p w14:paraId="0FFA6D72" w14:textId="1DA9CA90" w:rsidR="00017950" w:rsidRPr="00017950" w:rsidRDefault="00017950" w:rsidP="00017950">
            <w:pPr>
              <w:jc w:val="right"/>
              <w:rPr>
                <w:sz w:val="16"/>
                <w:szCs w:val="16"/>
              </w:rPr>
            </w:pPr>
            <w:r w:rsidRPr="00017950">
              <w:rPr>
                <w:sz w:val="16"/>
                <w:szCs w:val="16"/>
              </w:rPr>
              <w:t xml:space="preserve"> -</w:t>
            </w:r>
          </w:p>
        </w:tc>
        <w:tc>
          <w:tcPr>
            <w:tcW w:w="1280" w:type="dxa"/>
            <w:tcBorders>
              <w:top w:val="nil"/>
              <w:left w:val="nil"/>
              <w:right w:val="nil"/>
            </w:tcBorders>
            <w:vAlign w:val="center"/>
          </w:tcPr>
          <w:p w14:paraId="31B02A30" w14:textId="67ABC6C7" w:rsidR="00017950" w:rsidRPr="00017950" w:rsidRDefault="00017950" w:rsidP="00017950">
            <w:pPr>
              <w:jc w:val="right"/>
              <w:rPr>
                <w:sz w:val="16"/>
                <w:szCs w:val="16"/>
              </w:rPr>
            </w:pPr>
            <w:r w:rsidRPr="00017950">
              <w:rPr>
                <w:sz w:val="16"/>
                <w:szCs w:val="16"/>
              </w:rPr>
              <w:t>739.569,14</w:t>
            </w:r>
          </w:p>
        </w:tc>
      </w:tr>
      <w:tr w:rsidR="00017950" w:rsidRPr="00017950" w14:paraId="6B01DD97" w14:textId="4E4F4F26" w:rsidTr="002B2E50">
        <w:trPr>
          <w:trHeight w:val="255"/>
          <w:jc w:val="center"/>
        </w:trPr>
        <w:tc>
          <w:tcPr>
            <w:tcW w:w="2287" w:type="dxa"/>
            <w:tcBorders>
              <w:left w:val="nil"/>
              <w:right w:val="nil"/>
            </w:tcBorders>
            <w:shd w:val="clear" w:color="auto" w:fill="auto"/>
            <w:noWrap/>
            <w:vAlign w:val="center"/>
          </w:tcPr>
          <w:p w14:paraId="4B47C42E" w14:textId="77777777" w:rsidR="00017950" w:rsidRPr="00017950" w:rsidRDefault="00017950" w:rsidP="00017950">
            <w:pPr>
              <w:pBdr>
                <w:top w:val="none" w:sz="0" w:space="0" w:color="auto"/>
                <w:left w:val="none" w:sz="0" w:space="0" w:color="auto"/>
                <w:bottom w:val="none" w:sz="0" w:space="0" w:color="auto"/>
                <w:right w:val="none" w:sz="0" w:space="0" w:color="auto"/>
                <w:between w:val="none" w:sz="0" w:space="0" w:color="auto"/>
                <w:bar w:val="none" w:sz="0" w:color="auto"/>
              </w:pBdr>
              <w:jc w:val="center"/>
              <w:outlineLvl w:val="9"/>
              <w:rPr>
                <w:rFonts w:eastAsia="Times New Roman"/>
                <w:sz w:val="16"/>
                <w:szCs w:val="16"/>
                <w:bdr w:val="none" w:sz="0" w:space="0" w:color="auto"/>
                <w:lang w:eastAsia="es-ES"/>
              </w:rPr>
            </w:pPr>
            <w:r w:rsidRPr="00017950">
              <w:rPr>
                <w:sz w:val="16"/>
                <w:szCs w:val="16"/>
              </w:rPr>
              <w:t>2017</w:t>
            </w:r>
          </w:p>
        </w:tc>
        <w:tc>
          <w:tcPr>
            <w:tcW w:w="1924" w:type="dxa"/>
            <w:tcBorders>
              <w:left w:val="nil"/>
              <w:right w:val="nil"/>
            </w:tcBorders>
            <w:shd w:val="clear" w:color="auto" w:fill="auto"/>
            <w:noWrap/>
            <w:vAlign w:val="center"/>
          </w:tcPr>
          <w:p w14:paraId="1B3DE9A3" w14:textId="77777777" w:rsidR="00017950" w:rsidRPr="00017950" w:rsidRDefault="00017950" w:rsidP="00017950">
            <w:pPr>
              <w:rPr>
                <w:sz w:val="16"/>
                <w:szCs w:val="16"/>
              </w:rPr>
            </w:pPr>
            <w:r w:rsidRPr="00017950">
              <w:rPr>
                <w:sz w:val="16"/>
                <w:szCs w:val="16"/>
              </w:rPr>
              <w:t>Base imponible negativa</w:t>
            </w:r>
          </w:p>
        </w:tc>
        <w:tc>
          <w:tcPr>
            <w:tcW w:w="1885" w:type="dxa"/>
            <w:tcBorders>
              <w:left w:val="nil"/>
              <w:right w:val="nil"/>
            </w:tcBorders>
            <w:shd w:val="clear" w:color="auto" w:fill="auto"/>
            <w:noWrap/>
            <w:vAlign w:val="center"/>
          </w:tcPr>
          <w:p w14:paraId="3138CC49" w14:textId="4452BC04" w:rsidR="00017950" w:rsidRPr="00017950" w:rsidRDefault="00017950" w:rsidP="00017950">
            <w:pPr>
              <w:jc w:val="right"/>
              <w:rPr>
                <w:sz w:val="16"/>
                <w:szCs w:val="16"/>
              </w:rPr>
            </w:pPr>
            <w:r w:rsidRPr="00017950">
              <w:rPr>
                <w:sz w:val="16"/>
                <w:szCs w:val="16"/>
              </w:rPr>
              <w:t>281.073,74</w:t>
            </w:r>
          </w:p>
        </w:tc>
        <w:tc>
          <w:tcPr>
            <w:tcW w:w="1405" w:type="dxa"/>
            <w:tcBorders>
              <w:left w:val="nil"/>
              <w:right w:val="nil"/>
            </w:tcBorders>
            <w:vAlign w:val="center"/>
          </w:tcPr>
          <w:p w14:paraId="1FF1CEB6" w14:textId="6CCB6689" w:rsidR="00017950" w:rsidRPr="00017950" w:rsidRDefault="00017950" w:rsidP="00017950">
            <w:pPr>
              <w:jc w:val="right"/>
              <w:rPr>
                <w:sz w:val="16"/>
                <w:szCs w:val="16"/>
              </w:rPr>
            </w:pPr>
            <w:r w:rsidRPr="00017950">
              <w:rPr>
                <w:sz w:val="16"/>
                <w:szCs w:val="16"/>
              </w:rPr>
              <w:t xml:space="preserve"> -</w:t>
            </w:r>
          </w:p>
        </w:tc>
        <w:tc>
          <w:tcPr>
            <w:tcW w:w="1280" w:type="dxa"/>
            <w:tcBorders>
              <w:left w:val="nil"/>
              <w:right w:val="nil"/>
            </w:tcBorders>
            <w:vAlign w:val="center"/>
          </w:tcPr>
          <w:p w14:paraId="539C4B3B" w14:textId="1DBF21FC" w:rsidR="00017950" w:rsidRPr="00017950" w:rsidRDefault="00017950" w:rsidP="00017950">
            <w:pPr>
              <w:jc w:val="right"/>
              <w:rPr>
                <w:sz w:val="16"/>
                <w:szCs w:val="16"/>
              </w:rPr>
            </w:pPr>
            <w:r w:rsidRPr="00017950">
              <w:rPr>
                <w:sz w:val="16"/>
                <w:szCs w:val="16"/>
              </w:rPr>
              <w:t>281.073,74</w:t>
            </w:r>
          </w:p>
        </w:tc>
      </w:tr>
      <w:tr w:rsidR="00017950" w:rsidRPr="00017950" w14:paraId="40D45F87" w14:textId="2DFEFBE3" w:rsidTr="002B2E50">
        <w:trPr>
          <w:trHeight w:val="255"/>
          <w:jc w:val="center"/>
        </w:trPr>
        <w:tc>
          <w:tcPr>
            <w:tcW w:w="2287" w:type="dxa"/>
            <w:tcBorders>
              <w:left w:val="nil"/>
              <w:right w:val="nil"/>
            </w:tcBorders>
            <w:shd w:val="clear" w:color="auto" w:fill="auto"/>
            <w:noWrap/>
            <w:vAlign w:val="center"/>
          </w:tcPr>
          <w:p w14:paraId="419ED83A" w14:textId="77777777" w:rsidR="00017950" w:rsidRPr="00017950" w:rsidRDefault="00017950" w:rsidP="00017950">
            <w:pPr>
              <w:pBdr>
                <w:top w:val="none" w:sz="0" w:space="0" w:color="auto"/>
                <w:left w:val="none" w:sz="0" w:space="0" w:color="auto"/>
                <w:bottom w:val="none" w:sz="0" w:space="0" w:color="auto"/>
                <w:right w:val="none" w:sz="0" w:space="0" w:color="auto"/>
                <w:between w:val="none" w:sz="0" w:space="0" w:color="auto"/>
                <w:bar w:val="none" w:sz="0" w:color="auto"/>
              </w:pBdr>
              <w:jc w:val="center"/>
              <w:outlineLvl w:val="9"/>
              <w:rPr>
                <w:rFonts w:eastAsia="Times New Roman"/>
                <w:sz w:val="16"/>
                <w:szCs w:val="16"/>
                <w:bdr w:val="none" w:sz="0" w:space="0" w:color="auto"/>
                <w:lang w:eastAsia="es-ES"/>
              </w:rPr>
            </w:pPr>
            <w:r w:rsidRPr="00017950">
              <w:rPr>
                <w:sz w:val="16"/>
                <w:szCs w:val="16"/>
              </w:rPr>
              <w:t>2018</w:t>
            </w:r>
          </w:p>
        </w:tc>
        <w:tc>
          <w:tcPr>
            <w:tcW w:w="1924" w:type="dxa"/>
            <w:tcBorders>
              <w:left w:val="nil"/>
              <w:right w:val="nil"/>
            </w:tcBorders>
            <w:shd w:val="clear" w:color="auto" w:fill="auto"/>
            <w:noWrap/>
            <w:vAlign w:val="center"/>
          </w:tcPr>
          <w:p w14:paraId="05D9F1FB" w14:textId="77777777" w:rsidR="00017950" w:rsidRPr="00017950" w:rsidRDefault="00017950" w:rsidP="00017950">
            <w:pPr>
              <w:rPr>
                <w:sz w:val="16"/>
                <w:szCs w:val="16"/>
              </w:rPr>
            </w:pPr>
            <w:r w:rsidRPr="00017950">
              <w:rPr>
                <w:sz w:val="16"/>
                <w:szCs w:val="16"/>
              </w:rPr>
              <w:t>Base imponible negativa</w:t>
            </w:r>
          </w:p>
        </w:tc>
        <w:tc>
          <w:tcPr>
            <w:tcW w:w="1885" w:type="dxa"/>
            <w:tcBorders>
              <w:left w:val="nil"/>
              <w:right w:val="nil"/>
            </w:tcBorders>
            <w:shd w:val="clear" w:color="auto" w:fill="auto"/>
            <w:noWrap/>
            <w:vAlign w:val="center"/>
          </w:tcPr>
          <w:p w14:paraId="1524D38C" w14:textId="13B68B19" w:rsidR="00017950" w:rsidRPr="00017950" w:rsidRDefault="00017950" w:rsidP="00017950">
            <w:pPr>
              <w:jc w:val="right"/>
              <w:rPr>
                <w:sz w:val="16"/>
                <w:szCs w:val="16"/>
              </w:rPr>
            </w:pPr>
            <w:r w:rsidRPr="00017950">
              <w:rPr>
                <w:sz w:val="16"/>
                <w:szCs w:val="16"/>
              </w:rPr>
              <w:t>615.720,29</w:t>
            </w:r>
          </w:p>
        </w:tc>
        <w:tc>
          <w:tcPr>
            <w:tcW w:w="1405" w:type="dxa"/>
            <w:tcBorders>
              <w:left w:val="nil"/>
              <w:right w:val="nil"/>
            </w:tcBorders>
            <w:vAlign w:val="center"/>
          </w:tcPr>
          <w:p w14:paraId="370AE3CD" w14:textId="57CB4C29" w:rsidR="00017950" w:rsidRPr="00017950" w:rsidRDefault="00017950" w:rsidP="00017950">
            <w:pPr>
              <w:jc w:val="right"/>
              <w:rPr>
                <w:sz w:val="16"/>
                <w:szCs w:val="16"/>
              </w:rPr>
            </w:pPr>
            <w:r w:rsidRPr="00017950">
              <w:rPr>
                <w:sz w:val="16"/>
                <w:szCs w:val="16"/>
              </w:rPr>
              <w:t xml:space="preserve"> -</w:t>
            </w:r>
          </w:p>
        </w:tc>
        <w:tc>
          <w:tcPr>
            <w:tcW w:w="1280" w:type="dxa"/>
            <w:tcBorders>
              <w:left w:val="nil"/>
              <w:right w:val="nil"/>
            </w:tcBorders>
            <w:vAlign w:val="center"/>
          </w:tcPr>
          <w:p w14:paraId="2A120B0F" w14:textId="7CA34E49" w:rsidR="00017950" w:rsidRPr="00017950" w:rsidRDefault="00017950" w:rsidP="00017950">
            <w:pPr>
              <w:jc w:val="right"/>
              <w:rPr>
                <w:sz w:val="16"/>
                <w:szCs w:val="16"/>
              </w:rPr>
            </w:pPr>
            <w:r w:rsidRPr="00017950">
              <w:rPr>
                <w:sz w:val="16"/>
                <w:szCs w:val="16"/>
              </w:rPr>
              <w:t>615.720,29</w:t>
            </w:r>
          </w:p>
        </w:tc>
      </w:tr>
      <w:tr w:rsidR="00017950" w:rsidRPr="00017950" w14:paraId="6735FE17" w14:textId="113EFEE4" w:rsidTr="002B2E50">
        <w:trPr>
          <w:trHeight w:val="255"/>
          <w:jc w:val="center"/>
        </w:trPr>
        <w:tc>
          <w:tcPr>
            <w:tcW w:w="2287" w:type="dxa"/>
            <w:tcBorders>
              <w:left w:val="nil"/>
              <w:right w:val="nil"/>
            </w:tcBorders>
            <w:shd w:val="clear" w:color="auto" w:fill="auto"/>
            <w:noWrap/>
            <w:vAlign w:val="center"/>
          </w:tcPr>
          <w:p w14:paraId="2E618454" w14:textId="77777777" w:rsidR="00017950" w:rsidRPr="00017950" w:rsidRDefault="00017950" w:rsidP="00017950">
            <w:pPr>
              <w:pBdr>
                <w:top w:val="none" w:sz="0" w:space="0" w:color="auto"/>
                <w:left w:val="none" w:sz="0" w:space="0" w:color="auto"/>
                <w:bottom w:val="none" w:sz="0" w:space="0" w:color="auto"/>
                <w:right w:val="none" w:sz="0" w:space="0" w:color="auto"/>
                <w:between w:val="none" w:sz="0" w:space="0" w:color="auto"/>
                <w:bar w:val="none" w:sz="0" w:color="auto"/>
              </w:pBdr>
              <w:jc w:val="center"/>
              <w:outlineLvl w:val="9"/>
              <w:rPr>
                <w:rFonts w:eastAsia="Times New Roman"/>
                <w:sz w:val="16"/>
                <w:szCs w:val="16"/>
                <w:bdr w:val="none" w:sz="0" w:space="0" w:color="auto"/>
                <w:lang w:eastAsia="es-ES"/>
              </w:rPr>
            </w:pPr>
            <w:r w:rsidRPr="00017950">
              <w:rPr>
                <w:sz w:val="16"/>
                <w:szCs w:val="16"/>
              </w:rPr>
              <w:t>2019</w:t>
            </w:r>
          </w:p>
        </w:tc>
        <w:tc>
          <w:tcPr>
            <w:tcW w:w="1924" w:type="dxa"/>
            <w:tcBorders>
              <w:left w:val="nil"/>
              <w:right w:val="nil"/>
            </w:tcBorders>
            <w:shd w:val="clear" w:color="auto" w:fill="auto"/>
            <w:noWrap/>
            <w:vAlign w:val="center"/>
          </w:tcPr>
          <w:p w14:paraId="6E1E4C86" w14:textId="77777777" w:rsidR="00017950" w:rsidRPr="00017950" w:rsidRDefault="00017950" w:rsidP="00017950">
            <w:pPr>
              <w:rPr>
                <w:sz w:val="16"/>
                <w:szCs w:val="16"/>
              </w:rPr>
            </w:pPr>
            <w:r w:rsidRPr="00017950">
              <w:rPr>
                <w:sz w:val="16"/>
                <w:szCs w:val="16"/>
              </w:rPr>
              <w:t>Base imponible negativa</w:t>
            </w:r>
          </w:p>
        </w:tc>
        <w:tc>
          <w:tcPr>
            <w:tcW w:w="1885" w:type="dxa"/>
            <w:tcBorders>
              <w:left w:val="nil"/>
              <w:right w:val="nil"/>
            </w:tcBorders>
            <w:shd w:val="clear" w:color="auto" w:fill="auto"/>
            <w:noWrap/>
            <w:vAlign w:val="center"/>
          </w:tcPr>
          <w:p w14:paraId="1B6AB1DC" w14:textId="1CF0340F" w:rsidR="00017950" w:rsidRPr="00017950" w:rsidRDefault="00017950" w:rsidP="00017950">
            <w:pPr>
              <w:pBdr>
                <w:top w:val="none" w:sz="0" w:space="0" w:color="auto"/>
                <w:left w:val="none" w:sz="0" w:space="0" w:color="auto"/>
                <w:bottom w:val="none" w:sz="0" w:space="0" w:color="auto"/>
                <w:right w:val="none" w:sz="0" w:space="0" w:color="auto"/>
                <w:between w:val="none" w:sz="0" w:space="0" w:color="auto"/>
                <w:bar w:val="none" w:sz="0" w:color="auto"/>
              </w:pBdr>
              <w:jc w:val="right"/>
              <w:outlineLvl w:val="9"/>
              <w:rPr>
                <w:rFonts w:eastAsia="Times New Roman"/>
                <w:sz w:val="16"/>
                <w:szCs w:val="16"/>
                <w:bdr w:val="none" w:sz="0" w:space="0" w:color="auto"/>
                <w:lang w:eastAsia="es-ES"/>
              </w:rPr>
            </w:pPr>
            <w:r w:rsidRPr="00017950">
              <w:rPr>
                <w:sz w:val="16"/>
                <w:szCs w:val="16"/>
              </w:rPr>
              <w:t>880.823,56</w:t>
            </w:r>
          </w:p>
        </w:tc>
        <w:tc>
          <w:tcPr>
            <w:tcW w:w="1405" w:type="dxa"/>
            <w:tcBorders>
              <w:left w:val="nil"/>
              <w:right w:val="nil"/>
            </w:tcBorders>
            <w:vAlign w:val="center"/>
          </w:tcPr>
          <w:p w14:paraId="0DF0286E" w14:textId="07247E9F" w:rsidR="00017950" w:rsidRPr="00017950" w:rsidRDefault="00017950" w:rsidP="00017950">
            <w:pPr>
              <w:pBdr>
                <w:top w:val="none" w:sz="0" w:space="0" w:color="auto"/>
                <w:left w:val="none" w:sz="0" w:space="0" w:color="auto"/>
                <w:bottom w:val="none" w:sz="0" w:space="0" w:color="auto"/>
                <w:right w:val="none" w:sz="0" w:space="0" w:color="auto"/>
                <w:between w:val="none" w:sz="0" w:space="0" w:color="auto"/>
                <w:bar w:val="none" w:sz="0" w:color="auto"/>
              </w:pBdr>
              <w:jc w:val="right"/>
              <w:outlineLvl w:val="9"/>
              <w:rPr>
                <w:sz w:val="16"/>
                <w:szCs w:val="16"/>
              </w:rPr>
            </w:pPr>
            <w:r w:rsidRPr="00017950">
              <w:rPr>
                <w:sz w:val="16"/>
                <w:szCs w:val="16"/>
              </w:rPr>
              <w:t xml:space="preserve"> -</w:t>
            </w:r>
          </w:p>
        </w:tc>
        <w:tc>
          <w:tcPr>
            <w:tcW w:w="1280" w:type="dxa"/>
            <w:tcBorders>
              <w:left w:val="nil"/>
              <w:right w:val="nil"/>
            </w:tcBorders>
            <w:vAlign w:val="center"/>
          </w:tcPr>
          <w:p w14:paraId="38C52C66" w14:textId="71235990" w:rsidR="00017950" w:rsidRPr="00017950" w:rsidRDefault="00017950" w:rsidP="00017950">
            <w:pPr>
              <w:pBdr>
                <w:top w:val="none" w:sz="0" w:space="0" w:color="auto"/>
                <w:left w:val="none" w:sz="0" w:space="0" w:color="auto"/>
                <w:bottom w:val="none" w:sz="0" w:space="0" w:color="auto"/>
                <w:right w:val="none" w:sz="0" w:space="0" w:color="auto"/>
                <w:between w:val="none" w:sz="0" w:space="0" w:color="auto"/>
                <w:bar w:val="none" w:sz="0" w:color="auto"/>
              </w:pBdr>
              <w:jc w:val="right"/>
              <w:outlineLvl w:val="9"/>
              <w:rPr>
                <w:sz w:val="16"/>
                <w:szCs w:val="16"/>
              </w:rPr>
            </w:pPr>
            <w:r w:rsidRPr="00017950">
              <w:rPr>
                <w:sz w:val="16"/>
                <w:szCs w:val="16"/>
              </w:rPr>
              <w:t>880.823,56</w:t>
            </w:r>
          </w:p>
        </w:tc>
      </w:tr>
      <w:tr w:rsidR="00017950" w:rsidRPr="00017950" w14:paraId="6A654714" w14:textId="7F450809" w:rsidTr="002B2E50">
        <w:trPr>
          <w:trHeight w:val="255"/>
          <w:jc w:val="center"/>
        </w:trPr>
        <w:tc>
          <w:tcPr>
            <w:tcW w:w="2287" w:type="dxa"/>
            <w:tcBorders>
              <w:left w:val="nil"/>
              <w:right w:val="nil"/>
            </w:tcBorders>
            <w:shd w:val="clear" w:color="auto" w:fill="auto"/>
            <w:noWrap/>
            <w:vAlign w:val="center"/>
          </w:tcPr>
          <w:p w14:paraId="12A4AD6B" w14:textId="7797E856" w:rsidR="00017950" w:rsidRPr="00017950" w:rsidRDefault="00017950" w:rsidP="00017950">
            <w:pPr>
              <w:pBdr>
                <w:top w:val="none" w:sz="0" w:space="0" w:color="auto"/>
                <w:left w:val="none" w:sz="0" w:space="0" w:color="auto"/>
                <w:bottom w:val="none" w:sz="0" w:space="0" w:color="auto"/>
                <w:right w:val="none" w:sz="0" w:space="0" w:color="auto"/>
                <w:between w:val="none" w:sz="0" w:space="0" w:color="auto"/>
                <w:bar w:val="none" w:sz="0" w:color="auto"/>
              </w:pBdr>
              <w:jc w:val="center"/>
              <w:outlineLvl w:val="9"/>
              <w:rPr>
                <w:sz w:val="16"/>
                <w:szCs w:val="16"/>
              </w:rPr>
            </w:pPr>
            <w:r w:rsidRPr="00017950">
              <w:rPr>
                <w:sz w:val="16"/>
                <w:szCs w:val="16"/>
              </w:rPr>
              <w:t>2020</w:t>
            </w:r>
          </w:p>
        </w:tc>
        <w:tc>
          <w:tcPr>
            <w:tcW w:w="1924" w:type="dxa"/>
            <w:tcBorders>
              <w:left w:val="nil"/>
              <w:right w:val="nil"/>
            </w:tcBorders>
            <w:shd w:val="clear" w:color="auto" w:fill="auto"/>
            <w:noWrap/>
            <w:vAlign w:val="center"/>
          </w:tcPr>
          <w:p w14:paraId="529D951F" w14:textId="4BC3B972" w:rsidR="00017950" w:rsidRPr="00017950" w:rsidRDefault="00017950" w:rsidP="00017950">
            <w:pPr>
              <w:rPr>
                <w:sz w:val="16"/>
                <w:szCs w:val="16"/>
              </w:rPr>
            </w:pPr>
            <w:r w:rsidRPr="00017950">
              <w:rPr>
                <w:sz w:val="16"/>
                <w:szCs w:val="16"/>
              </w:rPr>
              <w:t>Base imponible negativa</w:t>
            </w:r>
          </w:p>
        </w:tc>
        <w:tc>
          <w:tcPr>
            <w:tcW w:w="1885" w:type="dxa"/>
            <w:tcBorders>
              <w:left w:val="nil"/>
              <w:right w:val="nil"/>
            </w:tcBorders>
            <w:shd w:val="clear" w:color="auto" w:fill="auto"/>
            <w:noWrap/>
            <w:vAlign w:val="center"/>
          </w:tcPr>
          <w:p w14:paraId="026EA965" w14:textId="6C91651C" w:rsidR="00017950" w:rsidRPr="00017950" w:rsidRDefault="00017950" w:rsidP="00017950">
            <w:pPr>
              <w:pBdr>
                <w:top w:val="none" w:sz="0" w:space="0" w:color="auto"/>
                <w:left w:val="none" w:sz="0" w:space="0" w:color="auto"/>
                <w:bottom w:val="none" w:sz="0" w:space="0" w:color="auto"/>
                <w:right w:val="none" w:sz="0" w:space="0" w:color="auto"/>
                <w:between w:val="none" w:sz="0" w:space="0" w:color="auto"/>
                <w:bar w:val="none" w:sz="0" w:color="auto"/>
              </w:pBdr>
              <w:jc w:val="right"/>
              <w:outlineLvl w:val="9"/>
              <w:rPr>
                <w:sz w:val="16"/>
                <w:szCs w:val="16"/>
              </w:rPr>
            </w:pPr>
            <w:r w:rsidRPr="00017950">
              <w:rPr>
                <w:sz w:val="16"/>
                <w:szCs w:val="16"/>
              </w:rPr>
              <w:t>789.804,55</w:t>
            </w:r>
          </w:p>
        </w:tc>
        <w:tc>
          <w:tcPr>
            <w:tcW w:w="1405" w:type="dxa"/>
            <w:tcBorders>
              <w:left w:val="nil"/>
              <w:right w:val="nil"/>
            </w:tcBorders>
            <w:vAlign w:val="center"/>
          </w:tcPr>
          <w:p w14:paraId="61CBC9B8" w14:textId="6C4C44F8" w:rsidR="00017950" w:rsidRPr="00017950" w:rsidRDefault="00017950" w:rsidP="00017950">
            <w:pPr>
              <w:pBdr>
                <w:top w:val="none" w:sz="0" w:space="0" w:color="auto"/>
                <w:left w:val="none" w:sz="0" w:space="0" w:color="auto"/>
                <w:bottom w:val="none" w:sz="0" w:space="0" w:color="auto"/>
                <w:right w:val="none" w:sz="0" w:space="0" w:color="auto"/>
                <w:between w:val="none" w:sz="0" w:space="0" w:color="auto"/>
                <w:bar w:val="none" w:sz="0" w:color="auto"/>
              </w:pBdr>
              <w:jc w:val="right"/>
              <w:outlineLvl w:val="9"/>
              <w:rPr>
                <w:sz w:val="16"/>
                <w:szCs w:val="16"/>
              </w:rPr>
            </w:pPr>
            <w:r w:rsidRPr="00017950">
              <w:rPr>
                <w:sz w:val="16"/>
                <w:szCs w:val="16"/>
              </w:rPr>
              <w:t xml:space="preserve"> -</w:t>
            </w:r>
          </w:p>
        </w:tc>
        <w:tc>
          <w:tcPr>
            <w:tcW w:w="1280" w:type="dxa"/>
            <w:tcBorders>
              <w:left w:val="nil"/>
              <w:right w:val="nil"/>
            </w:tcBorders>
            <w:vAlign w:val="center"/>
          </w:tcPr>
          <w:p w14:paraId="1652504F" w14:textId="7C2DAEC5" w:rsidR="00017950" w:rsidRPr="00017950" w:rsidRDefault="00017950" w:rsidP="00017950">
            <w:pPr>
              <w:pBdr>
                <w:top w:val="none" w:sz="0" w:space="0" w:color="auto"/>
                <w:left w:val="none" w:sz="0" w:space="0" w:color="auto"/>
                <w:bottom w:val="none" w:sz="0" w:space="0" w:color="auto"/>
                <w:right w:val="none" w:sz="0" w:space="0" w:color="auto"/>
                <w:between w:val="none" w:sz="0" w:space="0" w:color="auto"/>
                <w:bar w:val="none" w:sz="0" w:color="auto"/>
              </w:pBdr>
              <w:jc w:val="right"/>
              <w:outlineLvl w:val="9"/>
              <w:rPr>
                <w:sz w:val="16"/>
                <w:szCs w:val="16"/>
              </w:rPr>
            </w:pPr>
            <w:r w:rsidRPr="00017950">
              <w:rPr>
                <w:sz w:val="16"/>
                <w:szCs w:val="16"/>
              </w:rPr>
              <w:t>789.804,55</w:t>
            </w:r>
          </w:p>
        </w:tc>
      </w:tr>
      <w:tr w:rsidR="00017950" w:rsidRPr="00017950" w14:paraId="7A9FC8BC" w14:textId="77777777" w:rsidTr="00CA26A1">
        <w:trPr>
          <w:trHeight w:val="255"/>
          <w:jc w:val="center"/>
        </w:trPr>
        <w:tc>
          <w:tcPr>
            <w:tcW w:w="2287" w:type="dxa"/>
            <w:tcBorders>
              <w:left w:val="nil"/>
              <w:right w:val="nil"/>
            </w:tcBorders>
            <w:shd w:val="clear" w:color="auto" w:fill="auto"/>
            <w:noWrap/>
            <w:vAlign w:val="center"/>
          </w:tcPr>
          <w:p w14:paraId="5360094F" w14:textId="403D80EC" w:rsidR="00017950" w:rsidRPr="00017950" w:rsidRDefault="00017950" w:rsidP="00017950">
            <w:pPr>
              <w:pBdr>
                <w:top w:val="none" w:sz="0" w:space="0" w:color="auto"/>
                <w:left w:val="none" w:sz="0" w:space="0" w:color="auto"/>
                <w:bottom w:val="none" w:sz="0" w:space="0" w:color="auto"/>
                <w:right w:val="none" w:sz="0" w:space="0" w:color="auto"/>
                <w:between w:val="none" w:sz="0" w:space="0" w:color="auto"/>
                <w:bar w:val="none" w:sz="0" w:color="auto"/>
              </w:pBdr>
              <w:jc w:val="center"/>
              <w:outlineLvl w:val="9"/>
              <w:rPr>
                <w:sz w:val="16"/>
                <w:szCs w:val="16"/>
              </w:rPr>
            </w:pPr>
            <w:r w:rsidRPr="00017950">
              <w:rPr>
                <w:sz w:val="16"/>
                <w:szCs w:val="16"/>
              </w:rPr>
              <w:t>2022</w:t>
            </w:r>
          </w:p>
        </w:tc>
        <w:tc>
          <w:tcPr>
            <w:tcW w:w="1924" w:type="dxa"/>
            <w:tcBorders>
              <w:left w:val="nil"/>
              <w:right w:val="nil"/>
            </w:tcBorders>
            <w:shd w:val="clear" w:color="auto" w:fill="auto"/>
            <w:noWrap/>
            <w:vAlign w:val="center"/>
          </w:tcPr>
          <w:p w14:paraId="2651FD55" w14:textId="79F0E736" w:rsidR="00017950" w:rsidRPr="00017950" w:rsidRDefault="00017950" w:rsidP="00017950">
            <w:pPr>
              <w:rPr>
                <w:sz w:val="16"/>
                <w:szCs w:val="16"/>
              </w:rPr>
            </w:pPr>
            <w:r w:rsidRPr="00017950">
              <w:rPr>
                <w:sz w:val="16"/>
                <w:szCs w:val="16"/>
              </w:rPr>
              <w:t>Base imponible negativa</w:t>
            </w:r>
          </w:p>
        </w:tc>
        <w:tc>
          <w:tcPr>
            <w:tcW w:w="1885" w:type="dxa"/>
            <w:tcBorders>
              <w:left w:val="nil"/>
              <w:right w:val="nil"/>
            </w:tcBorders>
            <w:shd w:val="clear" w:color="auto" w:fill="auto"/>
            <w:noWrap/>
            <w:vAlign w:val="center"/>
          </w:tcPr>
          <w:p w14:paraId="3270735B" w14:textId="54AB6684" w:rsidR="00017950" w:rsidRPr="00017950" w:rsidRDefault="00017950" w:rsidP="00017950">
            <w:pPr>
              <w:pBdr>
                <w:top w:val="none" w:sz="0" w:space="0" w:color="auto"/>
                <w:left w:val="none" w:sz="0" w:space="0" w:color="auto"/>
                <w:bottom w:val="none" w:sz="0" w:space="0" w:color="auto"/>
                <w:right w:val="none" w:sz="0" w:space="0" w:color="auto"/>
                <w:between w:val="none" w:sz="0" w:space="0" w:color="auto"/>
                <w:bar w:val="none" w:sz="0" w:color="auto"/>
              </w:pBdr>
              <w:jc w:val="right"/>
              <w:outlineLvl w:val="9"/>
              <w:rPr>
                <w:sz w:val="16"/>
                <w:szCs w:val="16"/>
              </w:rPr>
            </w:pPr>
            <w:r w:rsidRPr="00017950">
              <w:rPr>
                <w:sz w:val="16"/>
                <w:szCs w:val="16"/>
              </w:rPr>
              <w:t>110.388,33</w:t>
            </w:r>
          </w:p>
        </w:tc>
        <w:tc>
          <w:tcPr>
            <w:tcW w:w="1405" w:type="dxa"/>
            <w:tcBorders>
              <w:left w:val="nil"/>
              <w:right w:val="nil"/>
            </w:tcBorders>
            <w:vAlign w:val="center"/>
          </w:tcPr>
          <w:p w14:paraId="1F063CDB" w14:textId="6F7331E5" w:rsidR="00017950" w:rsidRPr="00017950" w:rsidRDefault="00017950" w:rsidP="00017950">
            <w:pPr>
              <w:pBdr>
                <w:top w:val="none" w:sz="0" w:space="0" w:color="auto"/>
                <w:left w:val="none" w:sz="0" w:space="0" w:color="auto"/>
                <w:bottom w:val="none" w:sz="0" w:space="0" w:color="auto"/>
                <w:right w:val="none" w:sz="0" w:space="0" w:color="auto"/>
                <w:between w:val="none" w:sz="0" w:space="0" w:color="auto"/>
                <w:bar w:val="none" w:sz="0" w:color="auto"/>
              </w:pBdr>
              <w:jc w:val="right"/>
              <w:outlineLvl w:val="9"/>
              <w:rPr>
                <w:sz w:val="16"/>
                <w:szCs w:val="16"/>
              </w:rPr>
            </w:pPr>
            <w:r w:rsidRPr="00017950">
              <w:rPr>
                <w:sz w:val="16"/>
                <w:szCs w:val="16"/>
              </w:rPr>
              <w:t xml:space="preserve"> -</w:t>
            </w:r>
          </w:p>
        </w:tc>
        <w:tc>
          <w:tcPr>
            <w:tcW w:w="1280" w:type="dxa"/>
            <w:tcBorders>
              <w:left w:val="nil"/>
              <w:right w:val="nil"/>
            </w:tcBorders>
            <w:vAlign w:val="center"/>
          </w:tcPr>
          <w:p w14:paraId="4D596C62" w14:textId="1ADA327F" w:rsidR="00017950" w:rsidRPr="00017950" w:rsidRDefault="00017950" w:rsidP="00017950">
            <w:pPr>
              <w:pBdr>
                <w:top w:val="none" w:sz="0" w:space="0" w:color="auto"/>
                <w:left w:val="none" w:sz="0" w:space="0" w:color="auto"/>
                <w:bottom w:val="none" w:sz="0" w:space="0" w:color="auto"/>
                <w:right w:val="none" w:sz="0" w:space="0" w:color="auto"/>
                <w:between w:val="none" w:sz="0" w:space="0" w:color="auto"/>
                <w:bar w:val="none" w:sz="0" w:color="auto"/>
              </w:pBdr>
              <w:jc w:val="right"/>
              <w:outlineLvl w:val="9"/>
              <w:rPr>
                <w:sz w:val="16"/>
                <w:szCs w:val="16"/>
              </w:rPr>
            </w:pPr>
            <w:r w:rsidRPr="00017950">
              <w:rPr>
                <w:sz w:val="16"/>
                <w:szCs w:val="16"/>
              </w:rPr>
              <w:t>110.388,33</w:t>
            </w:r>
          </w:p>
        </w:tc>
      </w:tr>
      <w:tr w:rsidR="00017950" w:rsidRPr="00017950" w14:paraId="6FACD815" w14:textId="77777777" w:rsidTr="00CA26A1">
        <w:trPr>
          <w:trHeight w:val="255"/>
          <w:jc w:val="center"/>
        </w:trPr>
        <w:tc>
          <w:tcPr>
            <w:tcW w:w="2287" w:type="dxa"/>
            <w:tcBorders>
              <w:left w:val="nil"/>
              <w:right w:val="nil"/>
            </w:tcBorders>
            <w:shd w:val="clear" w:color="auto" w:fill="auto"/>
            <w:noWrap/>
            <w:vAlign w:val="center"/>
          </w:tcPr>
          <w:p w14:paraId="29C841AB" w14:textId="0BCB6421" w:rsidR="00017950" w:rsidRPr="00017950" w:rsidRDefault="00017950" w:rsidP="00017950">
            <w:pPr>
              <w:pBdr>
                <w:top w:val="none" w:sz="0" w:space="0" w:color="auto"/>
                <w:left w:val="none" w:sz="0" w:space="0" w:color="auto"/>
                <w:bottom w:val="none" w:sz="0" w:space="0" w:color="auto"/>
                <w:right w:val="none" w:sz="0" w:space="0" w:color="auto"/>
                <w:between w:val="none" w:sz="0" w:space="0" w:color="auto"/>
                <w:bar w:val="none" w:sz="0" w:color="auto"/>
              </w:pBdr>
              <w:jc w:val="center"/>
              <w:outlineLvl w:val="9"/>
              <w:rPr>
                <w:sz w:val="16"/>
                <w:szCs w:val="16"/>
              </w:rPr>
            </w:pPr>
            <w:r w:rsidRPr="00017950">
              <w:rPr>
                <w:sz w:val="16"/>
                <w:szCs w:val="16"/>
              </w:rPr>
              <w:t>2023</w:t>
            </w:r>
          </w:p>
        </w:tc>
        <w:tc>
          <w:tcPr>
            <w:tcW w:w="1924" w:type="dxa"/>
            <w:tcBorders>
              <w:left w:val="nil"/>
              <w:right w:val="nil"/>
            </w:tcBorders>
            <w:shd w:val="clear" w:color="auto" w:fill="auto"/>
            <w:noWrap/>
            <w:vAlign w:val="center"/>
          </w:tcPr>
          <w:p w14:paraId="028C0116" w14:textId="14CCEF5A" w:rsidR="00017950" w:rsidRPr="00017950" w:rsidRDefault="00017950" w:rsidP="00017950">
            <w:pPr>
              <w:rPr>
                <w:sz w:val="16"/>
                <w:szCs w:val="16"/>
              </w:rPr>
            </w:pPr>
            <w:r w:rsidRPr="00017950">
              <w:rPr>
                <w:sz w:val="16"/>
                <w:szCs w:val="16"/>
              </w:rPr>
              <w:t>Base imponible negativa</w:t>
            </w:r>
          </w:p>
        </w:tc>
        <w:tc>
          <w:tcPr>
            <w:tcW w:w="1885" w:type="dxa"/>
            <w:tcBorders>
              <w:left w:val="nil"/>
              <w:right w:val="nil"/>
            </w:tcBorders>
            <w:shd w:val="clear" w:color="auto" w:fill="auto"/>
            <w:noWrap/>
            <w:vAlign w:val="center"/>
          </w:tcPr>
          <w:p w14:paraId="501252CD" w14:textId="2685DFC0" w:rsidR="00017950" w:rsidRPr="00017950" w:rsidRDefault="00017950" w:rsidP="00017950">
            <w:pPr>
              <w:pBdr>
                <w:top w:val="none" w:sz="0" w:space="0" w:color="auto"/>
                <w:left w:val="none" w:sz="0" w:space="0" w:color="auto"/>
                <w:bottom w:val="none" w:sz="0" w:space="0" w:color="auto"/>
                <w:right w:val="none" w:sz="0" w:space="0" w:color="auto"/>
                <w:between w:val="none" w:sz="0" w:space="0" w:color="auto"/>
                <w:bar w:val="none" w:sz="0" w:color="auto"/>
              </w:pBdr>
              <w:jc w:val="right"/>
              <w:outlineLvl w:val="9"/>
              <w:rPr>
                <w:sz w:val="16"/>
                <w:szCs w:val="16"/>
              </w:rPr>
            </w:pPr>
            <w:r w:rsidRPr="00017950">
              <w:rPr>
                <w:sz w:val="16"/>
                <w:szCs w:val="16"/>
              </w:rPr>
              <w:t>1.239.944,29</w:t>
            </w:r>
          </w:p>
        </w:tc>
        <w:tc>
          <w:tcPr>
            <w:tcW w:w="1405" w:type="dxa"/>
            <w:tcBorders>
              <w:left w:val="nil"/>
              <w:right w:val="nil"/>
            </w:tcBorders>
            <w:vAlign w:val="center"/>
          </w:tcPr>
          <w:p w14:paraId="69FF69F3" w14:textId="1AFA7F48" w:rsidR="00017950" w:rsidRPr="00017950" w:rsidRDefault="00017950" w:rsidP="00017950">
            <w:pPr>
              <w:pBdr>
                <w:top w:val="none" w:sz="0" w:space="0" w:color="auto"/>
                <w:left w:val="none" w:sz="0" w:space="0" w:color="auto"/>
                <w:bottom w:val="none" w:sz="0" w:space="0" w:color="auto"/>
                <w:right w:val="none" w:sz="0" w:space="0" w:color="auto"/>
                <w:between w:val="none" w:sz="0" w:space="0" w:color="auto"/>
                <w:bar w:val="none" w:sz="0" w:color="auto"/>
              </w:pBdr>
              <w:jc w:val="right"/>
              <w:outlineLvl w:val="9"/>
              <w:rPr>
                <w:sz w:val="16"/>
                <w:szCs w:val="16"/>
              </w:rPr>
            </w:pPr>
            <w:r w:rsidRPr="00017950">
              <w:rPr>
                <w:sz w:val="16"/>
                <w:szCs w:val="16"/>
              </w:rPr>
              <w:t xml:space="preserve"> -</w:t>
            </w:r>
          </w:p>
        </w:tc>
        <w:tc>
          <w:tcPr>
            <w:tcW w:w="1280" w:type="dxa"/>
            <w:tcBorders>
              <w:left w:val="nil"/>
              <w:right w:val="nil"/>
            </w:tcBorders>
            <w:vAlign w:val="center"/>
          </w:tcPr>
          <w:p w14:paraId="06907A34" w14:textId="51EDD305" w:rsidR="00017950" w:rsidRPr="00017950" w:rsidRDefault="00017950" w:rsidP="00017950">
            <w:pPr>
              <w:pBdr>
                <w:top w:val="none" w:sz="0" w:space="0" w:color="auto"/>
                <w:left w:val="none" w:sz="0" w:space="0" w:color="auto"/>
                <w:bottom w:val="none" w:sz="0" w:space="0" w:color="auto"/>
                <w:right w:val="none" w:sz="0" w:space="0" w:color="auto"/>
                <w:between w:val="none" w:sz="0" w:space="0" w:color="auto"/>
                <w:bar w:val="none" w:sz="0" w:color="auto"/>
              </w:pBdr>
              <w:jc w:val="right"/>
              <w:outlineLvl w:val="9"/>
              <w:rPr>
                <w:sz w:val="16"/>
                <w:szCs w:val="16"/>
              </w:rPr>
            </w:pPr>
            <w:r w:rsidRPr="00017950">
              <w:rPr>
                <w:sz w:val="16"/>
                <w:szCs w:val="16"/>
              </w:rPr>
              <w:t>1.239.944,29</w:t>
            </w:r>
          </w:p>
        </w:tc>
      </w:tr>
      <w:tr w:rsidR="00017950" w:rsidRPr="00017950" w14:paraId="5A93F64F" w14:textId="77777777" w:rsidTr="00CA26A1">
        <w:trPr>
          <w:trHeight w:val="255"/>
          <w:jc w:val="center"/>
        </w:trPr>
        <w:tc>
          <w:tcPr>
            <w:tcW w:w="2287" w:type="dxa"/>
            <w:tcBorders>
              <w:left w:val="nil"/>
              <w:bottom w:val="single" w:sz="4" w:space="0" w:color="auto"/>
              <w:right w:val="nil"/>
            </w:tcBorders>
            <w:shd w:val="clear" w:color="auto" w:fill="auto"/>
            <w:noWrap/>
            <w:vAlign w:val="center"/>
          </w:tcPr>
          <w:p w14:paraId="1060EA5B" w14:textId="782CBB49" w:rsidR="00017950" w:rsidRPr="00017950" w:rsidRDefault="00017950" w:rsidP="00017950">
            <w:pPr>
              <w:pBdr>
                <w:top w:val="none" w:sz="0" w:space="0" w:color="auto"/>
                <w:left w:val="none" w:sz="0" w:space="0" w:color="auto"/>
                <w:bottom w:val="none" w:sz="0" w:space="0" w:color="auto"/>
                <w:right w:val="none" w:sz="0" w:space="0" w:color="auto"/>
                <w:between w:val="none" w:sz="0" w:space="0" w:color="auto"/>
                <w:bar w:val="none" w:sz="0" w:color="auto"/>
              </w:pBdr>
              <w:jc w:val="center"/>
              <w:outlineLvl w:val="9"/>
              <w:rPr>
                <w:sz w:val="16"/>
                <w:szCs w:val="16"/>
              </w:rPr>
            </w:pPr>
            <w:r w:rsidRPr="00017950">
              <w:rPr>
                <w:sz w:val="16"/>
                <w:szCs w:val="16"/>
              </w:rPr>
              <w:t>2024</w:t>
            </w:r>
          </w:p>
        </w:tc>
        <w:tc>
          <w:tcPr>
            <w:tcW w:w="1924" w:type="dxa"/>
            <w:tcBorders>
              <w:left w:val="nil"/>
              <w:bottom w:val="single" w:sz="4" w:space="0" w:color="auto"/>
              <w:right w:val="nil"/>
            </w:tcBorders>
            <w:shd w:val="clear" w:color="auto" w:fill="auto"/>
            <w:noWrap/>
            <w:vAlign w:val="center"/>
          </w:tcPr>
          <w:p w14:paraId="710B4F2A" w14:textId="17EF99AF" w:rsidR="00017950" w:rsidRPr="00017950" w:rsidRDefault="00017950" w:rsidP="00017950">
            <w:pPr>
              <w:rPr>
                <w:sz w:val="16"/>
                <w:szCs w:val="16"/>
              </w:rPr>
            </w:pPr>
            <w:r w:rsidRPr="00017950">
              <w:rPr>
                <w:sz w:val="16"/>
                <w:szCs w:val="16"/>
              </w:rPr>
              <w:t>Base imponible negativa</w:t>
            </w:r>
          </w:p>
        </w:tc>
        <w:tc>
          <w:tcPr>
            <w:tcW w:w="1885" w:type="dxa"/>
            <w:tcBorders>
              <w:left w:val="nil"/>
              <w:bottom w:val="single" w:sz="4" w:space="0" w:color="auto"/>
              <w:right w:val="nil"/>
            </w:tcBorders>
            <w:shd w:val="clear" w:color="auto" w:fill="auto"/>
            <w:noWrap/>
            <w:vAlign w:val="center"/>
          </w:tcPr>
          <w:p w14:paraId="59E9019B" w14:textId="2BC53A5D" w:rsidR="00017950" w:rsidRPr="00017950" w:rsidRDefault="00017950" w:rsidP="00017950">
            <w:pPr>
              <w:pBdr>
                <w:top w:val="none" w:sz="0" w:space="0" w:color="auto"/>
                <w:left w:val="none" w:sz="0" w:space="0" w:color="auto"/>
                <w:bottom w:val="none" w:sz="0" w:space="0" w:color="auto"/>
                <w:right w:val="none" w:sz="0" w:space="0" w:color="auto"/>
                <w:between w:val="none" w:sz="0" w:space="0" w:color="auto"/>
                <w:bar w:val="none" w:sz="0" w:color="auto"/>
              </w:pBdr>
              <w:jc w:val="right"/>
              <w:outlineLvl w:val="9"/>
              <w:rPr>
                <w:sz w:val="16"/>
                <w:szCs w:val="16"/>
              </w:rPr>
            </w:pPr>
            <w:r w:rsidRPr="00017950">
              <w:rPr>
                <w:sz w:val="16"/>
                <w:szCs w:val="16"/>
              </w:rPr>
              <w:t>1.051.238,71</w:t>
            </w:r>
          </w:p>
        </w:tc>
        <w:tc>
          <w:tcPr>
            <w:tcW w:w="1405" w:type="dxa"/>
            <w:tcBorders>
              <w:left w:val="nil"/>
              <w:bottom w:val="single" w:sz="4" w:space="0" w:color="auto"/>
              <w:right w:val="nil"/>
            </w:tcBorders>
            <w:vAlign w:val="center"/>
          </w:tcPr>
          <w:p w14:paraId="5AEF812E" w14:textId="485CC991" w:rsidR="00017950" w:rsidRPr="00017950" w:rsidRDefault="00017950" w:rsidP="00017950">
            <w:pPr>
              <w:pBdr>
                <w:top w:val="none" w:sz="0" w:space="0" w:color="auto"/>
                <w:left w:val="none" w:sz="0" w:space="0" w:color="auto"/>
                <w:bottom w:val="none" w:sz="0" w:space="0" w:color="auto"/>
                <w:right w:val="none" w:sz="0" w:space="0" w:color="auto"/>
                <w:between w:val="none" w:sz="0" w:space="0" w:color="auto"/>
                <w:bar w:val="none" w:sz="0" w:color="auto"/>
              </w:pBdr>
              <w:jc w:val="right"/>
              <w:outlineLvl w:val="9"/>
              <w:rPr>
                <w:sz w:val="16"/>
                <w:szCs w:val="16"/>
              </w:rPr>
            </w:pPr>
            <w:r w:rsidRPr="00017950">
              <w:rPr>
                <w:sz w:val="16"/>
                <w:szCs w:val="16"/>
              </w:rPr>
              <w:t xml:space="preserve"> -</w:t>
            </w:r>
          </w:p>
        </w:tc>
        <w:tc>
          <w:tcPr>
            <w:tcW w:w="1280" w:type="dxa"/>
            <w:tcBorders>
              <w:left w:val="nil"/>
              <w:bottom w:val="single" w:sz="4" w:space="0" w:color="auto"/>
              <w:right w:val="nil"/>
            </w:tcBorders>
            <w:vAlign w:val="center"/>
          </w:tcPr>
          <w:p w14:paraId="313BB4CD" w14:textId="2AAD99F7" w:rsidR="00017950" w:rsidRPr="00017950" w:rsidRDefault="00017950" w:rsidP="00017950">
            <w:pPr>
              <w:pBdr>
                <w:top w:val="none" w:sz="0" w:space="0" w:color="auto"/>
                <w:left w:val="none" w:sz="0" w:space="0" w:color="auto"/>
                <w:bottom w:val="none" w:sz="0" w:space="0" w:color="auto"/>
                <w:right w:val="none" w:sz="0" w:space="0" w:color="auto"/>
                <w:between w:val="none" w:sz="0" w:space="0" w:color="auto"/>
                <w:bar w:val="none" w:sz="0" w:color="auto"/>
              </w:pBdr>
              <w:jc w:val="right"/>
              <w:outlineLvl w:val="9"/>
              <w:rPr>
                <w:sz w:val="16"/>
                <w:szCs w:val="16"/>
              </w:rPr>
            </w:pPr>
            <w:r w:rsidRPr="00017950">
              <w:rPr>
                <w:sz w:val="16"/>
                <w:szCs w:val="16"/>
              </w:rPr>
              <w:t>1.051.238,71</w:t>
            </w:r>
          </w:p>
        </w:tc>
      </w:tr>
      <w:tr w:rsidR="00017950" w:rsidRPr="00604430" w14:paraId="61D51403" w14:textId="6EDFB718" w:rsidTr="00CD5E24">
        <w:trPr>
          <w:trHeight w:val="255"/>
          <w:jc w:val="center"/>
        </w:trPr>
        <w:tc>
          <w:tcPr>
            <w:tcW w:w="2287" w:type="dxa"/>
            <w:tcBorders>
              <w:top w:val="nil"/>
              <w:left w:val="nil"/>
              <w:bottom w:val="single" w:sz="4" w:space="0" w:color="auto"/>
              <w:right w:val="nil"/>
            </w:tcBorders>
            <w:shd w:val="clear" w:color="auto" w:fill="auto"/>
            <w:noWrap/>
            <w:vAlign w:val="center"/>
            <w:hideMark/>
          </w:tcPr>
          <w:p w14:paraId="1D61A8E6" w14:textId="3E4703CE" w:rsidR="00017950" w:rsidRPr="00017950" w:rsidRDefault="00017950" w:rsidP="00017950">
            <w:pPr>
              <w:ind w:left="72"/>
              <w:rPr>
                <w:rFonts w:eastAsia="Times New Roman"/>
                <w:b/>
                <w:bCs/>
                <w:sz w:val="16"/>
                <w:szCs w:val="16"/>
              </w:rPr>
            </w:pPr>
            <w:r w:rsidRPr="00017950">
              <w:rPr>
                <w:b/>
                <w:bCs/>
                <w:sz w:val="16"/>
                <w:szCs w:val="16"/>
              </w:rPr>
              <w:t>Total</w:t>
            </w:r>
          </w:p>
        </w:tc>
        <w:tc>
          <w:tcPr>
            <w:tcW w:w="1924" w:type="dxa"/>
            <w:tcBorders>
              <w:top w:val="nil"/>
              <w:left w:val="nil"/>
              <w:bottom w:val="single" w:sz="4" w:space="0" w:color="auto"/>
              <w:right w:val="nil"/>
            </w:tcBorders>
            <w:shd w:val="clear" w:color="auto" w:fill="auto"/>
            <w:noWrap/>
            <w:vAlign w:val="center"/>
            <w:hideMark/>
          </w:tcPr>
          <w:p w14:paraId="469952A6" w14:textId="04F82C8D" w:rsidR="00017950" w:rsidRPr="00017950" w:rsidRDefault="00017950" w:rsidP="00017950">
            <w:pPr>
              <w:rPr>
                <w:rFonts w:eastAsia="Times New Roman"/>
                <w:b/>
                <w:bCs/>
                <w:sz w:val="16"/>
                <w:szCs w:val="16"/>
              </w:rPr>
            </w:pPr>
            <w:r w:rsidRPr="00017950">
              <w:rPr>
                <w:b/>
                <w:bCs/>
                <w:sz w:val="16"/>
                <w:szCs w:val="16"/>
              </w:rPr>
              <w:t> </w:t>
            </w:r>
          </w:p>
        </w:tc>
        <w:tc>
          <w:tcPr>
            <w:tcW w:w="1885" w:type="dxa"/>
            <w:tcBorders>
              <w:top w:val="nil"/>
              <w:left w:val="nil"/>
              <w:bottom w:val="single" w:sz="4" w:space="0" w:color="auto"/>
              <w:right w:val="nil"/>
            </w:tcBorders>
            <w:shd w:val="clear" w:color="auto" w:fill="auto"/>
            <w:noWrap/>
            <w:vAlign w:val="center"/>
          </w:tcPr>
          <w:p w14:paraId="03049502" w14:textId="6D758DE6" w:rsidR="00017950" w:rsidRPr="00017950" w:rsidRDefault="00017950" w:rsidP="00017950">
            <w:pPr>
              <w:jc w:val="right"/>
              <w:rPr>
                <w:b/>
                <w:bCs/>
                <w:sz w:val="16"/>
                <w:szCs w:val="16"/>
              </w:rPr>
            </w:pPr>
            <w:r w:rsidRPr="00017950">
              <w:rPr>
                <w:b/>
                <w:bCs/>
                <w:sz w:val="16"/>
                <w:szCs w:val="16"/>
              </w:rPr>
              <w:t>17.120.077,9</w:t>
            </w:r>
            <w:r w:rsidR="0044211B">
              <w:rPr>
                <w:b/>
                <w:bCs/>
                <w:sz w:val="16"/>
                <w:szCs w:val="16"/>
              </w:rPr>
              <w:t>1</w:t>
            </w:r>
          </w:p>
        </w:tc>
        <w:tc>
          <w:tcPr>
            <w:tcW w:w="1405" w:type="dxa"/>
            <w:tcBorders>
              <w:top w:val="nil"/>
              <w:left w:val="nil"/>
              <w:bottom w:val="single" w:sz="4" w:space="0" w:color="auto"/>
              <w:right w:val="nil"/>
            </w:tcBorders>
            <w:vAlign w:val="center"/>
          </w:tcPr>
          <w:p w14:paraId="2E1B830A" w14:textId="359B04DC" w:rsidR="00017950" w:rsidRPr="00017950" w:rsidRDefault="00017950" w:rsidP="00017950">
            <w:pPr>
              <w:jc w:val="right"/>
              <w:rPr>
                <w:b/>
                <w:bCs/>
                <w:sz w:val="16"/>
                <w:szCs w:val="16"/>
              </w:rPr>
            </w:pPr>
            <w:r w:rsidRPr="00017950">
              <w:rPr>
                <w:b/>
                <w:bCs/>
                <w:sz w:val="16"/>
                <w:szCs w:val="16"/>
              </w:rPr>
              <w:t xml:space="preserve"> -</w:t>
            </w:r>
          </w:p>
        </w:tc>
        <w:tc>
          <w:tcPr>
            <w:tcW w:w="1280" w:type="dxa"/>
            <w:tcBorders>
              <w:top w:val="nil"/>
              <w:left w:val="nil"/>
              <w:bottom w:val="single" w:sz="4" w:space="0" w:color="auto"/>
              <w:right w:val="nil"/>
            </w:tcBorders>
            <w:vAlign w:val="center"/>
          </w:tcPr>
          <w:p w14:paraId="1780101A" w14:textId="747F73E8" w:rsidR="00017950" w:rsidRPr="00912A10" w:rsidRDefault="00017950" w:rsidP="00017950">
            <w:pPr>
              <w:jc w:val="right"/>
              <w:rPr>
                <w:b/>
                <w:bCs/>
                <w:sz w:val="16"/>
                <w:szCs w:val="16"/>
              </w:rPr>
            </w:pPr>
            <w:r w:rsidRPr="00017950">
              <w:rPr>
                <w:b/>
                <w:bCs/>
                <w:sz w:val="16"/>
                <w:szCs w:val="16"/>
              </w:rPr>
              <w:t>17.120.077,9</w:t>
            </w:r>
            <w:r w:rsidR="0044211B">
              <w:rPr>
                <w:b/>
                <w:bCs/>
                <w:sz w:val="16"/>
                <w:szCs w:val="16"/>
              </w:rPr>
              <w:t>1</w:t>
            </w:r>
          </w:p>
        </w:tc>
      </w:tr>
    </w:tbl>
    <w:p w14:paraId="466DB053" w14:textId="77777777" w:rsidR="006220A2" w:rsidRPr="00B80F2F" w:rsidRDefault="006220A2" w:rsidP="001B5A15">
      <w:pPr>
        <w:widowControl w:val="0"/>
        <w:spacing w:before="240" w:after="120" w:line="260" w:lineRule="exact"/>
        <w:jc w:val="both"/>
        <w:outlineLvl w:val="9"/>
        <w:rPr>
          <w:snapToGrid w:val="0"/>
          <w:sz w:val="20"/>
          <w:szCs w:val="22"/>
        </w:rPr>
      </w:pPr>
      <w:r w:rsidRPr="00B80F2F">
        <w:rPr>
          <w:snapToGrid w:val="0"/>
          <w:sz w:val="20"/>
          <w:szCs w:val="22"/>
        </w:rPr>
        <w:t>La Sociedad tiene pendientes de inspección por las autoridades fiscales los cuatro últimos ejercicios de los principales impuestos que le son aplicables.</w:t>
      </w:r>
    </w:p>
    <w:p w14:paraId="79124CF2" w14:textId="77777777" w:rsidR="006220A2" w:rsidRPr="00232E4A" w:rsidRDefault="006220A2" w:rsidP="00D67C6B">
      <w:pPr>
        <w:widowControl w:val="0"/>
        <w:spacing w:before="120" w:after="120" w:line="260" w:lineRule="exact"/>
        <w:jc w:val="both"/>
        <w:outlineLvl w:val="9"/>
        <w:rPr>
          <w:snapToGrid w:val="0"/>
          <w:sz w:val="20"/>
          <w:szCs w:val="22"/>
        </w:rPr>
      </w:pPr>
      <w:r w:rsidRPr="00B80F2F">
        <w:rPr>
          <w:snapToGrid w:val="0"/>
          <w:sz w:val="20"/>
          <w:szCs w:val="22"/>
        </w:rPr>
        <w:t xml:space="preserve">Como consecuencia, entre otras, de las diferentes posibles interpretaciones de la legislación fiscal vigente, podrían surgir pasivos adicionales como resultado de una inspección. En todo caso, los administradores consideran que dichos pasivos, caso de producirse, no afectarían </w:t>
      </w:r>
      <w:r w:rsidRPr="00232E4A">
        <w:rPr>
          <w:snapToGrid w:val="0"/>
          <w:sz w:val="20"/>
          <w:szCs w:val="22"/>
        </w:rPr>
        <w:t>significativamente a las cuentas anuales.</w:t>
      </w:r>
    </w:p>
    <w:p w14:paraId="4E1ED63A" w14:textId="77777777" w:rsidR="006220A2" w:rsidRPr="00232E4A" w:rsidRDefault="006220A2" w:rsidP="001B5A15">
      <w:pPr>
        <w:widowControl w:val="0"/>
        <w:spacing w:before="240" w:after="120" w:line="260" w:lineRule="exact"/>
        <w:jc w:val="both"/>
        <w:outlineLvl w:val="9"/>
        <w:rPr>
          <w:b/>
          <w:sz w:val="20"/>
          <w:szCs w:val="22"/>
        </w:rPr>
      </w:pPr>
      <w:r w:rsidRPr="00232E4A">
        <w:rPr>
          <w:b/>
          <w:sz w:val="20"/>
          <w:szCs w:val="22"/>
        </w:rPr>
        <w:t xml:space="preserve">11.3. Pasivo por impuesto diferido </w:t>
      </w:r>
    </w:p>
    <w:p w14:paraId="100D41B8" w14:textId="403437B4" w:rsidR="006220A2" w:rsidRPr="00232E4A" w:rsidRDefault="006220A2" w:rsidP="00D67C6B">
      <w:pPr>
        <w:widowControl w:val="0"/>
        <w:spacing w:before="120" w:after="120" w:line="260" w:lineRule="exact"/>
        <w:jc w:val="both"/>
        <w:outlineLvl w:val="9"/>
        <w:rPr>
          <w:snapToGrid w:val="0"/>
          <w:sz w:val="20"/>
          <w:szCs w:val="22"/>
        </w:rPr>
      </w:pPr>
      <w:r w:rsidRPr="00232E4A">
        <w:rPr>
          <w:snapToGrid w:val="0"/>
          <w:sz w:val="20"/>
          <w:szCs w:val="22"/>
        </w:rPr>
        <w:t xml:space="preserve">Este epígrafe recoge las diferencias temporarias imponibles por </w:t>
      </w:r>
      <w:r w:rsidR="00CA26A1">
        <w:rPr>
          <w:snapToGrid w:val="0"/>
          <w:sz w:val="20"/>
          <w:szCs w:val="22"/>
        </w:rPr>
        <w:t>9.443,02</w:t>
      </w:r>
      <w:r w:rsidR="00232E4A">
        <w:rPr>
          <w:snapToGrid w:val="0"/>
          <w:sz w:val="20"/>
          <w:szCs w:val="22"/>
        </w:rPr>
        <w:t xml:space="preserve"> </w:t>
      </w:r>
      <w:r w:rsidRPr="00232E4A">
        <w:rPr>
          <w:snapToGrid w:val="0"/>
          <w:sz w:val="20"/>
          <w:szCs w:val="22"/>
        </w:rPr>
        <w:t>euros (</w:t>
      </w:r>
      <w:r w:rsidR="00CD5E24">
        <w:rPr>
          <w:snapToGrid w:val="0"/>
          <w:sz w:val="20"/>
          <w:szCs w:val="22"/>
        </w:rPr>
        <w:t xml:space="preserve">21.749,37 </w:t>
      </w:r>
      <w:r w:rsidRPr="00232E4A">
        <w:rPr>
          <w:snapToGrid w:val="0"/>
          <w:sz w:val="20"/>
          <w:szCs w:val="22"/>
        </w:rPr>
        <w:t xml:space="preserve">euros en </w:t>
      </w:r>
      <w:r w:rsidR="00954AA6" w:rsidRPr="00232E4A">
        <w:rPr>
          <w:snapToGrid w:val="0"/>
          <w:sz w:val="20"/>
          <w:szCs w:val="22"/>
        </w:rPr>
        <w:t>el ejercicio anterior</w:t>
      </w:r>
      <w:r w:rsidRPr="00232E4A">
        <w:rPr>
          <w:snapToGrid w:val="0"/>
          <w:sz w:val="20"/>
          <w:szCs w:val="22"/>
        </w:rPr>
        <w:t>) derivadas de las subvenciones de capital concedidas a la Sociedad</w:t>
      </w:r>
      <w:r w:rsidR="00B06A04" w:rsidRPr="00232E4A">
        <w:rPr>
          <w:snapToGrid w:val="0"/>
          <w:sz w:val="20"/>
          <w:szCs w:val="22"/>
        </w:rPr>
        <w:t xml:space="preserve"> (Nota 15.1)</w:t>
      </w:r>
      <w:r w:rsidRPr="00232E4A">
        <w:rPr>
          <w:snapToGrid w:val="0"/>
          <w:sz w:val="20"/>
          <w:szCs w:val="22"/>
        </w:rPr>
        <w:t>, que darán lugar a mayores cantidades a pagar o menores cantidades a devolver por impuesto sobre beneficios en ejercicios futuros, normalmente a medida que se recuperen los activos o se liquiden los pasivos de los que se derivan.</w:t>
      </w:r>
    </w:p>
    <w:tbl>
      <w:tblPr>
        <w:tblW w:w="5020" w:type="pct"/>
        <w:jc w:val="center"/>
        <w:tblLayout w:type="fixed"/>
        <w:tblCellMar>
          <w:left w:w="70" w:type="dxa"/>
          <w:right w:w="70" w:type="dxa"/>
        </w:tblCellMar>
        <w:tblLook w:val="04A0" w:firstRow="1" w:lastRow="0" w:firstColumn="1" w:lastColumn="0" w:noHBand="0" w:noVBand="1"/>
      </w:tblPr>
      <w:tblGrid>
        <w:gridCol w:w="3339"/>
        <w:gridCol w:w="1090"/>
        <w:gridCol w:w="1090"/>
        <w:gridCol w:w="964"/>
        <w:gridCol w:w="1247"/>
        <w:gridCol w:w="1086"/>
      </w:tblGrid>
      <w:tr w:rsidR="00395ADC" w:rsidRPr="00D67C6B" w14:paraId="64264267" w14:textId="77777777" w:rsidTr="00395ADC">
        <w:trPr>
          <w:trHeight w:val="285"/>
          <w:jc w:val="center"/>
        </w:trPr>
        <w:tc>
          <w:tcPr>
            <w:tcW w:w="1894" w:type="pct"/>
            <w:tcBorders>
              <w:top w:val="single" w:sz="4" w:space="0" w:color="auto"/>
              <w:left w:val="nil"/>
              <w:bottom w:val="single" w:sz="4" w:space="0" w:color="auto"/>
              <w:right w:val="nil"/>
            </w:tcBorders>
            <w:shd w:val="clear" w:color="auto" w:fill="auto"/>
            <w:noWrap/>
            <w:vAlign w:val="bottom"/>
            <w:hideMark/>
          </w:tcPr>
          <w:p w14:paraId="679EF0BB" w14:textId="77777777" w:rsidR="00395ADC" w:rsidRPr="00D67C6B" w:rsidRDefault="00395ADC" w:rsidP="00395ADC">
            <w:pPr>
              <w:pBdr>
                <w:top w:val="none" w:sz="0" w:space="0" w:color="auto"/>
                <w:left w:val="none" w:sz="0" w:space="0" w:color="auto"/>
                <w:bottom w:val="none" w:sz="0" w:space="0" w:color="auto"/>
                <w:right w:val="none" w:sz="0" w:space="0" w:color="auto"/>
                <w:between w:val="none" w:sz="0" w:space="0" w:color="auto"/>
                <w:bar w:val="none" w:sz="0" w:color="auto"/>
              </w:pBdr>
              <w:jc w:val="center"/>
              <w:outlineLvl w:val="9"/>
              <w:rPr>
                <w:rFonts w:eastAsia="Times New Roman"/>
                <w:b/>
                <w:bCs/>
                <w:sz w:val="18"/>
                <w:szCs w:val="18"/>
                <w:bdr w:val="none" w:sz="0" w:space="0" w:color="auto"/>
                <w:lang w:eastAsia="es-ES"/>
              </w:rPr>
            </w:pPr>
            <w:r w:rsidRPr="00D67C6B">
              <w:rPr>
                <w:rFonts w:eastAsia="Times New Roman"/>
                <w:b/>
                <w:bCs/>
                <w:sz w:val="18"/>
                <w:szCs w:val="18"/>
                <w:bdr w:val="none" w:sz="0" w:space="0" w:color="auto"/>
                <w:lang w:eastAsia="es-ES"/>
              </w:rPr>
              <w:t>Pasivos Diferidos</w:t>
            </w:r>
          </w:p>
        </w:tc>
        <w:tc>
          <w:tcPr>
            <w:tcW w:w="618" w:type="pct"/>
            <w:tcBorders>
              <w:top w:val="single" w:sz="4" w:space="0" w:color="auto"/>
              <w:left w:val="nil"/>
              <w:bottom w:val="single" w:sz="4" w:space="0" w:color="auto"/>
              <w:right w:val="nil"/>
            </w:tcBorders>
            <w:shd w:val="clear" w:color="auto" w:fill="auto"/>
            <w:noWrap/>
            <w:vAlign w:val="bottom"/>
            <w:hideMark/>
          </w:tcPr>
          <w:p w14:paraId="57861B4F" w14:textId="3C26FBF7" w:rsidR="00395ADC" w:rsidRPr="00D67C6B" w:rsidRDefault="00395ADC" w:rsidP="00395ADC">
            <w:pPr>
              <w:pBdr>
                <w:top w:val="none" w:sz="0" w:space="0" w:color="auto"/>
                <w:left w:val="none" w:sz="0" w:space="0" w:color="auto"/>
                <w:bottom w:val="none" w:sz="0" w:space="0" w:color="auto"/>
                <w:right w:val="none" w:sz="0" w:space="0" w:color="auto"/>
                <w:between w:val="none" w:sz="0" w:space="0" w:color="auto"/>
                <w:bar w:val="none" w:sz="0" w:color="auto"/>
              </w:pBdr>
              <w:jc w:val="center"/>
              <w:outlineLvl w:val="9"/>
              <w:rPr>
                <w:rFonts w:eastAsia="Times New Roman"/>
                <w:b/>
                <w:bCs/>
                <w:color w:val="auto"/>
                <w:sz w:val="18"/>
                <w:szCs w:val="18"/>
                <w:bdr w:val="none" w:sz="0" w:space="0" w:color="auto"/>
                <w:lang w:eastAsia="es-ES"/>
              </w:rPr>
            </w:pPr>
            <w:r w:rsidRPr="00D67C6B">
              <w:rPr>
                <w:rFonts w:eastAsia="Times New Roman"/>
                <w:b/>
                <w:bCs/>
                <w:color w:val="auto"/>
                <w:sz w:val="18"/>
                <w:szCs w:val="18"/>
                <w:bdr w:val="none" w:sz="0" w:space="0" w:color="auto"/>
                <w:lang w:eastAsia="es-ES"/>
              </w:rPr>
              <w:t>31/12/20</w:t>
            </w:r>
            <w:r w:rsidR="00232E4A" w:rsidRPr="00D67C6B">
              <w:rPr>
                <w:rFonts w:eastAsia="Times New Roman"/>
                <w:b/>
                <w:bCs/>
                <w:color w:val="auto"/>
                <w:sz w:val="18"/>
                <w:szCs w:val="18"/>
                <w:bdr w:val="none" w:sz="0" w:space="0" w:color="auto"/>
                <w:lang w:eastAsia="es-ES"/>
              </w:rPr>
              <w:t>2</w:t>
            </w:r>
            <w:r w:rsidR="00CD5E24">
              <w:rPr>
                <w:rFonts w:eastAsia="Times New Roman"/>
                <w:b/>
                <w:bCs/>
                <w:color w:val="auto"/>
                <w:sz w:val="18"/>
                <w:szCs w:val="18"/>
                <w:bdr w:val="none" w:sz="0" w:space="0" w:color="auto"/>
                <w:lang w:eastAsia="es-ES"/>
              </w:rPr>
              <w:t>3</w:t>
            </w:r>
          </w:p>
        </w:tc>
        <w:tc>
          <w:tcPr>
            <w:tcW w:w="618" w:type="pct"/>
            <w:tcBorders>
              <w:top w:val="single" w:sz="4" w:space="0" w:color="auto"/>
              <w:left w:val="nil"/>
              <w:bottom w:val="single" w:sz="4" w:space="0" w:color="auto"/>
              <w:right w:val="nil"/>
            </w:tcBorders>
            <w:shd w:val="clear" w:color="auto" w:fill="auto"/>
            <w:noWrap/>
            <w:vAlign w:val="bottom"/>
            <w:hideMark/>
          </w:tcPr>
          <w:p w14:paraId="4ED29CAF" w14:textId="77777777" w:rsidR="00395ADC" w:rsidRPr="00D67C6B" w:rsidRDefault="00395ADC" w:rsidP="00395ADC">
            <w:pPr>
              <w:pBdr>
                <w:top w:val="none" w:sz="0" w:space="0" w:color="auto"/>
                <w:left w:val="none" w:sz="0" w:space="0" w:color="auto"/>
                <w:bottom w:val="none" w:sz="0" w:space="0" w:color="auto"/>
                <w:right w:val="none" w:sz="0" w:space="0" w:color="auto"/>
                <w:between w:val="none" w:sz="0" w:space="0" w:color="auto"/>
                <w:bar w:val="none" w:sz="0" w:color="auto"/>
              </w:pBdr>
              <w:jc w:val="center"/>
              <w:outlineLvl w:val="9"/>
              <w:rPr>
                <w:rFonts w:eastAsia="Times New Roman"/>
                <w:b/>
                <w:bCs/>
                <w:color w:val="auto"/>
                <w:sz w:val="18"/>
                <w:szCs w:val="18"/>
                <w:bdr w:val="none" w:sz="0" w:space="0" w:color="auto"/>
                <w:lang w:eastAsia="es-ES"/>
              </w:rPr>
            </w:pPr>
            <w:r w:rsidRPr="00D67C6B">
              <w:rPr>
                <w:rFonts w:eastAsia="Times New Roman"/>
                <w:b/>
                <w:bCs/>
                <w:color w:val="auto"/>
                <w:sz w:val="18"/>
                <w:szCs w:val="18"/>
                <w:bdr w:val="none" w:sz="0" w:space="0" w:color="auto"/>
                <w:lang w:eastAsia="es-ES"/>
              </w:rPr>
              <w:t>Altas</w:t>
            </w:r>
          </w:p>
        </w:tc>
        <w:tc>
          <w:tcPr>
            <w:tcW w:w="547" w:type="pct"/>
            <w:tcBorders>
              <w:top w:val="single" w:sz="4" w:space="0" w:color="auto"/>
              <w:left w:val="nil"/>
              <w:bottom w:val="single" w:sz="4" w:space="0" w:color="auto"/>
              <w:right w:val="nil"/>
            </w:tcBorders>
            <w:shd w:val="clear" w:color="auto" w:fill="auto"/>
            <w:noWrap/>
            <w:vAlign w:val="bottom"/>
            <w:hideMark/>
          </w:tcPr>
          <w:p w14:paraId="00D1D080" w14:textId="77777777" w:rsidR="00395ADC" w:rsidRPr="00D67C6B" w:rsidRDefault="00395ADC" w:rsidP="00395ADC">
            <w:pPr>
              <w:pBdr>
                <w:top w:val="none" w:sz="0" w:space="0" w:color="auto"/>
                <w:left w:val="none" w:sz="0" w:space="0" w:color="auto"/>
                <w:bottom w:val="none" w:sz="0" w:space="0" w:color="auto"/>
                <w:right w:val="none" w:sz="0" w:space="0" w:color="auto"/>
                <w:between w:val="none" w:sz="0" w:space="0" w:color="auto"/>
                <w:bar w:val="none" w:sz="0" w:color="auto"/>
              </w:pBdr>
              <w:jc w:val="center"/>
              <w:outlineLvl w:val="9"/>
              <w:rPr>
                <w:rFonts w:eastAsia="Times New Roman"/>
                <w:b/>
                <w:bCs/>
                <w:color w:val="auto"/>
                <w:sz w:val="18"/>
                <w:szCs w:val="18"/>
                <w:bdr w:val="none" w:sz="0" w:space="0" w:color="auto"/>
                <w:lang w:eastAsia="es-ES"/>
              </w:rPr>
            </w:pPr>
            <w:r w:rsidRPr="00D67C6B">
              <w:rPr>
                <w:rFonts w:eastAsia="Times New Roman"/>
                <w:b/>
                <w:bCs/>
                <w:color w:val="auto"/>
                <w:sz w:val="18"/>
                <w:szCs w:val="18"/>
                <w:bdr w:val="none" w:sz="0" w:space="0" w:color="auto"/>
                <w:lang w:eastAsia="es-ES"/>
              </w:rPr>
              <w:t>Bajas</w:t>
            </w:r>
          </w:p>
        </w:tc>
        <w:tc>
          <w:tcPr>
            <w:tcW w:w="707" w:type="pct"/>
            <w:tcBorders>
              <w:top w:val="single" w:sz="4" w:space="0" w:color="auto"/>
              <w:left w:val="nil"/>
              <w:bottom w:val="single" w:sz="4" w:space="0" w:color="auto"/>
              <w:right w:val="nil"/>
            </w:tcBorders>
            <w:shd w:val="clear" w:color="auto" w:fill="auto"/>
            <w:vAlign w:val="bottom"/>
            <w:hideMark/>
          </w:tcPr>
          <w:p w14:paraId="0C3879B2" w14:textId="77777777" w:rsidR="00395ADC" w:rsidRPr="00D67C6B" w:rsidRDefault="00395ADC" w:rsidP="00395ADC">
            <w:pPr>
              <w:pBdr>
                <w:top w:val="none" w:sz="0" w:space="0" w:color="auto"/>
                <w:left w:val="none" w:sz="0" w:space="0" w:color="auto"/>
                <w:bottom w:val="none" w:sz="0" w:space="0" w:color="auto"/>
                <w:right w:val="none" w:sz="0" w:space="0" w:color="auto"/>
                <w:between w:val="none" w:sz="0" w:space="0" w:color="auto"/>
                <w:bar w:val="none" w:sz="0" w:color="auto"/>
              </w:pBdr>
              <w:jc w:val="center"/>
              <w:outlineLvl w:val="9"/>
              <w:rPr>
                <w:rFonts w:eastAsia="Times New Roman"/>
                <w:b/>
                <w:bCs/>
                <w:color w:val="auto"/>
                <w:sz w:val="18"/>
                <w:szCs w:val="18"/>
                <w:bdr w:val="none" w:sz="0" w:space="0" w:color="auto"/>
                <w:lang w:eastAsia="es-ES"/>
              </w:rPr>
            </w:pPr>
            <w:r w:rsidRPr="00D67C6B">
              <w:rPr>
                <w:rFonts w:eastAsia="Times New Roman"/>
                <w:b/>
                <w:bCs/>
                <w:color w:val="auto"/>
                <w:sz w:val="18"/>
                <w:szCs w:val="18"/>
                <w:bdr w:val="none" w:sz="0" w:space="0" w:color="auto"/>
                <w:lang w:eastAsia="es-ES"/>
              </w:rPr>
              <w:t>Imputación a PYG</w:t>
            </w:r>
          </w:p>
        </w:tc>
        <w:tc>
          <w:tcPr>
            <w:tcW w:w="616" w:type="pct"/>
            <w:tcBorders>
              <w:top w:val="single" w:sz="4" w:space="0" w:color="auto"/>
              <w:left w:val="nil"/>
              <w:bottom w:val="single" w:sz="4" w:space="0" w:color="auto"/>
              <w:right w:val="nil"/>
            </w:tcBorders>
            <w:shd w:val="clear" w:color="auto" w:fill="auto"/>
            <w:noWrap/>
            <w:vAlign w:val="bottom"/>
            <w:hideMark/>
          </w:tcPr>
          <w:p w14:paraId="6DA1682C" w14:textId="2A232CC6" w:rsidR="00395ADC" w:rsidRPr="00D67C6B" w:rsidRDefault="00395ADC" w:rsidP="00395ADC">
            <w:pPr>
              <w:pBdr>
                <w:top w:val="none" w:sz="0" w:space="0" w:color="auto"/>
                <w:left w:val="none" w:sz="0" w:space="0" w:color="auto"/>
                <w:bottom w:val="none" w:sz="0" w:space="0" w:color="auto"/>
                <w:right w:val="none" w:sz="0" w:space="0" w:color="auto"/>
                <w:between w:val="none" w:sz="0" w:space="0" w:color="auto"/>
                <w:bar w:val="none" w:sz="0" w:color="auto"/>
              </w:pBdr>
              <w:jc w:val="center"/>
              <w:outlineLvl w:val="9"/>
              <w:rPr>
                <w:rFonts w:eastAsia="Times New Roman"/>
                <w:b/>
                <w:bCs/>
                <w:color w:val="auto"/>
                <w:sz w:val="18"/>
                <w:szCs w:val="18"/>
                <w:bdr w:val="none" w:sz="0" w:space="0" w:color="auto"/>
                <w:lang w:eastAsia="es-ES"/>
              </w:rPr>
            </w:pPr>
            <w:r w:rsidRPr="00D67C6B">
              <w:rPr>
                <w:rFonts w:eastAsia="Times New Roman"/>
                <w:b/>
                <w:bCs/>
                <w:color w:val="auto"/>
                <w:sz w:val="18"/>
                <w:szCs w:val="18"/>
                <w:bdr w:val="none" w:sz="0" w:space="0" w:color="auto"/>
                <w:lang w:eastAsia="es-ES"/>
              </w:rPr>
              <w:t>31/12/202</w:t>
            </w:r>
            <w:r w:rsidR="00CD5E24">
              <w:rPr>
                <w:rFonts w:eastAsia="Times New Roman"/>
                <w:b/>
                <w:bCs/>
                <w:color w:val="auto"/>
                <w:sz w:val="18"/>
                <w:szCs w:val="18"/>
                <w:bdr w:val="none" w:sz="0" w:space="0" w:color="auto"/>
                <w:lang w:eastAsia="es-ES"/>
              </w:rPr>
              <w:t>4</w:t>
            </w:r>
          </w:p>
        </w:tc>
      </w:tr>
      <w:tr w:rsidR="00CA26A1" w:rsidRPr="00D67C6B" w14:paraId="217840A4" w14:textId="77777777" w:rsidTr="00CA26A1">
        <w:trPr>
          <w:trHeight w:val="340"/>
          <w:jc w:val="center"/>
        </w:trPr>
        <w:tc>
          <w:tcPr>
            <w:tcW w:w="1894" w:type="pct"/>
            <w:tcBorders>
              <w:top w:val="nil"/>
              <w:left w:val="nil"/>
              <w:bottom w:val="single" w:sz="4" w:space="0" w:color="auto"/>
              <w:right w:val="nil"/>
            </w:tcBorders>
            <w:shd w:val="clear" w:color="auto" w:fill="auto"/>
            <w:vAlign w:val="center"/>
            <w:hideMark/>
          </w:tcPr>
          <w:p w14:paraId="2ACE468E" w14:textId="77777777" w:rsidR="00CA26A1" w:rsidRPr="00D67C6B" w:rsidRDefault="00CA26A1" w:rsidP="00CA26A1">
            <w:pPr>
              <w:pBdr>
                <w:top w:val="none" w:sz="0" w:space="0" w:color="auto"/>
                <w:left w:val="none" w:sz="0" w:space="0" w:color="auto"/>
                <w:bottom w:val="none" w:sz="0" w:space="0" w:color="auto"/>
                <w:right w:val="none" w:sz="0" w:space="0" w:color="auto"/>
                <w:between w:val="none" w:sz="0" w:space="0" w:color="auto"/>
                <w:bar w:val="none" w:sz="0" w:color="auto"/>
              </w:pBdr>
              <w:outlineLvl w:val="9"/>
              <w:rPr>
                <w:rFonts w:eastAsia="Times New Roman"/>
                <w:sz w:val="18"/>
                <w:szCs w:val="18"/>
                <w:bdr w:val="none" w:sz="0" w:space="0" w:color="auto"/>
                <w:lang w:eastAsia="es-ES"/>
              </w:rPr>
            </w:pPr>
            <w:r w:rsidRPr="00D67C6B">
              <w:rPr>
                <w:rFonts w:eastAsia="Times New Roman"/>
                <w:sz w:val="18"/>
                <w:szCs w:val="18"/>
                <w:bdr w:val="none" w:sz="0" w:space="0" w:color="auto"/>
                <w:lang w:eastAsia="es-ES"/>
              </w:rPr>
              <w:t>Efecto impositivo por Subvenciones</w:t>
            </w:r>
          </w:p>
        </w:tc>
        <w:tc>
          <w:tcPr>
            <w:tcW w:w="618" w:type="pct"/>
            <w:tcBorders>
              <w:top w:val="nil"/>
              <w:left w:val="nil"/>
              <w:bottom w:val="single" w:sz="4" w:space="0" w:color="auto"/>
              <w:right w:val="nil"/>
            </w:tcBorders>
            <w:shd w:val="clear" w:color="auto" w:fill="auto"/>
            <w:noWrap/>
            <w:vAlign w:val="center"/>
            <w:hideMark/>
          </w:tcPr>
          <w:p w14:paraId="467586F5" w14:textId="580C3701" w:rsidR="00CA26A1" w:rsidRPr="00D67C6B" w:rsidRDefault="00CA26A1" w:rsidP="00CA26A1">
            <w:pPr>
              <w:pBdr>
                <w:top w:val="none" w:sz="0" w:space="0" w:color="auto"/>
                <w:left w:val="none" w:sz="0" w:space="0" w:color="auto"/>
                <w:bottom w:val="none" w:sz="0" w:space="0" w:color="auto"/>
                <w:right w:val="none" w:sz="0" w:space="0" w:color="auto"/>
                <w:between w:val="none" w:sz="0" w:space="0" w:color="auto"/>
                <w:bar w:val="none" w:sz="0" w:color="auto"/>
              </w:pBdr>
              <w:jc w:val="right"/>
              <w:outlineLvl w:val="9"/>
              <w:rPr>
                <w:rFonts w:eastAsia="Times New Roman"/>
                <w:sz w:val="18"/>
                <w:szCs w:val="18"/>
                <w:bdr w:val="none" w:sz="0" w:space="0" w:color="auto"/>
                <w:lang w:eastAsia="es-ES"/>
              </w:rPr>
            </w:pPr>
            <w:r>
              <w:rPr>
                <w:sz w:val="18"/>
                <w:szCs w:val="18"/>
              </w:rPr>
              <w:t>21.749,37</w:t>
            </w:r>
          </w:p>
        </w:tc>
        <w:tc>
          <w:tcPr>
            <w:tcW w:w="618" w:type="pct"/>
            <w:tcBorders>
              <w:top w:val="nil"/>
              <w:left w:val="nil"/>
              <w:bottom w:val="single" w:sz="4" w:space="0" w:color="auto"/>
              <w:right w:val="nil"/>
            </w:tcBorders>
            <w:shd w:val="clear" w:color="auto" w:fill="auto"/>
            <w:noWrap/>
            <w:vAlign w:val="center"/>
          </w:tcPr>
          <w:p w14:paraId="25C748E3" w14:textId="35FE15D0" w:rsidR="00CA26A1" w:rsidRPr="00D67C6B" w:rsidRDefault="00CA26A1" w:rsidP="00CA26A1">
            <w:pPr>
              <w:pBdr>
                <w:top w:val="none" w:sz="0" w:space="0" w:color="auto"/>
                <w:left w:val="none" w:sz="0" w:space="0" w:color="auto"/>
                <w:bottom w:val="none" w:sz="0" w:space="0" w:color="auto"/>
                <w:right w:val="none" w:sz="0" w:space="0" w:color="auto"/>
                <w:between w:val="none" w:sz="0" w:space="0" w:color="auto"/>
                <w:bar w:val="none" w:sz="0" w:color="auto"/>
              </w:pBdr>
              <w:jc w:val="right"/>
              <w:outlineLvl w:val="9"/>
              <w:rPr>
                <w:rFonts w:eastAsia="Times New Roman"/>
                <w:sz w:val="18"/>
                <w:szCs w:val="18"/>
                <w:bdr w:val="none" w:sz="0" w:space="0" w:color="auto"/>
                <w:lang w:eastAsia="es-ES"/>
              </w:rPr>
            </w:pPr>
            <w:r>
              <w:rPr>
                <w:rFonts w:eastAsia="Times New Roman"/>
                <w:sz w:val="18"/>
                <w:szCs w:val="18"/>
                <w:bdr w:val="none" w:sz="0" w:space="0" w:color="auto"/>
                <w:lang w:eastAsia="es-ES"/>
              </w:rPr>
              <w:t>-</w:t>
            </w:r>
          </w:p>
        </w:tc>
        <w:tc>
          <w:tcPr>
            <w:tcW w:w="547" w:type="pct"/>
            <w:tcBorders>
              <w:top w:val="nil"/>
              <w:left w:val="nil"/>
              <w:bottom w:val="single" w:sz="4" w:space="0" w:color="auto"/>
              <w:right w:val="nil"/>
            </w:tcBorders>
            <w:shd w:val="clear" w:color="auto" w:fill="auto"/>
            <w:noWrap/>
            <w:vAlign w:val="center"/>
          </w:tcPr>
          <w:p w14:paraId="6943E4CF" w14:textId="28110C81" w:rsidR="00CA26A1" w:rsidRPr="00D67C6B" w:rsidRDefault="00CA26A1" w:rsidP="00CA26A1">
            <w:pPr>
              <w:pBdr>
                <w:top w:val="none" w:sz="0" w:space="0" w:color="auto"/>
                <w:left w:val="none" w:sz="0" w:space="0" w:color="auto"/>
                <w:bottom w:val="none" w:sz="0" w:space="0" w:color="auto"/>
                <w:right w:val="none" w:sz="0" w:space="0" w:color="auto"/>
                <w:between w:val="none" w:sz="0" w:space="0" w:color="auto"/>
                <w:bar w:val="none" w:sz="0" w:color="auto"/>
              </w:pBdr>
              <w:jc w:val="right"/>
              <w:outlineLvl w:val="9"/>
              <w:rPr>
                <w:rFonts w:eastAsia="Times New Roman"/>
                <w:sz w:val="18"/>
                <w:szCs w:val="18"/>
                <w:bdr w:val="none" w:sz="0" w:space="0" w:color="auto"/>
                <w:lang w:eastAsia="es-ES"/>
              </w:rPr>
            </w:pPr>
            <w:r>
              <w:rPr>
                <w:rFonts w:ascii="Trebuchet MS" w:hAnsi="Trebuchet MS" w:cs="Calibri"/>
                <w:sz w:val="18"/>
                <w:szCs w:val="18"/>
              </w:rPr>
              <w:t>-</w:t>
            </w:r>
          </w:p>
        </w:tc>
        <w:tc>
          <w:tcPr>
            <w:tcW w:w="707" w:type="pct"/>
            <w:tcBorders>
              <w:top w:val="nil"/>
              <w:left w:val="nil"/>
              <w:bottom w:val="single" w:sz="4" w:space="0" w:color="auto"/>
              <w:right w:val="nil"/>
            </w:tcBorders>
            <w:shd w:val="clear" w:color="auto" w:fill="auto"/>
            <w:noWrap/>
            <w:vAlign w:val="center"/>
          </w:tcPr>
          <w:p w14:paraId="6CADC9D0" w14:textId="410EA76A" w:rsidR="00CA26A1" w:rsidRPr="00D67C6B" w:rsidRDefault="00CA26A1" w:rsidP="00CA26A1">
            <w:pPr>
              <w:pBdr>
                <w:top w:val="none" w:sz="0" w:space="0" w:color="auto"/>
                <w:left w:val="none" w:sz="0" w:space="0" w:color="auto"/>
                <w:bottom w:val="none" w:sz="0" w:space="0" w:color="auto"/>
                <w:right w:val="none" w:sz="0" w:space="0" w:color="auto"/>
                <w:between w:val="none" w:sz="0" w:space="0" w:color="auto"/>
                <w:bar w:val="none" w:sz="0" w:color="auto"/>
              </w:pBdr>
              <w:jc w:val="right"/>
              <w:outlineLvl w:val="9"/>
              <w:rPr>
                <w:rFonts w:eastAsia="Times New Roman"/>
                <w:sz w:val="18"/>
                <w:szCs w:val="18"/>
                <w:bdr w:val="none" w:sz="0" w:space="0" w:color="auto"/>
                <w:lang w:eastAsia="es-ES"/>
              </w:rPr>
            </w:pPr>
            <w:r>
              <w:rPr>
                <w:rFonts w:ascii="Trebuchet MS" w:hAnsi="Trebuchet MS" w:cs="Calibri"/>
                <w:sz w:val="18"/>
                <w:szCs w:val="18"/>
              </w:rPr>
              <w:t>12.306,35</w:t>
            </w:r>
          </w:p>
        </w:tc>
        <w:tc>
          <w:tcPr>
            <w:tcW w:w="616" w:type="pct"/>
            <w:tcBorders>
              <w:top w:val="nil"/>
              <w:left w:val="nil"/>
              <w:bottom w:val="single" w:sz="4" w:space="0" w:color="auto"/>
              <w:right w:val="nil"/>
            </w:tcBorders>
            <w:shd w:val="clear" w:color="auto" w:fill="auto"/>
            <w:noWrap/>
            <w:vAlign w:val="center"/>
          </w:tcPr>
          <w:p w14:paraId="622430FD" w14:textId="206DBEDA" w:rsidR="00CA26A1" w:rsidRPr="00D67C6B" w:rsidRDefault="00CA26A1" w:rsidP="00CA26A1">
            <w:pPr>
              <w:jc w:val="right"/>
              <w:rPr>
                <w:sz w:val="18"/>
                <w:szCs w:val="18"/>
              </w:rPr>
            </w:pPr>
            <w:r>
              <w:rPr>
                <w:rFonts w:ascii="Trebuchet MS" w:hAnsi="Trebuchet MS" w:cs="Calibri"/>
                <w:sz w:val="18"/>
                <w:szCs w:val="18"/>
              </w:rPr>
              <w:t>9.443,02</w:t>
            </w:r>
          </w:p>
        </w:tc>
      </w:tr>
    </w:tbl>
    <w:p w14:paraId="3C5C72DD" w14:textId="76F9478D" w:rsidR="00D67C6B" w:rsidRDefault="00D67C6B">
      <w:pPr>
        <w:pBdr>
          <w:top w:val="none" w:sz="0" w:space="0" w:color="auto"/>
          <w:left w:val="none" w:sz="0" w:space="0" w:color="auto"/>
          <w:bottom w:val="none" w:sz="0" w:space="0" w:color="auto"/>
          <w:right w:val="none" w:sz="0" w:space="0" w:color="auto"/>
          <w:between w:val="none" w:sz="0" w:space="0" w:color="auto"/>
          <w:bar w:val="none" w:sz="0" w:color="auto"/>
        </w:pBdr>
        <w:outlineLvl w:val="9"/>
        <w:rPr>
          <w:b/>
          <w:snapToGrid w:val="0"/>
          <w:sz w:val="22"/>
          <w:szCs w:val="22"/>
        </w:rPr>
      </w:pPr>
      <w:r>
        <w:rPr>
          <w:b/>
          <w:snapToGrid w:val="0"/>
          <w:sz w:val="22"/>
          <w:szCs w:val="22"/>
        </w:rPr>
        <w:br w:type="page"/>
      </w:r>
    </w:p>
    <w:p w14:paraId="447A213A" w14:textId="3A75B2BF" w:rsidR="006220A2" w:rsidRPr="00723F3F" w:rsidRDefault="006220A2" w:rsidP="00052BF5">
      <w:pPr>
        <w:widowControl w:val="0"/>
        <w:numPr>
          <w:ilvl w:val="0"/>
          <w:numId w:val="6"/>
        </w:numPr>
        <w:pBdr>
          <w:top w:val="none" w:sz="0" w:space="0" w:color="auto"/>
          <w:left w:val="none" w:sz="0" w:space="0" w:color="auto"/>
          <w:bottom w:val="none" w:sz="0" w:space="0" w:color="auto"/>
          <w:right w:val="none" w:sz="0" w:space="0" w:color="auto"/>
          <w:between w:val="none" w:sz="0" w:space="0" w:color="auto"/>
          <w:bar w:val="none" w:sz="0" w:color="auto"/>
        </w:pBdr>
        <w:spacing w:after="120" w:line="280" w:lineRule="exact"/>
        <w:ind w:left="284" w:hanging="284"/>
        <w:outlineLvl w:val="9"/>
        <w:rPr>
          <w:b/>
          <w:snapToGrid w:val="0"/>
          <w:sz w:val="22"/>
          <w:szCs w:val="22"/>
        </w:rPr>
      </w:pPr>
      <w:r w:rsidRPr="004A54EC">
        <w:rPr>
          <w:b/>
          <w:snapToGrid w:val="0"/>
          <w:sz w:val="22"/>
          <w:szCs w:val="22"/>
        </w:rPr>
        <w:lastRenderedPageBreak/>
        <w:t xml:space="preserve"> Ingresos y gastos</w:t>
      </w:r>
    </w:p>
    <w:p w14:paraId="1C5981EB" w14:textId="77777777" w:rsidR="006220A2" w:rsidRPr="0083433F" w:rsidRDefault="006220A2">
      <w:pPr>
        <w:widowControl w:val="0"/>
        <w:numPr>
          <w:ilvl w:val="0"/>
          <w:numId w:val="15"/>
        </w:numPr>
        <w:pBdr>
          <w:top w:val="none" w:sz="0" w:space="0" w:color="auto"/>
          <w:left w:val="none" w:sz="0" w:space="0" w:color="auto"/>
          <w:bottom w:val="none" w:sz="0" w:space="0" w:color="auto"/>
          <w:right w:val="none" w:sz="0" w:space="0" w:color="auto"/>
          <w:between w:val="none" w:sz="0" w:space="0" w:color="auto"/>
          <w:bar w:val="none" w:sz="0" w:color="auto"/>
        </w:pBdr>
        <w:tabs>
          <w:tab w:val="left" w:pos="284"/>
        </w:tabs>
        <w:spacing w:before="200"/>
        <w:ind w:left="0" w:firstLine="0"/>
        <w:outlineLvl w:val="9"/>
        <w:rPr>
          <w:sz w:val="20"/>
          <w:szCs w:val="22"/>
          <w:u w:val="single"/>
        </w:rPr>
      </w:pPr>
      <w:r w:rsidRPr="0083433F">
        <w:rPr>
          <w:sz w:val="20"/>
          <w:szCs w:val="22"/>
          <w:u w:val="single"/>
        </w:rPr>
        <w:t>Ingresos de explotación</w:t>
      </w:r>
    </w:p>
    <w:p w14:paraId="30D9D1AA" w14:textId="0535BBC5" w:rsidR="006220A2" w:rsidRPr="00176BA0" w:rsidRDefault="006220A2" w:rsidP="00D67C6B">
      <w:pPr>
        <w:widowControl w:val="0"/>
        <w:spacing w:before="120" w:after="120" w:line="260" w:lineRule="exact"/>
        <w:jc w:val="both"/>
        <w:outlineLvl w:val="9"/>
        <w:rPr>
          <w:snapToGrid w:val="0"/>
          <w:sz w:val="20"/>
          <w:szCs w:val="22"/>
        </w:rPr>
      </w:pPr>
      <w:r w:rsidRPr="00176BA0">
        <w:rPr>
          <w:snapToGrid w:val="0"/>
          <w:sz w:val="20"/>
          <w:szCs w:val="22"/>
        </w:rPr>
        <w:t>El detalle de los ingresos de explotación del ejercicio 20</w:t>
      </w:r>
      <w:r w:rsidR="002D6427" w:rsidRPr="00176BA0">
        <w:rPr>
          <w:snapToGrid w:val="0"/>
          <w:sz w:val="20"/>
          <w:szCs w:val="22"/>
        </w:rPr>
        <w:t>2</w:t>
      </w:r>
      <w:r w:rsidR="00CD5E24">
        <w:rPr>
          <w:snapToGrid w:val="0"/>
          <w:sz w:val="20"/>
          <w:szCs w:val="22"/>
        </w:rPr>
        <w:t>4</w:t>
      </w:r>
      <w:r w:rsidR="00224A31" w:rsidRPr="00176BA0">
        <w:rPr>
          <w:snapToGrid w:val="0"/>
          <w:sz w:val="20"/>
          <w:szCs w:val="22"/>
        </w:rPr>
        <w:t xml:space="preserve"> </w:t>
      </w:r>
      <w:r w:rsidR="00066C08" w:rsidRPr="00176BA0">
        <w:rPr>
          <w:snapToGrid w:val="0"/>
          <w:sz w:val="20"/>
          <w:szCs w:val="22"/>
        </w:rPr>
        <w:t>y 20</w:t>
      </w:r>
      <w:r w:rsidR="00121E60" w:rsidRPr="00176BA0">
        <w:rPr>
          <w:snapToGrid w:val="0"/>
          <w:sz w:val="20"/>
          <w:szCs w:val="22"/>
        </w:rPr>
        <w:t>2</w:t>
      </w:r>
      <w:r w:rsidR="00CD5E24">
        <w:rPr>
          <w:snapToGrid w:val="0"/>
          <w:sz w:val="20"/>
          <w:szCs w:val="22"/>
        </w:rPr>
        <w:t>3</w:t>
      </w:r>
      <w:r w:rsidRPr="00176BA0">
        <w:rPr>
          <w:snapToGrid w:val="0"/>
          <w:sz w:val="20"/>
          <w:szCs w:val="22"/>
        </w:rPr>
        <w:t>, es el siguiente:</w:t>
      </w:r>
    </w:p>
    <w:tbl>
      <w:tblPr>
        <w:tblW w:w="5000" w:type="pct"/>
        <w:jc w:val="center"/>
        <w:tblCellMar>
          <w:left w:w="70" w:type="dxa"/>
          <w:right w:w="70" w:type="dxa"/>
        </w:tblCellMar>
        <w:tblLook w:val="04A0" w:firstRow="1" w:lastRow="0" w:firstColumn="1" w:lastColumn="0" w:noHBand="0" w:noVBand="1"/>
      </w:tblPr>
      <w:tblGrid>
        <w:gridCol w:w="5446"/>
        <w:gridCol w:w="1667"/>
        <w:gridCol w:w="1668"/>
      </w:tblGrid>
      <w:tr w:rsidR="000D76CC" w:rsidRPr="00954AA6" w14:paraId="0277B568" w14:textId="77777777" w:rsidTr="00954AA6">
        <w:trPr>
          <w:trHeight w:val="227"/>
          <w:jc w:val="center"/>
        </w:trPr>
        <w:tc>
          <w:tcPr>
            <w:tcW w:w="3101" w:type="pct"/>
            <w:tcBorders>
              <w:top w:val="single" w:sz="4" w:space="0" w:color="auto"/>
              <w:left w:val="nil"/>
              <w:bottom w:val="nil"/>
              <w:right w:val="nil"/>
            </w:tcBorders>
            <w:shd w:val="clear" w:color="auto" w:fill="auto"/>
            <w:vAlign w:val="center"/>
            <w:hideMark/>
          </w:tcPr>
          <w:p w14:paraId="2F4D3090" w14:textId="77777777" w:rsidR="000D76CC" w:rsidRPr="00954AA6" w:rsidRDefault="000D76CC" w:rsidP="00954AA6">
            <w:pPr>
              <w:pBdr>
                <w:top w:val="none" w:sz="0" w:space="0" w:color="auto"/>
                <w:left w:val="none" w:sz="0" w:space="0" w:color="auto"/>
                <w:bottom w:val="none" w:sz="0" w:space="0" w:color="auto"/>
                <w:right w:val="none" w:sz="0" w:space="0" w:color="auto"/>
                <w:between w:val="none" w:sz="0" w:space="0" w:color="auto"/>
                <w:bar w:val="none" w:sz="0" w:color="auto"/>
              </w:pBdr>
              <w:ind w:left="214"/>
              <w:outlineLvl w:val="9"/>
              <w:rPr>
                <w:rFonts w:eastAsia="Times New Roman"/>
                <w:sz w:val="18"/>
                <w:szCs w:val="18"/>
                <w:bdr w:val="none" w:sz="0" w:space="0" w:color="auto"/>
                <w:lang w:eastAsia="es-ES"/>
              </w:rPr>
            </w:pPr>
            <w:r w:rsidRPr="00954AA6">
              <w:rPr>
                <w:rFonts w:eastAsia="Times New Roman"/>
                <w:sz w:val="18"/>
                <w:szCs w:val="18"/>
                <w:bdr w:val="none" w:sz="0" w:space="0" w:color="auto"/>
                <w:lang w:eastAsia="es-ES"/>
              </w:rPr>
              <w:t> </w:t>
            </w:r>
          </w:p>
        </w:tc>
        <w:tc>
          <w:tcPr>
            <w:tcW w:w="1899" w:type="pct"/>
            <w:gridSpan w:val="2"/>
            <w:tcBorders>
              <w:top w:val="single" w:sz="4" w:space="0" w:color="auto"/>
              <w:left w:val="nil"/>
              <w:bottom w:val="single" w:sz="4" w:space="0" w:color="auto"/>
              <w:right w:val="nil"/>
            </w:tcBorders>
            <w:shd w:val="clear" w:color="auto" w:fill="auto"/>
            <w:vAlign w:val="bottom"/>
            <w:hideMark/>
          </w:tcPr>
          <w:p w14:paraId="3F4CDAEE" w14:textId="77777777" w:rsidR="000D76CC" w:rsidRPr="00954AA6" w:rsidRDefault="000D76CC" w:rsidP="00395ADC">
            <w:pPr>
              <w:pBdr>
                <w:top w:val="none" w:sz="0" w:space="0" w:color="auto"/>
                <w:left w:val="none" w:sz="0" w:space="0" w:color="auto"/>
                <w:bottom w:val="none" w:sz="0" w:space="0" w:color="auto"/>
                <w:right w:val="none" w:sz="0" w:space="0" w:color="auto"/>
                <w:between w:val="none" w:sz="0" w:space="0" w:color="auto"/>
                <w:bar w:val="none" w:sz="0" w:color="auto"/>
              </w:pBdr>
              <w:jc w:val="center"/>
              <w:outlineLvl w:val="9"/>
              <w:rPr>
                <w:rFonts w:eastAsia="Times New Roman"/>
                <w:b/>
                <w:bCs/>
                <w:sz w:val="18"/>
                <w:szCs w:val="18"/>
                <w:bdr w:val="none" w:sz="0" w:space="0" w:color="auto"/>
                <w:lang w:eastAsia="es-ES"/>
              </w:rPr>
            </w:pPr>
            <w:r w:rsidRPr="00954AA6">
              <w:rPr>
                <w:rFonts w:eastAsia="Times New Roman"/>
                <w:b/>
                <w:bCs/>
                <w:sz w:val="18"/>
                <w:szCs w:val="18"/>
                <w:bdr w:val="none" w:sz="0" w:space="0" w:color="auto"/>
                <w:lang w:eastAsia="es-ES"/>
              </w:rPr>
              <w:t>Euros</w:t>
            </w:r>
          </w:p>
        </w:tc>
      </w:tr>
      <w:tr w:rsidR="00604430" w:rsidRPr="00954AA6" w14:paraId="2A717E6F" w14:textId="77777777" w:rsidTr="00604430">
        <w:trPr>
          <w:trHeight w:val="227"/>
          <w:jc w:val="center"/>
        </w:trPr>
        <w:tc>
          <w:tcPr>
            <w:tcW w:w="3101" w:type="pct"/>
            <w:tcBorders>
              <w:top w:val="nil"/>
              <w:left w:val="nil"/>
              <w:bottom w:val="single" w:sz="4" w:space="0" w:color="auto"/>
              <w:right w:val="nil"/>
            </w:tcBorders>
            <w:shd w:val="clear" w:color="auto" w:fill="auto"/>
            <w:vAlign w:val="center"/>
            <w:hideMark/>
          </w:tcPr>
          <w:p w14:paraId="4576FB32" w14:textId="77777777" w:rsidR="00604430" w:rsidRPr="00954AA6" w:rsidRDefault="00604430" w:rsidP="00604430">
            <w:pPr>
              <w:pBdr>
                <w:top w:val="none" w:sz="0" w:space="0" w:color="auto"/>
                <w:left w:val="none" w:sz="0" w:space="0" w:color="auto"/>
                <w:bottom w:val="none" w:sz="0" w:space="0" w:color="auto"/>
                <w:right w:val="none" w:sz="0" w:space="0" w:color="auto"/>
                <w:between w:val="none" w:sz="0" w:space="0" w:color="auto"/>
                <w:bar w:val="none" w:sz="0" w:color="auto"/>
              </w:pBdr>
              <w:ind w:left="214"/>
              <w:outlineLvl w:val="9"/>
              <w:rPr>
                <w:rFonts w:eastAsia="Times New Roman"/>
                <w:sz w:val="18"/>
                <w:szCs w:val="18"/>
                <w:bdr w:val="none" w:sz="0" w:space="0" w:color="auto"/>
                <w:lang w:eastAsia="es-ES"/>
              </w:rPr>
            </w:pPr>
            <w:r w:rsidRPr="00954AA6">
              <w:rPr>
                <w:rFonts w:eastAsia="Times New Roman"/>
                <w:sz w:val="18"/>
                <w:szCs w:val="18"/>
                <w:bdr w:val="none" w:sz="0" w:space="0" w:color="auto"/>
                <w:lang w:eastAsia="es-ES"/>
              </w:rPr>
              <w:t> </w:t>
            </w:r>
          </w:p>
        </w:tc>
        <w:tc>
          <w:tcPr>
            <w:tcW w:w="949" w:type="pct"/>
            <w:tcBorders>
              <w:top w:val="nil"/>
              <w:left w:val="nil"/>
              <w:bottom w:val="single" w:sz="4" w:space="0" w:color="auto"/>
              <w:right w:val="nil"/>
            </w:tcBorders>
            <w:shd w:val="clear" w:color="auto" w:fill="auto"/>
            <w:vAlign w:val="bottom"/>
            <w:hideMark/>
          </w:tcPr>
          <w:p w14:paraId="008F91A6" w14:textId="67C1E628" w:rsidR="00604430" w:rsidRPr="00E50FF4" w:rsidRDefault="00604430" w:rsidP="00604430">
            <w:pPr>
              <w:pBdr>
                <w:top w:val="none" w:sz="0" w:space="0" w:color="auto"/>
                <w:left w:val="none" w:sz="0" w:space="0" w:color="auto"/>
                <w:bottom w:val="none" w:sz="0" w:space="0" w:color="auto"/>
                <w:right w:val="none" w:sz="0" w:space="0" w:color="auto"/>
                <w:between w:val="none" w:sz="0" w:space="0" w:color="auto"/>
                <w:bar w:val="none" w:sz="0" w:color="auto"/>
              </w:pBdr>
              <w:jc w:val="center"/>
              <w:outlineLvl w:val="9"/>
              <w:rPr>
                <w:rFonts w:eastAsia="Times New Roman"/>
                <w:b/>
                <w:bCs/>
                <w:sz w:val="18"/>
                <w:szCs w:val="18"/>
                <w:highlight w:val="yellow"/>
                <w:bdr w:val="none" w:sz="0" w:space="0" w:color="auto"/>
                <w:lang w:eastAsia="es-ES"/>
              </w:rPr>
            </w:pPr>
            <w:r w:rsidRPr="00B81A0F">
              <w:rPr>
                <w:rFonts w:eastAsia="Times New Roman"/>
                <w:b/>
                <w:bCs/>
                <w:sz w:val="18"/>
                <w:szCs w:val="18"/>
                <w:bdr w:val="none" w:sz="0" w:space="0" w:color="auto"/>
                <w:lang w:eastAsia="es-ES"/>
              </w:rPr>
              <w:t>202</w:t>
            </w:r>
            <w:r w:rsidR="00CD5E24">
              <w:rPr>
                <w:rFonts w:eastAsia="Times New Roman"/>
                <w:b/>
                <w:bCs/>
                <w:sz w:val="18"/>
                <w:szCs w:val="18"/>
                <w:bdr w:val="none" w:sz="0" w:space="0" w:color="auto"/>
                <w:lang w:eastAsia="es-ES"/>
              </w:rPr>
              <w:t>4</w:t>
            </w:r>
          </w:p>
        </w:tc>
        <w:tc>
          <w:tcPr>
            <w:tcW w:w="950" w:type="pct"/>
            <w:tcBorders>
              <w:top w:val="nil"/>
              <w:left w:val="nil"/>
              <w:bottom w:val="single" w:sz="4" w:space="0" w:color="auto"/>
              <w:right w:val="nil"/>
            </w:tcBorders>
            <w:shd w:val="clear" w:color="auto" w:fill="auto"/>
            <w:vAlign w:val="bottom"/>
            <w:hideMark/>
          </w:tcPr>
          <w:p w14:paraId="1ED347AD" w14:textId="3BBE1B8D" w:rsidR="00604430" w:rsidRPr="00954AA6" w:rsidRDefault="00661E2A" w:rsidP="00604430">
            <w:pPr>
              <w:pBdr>
                <w:top w:val="none" w:sz="0" w:space="0" w:color="auto"/>
                <w:left w:val="none" w:sz="0" w:space="0" w:color="auto"/>
                <w:bottom w:val="none" w:sz="0" w:space="0" w:color="auto"/>
                <w:right w:val="none" w:sz="0" w:space="0" w:color="auto"/>
                <w:between w:val="none" w:sz="0" w:space="0" w:color="auto"/>
                <w:bar w:val="none" w:sz="0" w:color="auto"/>
              </w:pBdr>
              <w:jc w:val="center"/>
              <w:outlineLvl w:val="9"/>
              <w:rPr>
                <w:rFonts w:eastAsia="Times New Roman"/>
                <w:b/>
                <w:bCs/>
                <w:sz w:val="18"/>
                <w:szCs w:val="18"/>
                <w:bdr w:val="none" w:sz="0" w:space="0" w:color="auto"/>
                <w:lang w:eastAsia="es-ES"/>
              </w:rPr>
            </w:pPr>
            <w:r>
              <w:rPr>
                <w:rFonts w:eastAsia="Times New Roman"/>
                <w:b/>
                <w:bCs/>
                <w:sz w:val="18"/>
                <w:szCs w:val="18"/>
                <w:bdr w:val="none" w:sz="0" w:space="0" w:color="auto"/>
                <w:lang w:eastAsia="es-ES"/>
              </w:rPr>
              <w:t>202</w:t>
            </w:r>
            <w:r w:rsidR="00CD5E24">
              <w:rPr>
                <w:rFonts w:eastAsia="Times New Roman"/>
                <w:b/>
                <w:bCs/>
                <w:sz w:val="18"/>
                <w:szCs w:val="18"/>
                <w:bdr w:val="none" w:sz="0" w:space="0" w:color="auto"/>
                <w:lang w:eastAsia="es-ES"/>
              </w:rPr>
              <w:t>3</w:t>
            </w:r>
          </w:p>
        </w:tc>
      </w:tr>
      <w:tr w:rsidR="00CD5E24" w:rsidRPr="00954AA6" w14:paraId="197280BF" w14:textId="77777777" w:rsidTr="00CD5E24">
        <w:trPr>
          <w:trHeight w:val="283"/>
          <w:jc w:val="center"/>
        </w:trPr>
        <w:tc>
          <w:tcPr>
            <w:tcW w:w="3101" w:type="pct"/>
            <w:tcBorders>
              <w:top w:val="nil"/>
              <w:left w:val="nil"/>
              <w:bottom w:val="nil"/>
              <w:right w:val="nil"/>
            </w:tcBorders>
            <w:shd w:val="clear" w:color="auto" w:fill="auto"/>
            <w:vAlign w:val="center"/>
            <w:hideMark/>
          </w:tcPr>
          <w:p w14:paraId="5F0C2B59" w14:textId="77777777" w:rsidR="00CD5E24" w:rsidRPr="00954AA6" w:rsidRDefault="00CD5E24" w:rsidP="00CD5E24">
            <w:pPr>
              <w:pBdr>
                <w:top w:val="none" w:sz="0" w:space="0" w:color="auto"/>
                <w:left w:val="none" w:sz="0" w:space="0" w:color="auto"/>
                <w:bottom w:val="none" w:sz="0" w:space="0" w:color="auto"/>
                <w:right w:val="none" w:sz="0" w:space="0" w:color="auto"/>
                <w:between w:val="none" w:sz="0" w:space="0" w:color="auto"/>
                <w:bar w:val="none" w:sz="0" w:color="auto"/>
              </w:pBdr>
              <w:ind w:left="214"/>
              <w:outlineLvl w:val="9"/>
              <w:rPr>
                <w:rFonts w:eastAsia="Times New Roman"/>
                <w:b/>
                <w:bCs/>
                <w:sz w:val="18"/>
                <w:szCs w:val="18"/>
                <w:bdr w:val="none" w:sz="0" w:space="0" w:color="auto"/>
                <w:lang w:eastAsia="es-ES"/>
              </w:rPr>
            </w:pPr>
            <w:r w:rsidRPr="00954AA6">
              <w:rPr>
                <w:rFonts w:eastAsia="Times New Roman"/>
                <w:b/>
                <w:bCs/>
                <w:sz w:val="18"/>
                <w:szCs w:val="18"/>
                <w:bdr w:val="none" w:sz="0" w:space="0" w:color="auto"/>
                <w:lang w:eastAsia="es-ES"/>
              </w:rPr>
              <w:t>Ingresos de explotación</w:t>
            </w:r>
          </w:p>
        </w:tc>
        <w:tc>
          <w:tcPr>
            <w:tcW w:w="949" w:type="pct"/>
            <w:tcBorders>
              <w:top w:val="nil"/>
              <w:left w:val="nil"/>
              <w:bottom w:val="nil"/>
              <w:right w:val="nil"/>
            </w:tcBorders>
            <w:shd w:val="clear" w:color="auto" w:fill="auto"/>
            <w:vAlign w:val="center"/>
          </w:tcPr>
          <w:p w14:paraId="70E7CE4F" w14:textId="77777777" w:rsidR="00CD5E24" w:rsidRPr="00E50FF4" w:rsidRDefault="00CD5E24" w:rsidP="00CD5E24">
            <w:pPr>
              <w:pBdr>
                <w:top w:val="none" w:sz="0" w:space="0" w:color="auto"/>
                <w:left w:val="none" w:sz="0" w:space="0" w:color="auto"/>
                <w:bottom w:val="none" w:sz="0" w:space="0" w:color="auto"/>
                <w:right w:val="none" w:sz="0" w:space="0" w:color="auto"/>
                <w:between w:val="none" w:sz="0" w:space="0" w:color="auto"/>
                <w:bar w:val="none" w:sz="0" w:color="auto"/>
              </w:pBdr>
              <w:jc w:val="right"/>
              <w:outlineLvl w:val="9"/>
              <w:rPr>
                <w:rFonts w:eastAsia="Times New Roman"/>
                <w:b/>
                <w:bCs/>
                <w:sz w:val="18"/>
                <w:szCs w:val="18"/>
                <w:highlight w:val="yellow"/>
                <w:bdr w:val="none" w:sz="0" w:space="0" w:color="auto"/>
                <w:lang w:eastAsia="es-ES"/>
              </w:rPr>
            </w:pPr>
          </w:p>
        </w:tc>
        <w:tc>
          <w:tcPr>
            <w:tcW w:w="950" w:type="pct"/>
            <w:tcBorders>
              <w:top w:val="nil"/>
              <w:left w:val="nil"/>
              <w:bottom w:val="nil"/>
              <w:right w:val="nil"/>
            </w:tcBorders>
            <w:shd w:val="clear" w:color="auto" w:fill="auto"/>
            <w:vAlign w:val="center"/>
            <w:hideMark/>
          </w:tcPr>
          <w:p w14:paraId="07E28E1C" w14:textId="77777777" w:rsidR="00CD5E24" w:rsidRPr="00954AA6" w:rsidRDefault="00CD5E24" w:rsidP="00CD5E24">
            <w:pPr>
              <w:pBdr>
                <w:top w:val="none" w:sz="0" w:space="0" w:color="auto"/>
                <w:left w:val="none" w:sz="0" w:space="0" w:color="auto"/>
                <w:bottom w:val="none" w:sz="0" w:space="0" w:color="auto"/>
                <w:right w:val="none" w:sz="0" w:space="0" w:color="auto"/>
                <w:between w:val="none" w:sz="0" w:space="0" w:color="auto"/>
                <w:bar w:val="none" w:sz="0" w:color="auto"/>
              </w:pBdr>
              <w:jc w:val="right"/>
              <w:outlineLvl w:val="9"/>
              <w:rPr>
                <w:rFonts w:ascii="Times New Roman" w:eastAsia="Times New Roman" w:hAnsi="Times New Roman" w:cs="Times New Roman"/>
                <w:color w:val="auto"/>
                <w:sz w:val="18"/>
                <w:szCs w:val="18"/>
                <w:bdr w:val="none" w:sz="0" w:space="0" w:color="auto"/>
                <w:lang w:eastAsia="es-ES"/>
              </w:rPr>
            </w:pPr>
          </w:p>
        </w:tc>
      </w:tr>
      <w:tr w:rsidR="00A3343F" w:rsidRPr="00954AA6" w14:paraId="11044051" w14:textId="77777777" w:rsidTr="00604430">
        <w:trPr>
          <w:trHeight w:val="283"/>
          <w:jc w:val="center"/>
        </w:trPr>
        <w:tc>
          <w:tcPr>
            <w:tcW w:w="3101" w:type="pct"/>
            <w:tcBorders>
              <w:top w:val="nil"/>
              <w:left w:val="nil"/>
              <w:bottom w:val="nil"/>
              <w:right w:val="nil"/>
            </w:tcBorders>
            <w:shd w:val="clear" w:color="auto" w:fill="auto"/>
            <w:vAlign w:val="center"/>
            <w:hideMark/>
          </w:tcPr>
          <w:p w14:paraId="58C1D82E" w14:textId="77777777" w:rsidR="00A3343F" w:rsidRPr="00954AA6" w:rsidRDefault="00A3343F" w:rsidP="00A3343F">
            <w:pPr>
              <w:pBdr>
                <w:top w:val="none" w:sz="0" w:space="0" w:color="auto"/>
                <w:left w:val="none" w:sz="0" w:space="0" w:color="auto"/>
                <w:bottom w:val="none" w:sz="0" w:space="0" w:color="auto"/>
                <w:right w:val="none" w:sz="0" w:space="0" w:color="auto"/>
                <w:between w:val="none" w:sz="0" w:space="0" w:color="auto"/>
                <w:bar w:val="none" w:sz="0" w:color="auto"/>
              </w:pBdr>
              <w:ind w:left="214"/>
              <w:jc w:val="both"/>
              <w:outlineLvl w:val="9"/>
              <w:rPr>
                <w:rFonts w:eastAsia="Times New Roman"/>
                <w:sz w:val="18"/>
                <w:szCs w:val="18"/>
                <w:bdr w:val="none" w:sz="0" w:space="0" w:color="auto"/>
                <w:lang w:eastAsia="es-ES"/>
              </w:rPr>
            </w:pPr>
            <w:r w:rsidRPr="00954AA6">
              <w:rPr>
                <w:rFonts w:eastAsia="Times New Roman"/>
                <w:sz w:val="18"/>
                <w:szCs w:val="18"/>
                <w:bdr w:val="none" w:sz="0" w:space="0" w:color="auto"/>
                <w:lang w:eastAsia="es-ES"/>
              </w:rPr>
              <w:t>Prestaciones de servicios</w:t>
            </w:r>
          </w:p>
        </w:tc>
        <w:tc>
          <w:tcPr>
            <w:tcW w:w="949" w:type="pct"/>
            <w:tcBorders>
              <w:top w:val="nil"/>
              <w:left w:val="nil"/>
              <w:bottom w:val="nil"/>
              <w:right w:val="nil"/>
            </w:tcBorders>
            <w:shd w:val="clear" w:color="auto" w:fill="auto"/>
            <w:vAlign w:val="center"/>
          </w:tcPr>
          <w:p w14:paraId="1F8F50C7" w14:textId="4F74868C" w:rsidR="00A3343F" w:rsidRPr="00E612CB" w:rsidRDefault="00A3343F" w:rsidP="00A3343F">
            <w:pPr>
              <w:pBdr>
                <w:top w:val="none" w:sz="0" w:space="0" w:color="auto"/>
                <w:left w:val="none" w:sz="0" w:space="0" w:color="auto"/>
                <w:bottom w:val="none" w:sz="0" w:space="0" w:color="auto"/>
                <w:right w:val="none" w:sz="0" w:space="0" w:color="auto"/>
                <w:between w:val="none" w:sz="0" w:space="0" w:color="auto"/>
                <w:bar w:val="none" w:sz="0" w:color="auto"/>
              </w:pBdr>
              <w:jc w:val="right"/>
              <w:outlineLvl w:val="9"/>
              <w:rPr>
                <w:rFonts w:eastAsia="Times New Roman"/>
                <w:sz w:val="18"/>
                <w:szCs w:val="18"/>
                <w:bdr w:val="none" w:sz="0" w:space="0" w:color="auto"/>
                <w:lang w:eastAsia="es-ES"/>
              </w:rPr>
            </w:pPr>
            <w:r>
              <w:rPr>
                <w:sz w:val="18"/>
                <w:szCs w:val="18"/>
              </w:rPr>
              <w:t>811.576,34</w:t>
            </w:r>
          </w:p>
        </w:tc>
        <w:tc>
          <w:tcPr>
            <w:tcW w:w="950" w:type="pct"/>
            <w:tcBorders>
              <w:top w:val="nil"/>
              <w:left w:val="nil"/>
              <w:bottom w:val="nil"/>
              <w:right w:val="nil"/>
            </w:tcBorders>
            <w:shd w:val="clear" w:color="auto" w:fill="auto"/>
            <w:vAlign w:val="center"/>
            <w:hideMark/>
          </w:tcPr>
          <w:p w14:paraId="581AA3A1" w14:textId="7087ED69" w:rsidR="00A3343F" w:rsidRPr="00954AA6" w:rsidRDefault="00A3343F" w:rsidP="00A3343F">
            <w:pPr>
              <w:pBdr>
                <w:top w:val="none" w:sz="0" w:space="0" w:color="auto"/>
                <w:left w:val="none" w:sz="0" w:space="0" w:color="auto"/>
                <w:bottom w:val="none" w:sz="0" w:space="0" w:color="auto"/>
                <w:right w:val="none" w:sz="0" w:space="0" w:color="auto"/>
                <w:between w:val="none" w:sz="0" w:space="0" w:color="auto"/>
                <w:bar w:val="none" w:sz="0" w:color="auto"/>
              </w:pBdr>
              <w:jc w:val="right"/>
              <w:outlineLvl w:val="9"/>
              <w:rPr>
                <w:rFonts w:eastAsia="Times New Roman"/>
                <w:sz w:val="18"/>
                <w:szCs w:val="18"/>
                <w:bdr w:val="none" w:sz="0" w:space="0" w:color="auto"/>
                <w:lang w:eastAsia="es-ES"/>
              </w:rPr>
            </w:pPr>
            <w:r>
              <w:rPr>
                <w:sz w:val="18"/>
                <w:szCs w:val="18"/>
              </w:rPr>
              <w:t>278.650,74</w:t>
            </w:r>
          </w:p>
        </w:tc>
      </w:tr>
      <w:tr w:rsidR="00A3343F" w:rsidRPr="00954AA6" w14:paraId="0BB9FEF4" w14:textId="77777777" w:rsidTr="00604430">
        <w:trPr>
          <w:trHeight w:val="283"/>
          <w:jc w:val="center"/>
        </w:trPr>
        <w:tc>
          <w:tcPr>
            <w:tcW w:w="3101" w:type="pct"/>
            <w:tcBorders>
              <w:top w:val="nil"/>
              <w:left w:val="nil"/>
              <w:bottom w:val="nil"/>
              <w:right w:val="nil"/>
            </w:tcBorders>
            <w:shd w:val="clear" w:color="auto" w:fill="auto"/>
            <w:vAlign w:val="center"/>
            <w:hideMark/>
          </w:tcPr>
          <w:p w14:paraId="6B241B52" w14:textId="77777777" w:rsidR="00A3343F" w:rsidRPr="00954AA6" w:rsidRDefault="00A3343F" w:rsidP="00A3343F">
            <w:pPr>
              <w:pBdr>
                <w:top w:val="none" w:sz="0" w:space="0" w:color="auto"/>
                <w:left w:val="none" w:sz="0" w:space="0" w:color="auto"/>
                <w:bottom w:val="none" w:sz="0" w:space="0" w:color="auto"/>
                <w:right w:val="none" w:sz="0" w:space="0" w:color="auto"/>
                <w:between w:val="none" w:sz="0" w:space="0" w:color="auto"/>
                <w:bar w:val="none" w:sz="0" w:color="auto"/>
              </w:pBdr>
              <w:ind w:left="214"/>
              <w:jc w:val="both"/>
              <w:outlineLvl w:val="9"/>
              <w:rPr>
                <w:rFonts w:eastAsia="Times New Roman"/>
                <w:sz w:val="18"/>
                <w:szCs w:val="18"/>
                <w:bdr w:val="none" w:sz="0" w:space="0" w:color="auto"/>
                <w:lang w:eastAsia="es-ES"/>
              </w:rPr>
            </w:pPr>
            <w:proofErr w:type="spellStart"/>
            <w:r w:rsidRPr="00954AA6">
              <w:rPr>
                <w:rFonts w:eastAsia="Times New Roman"/>
                <w:sz w:val="18"/>
                <w:szCs w:val="18"/>
                <w:bdr w:val="none" w:sz="0" w:space="0" w:color="auto"/>
                <w:lang w:eastAsia="es-ES"/>
              </w:rPr>
              <w:t>Subv</w:t>
            </w:r>
            <w:proofErr w:type="spellEnd"/>
            <w:r w:rsidRPr="00954AA6">
              <w:rPr>
                <w:rFonts w:eastAsia="Times New Roman"/>
                <w:sz w:val="18"/>
                <w:szCs w:val="18"/>
                <w:bdr w:val="none" w:sz="0" w:space="0" w:color="auto"/>
                <w:lang w:eastAsia="es-ES"/>
              </w:rPr>
              <w:t>. de explotación incorporadas al resultado</w:t>
            </w:r>
          </w:p>
          <w:p w14:paraId="633905F5" w14:textId="77777777" w:rsidR="00A3343F" w:rsidRPr="00954AA6" w:rsidRDefault="00A3343F" w:rsidP="00A3343F">
            <w:pPr>
              <w:pBdr>
                <w:top w:val="none" w:sz="0" w:space="0" w:color="auto"/>
                <w:left w:val="none" w:sz="0" w:space="0" w:color="auto"/>
                <w:bottom w:val="none" w:sz="0" w:space="0" w:color="auto"/>
                <w:right w:val="none" w:sz="0" w:space="0" w:color="auto"/>
                <w:between w:val="none" w:sz="0" w:space="0" w:color="auto"/>
                <w:bar w:val="none" w:sz="0" w:color="auto"/>
              </w:pBdr>
              <w:ind w:left="214"/>
              <w:jc w:val="both"/>
              <w:outlineLvl w:val="9"/>
              <w:rPr>
                <w:rFonts w:eastAsia="Times New Roman"/>
                <w:sz w:val="18"/>
                <w:szCs w:val="18"/>
                <w:bdr w:val="none" w:sz="0" w:space="0" w:color="auto"/>
                <w:lang w:eastAsia="es-ES"/>
              </w:rPr>
            </w:pPr>
            <w:r w:rsidRPr="00954AA6">
              <w:rPr>
                <w:rFonts w:eastAsia="Times New Roman"/>
                <w:sz w:val="18"/>
                <w:szCs w:val="18"/>
                <w:bdr w:val="none" w:sz="0" w:space="0" w:color="auto"/>
                <w:lang w:eastAsia="es-ES"/>
              </w:rPr>
              <w:t>del ejercicio</w:t>
            </w:r>
          </w:p>
        </w:tc>
        <w:tc>
          <w:tcPr>
            <w:tcW w:w="949" w:type="pct"/>
            <w:tcBorders>
              <w:top w:val="nil"/>
              <w:left w:val="nil"/>
              <w:bottom w:val="nil"/>
              <w:right w:val="nil"/>
            </w:tcBorders>
            <w:shd w:val="clear" w:color="auto" w:fill="auto"/>
            <w:vAlign w:val="center"/>
          </w:tcPr>
          <w:p w14:paraId="1DA67ADF" w14:textId="445A9894" w:rsidR="00A3343F" w:rsidRPr="00E612CB" w:rsidRDefault="00A3343F" w:rsidP="00A3343F">
            <w:pPr>
              <w:pBdr>
                <w:top w:val="none" w:sz="0" w:space="0" w:color="auto"/>
                <w:left w:val="none" w:sz="0" w:space="0" w:color="auto"/>
                <w:bottom w:val="none" w:sz="0" w:space="0" w:color="auto"/>
                <w:right w:val="none" w:sz="0" w:space="0" w:color="auto"/>
                <w:between w:val="none" w:sz="0" w:space="0" w:color="auto"/>
                <w:bar w:val="none" w:sz="0" w:color="auto"/>
              </w:pBdr>
              <w:jc w:val="right"/>
              <w:outlineLvl w:val="9"/>
              <w:rPr>
                <w:rFonts w:eastAsia="Times New Roman"/>
                <w:sz w:val="18"/>
                <w:szCs w:val="18"/>
                <w:bdr w:val="none" w:sz="0" w:space="0" w:color="auto"/>
                <w:lang w:eastAsia="es-ES"/>
              </w:rPr>
            </w:pPr>
            <w:r>
              <w:rPr>
                <w:sz w:val="18"/>
                <w:szCs w:val="18"/>
              </w:rPr>
              <w:t>48.246.316,42</w:t>
            </w:r>
          </w:p>
        </w:tc>
        <w:tc>
          <w:tcPr>
            <w:tcW w:w="950" w:type="pct"/>
            <w:tcBorders>
              <w:top w:val="nil"/>
              <w:left w:val="nil"/>
              <w:bottom w:val="nil"/>
              <w:right w:val="nil"/>
            </w:tcBorders>
            <w:shd w:val="clear" w:color="auto" w:fill="auto"/>
            <w:vAlign w:val="center"/>
            <w:hideMark/>
          </w:tcPr>
          <w:p w14:paraId="16C481F3" w14:textId="4060E64A" w:rsidR="00A3343F" w:rsidRPr="00954AA6" w:rsidRDefault="00A3343F" w:rsidP="00A3343F">
            <w:pPr>
              <w:pBdr>
                <w:top w:val="none" w:sz="0" w:space="0" w:color="auto"/>
                <w:left w:val="none" w:sz="0" w:space="0" w:color="auto"/>
                <w:bottom w:val="none" w:sz="0" w:space="0" w:color="auto"/>
                <w:right w:val="none" w:sz="0" w:space="0" w:color="auto"/>
                <w:between w:val="none" w:sz="0" w:space="0" w:color="auto"/>
                <w:bar w:val="none" w:sz="0" w:color="auto"/>
              </w:pBdr>
              <w:jc w:val="right"/>
              <w:outlineLvl w:val="9"/>
              <w:rPr>
                <w:rFonts w:eastAsia="Times New Roman"/>
                <w:sz w:val="18"/>
                <w:szCs w:val="18"/>
                <w:bdr w:val="none" w:sz="0" w:space="0" w:color="auto"/>
                <w:lang w:eastAsia="es-ES"/>
              </w:rPr>
            </w:pPr>
            <w:r>
              <w:rPr>
                <w:sz w:val="18"/>
                <w:szCs w:val="18"/>
              </w:rPr>
              <w:t>46.743.894,28</w:t>
            </w:r>
          </w:p>
        </w:tc>
      </w:tr>
      <w:tr w:rsidR="00A3343F" w:rsidRPr="00954AA6" w14:paraId="4ADFA9CC" w14:textId="77777777" w:rsidTr="00604430">
        <w:trPr>
          <w:trHeight w:val="283"/>
          <w:jc w:val="center"/>
        </w:trPr>
        <w:tc>
          <w:tcPr>
            <w:tcW w:w="3101" w:type="pct"/>
            <w:tcBorders>
              <w:top w:val="nil"/>
              <w:left w:val="nil"/>
              <w:bottom w:val="single" w:sz="4" w:space="0" w:color="auto"/>
              <w:right w:val="nil"/>
            </w:tcBorders>
            <w:shd w:val="clear" w:color="auto" w:fill="auto"/>
            <w:vAlign w:val="center"/>
            <w:hideMark/>
          </w:tcPr>
          <w:p w14:paraId="7976888A" w14:textId="77777777" w:rsidR="00A3343F" w:rsidRPr="00954AA6" w:rsidRDefault="00A3343F" w:rsidP="00A3343F">
            <w:pPr>
              <w:pBdr>
                <w:top w:val="none" w:sz="0" w:space="0" w:color="auto"/>
                <w:left w:val="none" w:sz="0" w:space="0" w:color="auto"/>
                <w:bottom w:val="none" w:sz="0" w:space="0" w:color="auto"/>
                <w:right w:val="none" w:sz="0" w:space="0" w:color="auto"/>
                <w:between w:val="none" w:sz="0" w:space="0" w:color="auto"/>
                <w:bar w:val="none" w:sz="0" w:color="auto"/>
              </w:pBdr>
              <w:ind w:left="214"/>
              <w:jc w:val="both"/>
              <w:outlineLvl w:val="9"/>
              <w:rPr>
                <w:rFonts w:eastAsia="Times New Roman"/>
                <w:sz w:val="18"/>
                <w:szCs w:val="18"/>
                <w:bdr w:val="none" w:sz="0" w:space="0" w:color="auto"/>
                <w:lang w:eastAsia="es-ES"/>
              </w:rPr>
            </w:pPr>
            <w:r w:rsidRPr="00954AA6">
              <w:rPr>
                <w:rFonts w:eastAsia="Times New Roman"/>
                <w:sz w:val="18"/>
                <w:szCs w:val="18"/>
                <w:bdr w:val="none" w:sz="0" w:space="0" w:color="auto"/>
                <w:lang w:eastAsia="es-ES"/>
              </w:rPr>
              <w:t>Ingresos accesorios y otros de gestión corriente</w:t>
            </w:r>
          </w:p>
        </w:tc>
        <w:tc>
          <w:tcPr>
            <w:tcW w:w="949" w:type="pct"/>
            <w:tcBorders>
              <w:top w:val="nil"/>
              <w:left w:val="nil"/>
              <w:bottom w:val="nil"/>
              <w:right w:val="nil"/>
            </w:tcBorders>
            <w:shd w:val="clear" w:color="auto" w:fill="auto"/>
            <w:vAlign w:val="center"/>
          </w:tcPr>
          <w:p w14:paraId="53611549" w14:textId="629C38EF" w:rsidR="00A3343F" w:rsidRPr="00E612CB" w:rsidRDefault="00A3343F" w:rsidP="00A3343F">
            <w:pPr>
              <w:pBdr>
                <w:top w:val="none" w:sz="0" w:space="0" w:color="auto"/>
                <w:left w:val="none" w:sz="0" w:space="0" w:color="auto"/>
                <w:bottom w:val="none" w:sz="0" w:space="0" w:color="auto"/>
                <w:right w:val="none" w:sz="0" w:space="0" w:color="auto"/>
                <w:between w:val="none" w:sz="0" w:space="0" w:color="auto"/>
                <w:bar w:val="none" w:sz="0" w:color="auto"/>
              </w:pBdr>
              <w:jc w:val="right"/>
              <w:outlineLvl w:val="9"/>
              <w:rPr>
                <w:rFonts w:eastAsia="Times New Roman"/>
                <w:sz w:val="18"/>
                <w:szCs w:val="18"/>
                <w:bdr w:val="none" w:sz="0" w:space="0" w:color="auto"/>
                <w:lang w:eastAsia="es-ES"/>
              </w:rPr>
            </w:pPr>
            <w:r>
              <w:rPr>
                <w:sz w:val="18"/>
                <w:szCs w:val="18"/>
              </w:rPr>
              <w:t>385.338,16</w:t>
            </w:r>
          </w:p>
        </w:tc>
        <w:tc>
          <w:tcPr>
            <w:tcW w:w="950" w:type="pct"/>
            <w:tcBorders>
              <w:top w:val="nil"/>
              <w:left w:val="nil"/>
              <w:bottom w:val="nil"/>
              <w:right w:val="nil"/>
            </w:tcBorders>
            <w:shd w:val="clear" w:color="auto" w:fill="auto"/>
            <w:vAlign w:val="center"/>
            <w:hideMark/>
          </w:tcPr>
          <w:p w14:paraId="4E7A74CD" w14:textId="2ED38299" w:rsidR="00A3343F" w:rsidRPr="00954AA6" w:rsidRDefault="00A3343F" w:rsidP="00A3343F">
            <w:pPr>
              <w:pBdr>
                <w:top w:val="none" w:sz="0" w:space="0" w:color="auto"/>
                <w:left w:val="none" w:sz="0" w:space="0" w:color="auto"/>
                <w:bottom w:val="none" w:sz="0" w:space="0" w:color="auto"/>
                <w:right w:val="none" w:sz="0" w:space="0" w:color="auto"/>
                <w:between w:val="none" w:sz="0" w:space="0" w:color="auto"/>
                <w:bar w:val="none" w:sz="0" w:color="auto"/>
              </w:pBdr>
              <w:jc w:val="right"/>
              <w:outlineLvl w:val="9"/>
              <w:rPr>
                <w:rFonts w:eastAsia="Times New Roman"/>
                <w:sz w:val="18"/>
                <w:szCs w:val="18"/>
                <w:bdr w:val="none" w:sz="0" w:space="0" w:color="auto"/>
                <w:lang w:eastAsia="es-ES"/>
              </w:rPr>
            </w:pPr>
            <w:r>
              <w:rPr>
                <w:sz w:val="18"/>
                <w:szCs w:val="18"/>
              </w:rPr>
              <w:t>308.839,43</w:t>
            </w:r>
          </w:p>
        </w:tc>
      </w:tr>
      <w:tr w:rsidR="00A3343F" w:rsidRPr="00954AA6" w14:paraId="6265E300" w14:textId="77777777" w:rsidTr="00604430">
        <w:trPr>
          <w:trHeight w:val="283"/>
          <w:jc w:val="center"/>
        </w:trPr>
        <w:tc>
          <w:tcPr>
            <w:tcW w:w="3101" w:type="pct"/>
            <w:tcBorders>
              <w:top w:val="nil"/>
              <w:left w:val="nil"/>
              <w:bottom w:val="single" w:sz="4" w:space="0" w:color="auto"/>
              <w:right w:val="nil"/>
            </w:tcBorders>
            <w:shd w:val="clear" w:color="auto" w:fill="auto"/>
            <w:vAlign w:val="center"/>
            <w:hideMark/>
          </w:tcPr>
          <w:p w14:paraId="0181E256" w14:textId="77777777" w:rsidR="00A3343F" w:rsidRPr="00954AA6" w:rsidRDefault="00A3343F" w:rsidP="00A3343F">
            <w:pPr>
              <w:pBdr>
                <w:top w:val="none" w:sz="0" w:space="0" w:color="auto"/>
                <w:left w:val="none" w:sz="0" w:space="0" w:color="auto"/>
                <w:bottom w:val="none" w:sz="0" w:space="0" w:color="auto"/>
                <w:right w:val="none" w:sz="0" w:space="0" w:color="auto"/>
                <w:between w:val="none" w:sz="0" w:space="0" w:color="auto"/>
                <w:bar w:val="none" w:sz="0" w:color="auto"/>
              </w:pBdr>
              <w:ind w:left="214"/>
              <w:outlineLvl w:val="9"/>
              <w:rPr>
                <w:rFonts w:eastAsia="Times New Roman"/>
                <w:b/>
                <w:bCs/>
                <w:sz w:val="18"/>
                <w:szCs w:val="18"/>
                <w:bdr w:val="none" w:sz="0" w:space="0" w:color="auto"/>
                <w:lang w:eastAsia="es-ES"/>
              </w:rPr>
            </w:pPr>
            <w:r w:rsidRPr="00954AA6">
              <w:rPr>
                <w:rFonts w:eastAsia="Times New Roman"/>
                <w:b/>
                <w:bCs/>
                <w:sz w:val="18"/>
                <w:szCs w:val="18"/>
                <w:bdr w:val="none" w:sz="0" w:space="0" w:color="auto"/>
                <w:lang w:eastAsia="es-ES"/>
              </w:rPr>
              <w:t>Total</w:t>
            </w:r>
          </w:p>
        </w:tc>
        <w:tc>
          <w:tcPr>
            <w:tcW w:w="949" w:type="pct"/>
            <w:tcBorders>
              <w:top w:val="single" w:sz="4" w:space="0" w:color="auto"/>
              <w:left w:val="nil"/>
              <w:bottom w:val="single" w:sz="4" w:space="0" w:color="auto"/>
              <w:right w:val="nil"/>
            </w:tcBorders>
            <w:shd w:val="clear" w:color="auto" w:fill="auto"/>
            <w:vAlign w:val="center"/>
          </w:tcPr>
          <w:p w14:paraId="6ED4ADF1" w14:textId="1E411A7E" w:rsidR="00A3343F" w:rsidRPr="00E612CB" w:rsidRDefault="00A3343F" w:rsidP="00A3343F">
            <w:pPr>
              <w:pBdr>
                <w:top w:val="none" w:sz="0" w:space="0" w:color="auto"/>
                <w:left w:val="none" w:sz="0" w:space="0" w:color="auto"/>
                <w:bottom w:val="none" w:sz="0" w:space="0" w:color="auto"/>
                <w:right w:val="none" w:sz="0" w:space="0" w:color="auto"/>
                <w:between w:val="none" w:sz="0" w:space="0" w:color="auto"/>
                <w:bar w:val="none" w:sz="0" w:color="auto"/>
              </w:pBdr>
              <w:jc w:val="right"/>
              <w:outlineLvl w:val="9"/>
              <w:rPr>
                <w:rFonts w:eastAsia="Times New Roman"/>
                <w:b/>
                <w:bCs/>
                <w:sz w:val="18"/>
                <w:szCs w:val="18"/>
                <w:bdr w:val="none" w:sz="0" w:space="0" w:color="auto"/>
                <w:lang w:eastAsia="es-ES"/>
              </w:rPr>
            </w:pPr>
            <w:r>
              <w:rPr>
                <w:b/>
                <w:bCs/>
                <w:sz w:val="18"/>
                <w:szCs w:val="18"/>
              </w:rPr>
              <w:t>49.443.230,92</w:t>
            </w:r>
          </w:p>
        </w:tc>
        <w:tc>
          <w:tcPr>
            <w:tcW w:w="950" w:type="pct"/>
            <w:tcBorders>
              <w:top w:val="single" w:sz="4" w:space="0" w:color="auto"/>
              <w:left w:val="nil"/>
              <w:bottom w:val="single" w:sz="4" w:space="0" w:color="auto"/>
              <w:right w:val="nil"/>
            </w:tcBorders>
            <w:shd w:val="clear" w:color="auto" w:fill="auto"/>
            <w:vAlign w:val="center"/>
            <w:hideMark/>
          </w:tcPr>
          <w:p w14:paraId="7021F94D" w14:textId="2DFF5170" w:rsidR="00A3343F" w:rsidRPr="00954AA6" w:rsidRDefault="00A3343F" w:rsidP="00A3343F">
            <w:pPr>
              <w:pBdr>
                <w:top w:val="none" w:sz="0" w:space="0" w:color="auto"/>
                <w:left w:val="none" w:sz="0" w:space="0" w:color="auto"/>
                <w:bottom w:val="none" w:sz="0" w:space="0" w:color="auto"/>
                <w:right w:val="none" w:sz="0" w:space="0" w:color="auto"/>
                <w:between w:val="none" w:sz="0" w:space="0" w:color="auto"/>
                <w:bar w:val="none" w:sz="0" w:color="auto"/>
              </w:pBdr>
              <w:jc w:val="right"/>
              <w:outlineLvl w:val="9"/>
              <w:rPr>
                <w:rFonts w:eastAsia="Times New Roman"/>
                <w:b/>
                <w:bCs/>
                <w:sz w:val="18"/>
                <w:szCs w:val="18"/>
                <w:bdr w:val="none" w:sz="0" w:space="0" w:color="auto"/>
                <w:lang w:eastAsia="es-ES"/>
              </w:rPr>
            </w:pPr>
            <w:r>
              <w:rPr>
                <w:b/>
                <w:bCs/>
                <w:sz w:val="18"/>
                <w:szCs w:val="18"/>
              </w:rPr>
              <w:t>47.331.384,45</w:t>
            </w:r>
          </w:p>
        </w:tc>
      </w:tr>
    </w:tbl>
    <w:p w14:paraId="79C263B8" w14:textId="77777777" w:rsidR="006220A2" w:rsidRPr="0083433F" w:rsidRDefault="006220A2">
      <w:pPr>
        <w:keepNext/>
        <w:keepLines/>
        <w:widowControl w:val="0"/>
        <w:numPr>
          <w:ilvl w:val="0"/>
          <w:numId w:val="10"/>
        </w:numPr>
        <w:pBdr>
          <w:top w:val="none" w:sz="0" w:space="0" w:color="auto"/>
          <w:left w:val="none" w:sz="0" w:space="0" w:color="auto"/>
          <w:bottom w:val="none" w:sz="0" w:space="0" w:color="auto"/>
          <w:right w:val="none" w:sz="0" w:space="0" w:color="auto"/>
          <w:between w:val="none" w:sz="0" w:space="0" w:color="auto"/>
          <w:bar w:val="none" w:sz="0" w:color="auto"/>
        </w:pBdr>
        <w:tabs>
          <w:tab w:val="clear" w:pos="360"/>
          <w:tab w:val="num" w:pos="0"/>
          <w:tab w:val="left" w:pos="284"/>
        </w:tabs>
        <w:spacing w:before="200"/>
        <w:ind w:left="0" w:firstLine="0"/>
        <w:outlineLvl w:val="9"/>
        <w:rPr>
          <w:sz w:val="20"/>
          <w:szCs w:val="22"/>
          <w:u w:val="single"/>
        </w:rPr>
      </w:pPr>
      <w:r w:rsidRPr="0083433F">
        <w:rPr>
          <w:sz w:val="20"/>
          <w:szCs w:val="22"/>
          <w:u w:val="single"/>
        </w:rPr>
        <w:t>Gastos de explotación</w:t>
      </w:r>
    </w:p>
    <w:p w14:paraId="31787930" w14:textId="77777777" w:rsidR="006220A2" w:rsidRPr="00176BA0" w:rsidRDefault="006220A2" w:rsidP="00D67C6B">
      <w:pPr>
        <w:widowControl w:val="0"/>
        <w:spacing w:before="120" w:after="120" w:line="260" w:lineRule="exact"/>
        <w:jc w:val="both"/>
        <w:outlineLvl w:val="9"/>
        <w:rPr>
          <w:snapToGrid w:val="0"/>
          <w:sz w:val="20"/>
          <w:szCs w:val="22"/>
        </w:rPr>
      </w:pPr>
      <w:r w:rsidRPr="00176BA0">
        <w:rPr>
          <w:snapToGrid w:val="0"/>
          <w:sz w:val="20"/>
          <w:szCs w:val="22"/>
        </w:rPr>
        <w:t xml:space="preserve">Bajo este epígrafe se recogen los gastos en los que ha incurrido la Sociedad para la realización de su actividad promocional consistentes en la contratación de servicios a otras empresas, ver ampliación de esta información en el informe de gestión. </w:t>
      </w:r>
    </w:p>
    <w:tbl>
      <w:tblPr>
        <w:tblW w:w="5000" w:type="pct"/>
        <w:jc w:val="center"/>
        <w:tblCellMar>
          <w:left w:w="70" w:type="dxa"/>
          <w:right w:w="70" w:type="dxa"/>
        </w:tblCellMar>
        <w:tblLook w:val="04A0" w:firstRow="1" w:lastRow="0" w:firstColumn="1" w:lastColumn="0" w:noHBand="0" w:noVBand="1"/>
      </w:tblPr>
      <w:tblGrid>
        <w:gridCol w:w="5075"/>
        <w:gridCol w:w="1853"/>
        <w:gridCol w:w="1853"/>
      </w:tblGrid>
      <w:tr w:rsidR="000D76CC" w:rsidRPr="00954AA6" w14:paraId="47BFA425" w14:textId="77777777" w:rsidTr="00954AA6">
        <w:trPr>
          <w:trHeight w:val="227"/>
          <w:jc w:val="center"/>
        </w:trPr>
        <w:tc>
          <w:tcPr>
            <w:tcW w:w="2890" w:type="pct"/>
            <w:tcBorders>
              <w:top w:val="single" w:sz="4" w:space="0" w:color="auto"/>
              <w:left w:val="nil"/>
              <w:bottom w:val="nil"/>
              <w:right w:val="nil"/>
            </w:tcBorders>
            <w:shd w:val="clear" w:color="auto" w:fill="auto"/>
            <w:vAlign w:val="center"/>
            <w:hideMark/>
          </w:tcPr>
          <w:p w14:paraId="75CDFD47" w14:textId="77777777" w:rsidR="000D76CC" w:rsidRPr="00954AA6" w:rsidRDefault="000D76CC" w:rsidP="00954AA6">
            <w:pPr>
              <w:pBdr>
                <w:top w:val="none" w:sz="0" w:space="0" w:color="auto"/>
                <w:left w:val="none" w:sz="0" w:space="0" w:color="auto"/>
                <w:bottom w:val="none" w:sz="0" w:space="0" w:color="auto"/>
                <w:right w:val="none" w:sz="0" w:space="0" w:color="auto"/>
                <w:between w:val="none" w:sz="0" w:space="0" w:color="auto"/>
                <w:bar w:val="none" w:sz="0" w:color="auto"/>
              </w:pBdr>
              <w:ind w:left="214"/>
              <w:outlineLvl w:val="9"/>
              <w:rPr>
                <w:rFonts w:eastAsia="Times New Roman"/>
                <w:sz w:val="18"/>
                <w:szCs w:val="18"/>
                <w:bdr w:val="none" w:sz="0" w:space="0" w:color="auto"/>
                <w:lang w:eastAsia="es-ES"/>
              </w:rPr>
            </w:pPr>
            <w:r w:rsidRPr="00954AA6">
              <w:rPr>
                <w:rFonts w:eastAsia="Times New Roman"/>
                <w:sz w:val="18"/>
                <w:szCs w:val="18"/>
                <w:bdr w:val="none" w:sz="0" w:space="0" w:color="auto"/>
                <w:lang w:eastAsia="es-ES"/>
              </w:rPr>
              <w:t> </w:t>
            </w:r>
          </w:p>
        </w:tc>
        <w:tc>
          <w:tcPr>
            <w:tcW w:w="2110" w:type="pct"/>
            <w:gridSpan w:val="2"/>
            <w:tcBorders>
              <w:top w:val="single" w:sz="4" w:space="0" w:color="auto"/>
              <w:left w:val="nil"/>
              <w:bottom w:val="single" w:sz="4" w:space="0" w:color="auto"/>
              <w:right w:val="nil"/>
            </w:tcBorders>
            <w:shd w:val="clear" w:color="auto" w:fill="auto"/>
            <w:vAlign w:val="bottom"/>
            <w:hideMark/>
          </w:tcPr>
          <w:p w14:paraId="7A7A7AA2" w14:textId="77777777" w:rsidR="000D76CC" w:rsidRPr="00954AA6" w:rsidRDefault="000D76CC" w:rsidP="00395ADC">
            <w:pPr>
              <w:pBdr>
                <w:top w:val="none" w:sz="0" w:space="0" w:color="auto"/>
                <w:left w:val="none" w:sz="0" w:space="0" w:color="auto"/>
                <w:bottom w:val="none" w:sz="0" w:space="0" w:color="auto"/>
                <w:right w:val="none" w:sz="0" w:space="0" w:color="auto"/>
                <w:between w:val="none" w:sz="0" w:space="0" w:color="auto"/>
                <w:bar w:val="none" w:sz="0" w:color="auto"/>
              </w:pBdr>
              <w:jc w:val="center"/>
              <w:outlineLvl w:val="9"/>
              <w:rPr>
                <w:rFonts w:eastAsia="Times New Roman"/>
                <w:b/>
                <w:bCs/>
                <w:sz w:val="18"/>
                <w:szCs w:val="18"/>
                <w:bdr w:val="none" w:sz="0" w:space="0" w:color="auto"/>
                <w:lang w:eastAsia="es-ES"/>
              </w:rPr>
            </w:pPr>
            <w:r w:rsidRPr="00954AA6">
              <w:rPr>
                <w:rFonts w:eastAsia="Times New Roman"/>
                <w:b/>
                <w:bCs/>
                <w:sz w:val="18"/>
                <w:szCs w:val="18"/>
                <w:bdr w:val="none" w:sz="0" w:space="0" w:color="auto"/>
                <w:lang w:eastAsia="es-ES"/>
              </w:rPr>
              <w:t>Euros</w:t>
            </w:r>
          </w:p>
        </w:tc>
      </w:tr>
      <w:tr w:rsidR="00604430" w:rsidRPr="00954AA6" w14:paraId="1B5DB7F2" w14:textId="77777777" w:rsidTr="00954AA6">
        <w:trPr>
          <w:trHeight w:val="227"/>
          <w:jc w:val="center"/>
        </w:trPr>
        <w:tc>
          <w:tcPr>
            <w:tcW w:w="2890" w:type="pct"/>
            <w:tcBorders>
              <w:top w:val="nil"/>
              <w:left w:val="nil"/>
              <w:bottom w:val="single" w:sz="4" w:space="0" w:color="auto"/>
              <w:right w:val="nil"/>
            </w:tcBorders>
            <w:shd w:val="clear" w:color="auto" w:fill="auto"/>
            <w:vAlign w:val="center"/>
            <w:hideMark/>
          </w:tcPr>
          <w:p w14:paraId="1E08ECB2" w14:textId="77777777" w:rsidR="00604430" w:rsidRPr="00954AA6" w:rsidRDefault="00604430" w:rsidP="00604430">
            <w:pPr>
              <w:pBdr>
                <w:top w:val="none" w:sz="0" w:space="0" w:color="auto"/>
                <w:left w:val="none" w:sz="0" w:space="0" w:color="auto"/>
                <w:bottom w:val="none" w:sz="0" w:space="0" w:color="auto"/>
                <w:right w:val="none" w:sz="0" w:space="0" w:color="auto"/>
                <w:between w:val="none" w:sz="0" w:space="0" w:color="auto"/>
                <w:bar w:val="none" w:sz="0" w:color="auto"/>
              </w:pBdr>
              <w:ind w:left="214"/>
              <w:outlineLvl w:val="9"/>
              <w:rPr>
                <w:rFonts w:eastAsia="Times New Roman"/>
                <w:sz w:val="18"/>
                <w:szCs w:val="18"/>
                <w:bdr w:val="none" w:sz="0" w:space="0" w:color="auto"/>
                <w:lang w:eastAsia="es-ES"/>
              </w:rPr>
            </w:pPr>
            <w:r w:rsidRPr="00954AA6">
              <w:rPr>
                <w:rFonts w:eastAsia="Times New Roman"/>
                <w:sz w:val="18"/>
                <w:szCs w:val="18"/>
                <w:bdr w:val="none" w:sz="0" w:space="0" w:color="auto"/>
                <w:lang w:eastAsia="es-ES"/>
              </w:rPr>
              <w:t> </w:t>
            </w:r>
          </w:p>
        </w:tc>
        <w:tc>
          <w:tcPr>
            <w:tcW w:w="1055" w:type="pct"/>
            <w:tcBorders>
              <w:top w:val="nil"/>
              <w:left w:val="nil"/>
              <w:bottom w:val="single" w:sz="4" w:space="0" w:color="auto"/>
              <w:right w:val="nil"/>
            </w:tcBorders>
            <w:shd w:val="clear" w:color="auto" w:fill="auto"/>
            <w:vAlign w:val="bottom"/>
            <w:hideMark/>
          </w:tcPr>
          <w:p w14:paraId="576D268E" w14:textId="36D0E825" w:rsidR="00604430" w:rsidRPr="00954AA6" w:rsidRDefault="00604430" w:rsidP="00604430">
            <w:pPr>
              <w:pBdr>
                <w:top w:val="none" w:sz="0" w:space="0" w:color="auto"/>
                <w:left w:val="none" w:sz="0" w:space="0" w:color="auto"/>
                <w:bottom w:val="none" w:sz="0" w:space="0" w:color="auto"/>
                <w:right w:val="none" w:sz="0" w:space="0" w:color="auto"/>
                <w:between w:val="none" w:sz="0" w:space="0" w:color="auto"/>
                <w:bar w:val="none" w:sz="0" w:color="auto"/>
              </w:pBdr>
              <w:jc w:val="center"/>
              <w:outlineLvl w:val="9"/>
              <w:rPr>
                <w:rFonts w:eastAsia="Times New Roman"/>
                <w:b/>
                <w:bCs/>
                <w:sz w:val="18"/>
                <w:szCs w:val="18"/>
                <w:bdr w:val="none" w:sz="0" w:space="0" w:color="auto"/>
                <w:lang w:eastAsia="es-ES"/>
              </w:rPr>
            </w:pPr>
            <w:r w:rsidRPr="00954AA6">
              <w:rPr>
                <w:rFonts w:eastAsia="Times New Roman"/>
                <w:b/>
                <w:bCs/>
                <w:sz w:val="18"/>
                <w:szCs w:val="18"/>
                <w:bdr w:val="none" w:sz="0" w:space="0" w:color="auto"/>
                <w:lang w:eastAsia="es-ES"/>
              </w:rPr>
              <w:t>202</w:t>
            </w:r>
            <w:r w:rsidR="00CD5E24">
              <w:rPr>
                <w:rFonts w:eastAsia="Times New Roman"/>
                <w:b/>
                <w:bCs/>
                <w:sz w:val="18"/>
                <w:szCs w:val="18"/>
                <w:bdr w:val="none" w:sz="0" w:space="0" w:color="auto"/>
                <w:lang w:eastAsia="es-ES"/>
              </w:rPr>
              <w:t>4</w:t>
            </w:r>
          </w:p>
        </w:tc>
        <w:tc>
          <w:tcPr>
            <w:tcW w:w="1055" w:type="pct"/>
            <w:tcBorders>
              <w:top w:val="nil"/>
              <w:left w:val="nil"/>
              <w:bottom w:val="single" w:sz="4" w:space="0" w:color="auto"/>
              <w:right w:val="nil"/>
            </w:tcBorders>
            <w:shd w:val="clear" w:color="auto" w:fill="auto"/>
            <w:vAlign w:val="bottom"/>
            <w:hideMark/>
          </w:tcPr>
          <w:p w14:paraId="116CF0C7" w14:textId="098E0F45" w:rsidR="00604430" w:rsidRPr="00954AA6" w:rsidRDefault="00604430" w:rsidP="00604430">
            <w:pPr>
              <w:pBdr>
                <w:top w:val="none" w:sz="0" w:space="0" w:color="auto"/>
                <w:left w:val="none" w:sz="0" w:space="0" w:color="auto"/>
                <w:bottom w:val="none" w:sz="0" w:space="0" w:color="auto"/>
                <w:right w:val="none" w:sz="0" w:space="0" w:color="auto"/>
                <w:between w:val="none" w:sz="0" w:space="0" w:color="auto"/>
                <w:bar w:val="none" w:sz="0" w:color="auto"/>
              </w:pBdr>
              <w:jc w:val="center"/>
              <w:outlineLvl w:val="9"/>
              <w:rPr>
                <w:rFonts w:eastAsia="Times New Roman"/>
                <w:b/>
                <w:bCs/>
                <w:sz w:val="18"/>
                <w:szCs w:val="18"/>
                <w:bdr w:val="none" w:sz="0" w:space="0" w:color="auto"/>
                <w:lang w:eastAsia="es-ES"/>
              </w:rPr>
            </w:pPr>
            <w:r w:rsidRPr="00954AA6">
              <w:rPr>
                <w:rFonts w:eastAsia="Times New Roman"/>
                <w:b/>
                <w:bCs/>
                <w:sz w:val="18"/>
                <w:szCs w:val="18"/>
                <w:bdr w:val="none" w:sz="0" w:space="0" w:color="auto"/>
                <w:lang w:eastAsia="es-ES"/>
              </w:rPr>
              <w:t>202</w:t>
            </w:r>
            <w:r w:rsidR="00CD5E24">
              <w:rPr>
                <w:rFonts w:eastAsia="Times New Roman"/>
                <w:b/>
                <w:bCs/>
                <w:sz w:val="18"/>
                <w:szCs w:val="18"/>
                <w:bdr w:val="none" w:sz="0" w:space="0" w:color="auto"/>
                <w:lang w:eastAsia="es-ES"/>
              </w:rPr>
              <w:t>3</w:t>
            </w:r>
          </w:p>
        </w:tc>
      </w:tr>
      <w:tr w:rsidR="00CD5E24" w:rsidRPr="00954AA6" w14:paraId="7F561D0B" w14:textId="77777777" w:rsidTr="00CD5E24">
        <w:trPr>
          <w:trHeight w:val="283"/>
          <w:jc w:val="center"/>
        </w:trPr>
        <w:tc>
          <w:tcPr>
            <w:tcW w:w="2890" w:type="pct"/>
            <w:tcBorders>
              <w:top w:val="nil"/>
              <w:left w:val="nil"/>
              <w:bottom w:val="nil"/>
              <w:right w:val="nil"/>
            </w:tcBorders>
            <w:shd w:val="clear" w:color="auto" w:fill="auto"/>
            <w:vAlign w:val="center"/>
            <w:hideMark/>
          </w:tcPr>
          <w:p w14:paraId="7566747C" w14:textId="77777777" w:rsidR="00CD5E24" w:rsidRPr="00954AA6" w:rsidRDefault="00CD5E24" w:rsidP="00CD5E24">
            <w:pPr>
              <w:pBdr>
                <w:top w:val="none" w:sz="0" w:space="0" w:color="auto"/>
                <w:left w:val="none" w:sz="0" w:space="0" w:color="auto"/>
                <w:bottom w:val="none" w:sz="0" w:space="0" w:color="auto"/>
                <w:right w:val="none" w:sz="0" w:space="0" w:color="auto"/>
                <w:between w:val="none" w:sz="0" w:space="0" w:color="auto"/>
                <w:bar w:val="none" w:sz="0" w:color="auto"/>
              </w:pBdr>
              <w:ind w:left="214"/>
              <w:jc w:val="both"/>
              <w:outlineLvl w:val="9"/>
              <w:rPr>
                <w:rFonts w:eastAsia="Times New Roman"/>
                <w:b/>
                <w:bCs/>
                <w:sz w:val="18"/>
                <w:szCs w:val="18"/>
                <w:bdr w:val="none" w:sz="0" w:space="0" w:color="auto"/>
                <w:lang w:eastAsia="es-ES"/>
              </w:rPr>
            </w:pPr>
            <w:r w:rsidRPr="00954AA6">
              <w:rPr>
                <w:rFonts w:eastAsia="Times New Roman"/>
                <w:b/>
                <w:bCs/>
                <w:sz w:val="18"/>
                <w:szCs w:val="18"/>
                <w:bdr w:val="none" w:sz="0" w:space="0" w:color="auto"/>
                <w:lang w:eastAsia="es-ES"/>
              </w:rPr>
              <w:t>Gastos de explotación</w:t>
            </w:r>
          </w:p>
        </w:tc>
        <w:tc>
          <w:tcPr>
            <w:tcW w:w="1055" w:type="pct"/>
            <w:tcBorders>
              <w:top w:val="nil"/>
              <w:left w:val="nil"/>
              <w:bottom w:val="nil"/>
              <w:right w:val="nil"/>
            </w:tcBorders>
            <w:shd w:val="clear" w:color="auto" w:fill="auto"/>
            <w:vAlign w:val="center"/>
          </w:tcPr>
          <w:p w14:paraId="768FB460" w14:textId="77777777" w:rsidR="00CD5E24" w:rsidRPr="00954AA6" w:rsidRDefault="00CD5E24" w:rsidP="00CD5E24">
            <w:pPr>
              <w:pBdr>
                <w:top w:val="none" w:sz="0" w:space="0" w:color="auto"/>
                <w:left w:val="none" w:sz="0" w:space="0" w:color="auto"/>
                <w:bottom w:val="none" w:sz="0" w:space="0" w:color="auto"/>
                <w:right w:val="none" w:sz="0" w:space="0" w:color="auto"/>
                <w:between w:val="none" w:sz="0" w:space="0" w:color="auto"/>
                <w:bar w:val="none" w:sz="0" w:color="auto"/>
              </w:pBdr>
              <w:jc w:val="both"/>
              <w:outlineLvl w:val="9"/>
              <w:rPr>
                <w:rFonts w:eastAsia="Times New Roman"/>
                <w:b/>
                <w:bCs/>
                <w:sz w:val="18"/>
                <w:szCs w:val="18"/>
                <w:bdr w:val="none" w:sz="0" w:space="0" w:color="auto"/>
                <w:lang w:eastAsia="es-ES"/>
              </w:rPr>
            </w:pPr>
          </w:p>
        </w:tc>
        <w:tc>
          <w:tcPr>
            <w:tcW w:w="1055" w:type="pct"/>
            <w:tcBorders>
              <w:top w:val="nil"/>
              <w:left w:val="nil"/>
              <w:bottom w:val="nil"/>
              <w:right w:val="nil"/>
            </w:tcBorders>
            <w:shd w:val="clear" w:color="auto" w:fill="auto"/>
            <w:vAlign w:val="center"/>
            <w:hideMark/>
          </w:tcPr>
          <w:p w14:paraId="0207C67B" w14:textId="77777777" w:rsidR="00CD5E24" w:rsidRPr="00954AA6" w:rsidRDefault="00CD5E24" w:rsidP="00CD5E24">
            <w:pPr>
              <w:pBdr>
                <w:top w:val="none" w:sz="0" w:space="0" w:color="auto"/>
                <w:left w:val="none" w:sz="0" w:space="0" w:color="auto"/>
                <w:bottom w:val="none" w:sz="0" w:space="0" w:color="auto"/>
                <w:right w:val="none" w:sz="0" w:space="0" w:color="auto"/>
                <w:between w:val="none" w:sz="0" w:space="0" w:color="auto"/>
                <w:bar w:val="none" w:sz="0" w:color="auto"/>
              </w:pBdr>
              <w:jc w:val="center"/>
              <w:outlineLvl w:val="9"/>
              <w:rPr>
                <w:rFonts w:ascii="Times New Roman" w:eastAsia="Times New Roman" w:hAnsi="Times New Roman" w:cs="Times New Roman"/>
                <w:color w:val="auto"/>
                <w:sz w:val="18"/>
                <w:szCs w:val="18"/>
                <w:bdr w:val="none" w:sz="0" w:space="0" w:color="auto"/>
                <w:lang w:eastAsia="es-ES"/>
              </w:rPr>
            </w:pPr>
          </w:p>
        </w:tc>
      </w:tr>
      <w:tr w:rsidR="00A3343F" w:rsidRPr="00954AA6" w14:paraId="488018F6" w14:textId="77777777" w:rsidTr="00954AA6">
        <w:trPr>
          <w:trHeight w:val="283"/>
          <w:jc w:val="center"/>
        </w:trPr>
        <w:tc>
          <w:tcPr>
            <w:tcW w:w="2890" w:type="pct"/>
            <w:tcBorders>
              <w:top w:val="nil"/>
              <w:left w:val="nil"/>
              <w:bottom w:val="nil"/>
              <w:right w:val="nil"/>
            </w:tcBorders>
            <w:shd w:val="clear" w:color="auto" w:fill="auto"/>
            <w:vAlign w:val="center"/>
            <w:hideMark/>
          </w:tcPr>
          <w:p w14:paraId="25A53054" w14:textId="77777777" w:rsidR="00A3343F" w:rsidRPr="00954AA6" w:rsidRDefault="00A3343F" w:rsidP="00A3343F">
            <w:pPr>
              <w:pBdr>
                <w:top w:val="none" w:sz="0" w:space="0" w:color="auto"/>
                <w:left w:val="none" w:sz="0" w:space="0" w:color="auto"/>
                <w:bottom w:val="none" w:sz="0" w:space="0" w:color="auto"/>
                <w:right w:val="none" w:sz="0" w:space="0" w:color="auto"/>
                <w:between w:val="none" w:sz="0" w:space="0" w:color="auto"/>
                <w:bar w:val="none" w:sz="0" w:color="auto"/>
              </w:pBdr>
              <w:ind w:left="214"/>
              <w:jc w:val="both"/>
              <w:outlineLvl w:val="9"/>
              <w:rPr>
                <w:rFonts w:eastAsia="Times New Roman"/>
                <w:sz w:val="18"/>
                <w:szCs w:val="18"/>
                <w:bdr w:val="none" w:sz="0" w:space="0" w:color="auto"/>
                <w:lang w:eastAsia="es-ES"/>
              </w:rPr>
            </w:pPr>
            <w:r w:rsidRPr="00954AA6">
              <w:rPr>
                <w:rFonts w:eastAsia="Times New Roman"/>
                <w:sz w:val="18"/>
                <w:szCs w:val="18"/>
                <w:bdr w:val="none" w:sz="0" w:space="0" w:color="auto"/>
                <w:lang w:eastAsia="es-ES"/>
              </w:rPr>
              <w:t>Trabajos realizados por otras empresas</w:t>
            </w:r>
          </w:p>
        </w:tc>
        <w:tc>
          <w:tcPr>
            <w:tcW w:w="1055" w:type="pct"/>
            <w:tcBorders>
              <w:top w:val="nil"/>
              <w:left w:val="nil"/>
              <w:bottom w:val="nil"/>
              <w:right w:val="nil"/>
            </w:tcBorders>
            <w:shd w:val="clear" w:color="auto" w:fill="auto"/>
            <w:vAlign w:val="center"/>
          </w:tcPr>
          <w:p w14:paraId="4D3BBE56" w14:textId="21CAB5FE" w:rsidR="00A3343F" w:rsidRPr="00954AA6" w:rsidRDefault="00A3343F" w:rsidP="00A3343F">
            <w:pPr>
              <w:pBdr>
                <w:top w:val="none" w:sz="0" w:space="0" w:color="auto"/>
                <w:left w:val="none" w:sz="0" w:space="0" w:color="auto"/>
                <w:bottom w:val="none" w:sz="0" w:space="0" w:color="auto"/>
                <w:right w:val="none" w:sz="0" w:space="0" w:color="auto"/>
                <w:between w:val="none" w:sz="0" w:space="0" w:color="auto"/>
                <w:bar w:val="none" w:sz="0" w:color="auto"/>
              </w:pBdr>
              <w:jc w:val="right"/>
              <w:outlineLvl w:val="9"/>
              <w:rPr>
                <w:rFonts w:eastAsia="Times New Roman"/>
                <w:sz w:val="18"/>
                <w:szCs w:val="18"/>
                <w:bdr w:val="none" w:sz="0" w:space="0" w:color="auto"/>
                <w:lang w:eastAsia="es-ES"/>
              </w:rPr>
            </w:pPr>
            <w:r>
              <w:rPr>
                <w:sz w:val="18"/>
                <w:szCs w:val="18"/>
              </w:rPr>
              <w:t>49.199.808,29</w:t>
            </w:r>
          </w:p>
        </w:tc>
        <w:tc>
          <w:tcPr>
            <w:tcW w:w="1055" w:type="pct"/>
            <w:tcBorders>
              <w:top w:val="nil"/>
              <w:left w:val="nil"/>
              <w:bottom w:val="nil"/>
              <w:right w:val="nil"/>
            </w:tcBorders>
            <w:shd w:val="clear" w:color="auto" w:fill="auto"/>
            <w:vAlign w:val="center"/>
            <w:hideMark/>
          </w:tcPr>
          <w:p w14:paraId="0801CF73" w14:textId="77DBFF97" w:rsidR="00A3343F" w:rsidRPr="00954AA6" w:rsidRDefault="00A3343F" w:rsidP="00A3343F">
            <w:pPr>
              <w:pBdr>
                <w:top w:val="none" w:sz="0" w:space="0" w:color="auto"/>
                <w:left w:val="none" w:sz="0" w:space="0" w:color="auto"/>
                <w:bottom w:val="none" w:sz="0" w:space="0" w:color="auto"/>
                <w:right w:val="none" w:sz="0" w:space="0" w:color="auto"/>
                <w:between w:val="none" w:sz="0" w:space="0" w:color="auto"/>
                <w:bar w:val="none" w:sz="0" w:color="auto"/>
              </w:pBdr>
              <w:jc w:val="right"/>
              <w:outlineLvl w:val="9"/>
              <w:rPr>
                <w:rFonts w:eastAsia="Times New Roman"/>
                <w:sz w:val="18"/>
                <w:szCs w:val="18"/>
                <w:bdr w:val="none" w:sz="0" w:space="0" w:color="auto"/>
                <w:lang w:eastAsia="es-ES"/>
              </w:rPr>
            </w:pPr>
            <w:r>
              <w:rPr>
                <w:rFonts w:eastAsia="Times New Roman"/>
                <w:sz w:val="18"/>
                <w:szCs w:val="18"/>
                <w:bdr w:val="none" w:sz="0" w:space="0" w:color="auto"/>
                <w:lang w:eastAsia="es-ES"/>
              </w:rPr>
              <w:t>47.226.197,07</w:t>
            </w:r>
          </w:p>
        </w:tc>
      </w:tr>
      <w:tr w:rsidR="00A3343F" w:rsidRPr="00954AA6" w14:paraId="2972FAE2" w14:textId="77777777" w:rsidTr="00954AA6">
        <w:trPr>
          <w:trHeight w:val="283"/>
          <w:jc w:val="center"/>
        </w:trPr>
        <w:tc>
          <w:tcPr>
            <w:tcW w:w="2890" w:type="pct"/>
            <w:tcBorders>
              <w:top w:val="single" w:sz="4" w:space="0" w:color="auto"/>
              <w:left w:val="nil"/>
              <w:bottom w:val="single" w:sz="4" w:space="0" w:color="auto"/>
              <w:right w:val="nil"/>
            </w:tcBorders>
            <w:shd w:val="clear" w:color="auto" w:fill="auto"/>
            <w:vAlign w:val="center"/>
            <w:hideMark/>
          </w:tcPr>
          <w:p w14:paraId="754A7952" w14:textId="77777777" w:rsidR="00A3343F" w:rsidRPr="00954AA6" w:rsidRDefault="00A3343F" w:rsidP="00A3343F">
            <w:pPr>
              <w:pBdr>
                <w:top w:val="none" w:sz="0" w:space="0" w:color="auto"/>
                <w:left w:val="none" w:sz="0" w:space="0" w:color="auto"/>
                <w:bottom w:val="none" w:sz="0" w:space="0" w:color="auto"/>
                <w:right w:val="none" w:sz="0" w:space="0" w:color="auto"/>
                <w:between w:val="none" w:sz="0" w:space="0" w:color="auto"/>
                <w:bar w:val="none" w:sz="0" w:color="auto"/>
              </w:pBdr>
              <w:ind w:left="214"/>
              <w:outlineLvl w:val="9"/>
              <w:rPr>
                <w:rFonts w:eastAsia="Times New Roman"/>
                <w:b/>
                <w:bCs/>
                <w:sz w:val="18"/>
                <w:szCs w:val="18"/>
                <w:bdr w:val="none" w:sz="0" w:space="0" w:color="auto"/>
                <w:lang w:eastAsia="es-ES"/>
              </w:rPr>
            </w:pPr>
            <w:r w:rsidRPr="00954AA6">
              <w:rPr>
                <w:rFonts w:eastAsia="Times New Roman"/>
                <w:b/>
                <w:bCs/>
                <w:sz w:val="18"/>
                <w:szCs w:val="18"/>
                <w:bdr w:val="none" w:sz="0" w:space="0" w:color="auto"/>
                <w:lang w:eastAsia="es-ES"/>
              </w:rPr>
              <w:t>Total</w:t>
            </w:r>
          </w:p>
        </w:tc>
        <w:tc>
          <w:tcPr>
            <w:tcW w:w="1055" w:type="pct"/>
            <w:tcBorders>
              <w:top w:val="single" w:sz="4" w:space="0" w:color="auto"/>
              <w:left w:val="nil"/>
              <w:bottom w:val="single" w:sz="4" w:space="0" w:color="auto"/>
              <w:right w:val="nil"/>
            </w:tcBorders>
            <w:shd w:val="clear" w:color="auto" w:fill="auto"/>
            <w:vAlign w:val="center"/>
          </w:tcPr>
          <w:p w14:paraId="451D2477" w14:textId="78B483C6" w:rsidR="00A3343F" w:rsidRPr="00954AA6" w:rsidRDefault="00A3343F" w:rsidP="00A3343F">
            <w:pPr>
              <w:pBdr>
                <w:top w:val="none" w:sz="0" w:space="0" w:color="auto"/>
                <w:left w:val="none" w:sz="0" w:space="0" w:color="auto"/>
                <w:bottom w:val="none" w:sz="0" w:space="0" w:color="auto"/>
                <w:right w:val="none" w:sz="0" w:space="0" w:color="auto"/>
                <w:between w:val="none" w:sz="0" w:space="0" w:color="auto"/>
                <w:bar w:val="none" w:sz="0" w:color="auto"/>
              </w:pBdr>
              <w:jc w:val="right"/>
              <w:outlineLvl w:val="9"/>
              <w:rPr>
                <w:rFonts w:eastAsia="Times New Roman"/>
                <w:b/>
                <w:bCs/>
                <w:sz w:val="18"/>
                <w:szCs w:val="18"/>
                <w:bdr w:val="none" w:sz="0" w:space="0" w:color="auto"/>
                <w:lang w:eastAsia="es-ES"/>
              </w:rPr>
            </w:pPr>
            <w:r>
              <w:rPr>
                <w:b/>
                <w:bCs/>
                <w:sz w:val="18"/>
                <w:szCs w:val="18"/>
              </w:rPr>
              <w:t>49.199.808,29</w:t>
            </w:r>
          </w:p>
        </w:tc>
        <w:tc>
          <w:tcPr>
            <w:tcW w:w="1055" w:type="pct"/>
            <w:tcBorders>
              <w:top w:val="single" w:sz="4" w:space="0" w:color="auto"/>
              <w:left w:val="nil"/>
              <w:bottom w:val="single" w:sz="4" w:space="0" w:color="auto"/>
              <w:right w:val="nil"/>
            </w:tcBorders>
            <w:shd w:val="clear" w:color="auto" w:fill="auto"/>
            <w:vAlign w:val="center"/>
            <w:hideMark/>
          </w:tcPr>
          <w:p w14:paraId="0A0CD5CE" w14:textId="06949FD7" w:rsidR="00A3343F" w:rsidRPr="00954AA6" w:rsidRDefault="00A3343F" w:rsidP="00A3343F">
            <w:pPr>
              <w:pBdr>
                <w:top w:val="none" w:sz="0" w:space="0" w:color="auto"/>
                <w:left w:val="none" w:sz="0" w:space="0" w:color="auto"/>
                <w:bottom w:val="none" w:sz="0" w:space="0" w:color="auto"/>
                <w:right w:val="none" w:sz="0" w:space="0" w:color="auto"/>
                <w:between w:val="none" w:sz="0" w:space="0" w:color="auto"/>
                <w:bar w:val="none" w:sz="0" w:color="auto"/>
              </w:pBdr>
              <w:jc w:val="right"/>
              <w:outlineLvl w:val="9"/>
              <w:rPr>
                <w:rFonts w:eastAsia="Times New Roman"/>
                <w:b/>
                <w:bCs/>
                <w:sz w:val="18"/>
                <w:szCs w:val="18"/>
                <w:bdr w:val="none" w:sz="0" w:space="0" w:color="auto"/>
                <w:lang w:eastAsia="es-ES"/>
              </w:rPr>
            </w:pPr>
            <w:r>
              <w:rPr>
                <w:rFonts w:eastAsia="Times New Roman"/>
                <w:b/>
                <w:bCs/>
                <w:sz w:val="18"/>
                <w:szCs w:val="18"/>
                <w:bdr w:val="none" w:sz="0" w:space="0" w:color="auto"/>
                <w:lang w:eastAsia="es-ES"/>
              </w:rPr>
              <w:t>47.226.197,07</w:t>
            </w:r>
          </w:p>
        </w:tc>
      </w:tr>
    </w:tbl>
    <w:p w14:paraId="3B0F68AC" w14:textId="77777777" w:rsidR="006220A2" w:rsidRPr="0083433F" w:rsidRDefault="006220A2">
      <w:pPr>
        <w:keepNext/>
        <w:keepLines/>
        <w:widowControl w:val="0"/>
        <w:numPr>
          <w:ilvl w:val="0"/>
          <w:numId w:val="10"/>
        </w:numPr>
        <w:pBdr>
          <w:top w:val="none" w:sz="0" w:space="0" w:color="auto"/>
          <w:left w:val="none" w:sz="0" w:space="0" w:color="auto"/>
          <w:bottom w:val="none" w:sz="0" w:space="0" w:color="auto"/>
          <w:right w:val="none" w:sz="0" w:space="0" w:color="auto"/>
          <w:between w:val="none" w:sz="0" w:space="0" w:color="auto"/>
          <w:bar w:val="none" w:sz="0" w:color="auto"/>
        </w:pBdr>
        <w:tabs>
          <w:tab w:val="num" w:pos="0"/>
          <w:tab w:val="left" w:pos="284"/>
        </w:tabs>
        <w:spacing w:before="200"/>
        <w:ind w:left="0" w:firstLine="0"/>
        <w:outlineLvl w:val="9"/>
        <w:rPr>
          <w:sz w:val="20"/>
          <w:szCs w:val="22"/>
          <w:u w:val="single"/>
        </w:rPr>
      </w:pPr>
      <w:r w:rsidRPr="0083433F">
        <w:rPr>
          <w:sz w:val="20"/>
          <w:szCs w:val="22"/>
          <w:u w:val="single"/>
        </w:rPr>
        <w:t>Gastos de personal</w:t>
      </w:r>
    </w:p>
    <w:p w14:paraId="592F6DA4" w14:textId="3D0AFDA2" w:rsidR="006220A2" w:rsidRPr="00176BA0" w:rsidRDefault="006220A2" w:rsidP="00D67C6B">
      <w:pPr>
        <w:keepNext/>
        <w:keepLines/>
        <w:widowControl w:val="0"/>
        <w:spacing w:before="120" w:after="120" w:line="260" w:lineRule="exact"/>
        <w:jc w:val="both"/>
        <w:outlineLvl w:val="9"/>
        <w:rPr>
          <w:snapToGrid w:val="0"/>
          <w:sz w:val="20"/>
          <w:szCs w:val="22"/>
        </w:rPr>
      </w:pPr>
      <w:r w:rsidRPr="00176BA0">
        <w:rPr>
          <w:snapToGrid w:val="0"/>
          <w:sz w:val="20"/>
          <w:szCs w:val="22"/>
        </w:rPr>
        <w:t>El detalle de los gastos de personal del ejercicio 20</w:t>
      </w:r>
      <w:r w:rsidR="000D76CC" w:rsidRPr="00176BA0">
        <w:rPr>
          <w:snapToGrid w:val="0"/>
          <w:sz w:val="20"/>
          <w:szCs w:val="22"/>
        </w:rPr>
        <w:t>2</w:t>
      </w:r>
      <w:r w:rsidR="00CD5E24">
        <w:rPr>
          <w:snapToGrid w:val="0"/>
          <w:sz w:val="20"/>
          <w:szCs w:val="22"/>
        </w:rPr>
        <w:t>4</w:t>
      </w:r>
      <w:r w:rsidR="00CF69E6" w:rsidRPr="00176BA0">
        <w:rPr>
          <w:snapToGrid w:val="0"/>
          <w:sz w:val="20"/>
          <w:szCs w:val="22"/>
        </w:rPr>
        <w:t xml:space="preserve"> y 20</w:t>
      </w:r>
      <w:r w:rsidR="002555C0" w:rsidRPr="00176BA0">
        <w:rPr>
          <w:snapToGrid w:val="0"/>
          <w:sz w:val="20"/>
          <w:szCs w:val="22"/>
        </w:rPr>
        <w:t>2</w:t>
      </w:r>
      <w:r w:rsidR="00CD5E24">
        <w:rPr>
          <w:snapToGrid w:val="0"/>
          <w:sz w:val="20"/>
          <w:szCs w:val="22"/>
        </w:rPr>
        <w:t>3</w:t>
      </w:r>
      <w:r w:rsidRPr="00176BA0">
        <w:rPr>
          <w:snapToGrid w:val="0"/>
          <w:sz w:val="20"/>
          <w:szCs w:val="22"/>
        </w:rPr>
        <w:t>, es el siguiente:</w:t>
      </w:r>
    </w:p>
    <w:tbl>
      <w:tblPr>
        <w:tblW w:w="5000" w:type="pct"/>
        <w:jc w:val="center"/>
        <w:tblCellMar>
          <w:left w:w="70" w:type="dxa"/>
          <w:right w:w="70" w:type="dxa"/>
        </w:tblCellMar>
        <w:tblLook w:val="04A0" w:firstRow="1" w:lastRow="0" w:firstColumn="1" w:lastColumn="0" w:noHBand="0" w:noVBand="1"/>
      </w:tblPr>
      <w:tblGrid>
        <w:gridCol w:w="4912"/>
        <w:gridCol w:w="1935"/>
        <w:gridCol w:w="1934"/>
      </w:tblGrid>
      <w:tr w:rsidR="000D76CC" w:rsidRPr="00954AA6" w14:paraId="682E5B9E" w14:textId="77777777" w:rsidTr="00954AA6">
        <w:trPr>
          <w:trHeight w:val="227"/>
          <w:jc w:val="center"/>
        </w:trPr>
        <w:tc>
          <w:tcPr>
            <w:tcW w:w="2797" w:type="pct"/>
            <w:tcBorders>
              <w:top w:val="single" w:sz="4" w:space="0" w:color="auto"/>
              <w:left w:val="nil"/>
              <w:bottom w:val="nil"/>
              <w:right w:val="nil"/>
            </w:tcBorders>
            <w:shd w:val="clear" w:color="auto" w:fill="auto"/>
            <w:vAlign w:val="center"/>
            <w:hideMark/>
          </w:tcPr>
          <w:p w14:paraId="0B8E20A5" w14:textId="77777777" w:rsidR="000D76CC" w:rsidRPr="00954AA6" w:rsidRDefault="000D76CC" w:rsidP="00954AA6">
            <w:pPr>
              <w:keepNext/>
              <w:keepLines/>
              <w:pBdr>
                <w:top w:val="none" w:sz="0" w:space="0" w:color="auto"/>
                <w:left w:val="none" w:sz="0" w:space="0" w:color="auto"/>
                <w:bottom w:val="none" w:sz="0" w:space="0" w:color="auto"/>
                <w:right w:val="none" w:sz="0" w:space="0" w:color="auto"/>
                <w:between w:val="none" w:sz="0" w:space="0" w:color="auto"/>
                <w:bar w:val="none" w:sz="0" w:color="auto"/>
              </w:pBdr>
              <w:ind w:left="214"/>
              <w:outlineLvl w:val="9"/>
              <w:rPr>
                <w:rFonts w:eastAsia="Times New Roman"/>
                <w:sz w:val="18"/>
                <w:szCs w:val="18"/>
                <w:bdr w:val="none" w:sz="0" w:space="0" w:color="auto"/>
                <w:lang w:eastAsia="es-ES"/>
              </w:rPr>
            </w:pPr>
            <w:r w:rsidRPr="00954AA6">
              <w:rPr>
                <w:rFonts w:eastAsia="Times New Roman"/>
                <w:sz w:val="18"/>
                <w:szCs w:val="18"/>
                <w:bdr w:val="none" w:sz="0" w:space="0" w:color="auto"/>
                <w:lang w:eastAsia="es-ES"/>
              </w:rPr>
              <w:t> </w:t>
            </w:r>
          </w:p>
        </w:tc>
        <w:tc>
          <w:tcPr>
            <w:tcW w:w="2203" w:type="pct"/>
            <w:gridSpan w:val="2"/>
            <w:tcBorders>
              <w:top w:val="single" w:sz="4" w:space="0" w:color="auto"/>
              <w:left w:val="nil"/>
              <w:bottom w:val="single" w:sz="4" w:space="0" w:color="auto"/>
              <w:right w:val="nil"/>
            </w:tcBorders>
            <w:shd w:val="clear" w:color="auto" w:fill="auto"/>
            <w:vAlign w:val="bottom"/>
            <w:hideMark/>
          </w:tcPr>
          <w:p w14:paraId="66871B47" w14:textId="77777777" w:rsidR="000D76CC" w:rsidRPr="00954AA6" w:rsidRDefault="000D76CC" w:rsidP="00954AA6">
            <w:pPr>
              <w:keepNext/>
              <w:keepLines/>
              <w:pBdr>
                <w:top w:val="none" w:sz="0" w:space="0" w:color="auto"/>
                <w:left w:val="none" w:sz="0" w:space="0" w:color="auto"/>
                <w:bottom w:val="none" w:sz="0" w:space="0" w:color="auto"/>
                <w:right w:val="none" w:sz="0" w:space="0" w:color="auto"/>
                <w:between w:val="none" w:sz="0" w:space="0" w:color="auto"/>
                <w:bar w:val="none" w:sz="0" w:color="auto"/>
              </w:pBdr>
              <w:jc w:val="center"/>
              <w:outlineLvl w:val="9"/>
              <w:rPr>
                <w:rFonts w:eastAsia="Times New Roman"/>
                <w:b/>
                <w:bCs/>
                <w:sz w:val="18"/>
                <w:szCs w:val="18"/>
                <w:bdr w:val="none" w:sz="0" w:space="0" w:color="auto"/>
                <w:lang w:eastAsia="es-ES"/>
              </w:rPr>
            </w:pPr>
            <w:r w:rsidRPr="00954AA6">
              <w:rPr>
                <w:rFonts w:eastAsia="Times New Roman"/>
                <w:b/>
                <w:bCs/>
                <w:sz w:val="18"/>
                <w:szCs w:val="18"/>
                <w:bdr w:val="none" w:sz="0" w:space="0" w:color="auto"/>
                <w:lang w:eastAsia="es-ES"/>
              </w:rPr>
              <w:t>Euros</w:t>
            </w:r>
          </w:p>
        </w:tc>
      </w:tr>
      <w:tr w:rsidR="00E612CB" w:rsidRPr="00954AA6" w14:paraId="11DE4EC2" w14:textId="77777777" w:rsidTr="00CE5DF2">
        <w:trPr>
          <w:trHeight w:val="227"/>
          <w:jc w:val="center"/>
        </w:trPr>
        <w:tc>
          <w:tcPr>
            <w:tcW w:w="2797" w:type="pct"/>
            <w:tcBorders>
              <w:top w:val="nil"/>
              <w:left w:val="nil"/>
              <w:bottom w:val="single" w:sz="4" w:space="0" w:color="auto"/>
              <w:right w:val="nil"/>
            </w:tcBorders>
            <w:shd w:val="clear" w:color="auto" w:fill="auto"/>
            <w:vAlign w:val="center"/>
            <w:hideMark/>
          </w:tcPr>
          <w:p w14:paraId="557D9AA8" w14:textId="77777777" w:rsidR="00E612CB" w:rsidRPr="00954AA6" w:rsidRDefault="00E612CB" w:rsidP="00E612CB">
            <w:pPr>
              <w:keepNext/>
              <w:keepLines/>
              <w:pBdr>
                <w:top w:val="none" w:sz="0" w:space="0" w:color="auto"/>
                <w:left w:val="none" w:sz="0" w:space="0" w:color="auto"/>
                <w:bottom w:val="none" w:sz="0" w:space="0" w:color="auto"/>
                <w:right w:val="none" w:sz="0" w:space="0" w:color="auto"/>
                <w:between w:val="none" w:sz="0" w:space="0" w:color="auto"/>
                <w:bar w:val="none" w:sz="0" w:color="auto"/>
              </w:pBdr>
              <w:ind w:left="214"/>
              <w:outlineLvl w:val="9"/>
              <w:rPr>
                <w:rFonts w:eastAsia="Times New Roman"/>
                <w:sz w:val="18"/>
                <w:szCs w:val="18"/>
                <w:bdr w:val="none" w:sz="0" w:space="0" w:color="auto"/>
                <w:lang w:eastAsia="es-ES"/>
              </w:rPr>
            </w:pPr>
            <w:r w:rsidRPr="00954AA6">
              <w:rPr>
                <w:rFonts w:eastAsia="Times New Roman"/>
                <w:sz w:val="18"/>
                <w:szCs w:val="18"/>
                <w:bdr w:val="none" w:sz="0" w:space="0" w:color="auto"/>
                <w:lang w:eastAsia="es-ES"/>
              </w:rPr>
              <w:t> </w:t>
            </w:r>
          </w:p>
        </w:tc>
        <w:tc>
          <w:tcPr>
            <w:tcW w:w="1102" w:type="pct"/>
            <w:tcBorders>
              <w:top w:val="nil"/>
              <w:left w:val="nil"/>
              <w:bottom w:val="single" w:sz="4" w:space="0" w:color="auto"/>
              <w:right w:val="nil"/>
            </w:tcBorders>
            <w:shd w:val="clear" w:color="auto" w:fill="auto"/>
            <w:vAlign w:val="bottom"/>
            <w:hideMark/>
          </w:tcPr>
          <w:p w14:paraId="4EA30C34" w14:textId="45D0D3DD" w:rsidR="00E612CB" w:rsidRPr="00954AA6" w:rsidRDefault="00E612CB" w:rsidP="00E612CB">
            <w:pPr>
              <w:keepNext/>
              <w:keepLines/>
              <w:pBdr>
                <w:top w:val="none" w:sz="0" w:space="0" w:color="auto"/>
                <w:left w:val="none" w:sz="0" w:space="0" w:color="auto"/>
                <w:bottom w:val="none" w:sz="0" w:space="0" w:color="auto"/>
                <w:right w:val="none" w:sz="0" w:space="0" w:color="auto"/>
                <w:between w:val="none" w:sz="0" w:space="0" w:color="auto"/>
                <w:bar w:val="none" w:sz="0" w:color="auto"/>
              </w:pBdr>
              <w:jc w:val="center"/>
              <w:outlineLvl w:val="9"/>
              <w:rPr>
                <w:rFonts w:eastAsia="Times New Roman"/>
                <w:b/>
                <w:bCs/>
                <w:sz w:val="18"/>
                <w:szCs w:val="18"/>
                <w:bdr w:val="none" w:sz="0" w:space="0" w:color="auto"/>
                <w:lang w:eastAsia="es-ES"/>
              </w:rPr>
            </w:pPr>
            <w:r w:rsidRPr="00954AA6">
              <w:rPr>
                <w:rFonts w:eastAsia="Times New Roman"/>
                <w:b/>
                <w:bCs/>
                <w:sz w:val="18"/>
                <w:szCs w:val="18"/>
                <w:bdr w:val="none" w:sz="0" w:space="0" w:color="auto"/>
                <w:lang w:eastAsia="es-ES"/>
              </w:rPr>
              <w:t>202</w:t>
            </w:r>
            <w:r w:rsidR="00CD5E24">
              <w:rPr>
                <w:rFonts w:eastAsia="Times New Roman"/>
                <w:b/>
                <w:bCs/>
                <w:sz w:val="18"/>
                <w:szCs w:val="18"/>
                <w:bdr w:val="none" w:sz="0" w:space="0" w:color="auto"/>
                <w:lang w:eastAsia="es-ES"/>
              </w:rPr>
              <w:t>4</w:t>
            </w:r>
          </w:p>
        </w:tc>
        <w:tc>
          <w:tcPr>
            <w:tcW w:w="1101" w:type="pct"/>
            <w:tcBorders>
              <w:top w:val="nil"/>
              <w:left w:val="nil"/>
              <w:bottom w:val="single" w:sz="4" w:space="0" w:color="auto"/>
              <w:right w:val="nil"/>
            </w:tcBorders>
            <w:shd w:val="clear" w:color="auto" w:fill="auto"/>
            <w:vAlign w:val="bottom"/>
            <w:hideMark/>
          </w:tcPr>
          <w:p w14:paraId="6017F351" w14:textId="3754402B" w:rsidR="00E612CB" w:rsidRPr="00954AA6" w:rsidRDefault="00E612CB" w:rsidP="00E612CB">
            <w:pPr>
              <w:keepNext/>
              <w:keepLines/>
              <w:pBdr>
                <w:top w:val="none" w:sz="0" w:space="0" w:color="auto"/>
                <w:left w:val="none" w:sz="0" w:space="0" w:color="auto"/>
                <w:bottom w:val="none" w:sz="0" w:space="0" w:color="auto"/>
                <w:right w:val="none" w:sz="0" w:space="0" w:color="auto"/>
                <w:between w:val="none" w:sz="0" w:space="0" w:color="auto"/>
                <w:bar w:val="none" w:sz="0" w:color="auto"/>
              </w:pBdr>
              <w:jc w:val="center"/>
              <w:outlineLvl w:val="9"/>
              <w:rPr>
                <w:rFonts w:eastAsia="Times New Roman"/>
                <w:b/>
                <w:bCs/>
                <w:sz w:val="18"/>
                <w:szCs w:val="18"/>
                <w:bdr w:val="none" w:sz="0" w:space="0" w:color="auto"/>
                <w:lang w:eastAsia="es-ES"/>
              </w:rPr>
            </w:pPr>
            <w:r w:rsidRPr="00954AA6">
              <w:rPr>
                <w:rFonts w:eastAsia="Times New Roman"/>
                <w:b/>
                <w:bCs/>
                <w:sz w:val="18"/>
                <w:szCs w:val="18"/>
                <w:bdr w:val="none" w:sz="0" w:space="0" w:color="auto"/>
                <w:lang w:eastAsia="es-ES"/>
              </w:rPr>
              <w:t>202</w:t>
            </w:r>
            <w:r w:rsidR="00CD5E24">
              <w:rPr>
                <w:rFonts w:eastAsia="Times New Roman"/>
                <w:b/>
                <w:bCs/>
                <w:sz w:val="18"/>
                <w:szCs w:val="18"/>
                <w:bdr w:val="none" w:sz="0" w:space="0" w:color="auto"/>
                <w:lang w:eastAsia="es-ES"/>
              </w:rPr>
              <w:t>3</w:t>
            </w:r>
          </w:p>
        </w:tc>
      </w:tr>
      <w:tr w:rsidR="00CD5E24" w:rsidRPr="00954AA6" w14:paraId="4EB72DDF" w14:textId="77777777" w:rsidTr="00CD5E24">
        <w:trPr>
          <w:trHeight w:val="255"/>
          <w:jc w:val="center"/>
        </w:trPr>
        <w:tc>
          <w:tcPr>
            <w:tcW w:w="2797" w:type="pct"/>
            <w:tcBorders>
              <w:top w:val="nil"/>
              <w:left w:val="nil"/>
              <w:bottom w:val="nil"/>
              <w:right w:val="nil"/>
            </w:tcBorders>
            <w:shd w:val="clear" w:color="auto" w:fill="auto"/>
            <w:vAlign w:val="center"/>
            <w:hideMark/>
          </w:tcPr>
          <w:p w14:paraId="18802446" w14:textId="77777777" w:rsidR="00CD5E24" w:rsidRPr="00954AA6" w:rsidRDefault="00CD5E24" w:rsidP="00CD5E24">
            <w:pPr>
              <w:keepNext/>
              <w:keepLines/>
              <w:pBdr>
                <w:top w:val="none" w:sz="0" w:space="0" w:color="auto"/>
                <w:left w:val="none" w:sz="0" w:space="0" w:color="auto"/>
                <w:bottom w:val="none" w:sz="0" w:space="0" w:color="auto"/>
                <w:right w:val="none" w:sz="0" w:space="0" w:color="auto"/>
                <w:between w:val="none" w:sz="0" w:space="0" w:color="auto"/>
                <w:bar w:val="none" w:sz="0" w:color="auto"/>
              </w:pBdr>
              <w:ind w:left="214"/>
              <w:outlineLvl w:val="9"/>
              <w:rPr>
                <w:rFonts w:eastAsia="Times New Roman"/>
                <w:b/>
                <w:bCs/>
                <w:sz w:val="18"/>
                <w:szCs w:val="18"/>
                <w:bdr w:val="none" w:sz="0" w:space="0" w:color="auto"/>
                <w:lang w:eastAsia="es-ES"/>
              </w:rPr>
            </w:pPr>
            <w:r w:rsidRPr="00954AA6">
              <w:rPr>
                <w:rFonts w:eastAsia="Times New Roman"/>
                <w:b/>
                <w:bCs/>
                <w:sz w:val="18"/>
                <w:szCs w:val="18"/>
                <w:bdr w:val="none" w:sz="0" w:space="0" w:color="auto"/>
                <w:lang w:eastAsia="es-ES"/>
              </w:rPr>
              <w:t>Gastos de personal</w:t>
            </w:r>
          </w:p>
        </w:tc>
        <w:tc>
          <w:tcPr>
            <w:tcW w:w="1102" w:type="pct"/>
            <w:tcBorders>
              <w:top w:val="nil"/>
              <w:left w:val="nil"/>
              <w:bottom w:val="nil"/>
              <w:right w:val="nil"/>
            </w:tcBorders>
            <w:shd w:val="clear" w:color="auto" w:fill="auto"/>
            <w:vAlign w:val="center"/>
          </w:tcPr>
          <w:p w14:paraId="06FC42F6" w14:textId="77777777" w:rsidR="00CD5E24" w:rsidRPr="00954AA6" w:rsidRDefault="00CD5E24" w:rsidP="00CD5E24">
            <w:pPr>
              <w:keepNext/>
              <w:keepLines/>
              <w:pBdr>
                <w:top w:val="none" w:sz="0" w:space="0" w:color="auto"/>
                <w:left w:val="none" w:sz="0" w:space="0" w:color="auto"/>
                <w:bottom w:val="none" w:sz="0" w:space="0" w:color="auto"/>
                <w:right w:val="none" w:sz="0" w:space="0" w:color="auto"/>
                <w:between w:val="none" w:sz="0" w:space="0" w:color="auto"/>
                <w:bar w:val="none" w:sz="0" w:color="auto"/>
              </w:pBdr>
              <w:jc w:val="right"/>
              <w:outlineLvl w:val="9"/>
              <w:rPr>
                <w:rFonts w:eastAsia="Times New Roman"/>
                <w:b/>
                <w:bCs/>
                <w:sz w:val="18"/>
                <w:szCs w:val="18"/>
                <w:bdr w:val="none" w:sz="0" w:space="0" w:color="auto"/>
                <w:lang w:eastAsia="es-ES"/>
              </w:rPr>
            </w:pPr>
          </w:p>
        </w:tc>
        <w:tc>
          <w:tcPr>
            <w:tcW w:w="1101" w:type="pct"/>
            <w:tcBorders>
              <w:top w:val="nil"/>
              <w:left w:val="nil"/>
              <w:bottom w:val="nil"/>
              <w:right w:val="nil"/>
            </w:tcBorders>
            <w:shd w:val="clear" w:color="auto" w:fill="auto"/>
            <w:vAlign w:val="center"/>
            <w:hideMark/>
          </w:tcPr>
          <w:p w14:paraId="16A18D52" w14:textId="77777777" w:rsidR="00CD5E24" w:rsidRPr="00954AA6" w:rsidRDefault="00CD5E24" w:rsidP="00CD5E24">
            <w:pPr>
              <w:keepNext/>
              <w:keepLines/>
              <w:pBdr>
                <w:top w:val="none" w:sz="0" w:space="0" w:color="auto"/>
                <w:left w:val="none" w:sz="0" w:space="0" w:color="auto"/>
                <w:bottom w:val="none" w:sz="0" w:space="0" w:color="auto"/>
                <w:right w:val="none" w:sz="0" w:space="0" w:color="auto"/>
                <w:between w:val="none" w:sz="0" w:space="0" w:color="auto"/>
                <w:bar w:val="none" w:sz="0" w:color="auto"/>
              </w:pBdr>
              <w:jc w:val="right"/>
              <w:outlineLvl w:val="9"/>
              <w:rPr>
                <w:rFonts w:ascii="Times New Roman" w:eastAsia="Times New Roman" w:hAnsi="Times New Roman" w:cs="Times New Roman"/>
                <w:color w:val="auto"/>
                <w:sz w:val="18"/>
                <w:szCs w:val="18"/>
                <w:bdr w:val="none" w:sz="0" w:space="0" w:color="auto"/>
                <w:lang w:eastAsia="es-ES"/>
              </w:rPr>
            </w:pPr>
          </w:p>
        </w:tc>
      </w:tr>
      <w:tr w:rsidR="00A3343F" w:rsidRPr="00954AA6" w14:paraId="7EDEBEE2" w14:textId="77777777" w:rsidTr="00CE5DF2">
        <w:trPr>
          <w:trHeight w:val="255"/>
          <w:jc w:val="center"/>
        </w:trPr>
        <w:tc>
          <w:tcPr>
            <w:tcW w:w="2797" w:type="pct"/>
            <w:tcBorders>
              <w:top w:val="nil"/>
              <w:left w:val="nil"/>
              <w:bottom w:val="nil"/>
              <w:right w:val="nil"/>
            </w:tcBorders>
            <w:shd w:val="clear" w:color="auto" w:fill="auto"/>
            <w:vAlign w:val="center"/>
            <w:hideMark/>
          </w:tcPr>
          <w:p w14:paraId="6467AEDC" w14:textId="77777777" w:rsidR="00A3343F" w:rsidRPr="00954AA6" w:rsidRDefault="00A3343F" w:rsidP="00A3343F">
            <w:pPr>
              <w:keepNext/>
              <w:keepLines/>
              <w:pBdr>
                <w:top w:val="none" w:sz="0" w:space="0" w:color="auto"/>
                <w:left w:val="none" w:sz="0" w:space="0" w:color="auto"/>
                <w:bottom w:val="none" w:sz="0" w:space="0" w:color="auto"/>
                <w:right w:val="none" w:sz="0" w:space="0" w:color="auto"/>
                <w:between w:val="none" w:sz="0" w:space="0" w:color="auto"/>
                <w:bar w:val="none" w:sz="0" w:color="auto"/>
              </w:pBdr>
              <w:ind w:left="214"/>
              <w:outlineLvl w:val="9"/>
              <w:rPr>
                <w:rFonts w:eastAsia="Times New Roman"/>
                <w:sz w:val="18"/>
                <w:szCs w:val="18"/>
                <w:bdr w:val="none" w:sz="0" w:space="0" w:color="auto"/>
                <w:lang w:eastAsia="es-ES"/>
              </w:rPr>
            </w:pPr>
            <w:r w:rsidRPr="00954AA6">
              <w:rPr>
                <w:rFonts w:eastAsia="Times New Roman"/>
                <w:sz w:val="18"/>
                <w:szCs w:val="18"/>
                <w:bdr w:val="none" w:sz="0" w:space="0" w:color="auto"/>
                <w:lang w:eastAsia="es-ES"/>
              </w:rPr>
              <w:t>Sueldos y salarios</w:t>
            </w:r>
          </w:p>
        </w:tc>
        <w:tc>
          <w:tcPr>
            <w:tcW w:w="1102" w:type="pct"/>
            <w:tcBorders>
              <w:top w:val="nil"/>
              <w:left w:val="nil"/>
              <w:bottom w:val="nil"/>
              <w:right w:val="nil"/>
            </w:tcBorders>
            <w:shd w:val="clear" w:color="auto" w:fill="auto"/>
            <w:vAlign w:val="center"/>
          </w:tcPr>
          <w:p w14:paraId="78AC0882" w14:textId="16CA8C9E" w:rsidR="00A3343F" w:rsidRPr="00954AA6" w:rsidRDefault="00A3343F" w:rsidP="00A3343F">
            <w:pPr>
              <w:keepNext/>
              <w:keepLines/>
              <w:pBdr>
                <w:top w:val="none" w:sz="0" w:space="0" w:color="auto"/>
                <w:left w:val="none" w:sz="0" w:space="0" w:color="auto"/>
                <w:bottom w:val="none" w:sz="0" w:space="0" w:color="auto"/>
                <w:right w:val="none" w:sz="0" w:space="0" w:color="auto"/>
                <w:between w:val="none" w:sz="0" w:space="0" w:color="auto"/>
                <w:bar w:val="none" w:sz="0" w:color="auto"/>
              </w:pBdr>
              <w:ind w:left="1" w:hanging="1"/>
              <w:jc w:val="right"/>
              <w:outlineLvl w:val="9"/>
              <w:rPr>
                <w:rFonts w:eastAsia="Times New Roman"/>
                <w:sz w:val="18"/>
                <w:szCs w:val="18"/>
                <w:bdr w:val="none" w:sz="0" w:space="0" w:color="auto"/>
                <w:lang w:eastAsia="es-ES"/>
              </w:rPr>
            </w:pPr>
            <w:r>
              <w:rPr>
                <w:sz w:val="18"/>
                <w:szCs w:val="18"/>
              </w:rPr>
              <w:t>2.546.300,28</w:t>
            </w:r>
          </w:p>
        </w:tc>
        <w:tc>
          <w:tcPr>
            <w:tcW w:w="1101" w:type="pct"/>
            <w:tcBorders>
              <w:top w:val="nil"/>
              <w:left w:val="nil"/>
              <w:bottom w:val="nil"/>
              <w:right w:val="nil"/>
            </w:tcBorders>
            <w:shd w:val="clear" w:color="auto" w:fill="auto"/>
            <w:vAlign w:val="center"/>
            <w:hideMark/>
          </w:tcPr>
          <w:p w14:paraId="7ACF5437" w14:textId="10E4FE1F" w:rsidR="00A3343F" w:rsidRPr="00954AA6" w:rsidRDefault="00A3343F" w:rsidP="00A3343F">
            <w:pPr>
              <w:keepNext/>
              <w:keepLines/>
              <w:pBdr>
                <w:top w:val="none" w:sz="0" w:space="0" w:color="auto"/>
                <w:left w:val="none" w:sz="0" w:space="0" w:color="auto"/>
                <w:bottom w:val="none" w:sz="0" w:space="0" w:color="auto"/>
                <w:right w:val="none" w:sz="0" w:space="0" w:color="auto"/>
                <w:between w:val="none" w:sz="0" w:space="0" w:color="auto"/>
                <w:bar w:val="none" w:sz="0" w:color="auto"/>
              </w:pBdr>
              <w:jc w:val="right"/>
              <w:outlineLvl w:val="9"/>
              <w:rPr>
                <w:rFonts w:eastAsia="Times New Roman"/>
                <w:sz w:val="18"/>
                <w:szCs w:val="18"/>
                <w:bdr w:val="none" w:sz="0" w:space="0" w:color="auto"/>
                <w:lang w:eastAsia="es-ES"/>
              </w:rPr>
            </w:pPr>
            <w:r>
              <w:rPr>
                <w:rFonts w:eastAsia="Times New Roman"/>
                <w:sz w:val="18"/>
                <w:szCs w:val="18"/>
                <w:bdr w:val="none" w:sz="0" w:space="0" w:color="auto"/>
                <w:lang w:eastAsia="es-ES"/>
              </w:rPr>
              <w:t>2.148.859,82</w:t>
            </w:r>
          </w:p>
        </w:tc>
      </w:tr>
      <w:tr w:rsidR="00A3343F" w:rsidRPr="00954AA6" w14:paraId="679F75ED" w14:textId="77777777" w:rsidTr="00CE5DF2">
        <w:trPr>
          <w:trHeight w:val="255"/>
          <w:jc w:val="center"/>
        </w:trPr>
        <w:tc>
          <w:tcPr>
            <w:tcW w:w="2797" w:type="pct"/>
            <w:tcBorders>
              <w:top w:val="nil"/>
              <w:left w:val="nil"/>
              <w:bottom w:val="nil"/>
              <w:right w:val="nil"/>
            </w:tcBorders>
            <w:shd w:val="clear" w:color="auto" w:fill="auto"/>
            <w:vAlign w:val="center"/>
            <w:hideMark/>
          </w:tcPr>
          <w:p w14:paraId="424DDC83" w14:textId="77777777" w:rsidR="00A3343F" w:rsidRPr="00954AA6" w:rsidRDefault="00A3343F" w:rsidP="00A3343F">
            <w:pPr>
              <w:keepNext/>
              <w:keepLines/>
              <w:pBdr>
                <w:top w:val="none" w:sz="0" w:space="0" w:color="auto"/>
                <w:left w:val="none" w:sz="0" w:space="0" w:color="auto"/>
                <w:bottom w:val="none" w:sz="0" w:space="0" w:color="auto"/>
                <w:right w:val="none" w:sz="0" w:space="0" w:color="auto"/>
                <w:between w:val="none" w:sz="0" w:space="0" w:color="auto"/>
                <w:bar w:val="none" w:sz="0" w:color="auto"/>
              </w:pBdr>
              <w:ind w:left="214"/>
              <w:outlineLvl w:val="9"/>
              <w:rPr>
                <w:rFonts w:eastAsia="Times New Roman"/>
                <w:sz w:val="18"/>
                <w:szCs w:val="18"/>
                <w:bdr w:val="none" w:sz="0" w:space="0" w:color="auto"/>
                <w:lang w:eastAsia="es-ES"/>
              </w:rPr>
            </w:pPr>
            <w:r w:rsidRPr="00954AA6">
              <w:rPr>
                <w:rFonts w:eastAsia="Times New Roman"/>
                <w:sz w:val="18"/>
                <w:szCs w:val="18"/>
                <w:bdr w:val="none" w:sz="0" w:space="0" w:color="auto"/>
                <w:lang w:eastAsia="es-ES"/>
              </w:rPr>
              <w:t>Indemnizaciones</w:t>
            </w:r>
          </w:p>
        </w:tc>
        <w:tc>
          <w:tcPr>
            <w:tcW w:w="1102" w:type="pct"/>
            <w:tcBorders>
              <w:top w:val="nil"/>
              <w:left w:val="nil"/>
              <w:bottom w:val="nil"/>
              <w:right w:val="nil"/>
            </w:tcBorders>
            <w:shd w:val="clear" w:color="auto" w:fill="auto"/>
            <w:vAlign w:val="center"/>
          </w:tcPr>
          <w:p w14:paraId="40116388" w14:textId="73813A79" w:rsidR="00A3343F" w:rsidRPr="00954AA6" w:rsidRDefault="00A3343F" w:rsidP="00A3343F">
            <w:pPr>
              <w:keepNext/>
              <w:keepLines/>
              <w:pBdr>
                <w:top w:val="none" w:sz="0" w:space="0" w:color="auto"/>
                <w:left w:val="none" w:sz="0" w:space="0" w:color="auto"/>
                <w:bottom w:val="none" w:sz="0" w:space="0" w:color="auto"/>
                <w:right w:val="none" w:sz="0" w:space="0" w:color="auto"/>
                <w:between w:val="none" w:sz="0" w:space="0" w:color="auto"/>
                <w:bar w:val="none" w:sz="0" w:color="auto"/>
              </w:pBdr>
              <w:ind w:left="1" w:hanging="1"/>
              <w:jc w:val="right"/>
              <w:outlineLvl w:val="9"/>
              <w:rPr>
                <w:rFonts w:eastAsia="Times New Roman"/>
                <w:sz w:val="18"/>
                <w:szCs w:val="18"/>
                <w:bdr w:val="none" w:sz="0" w:space="0" w:color="auto"/>
                <w:lang w:eastAsia="es-ES"/>
              </w:rPr>
            </w:pPr>
            <w:r>
              <w:rPr>
                <w:sz w:val="18"/>
                <w:szCs w:val="18"/>
              </w:rPr>
              <w:t xml:space="preserve"> -</w:t>
            </w:r>
          </w:p>
        </w:tc>
        <w:tc>
          <w:tcPr>
            <w:tcW w:w="1101" w:type="pct"/>
            <w:tcBorders>
              <w:top w:val="nil"/>
              <w:left w:val="nil"/>
              <w:bottom w:val="nil"/>
              <w:right w:val="nil"/>
            </w:tcBorders>
            <w:shd w:val="clear" w:color="auto" w:fill="auto"/>
            <w:vAlign w:val="center"/>
            <w:hideMark/>
          </w:tcPr>
          <w:p w14:paraId="76243F5B" w14:textId="5B94EAC6" w:rsidR="00A3343F" w:rsidRPr="00954AA6" w:rsidRDefault="00A3343F" w:rsidP="00A3343F">
            <w:pPr>
              <w:keepNext/>
              <w:keepLines/>
              <w:pBdr>
                <w:top w:val="none" w:sz="0" w:space="0" w:color="auto"/>
                <w:left w:val="none" w:sz="0" w:space="0" w:color="auto"/>
                <w:bottom w:val="none" w:sz="0" w:space="0" w:color="auto"/>
                <w:right w:val="none" w:sz="0" w:space="0" w:color="auto"/>
                <w:between w:val="none" w:sz="0" w:space="0" w:color="auto"/>
                <w:bar w:val="none" w:sz="0" w:color="auto"/>
              </w:pBdr>
              <w:jc w:val="right"/>
              <w:outlineLvl w:val="9"/>
              <w:rPr>
                <w:rFonts w:eastAsia="Times New Roman"/>
                <w:sz w:val="18"/>
                <w:szCs w:val="18"/>
                <w:bdr w:val="none" w:sz="0" w:space="0" w:color="auto"/>
                <w:lang w:eastAsia="es-ES"/>
              </w:rPr>
            </w:pPr>
            <w:r>
              <w:rPr>
                <w:rFonts w:eastAsia="Times New Roman"/>
                <w:sz w:val="18"/>
                <w:szCs w:val="18"/>
                <w:bdr w:val="none" w:sz="0" w:space="0" w:color="auto"/>
                <w:lang w:eastAsia="es-ES"/>
              </w:rPr>
              <w:t>4.547,23</w:t>
            </w:r>
          </w:p>
        </w:tc>
      </w:tr>
      <w:tr w:rsidR="00A3343F" w:rsidRPr="00954AA6" w14:paraId="78CACA28" w14:textId="77777777" w:rsidTr="00CE5DF2">
        <w:trPr>
          <w:trHeight w:val="255"/>
          <w:jc w:val="center"/>
        </w:trPr>
        <w:tc>
          <w:tcPr>
            <w:tcW w:w="2797" w:type="pct"/>
            <w:tcBorders>
              <w:top w:val="nil"/>
              <w:left w:val="nil"/>
              <w:bottom w:val="nil"/>
              <w:right w:val="nil"/>
            </w:tcBorders>
            <w:shd w:val="clear" w:color="auto" w:fill="auto"/>
            <w:vAlign w:val="center"/>
            <w:hideMark/>
          </w:tcPr>
          <w:p w14:paraId="6B7BE647" w14:textId="77777777" w:rsidR="00A3343F" w:rsidRPr="00954AA6" w:rsidRDefault="00A3343F" w:rsidP="00A3343F">
            <w:pPr>
              <w:keepNext/>
              <w:keepLines/>
              <w:pBdr>
                <w:top w:val="none" w:sz="0" w:space="0" w:color="auto"/>
                <w:left w:val="none" w:sz="0" w:space="0" w:color="auto"/>
                <w:bottom w:val="none" w:sz="0" w:space="0" w:color="auto"/>
                <w:right w:val="none" w:sz="0" w:space="0" w:color="auto"/>
                <w:between w:val="none" w:sz="0" w:space="0" w:color="auto"/>
                <w:bar w:val="none" w:sz="0" w:color="auto"/>
              </w:pBdr>
              <w:ind w:left="214"/>
              <w:outlineLvl w:val="9"/>
              <w:rPr>
                <w:rFonts w:eastAsia="Times New Roman"/>
                <w:sz w:val="18"/>
                <w:szCs w:val="18"/>
                <w:bdr w:val="none" w:sz="0" w:space="0" w:color="auto"/>
                <w:lang w:eastAsia="es-ES"/>
              </w:rPr>
            </w:pPr>
            <w:r w:rsidRPr="00954AA6">
              <w:rPr>
                <w:rFonts w:eastAsia="Times New Roman"/>
                <w:sz w:val="18"/>
                <w:szCs w:val="18"/>
                <w:bdr w:val="none" w:sz="0" w:space="0" w:color="auto"/>
                <w:lang w:eastAsia="es-ES"/>
              </w:rPr>
              <w:t>Cargas sociales</w:t>
            </w:r>
          </w:p>
        </w:tc>
        <w:tc>
          <w:tcPr>
            <w:tcW w:w="1102" w:type="pct"/>
            <w:tcBorders>
              <w:top w:val="nil"/>
              <w:left w:val="nil"/>
              <w:bottom w:val="nil"/>
              <w:right w:val="nil"/>
            </w:tcBorders>
            <w:shd w:val="clear" w:color="auto" w:fill="auto"/>
            <w:vAlign w:val="center"/>
          </w:tcPr>
          <w:p w14:paraId="0B3E2230" w14:textId="3FAD3330" w:rsidR="00A3343F" w:rsidRPr="00954AA6" w:rsidRDefault="00A3343F" w:rsidP="00A3343F">
            <w:pPr>
              <w:keepNext/>
              <w:keepLines/>
              <w:pBdr>
                <w:top w:val="none" w:sz="0" w:space="0" w:color="auto"/>
                <w:left w:val="none" w:sz="0" w:space="0" w:color="auto"/>
                <w:bottom w:val="none" w:sz="0" w:space="0" w:color="auto"/>
                <w:right w:val="none" w:sz="0" w:space="0" w:color="auto"/>
                <w:between w:val="none" w:sz="0" w:space="0" w:color="auto"/>
                <w:bar w:val="none" w:sz="0" w:color="auto"/>
              </w:pBdr>
              <w:ind w:left="1" w:hanging="1"/>
              <w:jc w:val="right"/>
              <w:outlineLvl w:val="9"/>
              <w:rPr>
                <w:rFonts w:eastAsia="Times New Roman"/>
                <w:sz w:val="18"/>
                <w:szCs w:val="18"/>
                <w:bdr w:val="none" w:sz="0" w:space="0" w:color="auto"/>
                <w:lang w:eastAsia="es-ES"/>
              </w:rPr>
            </w:pPr>
            <w:r>
              <w:rPr>
                <w:sz w:val="18"/>
                <w:szCs w:val="18"/>
              </w:rPr>
              <w:t>743.833,09</w:t>
            </w:r>
          </w:p>
        </w:tc>
        <w:tc>
          <w:tcPr>
            <w:tcW w:w="1101" w:type="pct"/>
            <w:tcBorders>
              <w:top w:val="nil"/>
              <w:left w:val="nil"/>
              <w:bottom w:val="nil"/>
              <w:right w:val="nil"/>
            </w:tcBorders>
            <w:shd w:val="clear" w:color="auto" w:fill="auto"/>
            <w:vAlign w:val="center"/>
            <w:hideMark/>
          </w:tcPr>
          <w:p w14:paraId="69B25098" w14:textId="3C806EC4" w:rsidR="00A3343F" w:rsidRPr="00954AA6" w:rsidRDefault="00A3343F" w:rsidP="00A3343F">
            <w:pPr>
              <w:keepNext/>
              <w:keepLines/>
              <w:pBdr>
                <w:top w:val="none" w:sz="0" w:space="0" w:color="auto"/>
                <w:left w:val="none" w:sz="0" w:space="0" w:color="auto"/>
                <w:bottom w:val="none" w:sz="0" w:space="0" w:color="auto"/>
                <w:right w:val="none" w:sz="0" w:space="0" w:color="auto"/>
                <w:between w:val="none" w:sz="0" w:space="0" w:color="auto"/>
                <w:bar w:val="none" w:sz="0" w:color="auto"/>
              </w:pBdr>
              <w:jc w:val="right"/>
              <w:outlineLvl w:val="9"/>
              <w:rPr>
                <w:rFonts w:eastAsia="Times New Roman"/>
                <w:sz w:val="18"/>
                <w:szCs w:val="18"/>
                <w:bdr w:val="none" w:sz="0" w:space="0" w:color="auto"/>
                <w:lang w:eastAsia="es-ES"/>
              </w:rPr>
            </w:pPr>
            <w:r>
              <w:rPr>
                <w:rFonts w:eastAsia="Times New Roman"/>
                <w:sz w:val="18"/>
                <w:szCs w:val="18"/>
                <w:bdr w:val="none" w:sz="0" w:space="0" w:color="auto"/>
                <w:lang w:eastAsia="es-ES"/>
              </w:rPr>
              <w:t>606.856,15</w:t>
            </w:r>
          </w:p>
        </w:tc>
      </w:tr>
      <w:tr w:rsidR="00A3343F" w:rsidRPr="00954AA6" w14:paraId="772C2372" w14:textId="77777777" w:rsidTr="00CE5DF2">
        <w:trPr>
          <w:trHeight w:val="255"/>
          <w:jc w:val="center"/>
        </w:trPr>
        <w:tc>
          <w:tcPr>
            <w:tcW w:w="2797" w:type="pct"/>
            <w:tcBorders>
              <w:top w:val="nil"/>
              <w:left w:val="nil"/>
              <w:bottom w:val="nil"/>
              <w:right w:val="nil"/>
            </w:tcBorders>
            <w:shd w:val="clear" w:color="auto" w:fill="auto"/>
            <w:vAlign w:val="center"/>
            <w:hideMark/>
          </w:tcPr>
          <w:p w14:paraId="16BA52CD" w14:textId="77777777" w:rsidR="00A3343F" w:rsidRPr="00954AA6" w:rsidRDefault="00A3343F" w:rsidP="00A3343F">
            <w:pPr>
              <w:keepNext/>
              <w:keepLines/>
              <w:pBdr>
                <w:top w:val="none" w:sz="0" w:space="0" w:color="auto"/>
                <w:left w:val="none" w:sz="0" w:space="0" w:color="auto"/>
                <w:bottom w:val="none" w:sz="0" w:space="0" w:color="auto"/>
                <w:right w:val="none" w:sz="0" w:space="0" w:color="auto"/>
                <w:between w:val="none" w:sz="0" w:space="0" w:color="auto"/>
                <w:bar w:val="none" w:sz="0" w:color="auto"/>
              </w:pBdr>
              <w:ind w:left="214"/>
              <w:outlineLvl w:val="9"/>
              <w:rPr>
                <w:rFonts w:eastAsia="Times New Roman"/>
                <w:sz w:val="18"/>
                <w:szCs w:val="18"/>
                <w:bdr w:val="none" w:sz="0" w:space="0" w:color="auto"/>
                <w:lang w:eastAsia="es-ES"/>
              </w:rPr>
            </w:pPr>
            <w:r w:rsidRPr="00954AA6">
              <w:rPr>
                <w:rFonts w:eastAsia="Times New Roman"/>
                <w:sz w:val="18"/>
                <w:szCs w:val="18"/>
                <w:bdr w:val="none" w:sz="0" w:space="0" w:color="auto"/>
                <w:lang w:eastAsia="es-ES"/>
              </w:rPr>
              <w:t>Otros gastos sociales</w:t>
            </w:r>
          </w:p>
        </w:tc>
        <w:tc>
          <w:tcPr>
            <w:tcW w:w="1102" w:type="pct"/>
            <w:tcBorders>
              <w:top w:val="nil"/>
              <w:left w:val="nil"/>
              <w:bottom w:val="nil"/>
              <w:right w:val="nil"/>
            </w:tcBorders>
            <w:shd w:val="clear" w:color="auto" w:fill="auto"/>
            <w:vAlign w:val="center"/>
          </w:tcPr>
          <w:p w14:paraId="0507361A" w14:textId="72917C65" w:rsidR="00A3343F" w:rsidRPr="00E612CB" w:rsidRDefault="00A3343F" w:rsidP="00A3343F">
            <w:pPr>
              <w:pBdr>
                <w:top w:val="none" w:sz="0" w:space="0" w:color="auto"/>
                <w:left w:val="none" w:sz="0" w:space="0" w:color="auto"/>
                <w:bottom w:val="none" w:sz="0" w:space="0" w:color="auto"/>
                <w:right w:val="none" w:sz="0" w:space="0" w:color="auto"/>
                <w:between w:val="none" w:sz="0" w:space="0" w:color="auto"/>
                <w:bar w:val="none" w:sz="0" w:color="auto"/>
              </w:pBdr>
              <w:jc w:val="right"/>
              <w:outlineLvl w:val="9"/>
              <w:rPr>
                <w:rFonts w:eastAsia="Times New Roman"/>
                <w:sz w:val="18"/>
                <w:szCs w:val="18"/>
                <w:bdr w:val="none" w:sz="0" w:space="0" w:color="auto"/>
                <w:lang w:eastAsia="es-ES"/>
              </w:rPr>
            </w:pPr>
            <w:r>
              <w:rPr>
                <w:sz w:val="18"/>
                <w:szCs w:val="18"/>
              </w:rPr>
              <w:t>14.401,55</w:t>
            </w:r>
          </w:p>
        </w:tc>
        <w:tc>
          <w:tcPr>
            <w:tcW w:w="1101" w:type="pct"/>
            <w:tcBorders>
              <w:top w:val="nil"/>
              <w:left w:val="nil"/>
              <w:bottom w:val="nil"/>
              <w:right w:val="nil"/>
            </w:tcBorders>
            <w:shd w:val="clear" w:color="auto" w:fill="auto"/>
            <w:vAlign w:val="center"/>
            <w:hideMark/>
          </w:tcPr>
          <w:p w14:paraId="00B33CB2" w14:textId="23407B27" w:rsidR="00A3343F" w:rsidRPr="00954AA6" w:rsidRDefault="00A3343F" w:rsidP="00A3343F">
            <w:pPr>
              <w:keepNext/>
              <w:keepLines/>
              <w:pBdr>
                <w:top w:val="none" w:sz="0" w:space="0" w:color="auto"/>
                <w:left w:val="none" w:sz="0" w:space="0" w:color="auto"/>
                <w:bottom w:val="none" w:sz="0" w:space="0" w:color="auto"/>
                <w:right w:val="none" w:sz="0" w:space="0" w:color="auto"/>
                <w:between w:val="none" w:sz="0" w:space="0" w:color="auto"/>
                <w:bar w:val="none" w:sz="0" w:color="auto"/>
              </w:pBdr>
              <w:jc w:val="right"/>
              <w:outlineLvl w:val="9"/>
              <w:rPr>
                <w:rFonts w:eastAsia="Times New Roman"/>
                <w:sz w:val="18"/>
                <w:szCs w:val="18"/>
                <w:bdr w:val="none" w:sz="0" w:space="0" w:color="auto"/>
                <w:lang w:eastAsia="es-ES"/>
              </w:rPr>
            </w:pPr>
            <w:r>
              <w:rPr>
                <w:sz w:val="18"/>
                <w:szCs w:val="18"/>
              </w:rPr>
              <w:t>11.382,13</w:t>
            </w:r>
          </w:p>
        </w:tc>
      </w:tr>
      <w:tr w:rsidR="00A3343F" w:rsidRPr="00954AA6" w14:paraId="7D23D050" w14:textId="77777777" w:rsidTr="00CE5DF2">
        <w:trPr>
          <w:trHeight w:val="255"/>
          <w:jc w:val="center"/>
        </w:trPr>
        <w:tc>
          <w:tcPr>
            <w:tcW w:w="2797" w:type="pct"/>
            <w:tcBorders>
              <w:top w:val="single" w:sz="4" w:space="0" w:color="auto"/>
              <w:left w:val="nil"/>
              <w:bottom w:val="single" w:sz="4" w:space="0" w:color="auto"/>
              <w:right w:val="nil"/>
            </w:tcBorders>
            <w:shd w:val="clear" w:color="auto" w:fill="auto"/>
            <w:vAlign w:val="center"/>
            <w:hideMark/>
          </w:tcPr>
          <w:p w14:paraId="7358C1C0" w14:textId="77777777" w:rsidR="00A3343F" w:rsidRPr="00954AA6" w:rsidRDefault="00A3343F" w:rsidP="00A3343F">
            <w:pPr>
              <w:keepNext/>
              <w:keepLines/>
              <w:pBdr>
                <w:top w:val="none" w:sz="0" w:space="0" w:color="auto"/>
                <w:left w:val="none" w:sz="0" w:space="0" w:color="auto"/>
                <w:bottom w:val="none" w:sz="0" w:space="0" w:color="auto"/>
                <w:right w:val="none" w:sz="0" w:space="0" w:color="auto"/>
                <w:between w:val="none" w:sz="0" w:space="0" w:color="auto"/>
                <w:bar w:val="none" w:sz="0" w:color="auto"/>
              </w:pBdr>
              <w:ind w:left="214"/>
              <w:outlineLvl w:val="9"/>
              <w:rPr>
                <w:rFonts w:eastAsia="Times New Roman"/>
                <w:b/>
                <w:bCs/>
                <w:sz w:val="18"/>
                <w:szCs w:val="18"/>
                <w:bdr w:val="none" w:sz="0" w:space="0" w:color="auto"/>
                <w:lang w:eastAsia="es-ES"/>
              </w:rPr>
            </w:pPr>
            <w:r w:rsidRPr="00954AA6">
              <w:rPr>
                <w:rFonts w:eastAsia="Times New Roman"/>
                <w:b/>
                <w:bCs/>
                <w:sz w:val="18"/>
                <w:szCs w:val="18"/>
                <w:bdr w:val="none" w:sz="0" w:space="0" w:color="auto"/>
                <w:lang w:eastAsia="es-ES"/>
              </w:rPr>
              <w:t>Total</w:t>
            </w:r>
          </w:p>
        </w:tc>
        <w:tc>
          <w:tcPr>
            <w:tcW w:w="1102" w:type="pct"/>
            <w:tcBorders>
              <w:top w:val="single" w:sz="4" w:space="0" w:color="auto"/>
              <w:left w:val="nil"/>
              <w:bottom w:val="single" w:sz="4" w:space="0" w:color="auto"/>
              <w:right w:val="nil"/>
            </w:tcBorders>
            <w:shd w:val="clear" w:color="auto" w:fill="auto"/>
            <w:vAlign w:val="center"/>
          </w:tcPr>
          <w:p w14:paraId="2F0DD95D" w14:textId="525E253A" w:rsidR="00A3343F" w:rsidRPr="00E612CB" w:rsidRDefault="00A3343F" w:rsidP="00A3343F">
            <w:pPr>
              <w:pBdr>
                <w:top w:val="none" w:sz="0" w:space="0" w:color="auto"/>
                <w:left w:val="none" w:sz="0" w:space="0" w:color="auto"/>
                <w:bottom w:val="none" w:sz="0" w:space="0" w:color="auto"/>
                <w:right w:val="none" w:sz="0" w:space="0" w:color="auto"/>
                <w:between w:val="none" w:sz="0" w:space="0" w:color="auto"/>
                <w:bar w:val="none" w:sz="0" w:color="auto"/>
              </w:pBdr>
              <w:jc w:val="right"/>
              <w:outlineLvl w:val="9"/>
              <w:rPr>
                <w:rFonts w:eastAsia="Times New Roman"/>
                <w:b/>
                <w:bCs/>
                <w:sz w:val="18"/>
                <w:szCs w:val="18"/>
                <w:bdr w:val="none" w:sz="0" w:space="0" w:color="auto"/>
                <w:lang w:eastAsia="es-ES"/>
              </w:rPr>
            </w:pPr>
            <w:r>
              <w:rPr>
                <w:b/>
                <w:bCs/>
                <w:sz w:val="18"/>
                <w:szCs w:val="18"/>
              </w:rPr>
              <w:t>3.304.534,92</w:t>
            </w:r>
          </w:p>
        </w:tc>
        <w:tc>
          <w:tcPr>
            <w:tcW w:w="1101" w:type="pct"/>
            <w:tcBorders>
              <w:top w:val="single" w:sz="4" w:space="0" w:color="auto"/>
              <w:left w:val="nil"/>
              <w:bottom w:val="single" w:sz="4" w:space="0" w:color="auto"/>
              <w:right w:val="nil"/>
            </w:tcBorders>
            <w:shd w:val="clear" w:color="auto" w:fill="auto"/>
            <w:vAlign w:val="center"/>
            <w:hideMark/>
          </w:tcPr>
          <w:p w14:paraId="41588CF1" w14:textId="3F835726" w:rsidR="00A3343F" w:rsidRPr="00954AA6" w:rsidRDefault="00A3343F" w:rsidP="00A3343F">
            <w:pPr>
              <w:keepNext/>
              <w:keepLines/>
              <w:pBdr>
                <w:top w:val="none" w:sz="0" w:space="0" w:color="auto"/>
                <w:left w:val="none" w:sz="0" w:space="0" w:color="auto"/>
                <w:bottom w:val="none" w:sz="0" w:space="0" w:color="auto"/>
                <w:right w:val="none" w:sz="0" w:space="0" w:color="auto"/>
                <w:between w:val="none" w:sz="0" w:space="0" w:color="auto"/>
                <w:bar w:val="none" w:sz="0" w:color="auto"/>
              </w:pBdr>
              <w:jc w:val="right"/>
              <w:outlineLvl w:val="9"/>
              <w:rPr>
                <w:rFonts w:eastAsia="Times New Roman"/>
                <w:b/>
                <w:bCs/>
                <w:sz w:val="18"/>
                <w:szCs w:val="18"/>
                <w:bdr w:val="none" w:sz="0" w:space="0" w:color="auto"/>
                <w:lang w:eastAsia="es-ES"/>
              </w:rPr>
            </w:pPr>
            <w:r>
              <w:rPr>
                <w:b/>
                <w:bCs/>
                <w:sz w:val="18"/>
                <w:szCs w:val="18"/>
              </w:rPr>
              <w:t>2.771.645,33</w:t>
            </w:r>
          </w:p>
        </w:tc>
      </w:tr>
    </w:tbl>
    <w:p w14:paraId="68166FF4" w14:textId="44429C19" w:rsidR="00B1370C" w:rsidRDefault="00B1370C" w:rsidP="00B1370C">
      <w:pPr>
        <w:widowControl w:val="0"/>
        <w:spacing w:before="240" w:after="120" w:line="260" w:lineRule="exact"/>
        <w:jc w:val="both"/>
        <w:outlineLvl w:val="9"/>
        <w:rPr>
          <w:snapToGrid w:val="0"/>
          <w:color w:val="auto"/>
          <w:sz w:val="20"/>
          <w:szCs w:val="22"/>
        </w:rPr>
      </w:pPr>
      <w:r>
        <w:rPr>
          <w:snapToGrid w:val="0"/>
          <w:color w:val="auto"/>
          <w:sz w:val="20"/>
          <w:szCs w:val="22"/>
        </w:rPr>
        <w:t>En</w:t>
      </w:r>
      <w:r w:rsidR="00F5436F" w:rsidRPr="004C4EE8">
        <w:rPr>
          <w:snapToGrid w:val="0"/>
          <w:color w:val="auto"/>
          <w:sz w:val="20"/>
          <w:szCs w:val="22"/>
        </w:rPr>
        <w:t xml:space="preserve"> el ejercicio 2023 la Sociedad abonó a los trabajadores los salarios minorados en 2010 al 5% del salario base, antigüedad y bolsa de vacaciones del ejercicio, con efecto desde el 1 de enero de 2019, reconocida por la Dirección General de Planificación y Presupuestos del Gobierno de Canarias, en base a la Ley 7/2022, de 28 de diciembre, de Presupuestos Generales de la Comunidad Autónoma de Canarias para 2023 (Notas 8.3.a y 11.1.b), reconociendo un exceso de provisión en la cuenta de pérdidas y ganancias por importe de 69.506,52 euros.</w:t>
      </w:r>
      <w:r w:rsidR="004C4EE8" w:rsidRPr="004C4EE8">
        <w:rPr>
          <w:snapToGrid w:val="0"/>
          <w:color w:val="auto"/>
          <w:sz w:val="20"/>
          <w:szCs w:val="22"/>
        </w:rPr>
        <w:t xml:space="preserve"> </w:t>
      </w:r>
    </w:p>
    <w:p w14:paraId="0B10D45F" w14:textId="26FA36D6" w:rsidR="004C4EE8" w:rsidRPr="00BC4DB9" w:rsidRDefault="004C4EE8" w:rsidP="00B1370C">
      <w:pPr>
        <w:widowControl w:val="0"/>
        <w:spacing w:before="120" w:after="120" w:line="260" w:lineRule="exact"/>
        <w:jc w:val="both"/>
        <w:outlineLvl w:val="9"/>
        <w:rPr>
          <w:snapToGrid w:val="0"/>
          <w:color w:val="auto"/>
          <w:sz w:val="20"/>
          <w:szCs w:val="22"/>
        </w:rPr>
      </w:pPr>
      <w:r w:rsidRPr="004C4EE8">
        <w:rPr>
          <w:snapToGrid w:val="0"/>
          <w:color w:val="auto"/>
          <w:sz w:val="20"/>
          <w:szCs w:val="22"/>
        </w:rPr>
        <w:t>En el ejercicio 2024 se ha reconocido un exceso de 5.547,29 euros.</w:t>
      </w:r>
    </w:p>
    <w:p w14:paraId="55DEBA30" w14:textId="1FB006CC" w:rsidR="00F5436F" w:rsidRPr="00BC4DB9" w:rsidRDefault="00F5436F" w:rsidP="00F5436F">
      <w:pPr>
        <w:widowControl w:val="0"/>
        <w:spacing w:before="120" w:after="120" w:line="260" w:lineRule="exact"/>
        <w:jc w:val="both"/>
        <w:outlineLvl w:val="9"/>
        <w:rPr>
          <w:snapToGrid w:val="0"/>
          <w:color w:val="auto"/>
          <w:sz w:val="20"/>
          <w:szCs w:val="22"/>
        </w:rPr>
      </w:pPr>
    </w:p>
    <w:p w14:paraId="368CE29F" w14:textId="77777777" w:rsidR="00F5436F" w:rsidRPr="007F28C8" w:rsidRDefault="00F5436F" w:rsidP="00661E2A">
      <w:pPr>
        <w:widowControl w:val="0"/>
        <w:spacing w:before="120" w:after="120" w:line="260" w:lineRule="exact"/>
        <w:jc w:val="both"/>
        <w:outlineLvl w:val="9"/>
        <w:rPr>
          <w:snapToGrid w:val="0"/>
          <w:color w:val="auto"/>
          <w:sz w:val="20"/>
          <w:szCs w:val="22"/>
        </w:rPr>
      </w:pPr>
    </w:p>
    <w:p w14:paraId="660C8F55" w14:textId="713EAAF0" w:rsidR="00D67C6B" w:rsidRDefault="00D67C6B">
      <w:pPr>
        <w:pBdr>
          <w:top w:val="none" w:sz="0" w:space="0" w:color="auto"/>
          <w:left w:val="none" w:sz="0" w:space="0" w:color="auto"/>
          <w:bottom w:val="none" w:sz="0" w:space="0" w:color="auto"/>
          <w:right w:val="none" w:sz="0" w:space="0" w:color="auto"/>
          <w:between w:val="none" w:sz="0" w:space="0" w:color="auto"/>
          <w:bar w:val="none" w:sz="0" w:color="auto"/>
        </w:pBdr>
        <w:outlineLvl w:val="9"/>
        <w:rPr>
          <w:snapToGrid w:val="0"/>
          <w:sz w:val="20"/>
          <w:szCs w:val="22"/>
          <w:highlight w:val="yellow"/>
        </w:rPr>
      </w:pPr>
      <w:r>
        <w:rPr>
          <w:snapToGrid w:val="0"/>
          <w:sz w:val="20"/>
          <w:szCs w:val="22"/>
          <w:highlight w:val="yellow"/>
        </w:rPr>
        <w:br w:type="page"/>
      </w:r>
    </w:p>
    <w:p w14:paraId="0C5B64F3" w14:textId="5DE9CC5C" w:rsidR="006220A2" w:rsidRPr="0083433F" w:rsidRDefault="006220A2">
      <w:pPr>
        <w:keepNext/>
        <w:keepLines/>
        <w:widowControl w:val="0"/>
        <w:numPr>
          <w:ilvl w:val="0"/>
          <w:numId w:val="10"/>
        </w:numPr>
        <w:pBdr>
          <w:top w:val="none" w:sz="0" w:space="0" w:color="auto"/>
          <w:left w:val="none" w:sz="0" w:space="0" w:color="auto"/>
          <w:bottom w:val="none" w:sz="0" w:space="0" w:color="auto"/>
          <w:right w:val="none" w:sz="0" w:space="0" w:color="auto"/>
          <w:between w:val="none" w:sz="0" w:space="0" w:color="auto"/>
          <w:bar w:val="none" w:sz="0" w:color="auto"/>
        </w:pBdr>
        <w:tabs>
          <w:tab w:val="clear" w:pos="360"/>
          <w:tab w:val="num" w:pos="284"/>
        </w:tabs>
        <w:spacing w:before="200"/>
        <w:ind w:left="0" w:firstLine="0"/>
        <w:outlineLvl w:val="9"/>
        <w:rPr>
          <w:sz w:val="20"/>
          <w:szCs w:val="22"/>
          <w:u w:val="single"/>
        </w:rPr>
      </w:pPr>
      <w:r w:rsidRPr="0083433F">
        <w:rPr>
          <w:sz w:val="20"/>
          <w:szCs w:val="22"/>
          <w:u w:val="single"/>
        </w:rPr>
        <w:lastRenderedPageBreak/>
        <w:t>Otros gastos de explotación</w:t>
      </w:r>
    </w:p>
    <w:p w14:paraId="293C841D" w14:textId="6335A930" w:rsidR="006220A2" w:rsidRPr="00176BA0" w:rsidRDefault="006220A2" w:rsidP="00D67C6B">
      <w:pPr>
        <w:widowControl w:val="0"/>
        <w:spacing w:before="120" w:after="120" w:line="260" w:lineRule="exact"/>
        <w:jc w:val="both"/>
        <w:outlineLvl w:val="9"/>
        <w:rPr>
          <w:snapToGrid w:val="0"/>
          <w:sz w:val="20"/>
          <w:szCs w:val="22"/>
        </w:rPr>
      </w:pPr>
      <w:r w:rsidRPr="00176BA0">
        <w:rPr>
          <w:snapToGrid w:val="0"/>
          <w:sz w:val="20"/>
          <w:szCs w:val="22"/>
        </w:rPr>
        <w:t>El detalle de “Otros gastos de explotación” del ejercicio 20</w:t>
      </w:r>
      <w:r w:rsidR="000D76CC" w:rsidRPr="00176BA0">
        <w:rPr>
          <w:snapToGrid w:val="0"/>
          <w:sz w:val="20"/>
          <w:szCs w:val="22"/>
        </w:rPr>
        <w:t>2</w:t>
      </w:r>
      <w:r w:rsidR="00623AD4">
        <w:rPr>
          <w:snapToGrid w:val="0"/>
          <w:sz w:val="20"/>
          <w:szCs w:val="22"/>
        </w:rPr>
        <w:t>4</w:t>
      </w:r>
      <w:r w:rsidR="00973506" w:rsidRPr="00176BA0">
        <w:rPr>
          <w:snapToGrid w:val="0"/>
          <w:sz w:val="20"/>
          <w:szCs w:val="22"/>
        </w:rPr>
        <w:t xml:space="preserve"> y 20</w:t>
      </w:r>
      <w:r w:rsidR="002555C0" w:rsidRPr="00176BA0">
        <w:rPr>
          <w:snapToGrid w:val="0"/>
          <w:sz w:val="20"/>
          <w:szCs w:val="22"/>
        </w:rPr>
        <w:t>2</w:t>
      </w:r>
      <w:r w:rsidR="00623AD4">
        <w:rPr>
          <w:snapToGrid w:val="0"/>
          <w:sz w:val="20"/>
          <w:szCs w:val="22"/>
        </w:rPr>
        <w:t>3</w:t>
      </w:r>
      <w:r w:rsidRPr="00176BA0">
        <w:rPr>
          <w:snapToGrid w:val="0"/>
          <w:sz w:val="20"/>
          <w:szCs w:val="22"/>
        </w:rPr>
        <w:t>, es el siguiente:</w:t>
      </w:r>
    </w:p>
    <w:tbl>
      <w:tblPr>
        <w:tblW w:w="5000" w:type="pct"/>
        <w:jc w:val="center"/>
        <w:tblCellMar>
          <w:left w:w="70" w:type="dxa"/>
          <w:right w:w="70" w:type="dxa"/>
        </w:tblCellMar>
        <w:tblLook w:val="04A0" w:firstRow="1" w:lastRow="0" w:firstColumn="1" w:lastColumn="0" w:noHBand="0" w:noVBand="1"/>
      </w:tblPr>
      <w:tblGrid>
        <w:gridCol w:w="5228"/>
        <w:gridCol w:w="1776"/>
        <w:gridCol w:w="1777"/>
      </w:tblGrid>
      <w:tr w:rsidR="00395ADC" w:rsidRPr="00954AA6" w14:paraId="5355FE0C" w14:textId="77777777" w:rsidTr="006B56B4">
        <w:trPr>
          <w:trHeight w:val="227"/>
          <w:jc w:val="center"/>
        </w:trPr>
        <w:tc>
          <w:tcPr>
            <w:tcW w:w="2977" w:type="pct"/>
            <w:tcBorders>
              <w:top w:val="single" w:sz="4" w:space="0" w:color="auto"/>
              <w:left w:val="nil"/>
              <w:bottom w:val="nil"/>
              <w:right w:val="nil"/>
            </w:tcBorders>
            <w:shd w:val="clear" w:color="auto" w:fill="auto"/>
            <w:vAlign w:val="center"/>
            <w:hideMark/>
          </w:tcPr>
          <w:p w14:paraId="11A50B1A" w14:textId="77777777" w:rsidR="00395ADC" w:rsidRPr="00954AA6" w:rsidRDefault="00395ADC" w:rsidP="00954AA6">
            <w:pPr>
              <w:pBdr>
                <w:top w:val="none" w:sz="0" w:space="0" w:color="auto"/>
                <w:left w:val="none" w:sz="0" w:space="0" w:color="auto"/>
                <w:bottom w:val="none" w:sz="0" w:space="0" w:color="auto"/>
                <w:right w:val="none" w:sz="0" w:space="0" w:color="auto"/>
                <w:between w:val="none" w:sz="0" w:space="0" w:color="auto"/>
                <w:bar w:val="none" w:sz="0" w:color="auto"/>
              </w:pBdr>
              <w:ind w:left="209"/>
              <w:outlineLvl w:val="9"/>
              <w:rPr>
                <w:rFonts w:eastAsia="Times New Roman"/>
                <w:sz w:val="18"/>
                <w:szCs w:val="18"/>
                <w:bdr w:val="none" w:sz="0" w:space="0" w:color="auto"/>
                <w:lang w:eastAsia="es-ES"/>
              </w:rPr>
            </w:pPr>
            <w:r w:rsidRPr="00954AA6">
              <w:rPr>
                <w:rFonts w:eastAsia="Times New Roman"/>
                <w:sz w:val="18"/>
                <w:szCs w:val="18"/>
                <w:bdr w:val="none" w:sz="0" w:space="0" w:color="auto"/>
                <w:lang w:eastAsia="es-ES"/>
              </w:rPr>
              <w:t> </w:t>
            </w:r>
          </w:p>
        </w:tc>
        <w:tc>
          <w:tcPr>
            <w:tcW w:w="2023" w:type="pct"/>
            <w:gridSpan w:val="2"/>
            <w:tcBorders>
              <w:top w:val="single" w:sz="4" w:space="0" w:color="auto"/>
              <w:left w:val="nil"/>
              <w:bottom w:val="single" w:sz="4" w:space="0" w:color="auto"/>
              <w:right w:val="nil"/>
            </w:tcBorders>
            <w:shd w:val="clear" w:color="auto" w:fill="auto"/>
            <w:vAlign w:val="bottom"/>
            <w:hideMark/>
          </w:tcPr>
          <w:p w14:paraId="03A7B1A0" w14:textId="77777777" w:rsidR="00395ADC" w:rsidRPr="00954AA6" w:rsidRDefault="00395ADC" w:rsidP="00395ADC">
            <w:pPr>
              <w:pBdr>
                <w:top w:val="none" w:sz="0" w:space="0" w:color="auto"/>
                <w:left w:val="none" w:sz="0" w:space="0" w:color="auto"/>
                <w:bottom w:val="none" w:sz="0" w:space="0" w:color="auto"/>
                <w:right w:val="none" w:sz="0" w:space="0" w:color="auto"/>
                <w:between w:val="none" w:sz="0" w:space="0" w:color="auto"/>
                <w:bar w:val="none" w:sz="0" w:color="auto"/>
              </w:pBdr>
              <w:jc w:val="center"/>
              <w:outlineLvl w:val="9"/>
              <w:rPr>
                <w:rFonts w:eastAsia="Times New Roman"/>
                <w:b/>
                <w:bCs/>
                <w:sz w:val="18"/>
                <w:szCs w:val="18"/>
                <w:bdr w:val="none" w:sz="0" w:space="0" w:color="auto"/>
                <w:lang w:eastAsia="es-ES"/>
              </w:rPr>
            </w:pPr>
            <w:r w:rsidRPr="00954AA6">
              <w:rPr>
                <w:rFonts w:eastAsia="Times New Roman"/>
                <w:b/>
                <w:bCs/>
                <w:sz w:val="18"/>
                <w:szCs w:val="18"/>
                <w:bdr w:val="none" w:sz="0" w:space="0" w:color="auto"/>
                <w:lang w:eastAsia="es-ES"/>
              </w:rPr>
              <w:t>Euros</w:t>
            </w:r>
          </w:p>
        </w:tc>
      </w:tr>
      <w:tr w:rsidR="006B56B4" w:rsidRPr="00954AA6" w14:paraId="02808F67" w14:textId="77777777" w:rsidTr="007B2046">
        <w:trPr>
          <w:trHeight w:val="227"/>
          <w:jc w:val="center"/>
        </w:trPr>
        <w:tc>
          <w:tcPr>
            <w:tcW w:w="2977" w:type="pct"/>
            <w:tcBorders>
              <w:top w:val="nil"/>
              <w:left w:val="nil"/>
              <w:bottom w:val="single" w:sz="4" w:space="0" w:color="auto"/>
              <w:right w:val="nil"/>
            </w:tcBorders>
            <w:shd w:val="clear" w:color="auto" w:fill="auto"/>
            <w:vAlign w:val="center"/>
            <w:hideMark/>
          </w:tcPr>
          <w:p w14:paraId="24FFF1AC" w14:textId="77777777" w:rsidR="006B56B4" w:rsidRPr="00954AA6" w:rsidRDefault="006B56B4" w:rsidP="006B56B4">
            <w:pPr>
              <w:pBdr>
                <w:top w:val="none" w:sz="0" w:space="0" w:color="auto"/>
                <w:left w:val="none" w:sz="0" w:space="0" w:color="auto"/>
                <w:bottom w:val="none" w:sz="0" w:space="0" w:color="auto"/>
                <w:right w:val="none" w:sz="0" w:space="0" w:color="auto"/>
                <w:between w:val="none" w:sz="0" w:space="0" w:color="auto"/>
                <w:bar w:val="none" w:sz="0" w:color="auto"/>
              </w:pBdr>
              <w:ind w:left="209"/>
              <w:outlineLvl w:val="9"/>
              <w:rPr>
                <w:rFonts w:eastAsia="Times New Roman"/>
                <w:sz w:val="18"/>
                <w:szCs w:val="18"/>
                <w:bdr w:val="none" w:sz="0" w:space="0" w:color="auto"/>
                <w:lang w:eastAsia="es-ES"/>
              </w:rPr>
            </w:pPr>
            <w:r w:rsidRPr="00954AA6">
              <w:rPr>
                <w:rFonts w:eastAsia="Times New Roman"/>
                <w:sz w:val="18"/>
                <w:szCs w:val="18"/>
                <w:bdr w:val="none" w:sz="0" w:space="0" w:color="auto"/>
                <w:lang w:eastAsia="es-ES"/>
              </w:rPr>
              <w:t> </w:t>
            </w:r>
          </w:p>
        </w:tc>
        <w:tc>
          <w:tcPr>
            <w:tcW w:w="1011" w:type="pct"/>
            <w:tcBorders>
              <w:top w:val="nil"/>
              <w:left w:val="nil"/>
              <w:bottom w:val="single" w:sz="4" w:space="0" w:color="auto"/>
              <w:right w:val="nil"/>
            </w:tcBorders>
            <w:shd w:val="clear" w:color="auto" w:fill="auto"/>
            <w:vAlign w:val="bottom"/>
            <w:hideMark/>
          </w:tcPr>
          <w:p w14:paraId="09E708C3" w14:textId="0915755C" w:rsidR="006B56B4" w:rsidRPr="00954AA6" w:rsidRDefault="006B56B4" w:rsidP="006B56B4">
            <w:pPr>
              <w:pBdr>
                <w:top w:val="none" w:sz="0" w:space="0" w:color="auto"/>
                <w:left w:val="none" w:sz="0" w:space="0" w:color="auto"/>
                <w:bottom w:val="none" w:sz="0" w:space="0" w:color="auto"/>
                <w:right w:val="none" w:sz="0" w:space="0" w:color="auto"/>
                <w:between w:val="none" w:sz="0" w:space="0" w:color="auto"/>
                <w:bar w:val="none" w:sz="0" w:color="auto"/>
              </w:pBdr>
              <w:jc w:val="center"/>
              <w:outlineLvl w:val="9"/>
              <w:rPr>
                <w:rFonts w:eastAsia="Times New Roman"/>
                <w:b/>
                <w:bCs/>
                <w:sz w:val="18"/>
                <w:szCs w:val="18"/>
                <w:bdr w:val="none" w:sz="0" w:space="0" w:color="auto"/>
                <w:lang w:eastAsia="es-ES"/>
              </w:rPr>
            </w:pPr>
            <w:r w:rsidRPr="00954AA6">
              <w:rPr>
                <w:rFonts w:eastAsia="Times New Roman"/>
                <w:b/>
                <w:bCs/>
                <w:sz w:val="18"/>
                <w:szCs w:val="18"/>
                <w:bdr w:val="none" w:sz="0" w:space="0" w:color="auto"/>
                <w:lang w:eastAsia="es-ES"/>
              </w:rPr>
              <w:t>202</w:t>
            </w:r>
            <w:r w:rsidR="00623AD4">
              <w:rPr>
                <w:rFonts w:eastAsia="Times New Roman"/>
                <w:b/>
                <w:bCs/>
                <w:sz w:val="18"/>
                <w:szCs w:val="18"/>
                <w:bdr w:val="none" w:sz="0" w:space="0" w:color="auto"/>
                <w:lang w:eastAsia="es-ES"/>
              </w:rPr>
              <w:t>4</w:t>
            </w:r>
          </w:p>
        </w:tc>
        <w:tc>
          <w:tcPr>
            <w:tcW w:w="1012" w:type="pct"/>
            <w:tcBorders>
              <w:top w:val="nil"/>
              <w:left w:val="nil"/>
              <w:bottom w:val="single" w:sz="4" w:space="0" w:color="auto"/>
              <w:right w:val="nil"/>
            </w:tcBorders>
            <w:shd w:val="clear" w:color="auto" w:fill="auto"/>
            <w:vAlign w:val="bottom"/>
            <w:hideMark/>
          </w:tcPr>
          <w:p w14:paraId="7F47D9EF" w14:textId="2698706B" w:rsidR="006B56B4" w:rsidRPr="00954AA6" w:rsidRDefault="006B56B4" w:rsidP="006B56B4">
            <w:pPr>
              <w:pBdr>
                <w:top w:val="none" w:sz="0" w:space="0" w:color="auto"/>
                <w:left w:val="none" w:sz="0" w:space="0" w:color="auto"/>
                <w:bottom w:val="none" w:sz="0" w:space="0" w:color="auto"/>
                <w:right w:val="none" w:sz="0" w:space="0" w:color="auto"/>
                <w:between w:val="none" w:sz="0" w:space="0" w:color="auto"/>
                <w:bar w:val="none" w:sz="0" w:color="auto"/>
              </w:pBdr>
              <w:jc w:val="center"/>
              <w:outlineLvl w:val="9"/>
              <w:rPr>
                <w:rFonts w:eastAsia="Times New Roman"/>
                <w:b/>
                <w:bCs/>
                <w:sz w:val="18"/>
                <w:szCs w:val="18"/>
                <w:bdr w:val="none" w:sz="0" w:space="0" w:color="auto"/>
                <w:lang w:eastAsia="es-ES"/>
              </w:rPr>
            </w:pPr>
            <w:r w:rsidRPr="00954AA6">
              <w:rPr>
                <w:rFonts w:eastAsia="Times New Roman"/>
                <w:b/>
                <w:bCs/>
                <w:sz w:val="18"/>
                <w:szCs w:val="18"/>
                <w:bdr w:val="none" w:sz="0" w:space="0" w:color="auto"/>
                <w:lang w:eastAsia="es-ES"/>
              </w:rPr>
              <w:t>202</w:t>
            </w:r>
            <w:r w:rsidR="00623AD4">
              <w:rPr>
                <w:rFonts w:eastAsia="Times New Roman"/>
                <w:b/>
                <w:bCs/>
                <w:sz w:val="18"/>
                <w:szCs w:val="18"/>
                <w:bdr w:val="none" w:sz="0" w:space="0" w:color="auto"/>
                <w:lang w:eastAsia="es-ES"/>
              </w:rPr>
              <w:t>3</w:t>
            </w:r>
          </w:p>
        </w:tc>
      </w:tr>
      <w:tr w:rsidR="00623AD4" w:rsidRPr="00954AA6" w14:paraId="0F89627B" w14:textId="77777777" w:rsidTr="00623AD4">
        <w:trPr>
          <w:trHeight w:val="283"/>
          <w:jc w:val="center"/>
        </w:trPr>
        <w:tc>
          <w:tcPr>
            <w:tcW w:w="2977" w:type="pct"/>
            <w:tcBorders>
              <w:top w:val="nil"/>
              <w:left w:val="nil"/>
              <w:bottom w:val="nil"/>
              <w:right w:val="nil"/>
            </w:tcBorders>
            <w:shd w:val="clear" w:color="auto" w:fill="auto"/>
            <w:vAlign w:val="center"/>
            <w:hideMark/>
          </w:tcPr>
          <w:p w14:paraId="190A1359" w14:textId="77777777" w:rsidR="00623AD4" w:rsidRPr="00954AA6" w:rsidRDefault="00623AD4" w:rsidP="00623AD4">
            <w:pPr>
              <w:pBdr>
                <w:top w:val="none" w:sz="0" w:space="0" w:color="auto"/>
                <w:left w:val="none" w:sz="0" w:space="0" w:color="auto"/>
                <w:bottom w:val="none" w:sz="0" w:space="0" w:color="auto"/>
                <w:right w:val="none" w:sz="0" w:space="0" w:color="auto"/>
                <w:between w:val="none" w:sz="0" w:space="0" w:color="auto"/>
                <w:bar w:val="none" w:sz="0" w:color="auto"/>
              </w:pBdr>
              <w:ind w:left="209"/>
              <w:outlineLvl w:val="9"/>
              <w:rPr>
                <w:rFonts w:eastAsia="Times New Roman"/>
                <w:b/>
                <w:bCs/>
                <w:sz w:val="18"/>
                <w:szCs w:val="18"/>
                <w:bdr w:val="none" w:sz="0" w:space="0" w:color="auto"/>
                <w:lang w:eastAsia="es-ES"/>
              </w:rPr>
            </w:pPr>
            <w:r w:rsidRPr="00954AA6">
              <w:rPr>
                <w:rFonts w:eastAsia="Times New Roman"/>
                <w:b/>
                <w:bCs/>
                <w:sz w:val="18"/>
                <w:szCs w:val="18"/>
                <w:bdr w:val="none" w:sz="0" w:space="0" w:color="auto"/>
                <w:lang w:eastAsia="es-ES"/>
              </w:rPr>
              <w:t>Otros gastos de explotación</w:t>
            </w:r>
          </w:p>
        </w:tc>
        <w:tc>
          <w:tcPr>
            <w:tcW w:w="1011" w:type="pct"/>
            <w:tcBorders>
              <w:top w:val="nil"/>
              <w:left w:val="nil"/>
              <w:bottom w:val="nil"/>
              <w:right w:val="nil"/>
            </w:tcBorders>
            <w:shd w:val="clear" w:color="auto" w:fill="auto"/>
            <w:noWrap/>
            <w:vAlign w:val="center"/>
          </w:tcPr>
          <w:p w14:paraId="32950844" w14:textId="77777777" w:rsidR="00623AD4" w:rsidRPr="00954AA6" w:rsidRDefault="00623AD4" w:rsidP="00623AD4">
            <w:pPr>
              <w:pBdr>
                <w:top w:val="none" w:sz="0" w:space="0" w:color="auto"/>
                <w:left w:val="none" w:sz="0" w:space="0" w:color="auto"/>
                <w:bottom w:val="none" w:sz="0" w:space="0" w:color="auto"/>
                <w:right w:val="none" w:sz="0" w:space="0" w:color="auto"/>
                <w:between w:val="none" w:sz="0" w:space="0" w:color="auto"/>
                <w:bar w:val="none" w:sz="0" w:color="auto"/>
              </w:pBdr>
              <w:jc w:val="right"/>
              <w:outlineLvl w:val="9"/>
              <w:rPr>
                <w:rFonts w:ascii="Times New Roman" w:eastAsia="Times New Roman" w:hAnsi="Times New Roman" w:cs="Times New Roman"/>
                <w:color w:val="auto"/>
                <w:sz w:val="18"/>
                <w:szCs w:val="18"/>
                <w:bdr w:val="none" w:sz="0" w:space="0" w:color="auto"/>
                <w:lang w:eastAsia="es-ES"/>
              </w:rPr>
            </w:pPr>
          </w:p>
        </w:tc>
        <w:tc>
          <w:tcPr>
            <w:tcW w:w="1012" w:type="pct"/>
            <w:tcBorders>
              <w:top w:val="nil"/>
              <w:left w:val="nil"/>
              <w:bottom w:val="nil"/>
              <w:right w:val="nil"/>
            </w:tcBorders>
            <w:shd w:val="clear" w:color="auto" w:fill="auto"/>
            <w:vAlign w:val="center"/>
            <w:hideMark/>
          </w:tcPr>
          <w:p w14:paraId="1A6AD566" w14:textId="77777777" w:rsidR="00623AD4" w:rsidRPr="00954AA6" w:rsidRDefault="00623AD4" w:rsidP="00623AD4">
            <w:pPr>
              <w:pBdr>
                <w:top w:val="none" w:sz="0" w:space="0" w:color="auto"/>
                <w:left w:val="none" w:sz="0" w:space="0" w:color="auto"/>
                <w:bottom w:val="none" w:sz="0" w:space="0" w:color="auto"/>
                <w:right w:val="none" w:sz="0" w:space="0" w:color="auto"/>
                <w:between w:val="none" w:sz="0" w:space="0" w:color="auto"/>
                <w:bar w:val="none" w:sz="0" w:color="auto"/>
              </w:pBdr>
              <w:jc w:val="right"/>
              <w:outlineLvl w:val="9"/>
              <w:rPr>
                <w:rFonts w:ascii="Times New Roman" w:eastAsia="Times New Roman" w:hAnsi="Times New Roman" w:cs="Times New Roman"/>
                <w:color w:val="auto"/>
                <w:sz w:val="18"/>
                <w:szCs w:val="18"/>
                <w:bdr w:val="none" w:sz="0" w:space="0" w:color="auto"/>
                <w:lang w:eastAsia="es-ES"/>
              </w:rPr>
            </w:pPr>
          </w:p>
        </w:tc>
      </w:tr>
      <w:tr w:rsidR="00A3343F" w:rsidRPr="00954AA6" w14:paraId="7E92E914" w14:textId="77777777" w:rsidTr="00A3343F">
        <w:trPr>
          <w:trHeight w:val="283"/>
          <w:jc w:val="center"/>
        </w:trPr>
        <w:tc>
          <w:tcPr>
            <w:tcW w:w="2977" w:type="pct"/>
            <w:tcBorders>
              <w:top w:val="nil"/>
              <w:left w:val="nil"/>
              <w:bottom w:val="nil"/>
              <w:right w:val="nil"/>
            </w:tcBorders>
            <w:shd w:val="clear" w:color="auto" w:fill="auto"/>
            <w:vAlign w:val="center"/>
            <w:hideMark/>
          </w:tcPr>
          <w:p w14:paraId="2493B38B" w14:textId="0A737E94" w:rsidR="00A3343F" w:rsidRPr="00954AA6" w:rsidRDefault="00A3343F" w:rsidP="00A3343F">
            <w:pPr>
              <w:pBdr>
                <w:top w:val="none" w:sz="0" w:space="0" w:color="auto"/>
                <w:left w:val="none" w:sz="0" w:space="0" w:color="auto"/>
                <w:bottom w:val="none" w:sz="0" w:space="0" w:color="auto"/>
                <w:right w:val="none" w:sz="0" w:space="0" w:color="auto"/>
                <w:between w:val="none" w:sz="0" w:space="0" w:color="auto"/>
                <w:bar w:val="none" w:sz="0" w:color="auto"/>
              </w:pBdr>
              <w:ind w:left="209"/>
              <w:outlineLvl w:val="9"/>
              <w:rPr>
                <w:rFonts w:eastAsia="Times New Roman"/>
                <w:sz w:val="18"/>
                <w:szCs w:val="18"/>
                <w:bdr w:val="none" w:sz="0" w:space="0" w:color="auto"/>
                <w:lang w:eastAsia="es-ES"/>
              </w:rPr>
            </w:pPr>
            <w:r>
              <w:rPr>
                <w:sz w:val="18"/>
                <w:szCs w:val="18"/>
              </w:rPr>
              <w:t>Arrendamientos y cánones</w:t>
            </w:r>
          </w:p>
        </w:tc>
        <w:tc>
          <w:tcPr>
            <w:tcW w:w="1011" w:type="pct"/>
            <w:tcBorders>
              <w:top w:val="nil"/>
              <w:left w:val="nil"/>
              <w:bottom w:val="nil"/>
              <w:right w:val="nil"/>
            </w:tcBorders>
            <w:shd w:val="clear" w:color="auto" w:fill="auto"/>
            <w:vAlign w:val="center"/>
          </w:tcPr>
          <w:p w14:paraId="515BB170" w14:textId="1BEBD644" w:rsidR="00A3343F" w:rsidRPr="00E612CB" w:rsidRDefault="00A3343F" w:rsidP="00A3343F">
            <w:pPr>
              <w:pBdr>
                <w:top w:val="none" w:sz="0" w:space="0" w:color="auto"/>
                <w:left w:val="none" w:sz="0" w:space="0" w:color="auto"/>
                <w:bottom w:val="none" w:sz="0" w:space="0" w:color="auto"/>
                <w:right w:val="none" w:sz="0" w:space="0" w:color="auto"/>
                <w:between w:val="none" w:sz="0" w:space="0" w:color="auto"/>
                <w:bar w:val="none" w:sz="0" w:color="auto"/>
              </w:pBdr>
              <w:jc w:val="right"/>
              <w:outlineLvl w:val="9"/>
              <w:rPr>
                <w:rFonts w:eastAsia="Times New Roman"/>
                <w:sz w:val="18"/>
                <w:szCs w:val="18"/>
                <w:bdr w:val="none" w:sz="0" w:space="0" w:color="auto"/>
                <w:lang w:eastAsia="es-ES"/>
              </w:rPr>
            </w:pPr>
            <w:r>
              <w:rPr>
                <w:sz w:val="18"/>
                <w:szCs w:val="18"/>
              </w:rPr>
              <w:t>90.966,30</w:t>
            </w:r>
          </w:p>
        </w:tc>
        <w:tc>
          <w:tcPr>
            <w:tcW w:w="1012" w:type="pct"/>
            <w:tcBorders>
              <w:top w:val="nil"/>
              <w:left w:val="nil"/>
              <w:bottom w:val="nil"/>
              <w:right w:val="nil"/>
            </w:tcBorders>
            <w:shd w:val="clear" w:color="auto" w:fill="auto"/>
            <w:hideMark/>
          </w:tcPr>
          <w:p w14:paraId="45B2FCA4" w14:textId="4B56A374" w:rsidR="00A3343F" w:rsidRPr="00954AA6" w:rsidRDefault="00A3343F" w:rsidP="00A3343F">
            <w:pPr>
              <w:pBdr>
                <w:top w:val="none" w:sz="0" w:space="0" w:color="auto"/>
                <w:left w:val="none" w:sz="0" w:space="0" w:color="auto"/>
                <w:bottom w:val="none" w:sz="0" w:space="0" w:color="auto"/>
                <w:right w:val="none" w:sz="0" w:space="0" w:color="auto"/>
                <w:between w:val="none" w:sz="0" w:space="0" w:color="auto"/>
                <w:bar w:val="none" w:sz="0" w:color="auto"/>
              </w:pBdr>
              <w:jc w:val="right"/>
              <w:outlineLvl w:val="9"/>
              <w:rPr>
                <w:rFonts w:eastAsia="Times New Roman"/>
                <w:sz w:val="18"/>
                <w:szCs w:val="18"/>
                <w:bdr w:val="none" w:sz="0" w:space="0" w:color="auto"/>
                <w:lang w:eastAsia="es-ES"/>
              </w:rPr>
            </w:pPr>
            <w:r w:rsidRPr="00E612CB">
              <w:rPr>
                <w:sz w:val="18"/>
                <w:szCs w:val="18"/>
              </w:rPr>
              <w:t>76.215,62</w:t>
            </w:r>
          </w:p>
        </w:tc>
      </w:tr>
      <w:tr w:rsidR="00A3343F" w:rsidRPr="00954AA6" w14:paraId="5E9495C3" w14:textId="77777777" w:rsidTr="00A3343F">
        <w:trPr>
          <w:trHeight w:val="283"/>
          <w:jc w:val="center"/>
        </w:trPr>
        <w:tc>
          <w:tcPr>
            <w:tcW w:w="2977" w:type="pct"/>
            <w:tcBorders>
              <w:top w:val="nil"/>
              <w:left w:val="nil"/>
              <w:bottom w:val="nil"/>
              <w:right w:val="nil"/>
            </w:tcBorders>
            <w:shd w:val="clear" w:color="auto" w:fill="auto"/>
            <w:vAlign w:val="center"/>
            <w:hideMark/>
          </w:tcPr>
          <w:p w14:paraId="6504ABBC" w14:textId="21400BA7" w:rsidR="00A3343F" w:rsidRPr="00954AA6" w:rsidRDefault="00A3343F" w:rsidP="00A3343F">
            <w:pPr>
              <w:pBdr>
                <w:top w:val="none" w:sz="0" w:space="0" w:color="auto"/>
                <w:left w:val="none" w:sz="0" w:space="0" w:color="auto"/>
                <w:bottom w:val="none" w:sz="0" w:space="0" w:color="auto"/>
                <w:right w:val="none" w:sz="0" w:space="0" w:color="auto"/>
                <w:between w:val="none" w:sz="0" w:space="0" w:color="auto"/>
                <w:bar w:val="none" w:sz="0" w:color="auto"/>
              </w:pBdr>
              <w:ind w:left="209"/>
              <w:outlineLvl w:val="9"/>
              <w:rPr>
                <w:rFonts w:eastAsia="Times New Roman"/>
                <w:sz w:val="18"/>
                <w:szCs w:val="18"/>
                <w:bdr w:val="none" w:sz="0" w:space="0" w:color="auto"/>
                <w:lang w:eastAsia="es-ES"/>
              </w:rPr>
            </w:pPr>
            <w:r>
              <w:rPr>
                <w:sz w:val="18"/>
                <w:szCs w:val="18"/>
              </w:rPr>
              <w:t>Reparaciones y conservación</w:t>
            </w:r>
          </w:p>
        </w:tc>
        <w:tc>
          <w:tcPr>
            <w:tcW w:w="1011" w:type="pct"/>
            <w:tcBorders>
              <w:top w:val="nil"/>
              <w:left w:val="nil"/>
              <w:bottom w:val="nil"/>
              <w:right w:val="nil"/>
            </w:tcBorders>
            <w:shd w:val="clear" w:color="auto" w:fill="auto"/>
            <w:vAlign w:val="center"/>
          </w:tcPr>
          <w:p w14:paraId="7F3D34B8" w14:textId="4187B390" w:rsidR="00A3343F" w:rsidRPr="00E612CB" w:rsidRDefault="00A3343F" w:rsidP="00A3343F">
            <w:pPr>
              <w:jc w:val="right"/>
              <w:rPr>
                <w:sz w:val="18"/>
                <w:szCs w:val="18"/>
              </w:rPr>
            </w:pPr>
            <w:r>
              <w:rPr>
                <w:sz w:val="18"/>
                <w:szCs w:val="18"/>
              </w:rPr>
              <w:t>165.441,47</w:t>
            </w:r>
          </w:p>
        </w:tc>
        <w:tc>
          <w:tcPr>
            <w:tcW w:w="1012" w:type="pct"/>
            <w:tcBorders>
              <w:top w:val="nil"/>
              <w:left w:val="nil"/>
              <w:bottom w:val="nil"/>
              <w:right w:val="nil"/>
            </w:tcBorders>
            <w:shd w:val="clear" w:color="auto" w:fill="auto"/>
            <w:hideMark/>
          </w:tcPr>
          <w:p w14:paraId="6A1C667C" w14:textId="2F9CE9B5" w:rsidR="00A3343F" w:rsidRPr="00954AA6" w:rsidRDefault="00A3343F" w:rsidP="00A3343F">
            <w:pPr>
              <w:pBdr>
                <w:top w:val="none" w:sz="0" w:space="0" w:color="auto"/>
                <w:left w:val="none" w:sz="0" w:space="0" w:color="auto"/>
                <w:bottom w:val="none" w:sz="0" w:space="0" w:color="auto"/>
                <w:right w:val="none" w:sz="0" w:space="0" w:color="auto"/>
                <w:between w:val="none" w:sz="0" w:space="0" w:color="auto"/>
                <w:bar w:val="none" w:sz="0" w:color="auto"/>
              </w:pBdr>
              <w:jc w:val="right"/>
              <w:outlineLvl w:val="9"/>
              <w:rPr>
                <w:rFonts w:eastAsia="Times New Roman"/>
                <w:sz w:val="18"/>
                <w:szCs w:val="18"/>
                <w:bdr w:val="none" w:sz="0" w:space="0" w:color="auto"/>
                <w:lang w:eastAsia="es-ES"/>
              </w:rPr>
            </w:pPr>
            <w:r w:rsidRPr="00E612CB">
              <w:rPr>
                <w:sz w:val="18"/>
                <w:szCs w:val="18"/>
              </w:rPr>
              <w:t>154.944,23</w:t>
            </w:r>
          </w:p>
        </w:tc>
      </w:tr>
      <w:tr w:rsidR="00A3343F" w:rsidRPr="00954AA6" w14:paraId="0444E788" w14:textId="77777777" w:rsidTr="00A3343F">
        <w:trPr>
          <w:trHeight w:val="283"/>
          <w:jc w:val="center"/>
        </w:trPr>
        <w:tc>
          <w:tcPr>
            <w:tcW w:w="2977" w:type="pct"/>
            <w:tcBorders>
              <w:top w:val="nil"/>
              <w:left w:val="nil"/>
              <w:bottom w:val="nil"/>
              <w:right w:val="nil"/>
            </w:tcBorders>
            <w:shd w:val="clear" w:color="auto" w:fill="auto"/>
            <w:vAlign w:val="center"/>
            <w:hideMark/>
          </w:tcPr>
          <w:p w14:paraId="05423734" w14:textId="2A68AB01" w:rsidR="00A3343F" w:rsidRPr="00954AA6" w:rsidRDefault="00A3343F" w:rsidP="00A3343F">
            <w:pPr>
              <w:pBdr>
                <w:top w:val="none" w:sz="0" w:space="0" w:color="auto"/>
                <w:left w:val="none" w:sz="0" w:space="0" w:color="auto"/>
                <w:bottom w:val="none" w:sz="0" w:space="0" w:color="auto"/>
                <w:right w:val="none" w:sz="0" w:space="0" w:color="auto"/>
                <w:between w:val="none" w:sz="0" w:space="0" w:color="auto"/>
                <w:bar w:val="none" w:sz="0" w:color="auto"/>
              </w:pBdr>
              <w:ind w:left="209"/>
              <w:outlineLvl w:val="9"/>
              <w:rPr>
                <w:rFonts w:eastAsia="Times New Roman"/>
                <w:sz w:val="18"/>
                <w:szCs w:val="18"/>
                <w:bdr w:val="none" w:sz="0" w:space="0" w:color="auto"/>
                <w:lang w:eastAsia="es-ES"/>
              </w:rPr>
            </w:pPr>
            <w:r>
              <w:rPr>
                <w:sz w:val="18"/>
                <w:szCs w:val="18"/>
              </w:rPr>
              <w:t>Servicios de profesionales independientes</w:t>
            </w:r>
          </w:p>
        </w:tc>
        <w:tc>
          <w:tcPr>
            <w:tcW w:w="1011" w:type="pct"/>
            <w:tcBorders>
              <w:top w:val="nil"/>
              <w:left w:val="nil"/>
              <w:bottom w:val="nil"/>
              <w:right w:val="nil"/>
            </w:tcBorders>
            <w:shd w:val="clear" w:color="auto" w:fill="auto"/>
            <w:vAlign w:val="center"/>
          </w:tcPr>
          <w:p w14:paraId="584C85CE" w14:textId="0E007262" w:rsidR="00A3343F" w:rsidRPr="00E612CB" w:rsidRDefault="00A3343F" w:rsidP="00A3343F">
            <w:pPr>
              <w:jc w:val="right"/>
              <w:rPr>
                <w:sz w:val="18"/>
                <w:szCs w:val="18"/>
              </w:rPr>
            </w:pPr>
            <w:r>
              <w:rPr>
                <w:sz w:val="18"/>
                <w:szCs w:val="18"/>
              </w:rPr>
              <w:t>8.650,92</w:t>
            </w:r>
          </w:p>
        </w:tc>
        <w:tc>
          <w:tcPr>
            <w:tcW w:w="1012" w:type="pct"/>
            <w:tcBorders>
              <w:top w:val="nil"/>
              <w:left w:val="nil"/>
              <w:bottom w:val="nil"/>
              <w:right w:val="nil"/>
            </w:tcBorders>
            <w:shd w:val="clear" w:color="auto" w:fill="auto"/>
            <w:hideMark/>
          </w:tcPr>
          <w:p w14:paraId="0AB6075B" w14:textId="7932FAC0" w:rsidR="00A3343F" w:rsidRPr="00954AA6" w:rsidRDefault="00A3343F" w:rsidP="00A3343F">
            <w:pPr>
              <w:pBdr>
                <w:top w:val="none" w:sz="0" w:space="0" w:color="auto"/>
                <w:left w:val="none" w:sz="0" w:space="0" w:color="auto"/>
                <w:bottom w:val="none" w:sz="0" w:space="0" w:color="auto"/>
                <w:right w:val="none" w:sz="0" w:space="0" w:color="auto"/>
                <w:between w:val="none" w:sz="0" w:space="0" w:color="auto"/>
                <w:bar w:val="none" w:sz="0" w:color="auto"/>
              </w:pBdr>
              <w:jc w:val="right"/>
              <w:outlineLvl w:val="9"/>
              <w:rPr>
                <w:rFonts w:eastAsia="Times New Roman"/>
                <w:sz w:val="18"/>
                <w:szCs w:val="18"/>
                <w:bdr w:val="none" w:sz="0" w:space="0" w:color="auto"/>
                <w:lang w:eastAsia="es-ES"/>
              </w:rPr>
            </w:pPr>
            <w:r w:rsidRPr="00E612CB">
              <w:rPr>
                <w:sz w:val="18"/>
                <w:szCs w:val="18"/>
              </w:rPr>
              <w:t>23.158,65</w:t>
            </w:r>
          </w:p>
        </w:tc>
      </w:tr>
      <w:tr w:rsidR="00A3343F" w:rsidRPr="00954AA6" w14:paraId="3331DC11" w14:textId="77777777" w:rsidTr="00A3343F">
        <w:trPr>
          <w:trHeight w:val="283"/>
          <w:jc w:val="center"/>
        </w:trPr>
        <w:tc>
          <w:tcPr>
            <w:tcW w:w="2977" w:type="pct"/>
            <w:tcBorders>
              <w:top w:val="nil"/>
              <w:left w:val="nil"/>
              <w:bottom w:val="nil"/>
              <w:right w:val="nil"/>
            </w:tcBorders>
            <w:shd w:val="clear" w:color="auto" w:fill="auto"/>
            <w:vAlign w:val="center"/>
            <w:hideMark/>
          </w:tcPr>
          <w:p w14:paraId="62730C18" w14:textId="7EF0FC79" w:rsidR="00A3343F" w:rsidRPr="00954AA6" w:rsidRDefault="00A3343F" w:rsidP="00A3343F">
            <w:pPr>
              <w:pBdr>
                <w:top w:val="none" w:sz="0" w:space="0" w:color="auto"/>
                <w:left w:val="none" w:sz="0" w:space="0" w:color="auto"/>
                <w:bottom w:val="none" w:sz="0" w:space="0" w:color="auto"/>
                <w:right w:val="none" w:sz="0" w:space="0" w:color="auto"/>
                <w:between w:val="none" w:sz="0" w:space="0" w:color="auto"/>
                <w:bar w:val="none" w:sz="0" w:color="auto"/>
              </w:pBdr>
              <w:ind w:left="209"/>
              <w:outlineLvl w:val="9"/>
              <w:rPr>
                <w:rFonts w:eastAsia="Times New Roman"/>
                <w:sz w:val="18"/>
                <w:szCs w:val="18"/>
                <w:bdr w:val="none" w:sz="0" w:space="0" w:color="auto"/>
                <w:lang w:eastAsia="es-ES"/>
              </w:rPr>
            </w:pPr>
            <w:r>
              <w:rPr>
                <w:sz w:val="18"/>
                <w:szCs w:val="18"/>
              </w:rPr>
              <w:t>Primas de seguros</w:t>
            </w:r>
          </w:p>
        </w:tc>
        <w:tc>
          <w:tcPr>
            <w:tcW w:w="1011" w:type="pct"/>
            <w:tcBorders>
              <w:top w:val="nil"/>
              <w:left w:val="nil"/>
              <w:bottom w:val="nil"/>
              <w:right w:val="nil"/>
            </w:tcBorders>
            <w:shd w:val="clear" w:color="auto" w:fill="auto"/>
            <w:vAlign w:val="center"/>
          </w:tcPr>
          <w:p w14:paraId="72A3DDB1" w14:textId="4230CFA0" w:rsidR="00A3343F" w:rsidRPr="00E612CB" w:rsidRDefault="00A3343F" w:rsidP="00A3343F">
            <w:pPr>
              <w:jc w:val="right"/>
              <w:rPr>
                <w:sz w:val="18"/>
                <w:szCs w:val="18"/>
              </w:rPr>
            </w:pPr>
            <w:r>
              <w:rPr>
                <w:sz w:val="18"/>
                <w:szCs w:val="18"/>
              </w:rPr>
              <w:t>35.137,22</w:t>
            </w:r>
          </w:p>
        </w:tc>
        <w:tc>
          <w:tcPr>
            <w:tcW w:w="1012" w:type="pct"/>
            <w:tcBorders>
              <w:top w:val="nil"/>
              <w:left w:val="nil"/>
              <w:bottom w:val="nil"/>
              <w:right w:val="nil"/>
            </w:tcBorders>
            <w:shd w:val="clear" w:color="auto" w:fill="auto"/>
            <w:hideMark/>
          </w:tcPr>
          <w:p w14:paraId="137CBB80" w14:textId="7B9F1B21" w:rsidR="00A3343F" w:rsidRPr="00954AA6" w:rsidRDefault="00A3343F" w:rsidP="00A3343F">
            <w:pPr>
              <w:pBdr>
                <w:top w:val="none" w:sz="0" w:space="0" w:color="auto"/>
                <w:left w:val="none" w:sz="0" w:space="0" w:color="auto"/>
                <w:bottom w:val="none" w:sz="0" w:space="0" w:color="auto"/>
                <w:right w:val="none" w:sz="0" w:space="0" w:color="auto"/>
                <w:between w:val="none" w:sz="0" w:space="0" w:color="auto"/>
                <w:bar w:val="none" w:sz="0" w:color="auto"/>
              </w:pBdr>
              <w:jc w:val="right"/>
              <w:outlineLvl w:val="9"/>
              <w:rPr>
                <w:rFonts w:eastAsia="Times New Roman"/>
                <w:sz w:val="18"/>
                <w:szCs w:val="18"/>
                <w:bdr w:val="none" w:sz="0" w:space="0" w:color="auto"/>
                <w:lang w:eastAsia="es-ES"/>
              </w:rPr>
            </w:pPr>
            <w:r w:rsidRPr="00E612CB">
              <w:rPr>
                <w:sz w:val="18"/>
                <w:szCs w:val="18"/>
              </w:rPr>
              <w:t>26.982,63</w:t>
            </w:r>
          </w:p>
        </w:tc>
      </w:tr>
      <w:tr w:rsidR="00A3343F" w:rsidRPr="00954AA6" w14:paraId="58510369" w14:textId="77777777" w:rsidTr="00A3343F">
        <w:trPr>
          <w:trHeight w:val="283"/>
          <w:jc w:val="center"/>
        </w:trPr>
        <w:tc>
          <w:tcPr>
            <w:tcW w:w="2977" w:type="pct"/>
            <w:tcBorders>
              <w:top w:val="nil"/>
              <w:left w:val="nil"/>
              <w:bottom w:val="nil"/>
              <w:right w:val="nil"/>
            </w:tcBorders>
            <w:shd w:val="clear" w:color="auto" w:fill="auto"/>
            <w:vAlign w:val="center"/>
            <w:hideMark/>
          </w:tcPr>
          <w:p w14:paraId="1AD4455B" w14:textId="2B4BE844" w:rsidR="00A3343F" w:rsidRPr="00954AA6" w:rsidRDefault="00A3343F" w:rsidP="00A3343F">
            <w:pPr>
              <w:pBdr>
                <w:top w:val="none" w:sz="0" w:space="0" w:color="auto"/>
                <w:left w:val="none" w:sz="0" w:space="0" w:color="auto"/>
                <w:bottom w:val="none" w:sz="0" w:space="0" w:color="auto"/>
                <w:right w:val="none" w:sz="0" w:space="0" w:color="auto"/>
                <w:between w:val="none" w:sz="0" w:space="0" w:color="auto"/>
                <w:bar w:val="none" w:sz="0" w:color="auto"/>
              </w:pBdr>
              <w:ind w:left="209"/>
              <w:outlineLvl w:val="9"/>
              <w:rPr>
                <w:rFonts w:eastAsia="Times New Roman"/>
                <w:sz w:val="18"/>
                <w:szCs w:val="18"/>
                <w:bdr w:val="none" w:sz="0" w:space="0" w:color="auto"/>
                <w:lang w:eastAsia="es-ES"/>
              </w:rPr>
            </w:pPr>
            <w:r>
              <w:rPr>
                <w:sz w:val="18"/>
                <w:szCs w:val="18"/>
              </w:rPr>
              <w:t>Servicios bancarios y similares</w:t>
            </w:r>
          </w:p>
        </w:tc>
        <w:tc>
          <w:tcPr>
            <w:tcW w:w="1011" w:type="pct"/>
            <w:tcBorders>
              <w:top w:val="nil"/>
              <w:left w:val="nil"/>
              <w:bottom w:val="nil"/>
              <w:right w:val="nil"/>
            </w:tcBorders>
            <w:shd w:val="clear" w:color="auto" w:fill="auto"/>
            <w:vAlign w:val="center"/>
          </w:tcPr>
          <w:p w14:paraId="5C756AFB" w14:textId="659A058A" w:rsidR="00A3343F" w:rsidRPr="00E612CB" w:rsidRDefault="00A3343F" w:rsidP="00A3343F">
            <w:pPr>
              <w:jc w:val="right"/>
              <w:rPr>
                <w:sz w:val="18"/>
                <w:szCs w:val="18"/>
              </w:rPr>
            </w:pPr>
            <w:r>
              <w:rPr>
                <w:sz w:val="18"/>
                <w:szCs w:val="18"/>
              </w:rPr>
              <w:t>235,00</w:t>
            </w:r>
          </w:p>
        </w:tc>
        <w:tc>
          <w:tcPr>
            <w:tcW w:w="1012" w:type="pct"/>
            <w:tcBorders>
              <w:top w:val="nil"/>
              <w:left w:val="nil"/>
              <w:bottom w:val="nil"/>
              <w:right w:val="nil"/>
            </w:tcBorders>
            <w:shd w:val="clear" w:color="auto" w:fill="auto"/>
            <w:hideMark/>
          </w:tcPr>
          <w:p w14:paraId="1F95FE7F" w14:textId="45AB2E9F" w:rsidR="00A3343F" w:rsidRPr="00954AA6" w:rsidRDefault="00A3343F" w:rsidP="00A3343F">
            <w:pPr>
              <w:pBdr>
                <w:top w:val="none" w:sz="0" w:space="0" w:color="auto"/>
                <w:left w:val="none" w:sz="0" w:space="0" w:color="auto"/>
                <w:bottom w:val="none" w:sz="0" w:space="0" w:color="auto"/>
                <w:right w:val="none" w:sz="0" w:space="0" w:color="auto"/>
                <w:between w:val="none" w:sz="0" w:space="0" w:color="auto"/>
                <w:bar w:val="none" w:sz="0" w:color="auto"/>
              </w:pBdr>
              <w:jc w:val="right"/>
              <w:outlineLvl w:val="9"/>
              <w:rPr>
                <w:rFonts w:eastAsia="Times New Roman"/>
                <w:sz w:val="18"/>
                <w:szCs w:val="18"/>
                <w:bdr w:val="none" w:sz="0" w:space="0" w:color="auto"/>
                <w:lang w:eastAsia="es-ES"/>
              </w:rPr>
            </w:pPr>
            <w:r w:rsidRPr="00E612CB">
              <w:rPr>
                <w:sz w:val="18"/>
                <w:szCs w:val="18"/>
              </w:rPr>
              <w:t>226,85</w:t>
            </w:r>
          </w:p>
        </w:tc>
      </w:tr>
      <w:tr w:rsidR="00A3343F" w:rsidRPr="00954AA6" w14:paraId="2B50FBBB" w14:textId="77777777" w:rsidTr="00A3343F">
        <w:trPr>
          <w:trHeight w:val="283"/>
          <w:jc w:val="center"/>
        </w:trPr>
        <w:tc>
          <w:tcPr>
            <w:tcW w:w="2977" w:type="pct"/>
            <w:tcBorders>
              <w:top w:val="nil"/>
              <w:left w:val="nil"/>
              <w:bottom w:val="nil"/>
              <w:right w:val="nil"/>
            </w:tcBorders>
            <w:shd w:val="clear" w:color="auto" w:fill="auto"/>
            <w:vAlign w:val="center"/>
            <w:hideMark/>
          </w:tcPr>
          <w:p w14:paraId="36FCB29B" w14:textId="7A76A2DC" w:rsidR="00A3343F" w:rsidRPr="00954AA6" w:rsidRDefault="00A3343F" w:rsidP="00A3343F">
            <w:pPr>
              <w:pBdr>
                <w:top w:val="none" w:sz="0" w:space="0" w:color="auto"/>
                <w:left w:val="none" w:sz="0" w:space="0" w:color="auto"/>
                <w:bottom w:val="none" w:sz="0" w:space="0" w:color="auto"/>
                <w:right w:val="none" w:sz="0" w:space="0" w:color="auto"/>
                <w:between w:val="none" w:sz="0" w:space="0" w:color="auto"/>
                <w:bar w:val="none" w:sz="0" w:color="auto"/>
              </w:pBdr>
              <w:ind w:left="209"/>
              <w:outlineLvl w:val="9"/>
              <w:rPr>
                <w:rFonts w:eastAsia="Times New Roman"/>
                <w:sz w:val="18"/>
                <w:szCs w:val="18"/>
                <w:bdr w:val="none" w:sz="0" w:space="0" w:color="auto"/>
                <w:lang w:eastAsia="es-ES"/>
              </w:rPr>
            </w:pPr>
            <w:r>
              <w:rPr>
                <w:sz w:val="18"/>
                <w:szCs w:val="18"/>
              </w:rPr>
              <w:t>Publicidad, propaganda y relaciones públicas</w:t>
            </w:r>
          </w:p>
        </w:tc>
        <w:tc>
          <w:tcPr>
            <w:tcW w:w="1011" w:type="pct"/>
            <w:tcBorders>
              <w:top w:val="nil"/>
              <w:left w:val="nil"/>
              <w:bottom w:val="nil"/>
              <w:right w:val="nil"/>
            </w:tcBorders>
            <w:shd w:val="clear" w:color="auto" w:fill="auto"/>
            <w:vAlign w:val="center"/>
          </w:tcPr>
          <w:p w14:paraId="175CA786" w14:textId="60D365DC" w:rsidR="00A3343F" w:rsidRPr="00E612CB" w:rsidRDefault="00A3343F" w:rsidP="00A3343F">
            <w:pPr>
              <w:jc w:val="right"/>
              <w:rPr>
                <w:sz w:val="18"/>
                <w:szCs w:val="18"/>
              </w:rPr>
            </w:pPr>
            <w:r>
              <w:rPr>
                <w:sz w:val="18"/>
                <w:szCs w:val="18"/>
              </w:rPr>
              <w:t>600,27</w:t>
            </w:r>
          </w:p>
        </w:tc>
        <w:tc>
          <w:tcPr>
            <w:tcW w:w="1012" w:type="pct"/>
            <w:tcBorders>
              <w:top w:val="nil"/>
              <w:left w:val="nil"/>
              <w:bottom w:val="nil"/>
              <w:right w:val="nil"/>
            </w:tcBorders>
            <w:shd w:val="clear" w:color="auto" w:fill="auto"/>
            <w:hideMark/>
          </w:tcPr>
          <w:p w14:paraId="58937088" w14:textId="4E1A8CC8" w:rsidR="00A3343F" w:rsidRPr="00954AA6" w:rsidRDefault="00A3343F" w:rsidP="00A3343F">
            <w:pPr>
              <w:pBdr>
                <w:top w:val="none" w:sz="0" w:space="0" w:color="auto"/>
                <w:left w:val="none" w:sz="0" w:space="0" w:color="auto"/>
                <w:bottom w:val="none" w:sz="0" w:space="0" w:color="auto"/>
                <w:right w:val="none" w:sz="0" w:space="0" w:color="auto"/>
                <w:between w:val="none" w:sz="0" w:space="0" w:color="auto"/>
                <w:bar w:val="none" w:sz="0" w:color="auto"/>
              </w:pBdr>
              <w:jc w:val="right"/>
              <w:outlineLvl w:val="9"/>
              <w:rPr>
                <w:rFonts w:eastAsia="Times New Roman"/>
                <w:sz w:val="18"/>
                <w:szCs w:val="18"/>
                <w:bdr w:val="none" w:sz="0" w:space="0" w:color="auto"/>
                <w:lang w:eastAsia="es-ES"/>
              </w:rPr>
            </w:pPr>
            <w:r w:rsidRPr="00E612CB">
              <w:rPr>
                <w:sz w:val="18"/>
                <w:szCs w:val="18"/>
              </w:rPr>
              <w:t>1.486,23</w:t>
            </w:r>
          </w:p>
        </w:tc>
      </w:tr>
      <w:tr w:rsidR="00A3343F" w:rsidRPr="00954AA6" w14:paraId="2DA3CB50" w14:textId="77777777" w:rsidTr="00A3343F">
        <w:trPr>
          <w:trHeight w:val="283"/>
          <w:jc w:val="center"/>
        </w:trPr>
        <w:tc>
          <w:tcPr>
            <w:tcW w:w="2977" w:type="pct"/>
            <w:tcBorders>
              <w:top w:val="nil"/>
              <w:left w:val="nil"/>
              <w:bottom w:val="nil"/>
              <w:right w:val="nil"/>
            </w:tcBorders>
            <w:shd w:val="clear" w:color="auto" w:fill="auto"/>
            <w:vAlign w:val="center"/>
            <w:hideMark/>
          </w:tcPr>
          <w:p w14:paraId="5CD6051B" w14:textId="68E3A0E7" w:rsidR="00A3343F" w:rsidRPr="00954AA6" w:rsidRDefault="00A3343F" w:rsidP="00A3343F">
            <w:pPr>
              <w:pBdr>
                <w:top w:val="none" w:sz="0" w:space="0" w:color="auto"/>
                <w:left w:val="none" w:sz="0" w:space="0" w:color="auto"/>
                <w:bottom w:val="none" w:sz="0" w:space="0" w:color="auto"/>
                <w:right w:val="none" w:sz="0" w:space="0" w:color="auto"/>
                <w:between w:val="none" w:sz="0" w:space="0" w:color="auto"/>
                <w:bar w:val="none" w:sz="0" w:color="auto"/>
              </w:pBdr>
              <w:ind w:left="209"/>
              <w:outlineLvl w:val="9"/>
              <w:rPr>
                <w:rFonts w:eastAsia="Times New Roman"/>
                <w:sz w:val="18"/>
                <w:szCs w:val="18"/>
                <w:bdr w:val="none" w:sz="0" w:space="0" w:color="auto"/>
                <w:lang w:eastAsia="es-ES"/>
              </w:rPr>
            </w:pPr>
            <w:r>
              <w:rPr>
                <w:sz w:val="18"/>
                <w:szCs w:val="18"/>
              </w:rPr>
              <w:t>Suministros</w:t>
            </w:r>
          </w:p>
        </w:tc>
        <w:tc>
          <w:tcPr>
            <w:tcW w:w="1011" w:type="pct"/>
            <w:tcBorders>
              <w:top w:val="nil"/>
              <w:left w:val="nil"/>
              <w:bottom w:val="nil"/>
              <w:right w:val="nil"/>
            </w:tcBorders>
            <w:shd w:val="clear" w:color="auto" w:fill="auto"/>
            <w:vAlign w:val="center"/>
          </w:tcPr>
          <w:p w14:paraId="198EC44A" w14:textId="28F783E3" w:rsidR="00A3343F" w:rsidRPr="00E612CB" w:rsidRDefault="00A3343F" w:rsidP="00A3343F">
            <w:pPr>
              <w:jc w:val="right"/>
              <w:rPr>
                <w:sz w:val="18"/>
                <w:szCs w:val="18"/>
              </w:rPr>
            </w:pPr>
            <w:r>
              <w:rPr>
                <w:sz w:val="18"/>
                <w:szCs w:val="18"/>
              </w:rPr>
              <w:t>21.420,75</w:t>
            </w:r>
          </w:p>
        </w:tc>
        <w:tc>
          <w:tcPr>
            <w:tcW w:w="1012" w:type="pct"/>
            <w:tcBorders>
              <w:top w:val="nil"/>
              <w:left w:val="nil"/>
              <w:bottom w:val="nil"/>
              <w:right w:val="nil"/>
            </w:tcBorders>
            <w:shd w:val="clear" w:color="auto" w:fill="auto"/>
            <w:hideMark/>
          </w:tcPr>
          <w:p w14:paraId="150CF871" w14:textId="37725443" w:rsidR="00A3343F" w:rsidRPr="00954AA6" w:rsidRDefault="00A3343F" w:rsidP="00A3343F">
            <w:pPr>
              <w:pBdr>
                <w:top w:val="none" w:sz="0" w:space="0" w:color="auto"/>
                <w:left w:val="none" w:sz="0" w:space="0" w:color="auto"/>
                <w:bottom w:val="none" w:sz="0" w:space="0" w:color="auto"/>
                <w:right w:val="none" w:sz="0" w:space="0" w:color="auto"/>
                <w:between w:val="none" w:sz="0" w:space="0" w:color="auto"/>
                <w:bar w:val="none" w:sz="0" w:color="auto"/>
              </w:pBdr>
              <w:jc w:val="right"/>
              <w:outlineLvl w:val="9"/>
              <w:rPr>
                <w:rFonts w:eastAsia="Times New Roman"/>
                <w:sz w:val="18"/>
                <w:szCs w:val="18"/>
                <w:bdr w:val="none" w:sz="0" w:space="0" w:color="auto"/>
                <w:lang w:eastAsia="es-ES"/>
              </w:rPr>
            </w:pPr>
            <w:r w:rsidRPr="00E612CB">
              <w:rPr>
                <w:sz w:val="18"/>
                <w:szCs w:val="18"/>
              </w:rPr>
              <w:t>22.402,07</w:t>
            </w:r>
          </w:p>
        </w:tc>
      </w:tr>
      <w:tr w:rsidR="00A3343F" w:rsidRPr="00954AA6" w14:paraId="4C2B3A70" w14:textId="77777777" w:rsidTr="00A3343F">
        <w:trPr>
          <w:trHeight w:val="283"/>
          <w:jc w:val="center"/>
        </w:trPr>
        <w:tc>
          <w:tcPr>
            <w:tcW w:w="2977" w:type="pct"/>
            <w:tcBorders>
              <w:top w:val="nil"/>
              <w:left w:val="nil"/>
              <w:bottom w:val="nil"/>
              <w:right w:val="nil"/>
            </w:tcBorders>
            <w:shd w:val="clear" w:color="auto" w:fill="auto"/>
            <w:vAlign w:val="center"/>
            <w:hideMark/>
          </w:tcPr>
          <w:p w14:paraId="7FBB81BE" w14:textId="53826A41" w:rsidR="00A3343F" w:rsidRPr="00954AA6" w:rsidRDefault="00A3343F" w:rsidP="00A3343F">
            <w:pPr>
              <w:pBdr>
                <w:top w:val="none" w:sz="0" w:space="0" w:color="auto"/>
                <w:left w:val="none" w:sz="0" w:space="0" w:color="auto"/>
                <w:bottom w:val="none" w:sz="0" w:space="0" w:color="auto"/>
                <w:right w:val="none" w:sz="0" w:space="0" w:color="auto"/>
                <w:between w:val="none" w:sz="0" w:space="0" w:color="auto"/>
                <w:bar w:val="none" w:sz="0" w:color="auto"/>
              </w:pBdr>
              <w:ind w:left="209"/>
              <w:outlineLvl w:val="9"/>
              <w:rPr>
                <w:rFonts w:eastAsia="Times New Roman"/>
                <w:sz w:val="18"/>
                <w:szCs w:val="18"/>
                <w:bdr w:val="none" w:sz="0" w:space="0" w:color="auto"/>
                <w:lang w:eastAsia="es-ES"/>
              </w:rPr>
            </w:pPr>
            <w:r>
              <w:rPr>
                <w:sz w:val="18"/>
                <w:szCs w:val="18"/>
              </w:rPr>
              <w:t>Otros servicios</w:t>
            </w:r>
          </w:p>
        </w:tc>
        <w:tc>
          <w:tcPr>
            <w:tcW w:w="1011" w:type="pct"/>
            <w:tcBorders>
              <w:top w:val="nil"/>
              <w:left w:val="nil"/>
              <w:bottom w:val="nil"/>
              <w:right w:val="nil"/>
            </w:tcBorders>
            <w:shd w:val="clear" w:color="auto" w:fill="auto"/>
            <w:vAlign w:val="center"/>
          </w:tcPr>
          <w:p w14:paraId="576D5361" w14:textId="3A8B6293" w:rsidR="00A3343F" w:rsidRPr="00E612CB" w:rsidRDefault="00A3343F" w:rsidP="00A3343F">
            <w:pPr>
              <w:jc w:val="right"/>
              <w:rPr>
                <w:sz w:val="18"/>
                <w:szCs w:val="18"/>
              </w:rPr>
            </w:pPr>
            <w:r>
              <w:rPr>
                <w:sz w:val="18"/>
                <w:szCs w:val="18"/>
              </w:rPr>
              <w:t>332.726,05</w:t>
            </w:r>
          </w:p>
        </w:tc>
        <w:tc>
          <w:tcPr>
            <w:tcW w:w="1012" w:type="pct"/>
            <w:tcBorders>
              <w:top w:val="nil"/>
              <w:left w:val="nil"/>
              <w:bottom w:val="nil"/>
              <w:right w:val="nil"/>
            </w:tcBorders>
            <w:shd w:val="clear" w:color="auto" w:fill="auto"/>
            <w:hideMark/>
          </w:tcPr>
          <w:p w14:paraId="182485BC" w14:textId="75A57723" w:rsidR="00A3343F" w:rsidRPr="00954AA6" w:rsidRDefault="00A3343F" w:rsidP="00A3343F">
            <w:pPr>
              <w:pBdr>
                <w:top w:val="none" w:sz="0" w:space="0" w:color="auto"/>
                <w:left w:val="none" w:sz="0" w:space="0" w:color="auto"/>
                <w:bottom w:val="none" w:sz="0" w:space="0" w:color="auto"/>
                <w:right w:val="none" w:sz="0" w:space="0" w:color="auto"/>
                <w:between w:val="none" w:sz="0" w:space="0" w:color="auto"/>
                <w:bar w:val="none" w:sz="0" w:color="auto"/>
              </w:pBdr>
              <w:jc w:val="right"/>
              <w:outlineLvl w:val="9"/>
              <w:rPr>
                <w:rFonts w:eastAsia="Times New Roman"/>
                <w:sz w:val="18"/>
                <w:szCs w:val="18"/>
                <w:bdr w:val="none" w:sz="0" w:space="0" w:color="auto"/>
                <w:lang w:eastAsia="es-ES"/>
              </w:rPr>
            </w:pPr>
            <w:r w:rsidRPr="00E612CB">
              <w:rPr>
                <w:sz w:val="18"/>
                <w:szCs w:val="18"/>
              </w:rPr>
              <w:t>639.194,46</w:t>
            </w:r>
          </w:p>
        </w:tc>
      </w:tr>
      <w:tr w:rsidR="00A3343F" w:rsidRPr="00954AA6" w14:paraId="130350F3" w14:textId="77777777" w:rsidTr="00A3343F">
        <w:trPr>
          <w:trHeight w:val="283"/>
          <w:jc w:val="center"/>
        </w:trPr>
        <w:tc>
          <w:tcPr>
            <w:tcW w:w="2977" w:type="pct"/>
            <w:tcBorders>
              <w:top w:val="nil"/>
              <w:left w:val="nil"/>
              <w:bottom w:val="nil"/>
              <w:right w:val="nil"/>
            </w:tcBorders>
            <w:shd w:val="clear" w:color="auto" w:fill="auto"/>
            <w:vAlign w:val="center"/>
            <w:hideMark/>
          </w:tcPr>
          <w:p w14:paraId="316DBCEB" w14:textId="3CB4C531" w:rsidR="00A3343F" w:rsidRPr="00954AA6" w:rsidRDefault="00A3343F" w:rsidP="00A3343F">
            <w:pPr>
              <w:pBdr>
                <w:top w:val="none" w:sz="0" w:space="0" w:color="auto"/>
                <w:left w:val="none" w:sz="0" w:space="0" w:color="auto"/>
                <w:bottom w:val="none" w:sz="0" w:space="0" w:color="auto"/>
                <w:right w:val="none" w:sz="0" w:space="0" w:color="auto"/>
                <w:between w:val="none" w:sz="0" w:space="0" w:color="auto"/>
                <w:bar w:val="none" w:sz="0" w:color="auto"/>
              </w:pBdr>
              <w:ind w:left="209"/>
              <w:outlineLvl w:val="9"/>
              <w:rPr>
                <w:rFonts w:eastAsia="Times New Roman"/>
                <w:sz w:val="18"/>
                <w:szCs w:val="18"/>
                <w:bdr w:val="none" w:sz="0" w:space="0" w:color="auto"/>
                <w:lang w:eastAsia="es-ES"/>
              </w:rPr>
            </w:pPr>
            <w:r>
              <w:rPr>
                <w:sz w:val="18"/>
                <w:szCs w:val="18"/>
              </w:rPr>
              <w:t>Otros tributos</w:t>
            </w:r>
          </w:p>
        </w:tc>
        <w:tc>
          <w:tcPr>
            <w:tcW w:w="1011" w:type="pct"/>
            <w:tcBorders>
              <w:top w:val="nil"/>
              <w:left w:val="nil"/>
              <w:bottom w:val="nil"/>
              <w:right w:val="nil"/>
            </w:tcBorders>
            <w:shd w:val="clear" w:color="auto" w:fill="auto"/>
            <w:vAlign w:val="center"/>
          </w:tcPr>
          <w:p w14:paraId="59F5623B" w14:textId="10516358" w:rsidR="00A3343F" w:rsidRPr="00E612CB" w:rsidRDefault="00A3343F" w:rsidP="00A3343F">
            <w:pPr>
              <w:jc w:val="right"/>
              <w:rPr>
                <w:sz w:val="18"/>
                <w:szCs w:val="18"/>
              </w:rPr>
            </w:pPr>
            <w:r>
              <w:rPr>
                <w:sz w:val="18"/>
                <w:szCs w:val="18"/>
              </w:rPr>
              <w:t>8.332,85</w:t>
            </w:r>
          </w:p>
        </w:tc>
        <w:tc>
          <w:tcPr>
            <w:tcW w:w="1012" w:type="pct"/>
            <w:tcBorders>
              <w:top w:val="nil"/>
              <w:left w:val="nil"/>
              <w:bottom w:val="nil"/>
              <w:right w:val="nil"/>
            </w:tcBorders>
            <w:shd w:val="clear" w:color="auto" w:fill="auto"/>
            <w:hideMark/>
          </w:tcPr>
          <w:p w14:paraId="35C649A0" w14:textId="76A1BFED" w:rsidR="00A3343F" w:rsidRPr="00954AA6" w:rsidRDefault="00A3343F" w:rsidP="00A3343F">
            <w:pPr>
              <w:pBdr>
                <w:top w:val="none" w:sz="0" w:space="0" w:color="auto"/>
                <w:left w:val="none" w:sz="0" w:space="0" w:color="auto"/>
                <w:bottom w:val="none" w:sz="0" w:space="0" w:color="auto"/>
                <w:right w:val="none" w:sz="0" w:space="0" w:color="auto"/>
                <w:between w:val="none" w:sz="0" w:space="0" w:color="auto"/>
                <w:bar w:val="none" w:sz="0" w:color="auto"/>
              </w:pBdr>
              <w:jc w:val="right"/>
              <w:outlineLvl w:val="9"/>
              <w:rPr>
                <w:rFonts w:eastAsia="Times New Roman"/>
                <w:sz w:val="18"/>
                <w:szCs w:val="18"/>
                <w:bdr w:val="none" w:sz="0" w:space="0" w:color="auto"/>
                <w:lang w:eastAsia="es-ES"/>
              </w:rPr>
            </w:pPr>
            <w:r w:rsidRPr="00E612CB">
              <w:rPr>
                <w:sz w:val="18"/>
                <w:szCs w:val="18"/>
              </w:rPr>
              <w:t>9.654,88</w:t>
            </w:r>
          </w:p>
        </w:tc>
      </w:tr>
      <w:tr w:rsidR="00623AD4" w:rsidRPr="00954AA6" w14:paraId="044FA626" w14:textId="77777777" w:rsidTr="004C2D53">
        <w:trPr>
          <w:trHeight w:val="283"/>
          <w:jc w:val="center"/>
        </w:trPr>
        <w:tc>
          <w:tcPr>
            <w:tcW w:w="2977" w:type="pct"/>
            <w:tcBorders>
              <w:top w:val="nil"/>
              <w:left w:val="nil"/>
              <w:bottom w:val="nil"/>
              <w:right w:val="nil"/>
            </w:tcBorders>
            <w:shd w:val="clear" w:color="auto" w:fill="auto"/>
            <w:vAlign w:val="center"/>
          </w:tcPr>
          <w:p w14:paraId="67C7F9BC" w14:textId="27184F63" w:rsidR="00623AD4" w:rsidRPr="00954AA6" w:rsidRDefault="00623AD4" w:rsidP="00623AD4">
            <w:pPr>
              <w:pBdr>
                <w:top w:val="none" w:sz="0" w:space="0" w:color="auto"/>
                <w:left w:val="none" w:sz="0" w:space="0" w:color="auto"/>
                <w:bottom w:val="none" w:sz="0" w:space="0" w:color="auto"/>
                <w:right w:val="none" w:sz="0" w:space="0" w:color="auto"/>
                <w:between w:val="none" w:sz="0" w:space="0" w:color="auto"/>
                <w:bar w:val="none" w:sz="0" w:color="auto"/>
              </w:pBdr>
              <w:ind w:left="209"/>
              <w:outlineLvl w:val="9"/>
              <w:rPr>
                <w:rFonts w:eastAsia="Times New Roman"/>
                <w:sz w:val="18"/>
                <w:szCs w:val="18"/>
                <w:bdr w:val="none" w:sz="0" w:space="0" w:color="auto"/>
                <w:lang w:eastAsia="es-ES"/>
              </w:rPr>
            </w:pPr>
            <w:r>
              <w:rPr>
                <w:sz w:val="18"/>
                <w:szCs w:val="18"/>
              </w:rPr>
              <w:t>Pérdidas de créditos comerciales incobrables (Nota 8.1.a)</w:t>
            </w:r>
          </w:p>
        </w:tc>
        <w:tc>
          <w:tcPr>
            <w:tcW w:w="1011" w:type="pct"/>
            <w:tcBorders>
              <w:top w:val="nil"/>
              <w:left w:val="nil"/>
              <w:bottom w:val="nil"/>
              <w:right w:val="nil"/>
            </w:tcBorders>
            <w:shd w:val="clear" w:color="auto" w:fill="auto"/>
          </w:tcPr>
          <w:p w14:paraId="7DC48FE3" w14:textId="782686EC" w:rsidR="00623AD4" w:rsidRPr="00E612CB" w:rsidRDefault="00623AD4" w:rsidP="00623AD4">
            <w:pPr>
              <w:jc w:val="right"/>
              <w:rPr>
                <w:sz w:val="18"/>
                <w:szCs w:val="18"/>
              </w:rPr>
            </w:pPr>
          </w:p>
        </w:tc>
        <w:tc>
          <w:tcPr>
            <w:tcW w:w="1012" w:type="pct"/>
            <w:tcBorders>
              <w:top w:val="nil"/>
              <w:left w:val="nil"/>
              <w:bottom w:val="nil"/>
              <w:right w:val="nil"/>
            </w:tcBorders>
            <w:shd w:val="clear" w:color="auto" w:fill="auto"/>
          </w:tcPr>
          <w:p w14:paraId="78D0FB8F" w14:textId="3D723C3E" w:rsidR="00623AD4" w:rsidRPr="00954AA6" w:rsidRDefault="00623AD4" w:rsidP="00623AD4">
            <w:pPr>
              <w:pBdr>
                <w:top w:val="none" w:sz="0" w:space="0" w:color="auto"/>
                <w:left w:val="none" w:sz="0" w:space="0" w:color="auto"/>
                <w:bottom w:val="none" w:sz="0" w:space="0" w:color="auto"/>
                <w:right w:val="none" w:sz="0" w:space="0" w:color="auto"/>
                <w:between w:val="none" w:sz="0" w:space="0" w:color="auto"/>
                <w:bar w:val="none" w:sz="0" w:color="auto"/>
              </w:pBdr>
              <w:jc w:val="right"/>
              <w:outlineLvl w:val="9"/>
              <w:rPr>
                <w:sz w:val="18"/>
                <w:szCs w:val="18"/>
              </w:rPr>
            </w:pPr>
            <w:r w:rsidRPr="00E612CB">
              <w:rPr>
                <w:sz w:val="18"/>
                <w:szCs w:val="18"/>
              </w:rPr>
              <w:t>-</w:t>
            </w:r>
          </w:p>
        </w:tc>
      </w:tr>
      <w:tr w:rsidR="00623AD4" w:rsidRPr="00954AA6" w14:paraId="7C015854" w14:textId="77777777" w:rsidTr="007B2046">
        <w:trPr>
          <w:trHeight w:val="283"/>
          <w:jc w:val="center"/>
        </w:trPr>
        <w:tc>
          <w:tcPr>
            <w:tcW w:w="2977" w:type="pct"/>
            <w:tcBorders>
              <w:top w:val="single" w:sz="4" w:space="0" w:color="auto"/>
              <w:left w:val="nil"/>
              <w:bottom w:val="single" w:sz="4" w:space="0" w:color="auto"/>
              <w:right w:val="nil"/>
            </w:tcBorders>
            <w:shd w:val="clear" w:color="auto" w:fill="auto"/>
            <w:vAlign w:val="center"/>
            <w:hideMark/>
          </w:tcPr>
          <w:p w14:paraId="01453B3F" w14:textId="77777777" w:rsidR="00623AD4" w:rsidRPr="00954AA6" w:rsidRDefault="00623AD4" w:rsidP="00623AD4">
            <w:pPr>
              <w:pBdr>
                <w:top w:val="none" w:sz="0" w:space="0" w:color="auto"/>
                <w:left w:val="none" w:sz="0" w:space="0" w:color="auto"/>
                <w:bottom w:val="none" w:sz="0" w:space="0" w:color="auto"/>
                <w:right w:val="none" w:sz="0" w:space="0" w:color="auto"/>
                <w:between w:val="none" w:sz="0" w:space="0" w:color="auto"/>
                <w:bar w:val="none" w:sz="0" w:color="auto"/>
              </w:pBdr>
              <w:ind w:left="209"/>
              <w:outlineLvl w:val="9"/>
              <w:rPr>
                <w:rFonts w:eastAsia="Times New Roman"/>
                <w:b/>
                <w:bCs/>
                <w:sz w:val="18"/>
                <w:szCs w:val="18"/>
                <w:bdr w:val="none" w:sz="0" w:space="0" w:color="auto"/>
                <w:lang w:eastAsia="es-ES"/>
              </w:rPr>
            </w:pPr>
            <w:r w:rsidRPr="00954AA6">
              <w:rPr>
                <w:rFonts w:eastAsia="Times New Roman"/>
                <w:b/>
                <w:bCs/>
                <w:sz w:val="18"/>
                <w:szCs w:val="18"/>
                <w:bdr w:val="none" w:sz="0" w:space="0" w:color="auto"/>
                <w:lang w:eastAsia="es-ES"/>
              </w:rPr>
              <w:t>Total</w:t>
            </w:r>
          </w:p>
        </w:tc>
        <w:tc>
          <w:tcPr>
            <w:tcW w:w="1011" w:type="pct"/>
            <w:tcBorders>
              <w:top w:val="single" w:sz="4" w:space="0" w:color="auto"/>
              <w:left w:val="nil"/>
              <w:bottom w:val="single" w:sz="4" w:space="0" w:color="auto"/>
              <w:right w:val="nil"/>
            </w:tcBorders>
            <w:shd w:val="clear" w:color="auto" w:fill="auto"/>
            <w:vAlign w:val="center"/>
          </w:tcPr>
          <w:p w14:paraId="57FE7F81" w14:textId="4E0BED2A" w:rsidR="00623AD4" w:rsidRPr="00A3343F" w:rsidRDefault="00A3343F" w:rsidP="00A3343F">
            <w:pPr>
              <w:pBdr>
                <w:top w:val="none" w:sz="0" w:space="0" w:color="auto"/>
                <w:left w:val="none" w:sz="0" w:space="0" w:color="auto"/>
                <w:bottom w:val="none" w:sz="0" w:space="0" w:color="auto"/>
                <w:right w:val="none" w:sz="0" w:space="0" w:color="auto"/>
                <w:between w:val="none" w:sz="0" w:space="0" w:color="auto"/>
                <w:bar w:val="none" w:sz="0" w:color="auto"/>
              </w:pBdr>
              <w:jc w:val="right"/>
              <w:outlineLvl w:val="9"/>
              <w:rPr>
                <w:rFonts w:eastAsia="Times New Roman"/>
                <w:b/>
                <w:bCs/>
                <w:sz w:val="18"/>
                <w:szCs w:val="18"/>
                <w:bdr w:val="none" w:sz="0" w:space="0" w:color="auto"/>
                <w:lang w:eastAsia="es-ES"/>
              </w:rPr>
            </w:pPr>
            <w:r>
              <w:rPr>
                <w:b/>
                <w:bCs/>
                <w:sz w:val="18"/>
                <w:szCs w:val="18"/>
              </w:rPr>
              <w:t>663.510,83</w:t>
            </w:r>
          </w:p>
        </w:tc>
        <w:tc>
          <w:tcPr>
            <w:tcW w:w="1012" w:type="pct"/>
            <w:tcBorders>
              <w:top w:val="single" w:sz="4" w:space="0" w:color="auto"/>
              <w:left w:val="nil"/>
              <w:bottom w:val="single" w:sz="4" w:space="0" w:color="auto"/>
              <w:right w:val="nil"/>
            </w:tcBorders>
            <w:shd w:val="clear" w:color="auto" w:fill="auto"/>
            <w:vAlign w:val="center"/>
            <w:hideMark/>
          </w:tcPr>
          <w:p w14:paraId="596E6ABA" w14:textId="1410963F" w:rsidR="00623AD4" w:rsidRPr="00954AA6" w:rsidRDefault="00623AD4" w:rsidP="00623AD4">
            <w:pPr>
              <w:pBdr>
                <w:top w:val="none" w:sz="0" w:space="0" w:color="auto"/>
                <w:left w:val="none" w:sz="0" w:space="0" w:color="auto"/>
                <w:bottom w:val="none" w:sz="0" w:space="0" w:color="auto"/>
                <w:right w:val="none" w:sz="0" w:space="0" w:color="auto"/>
                <w:between w:val="none" w:sz="0" w:space="0" w:color="auto"/>
                <w:bar w:val="none" w:sz="0" w:color="auto"/>
              </w:pBdr>
              <w:jc w:val="right"/>
              <w:outlineLvl w:val="9"/>
              <w:rPr>
                <w:rFonts w:eastAsia="Times New Roman"/>
                <w:b/>
                <w:bCs/>
                <w:sz w:val="18"/>
                <w:szCs w:val="18"/>
                <w:bdr w:val="none" w:sz="0" w:space="0" w:color="auto"/>
                <w:lang w:eastAsia="es-ES"/>
              </w:rPr>
            </w:pPr>
            <w:r w:rsidRPr="00E612CB">
              <w:rPr>
                <w:b/>
                <w:bCs/>
                <w:sz w:val="18"/>
                <w:szCs w:val="18"/>
              </w:rPr>
              <w:t>954.265,62</w:t>
            </w:r>
          </w:p>
        </w:tc>
      </w:tr>
    </w:tbl>
    <w:p w14:paraId="5AA68AE5" w14:textId="77777777" w:rsidR="006220A2" w:rsidRPr="0083433F" w:rsidRDefault="006220A2">
      <w:pPr>
        <w:widowControl w:val="0"/>
        <w:numPr>
          <w:ilvl w:val="0"/>
          <w:numId w:val="10"/>
        </w:numPr>
        <w:pBdr>
          <w:top w:val="none" w:sz="0" w:space="0" w:color="auto"/>
          <w:left w:val="none" w:sz="0" w:space="0" w:color="auto"/>
          <w:bottom w:val="none" w:sz="0" w:space="0" w:color="auto"/>
          <w:right w:val="none" w:sz="0" w:space="0" w:color="auto"/>
          <w:between w:val="none" w:sz="0" w:space="0" w:color="auto"/>
          <w:bar w:val="none" w:sz="0" w:color="auto"/>
        </w:pBdr>
        <w:tabs>
          <w:tab w:val="num" w:pos="0"/>
        </w:tabs>
        <w:spacing w:before="200"/>
        <w:ind w:left="0" w:firstLine="0"/>
        <w:outlineLvl w:val="9"/>
        <w:rPr>
          <w:sz w:val="20"/>
          <w:szCs w:val="22"/>
          <w:u w:val="single"/>
        </w:rPr>
      </w:pPr>
      <w:r w:rsidRPr="0083433F">
        <w:rPr>
          <w:sz w:val="20"/>
          <w:szCs w:val="22"/>
          <w:u w:val="single"/>
        </w:rPr>
        <w:t>Resultado financiero</w:t>
      </w:r>
    </w:p>
    <w:p w14:paraId="422B611D" w14:textId="271E7651" w:rsidR="006220A2" w:rsidRPr="00176BA0" w:rsidRDefault="0047349F" w:rsidP="00D67C6B">
      <w:pPr>
        <w:widowControl w:val="0"/>
        <w:spacing w:before="120" w:after="120" w:line="260" w:lineRule="exact"/>
        <w:jc w:val="both"/>
        <w:outlineLvl w:val="9"/>
        <w:rPr>
          <w:snapToGrid w:val="0"/>
          <w:sz w:val="20"/>
          <w:szCs w:val="22"/>
        </w:rPr>
      </w:pPr>
      <w:r w:rsidRPr="00176BA0">
        <w:rPr>
          <w:snapToGrid w:val="0"/>
          <w:sz w:val="20"/>
          <w:szCs w:val="22"/>
        </w:rPr>
        <w:t>En el ejercicio 20</w:t>
      </w:r>
      <w:r w:rsidR="00803471" w:rsidRPr="00176BA0">
        <w:rPr>
          <w:snapToGrid w:val="0"/>
          <w:sz w:val="20"/>
          <w:szCs w:val="22"/>
        </w:rPr>
        <w:t>2</w:t>
      </w:r>
      <w:r w:rsidR="00623AD4">
        <w:rPr>
          <w:snapToGrid w:val="0"/>
          <w:sz w:val="20"/>
          <w:szCs w:val="22"/>
        </w:rPr>
        <w:t>4</w:t>
      </w:r>
      <w:r w:rsidR="003240AC">
        <w:rPr>
          <w:snapToGrid w:val="0"/>
          <w:sz w:val="20"/>
          <w:szCs w:val="22"/>
        </w:rPr>
        <w:t xml:space="preserve"> y 202</w:t>
      </w:r>
      <w:r w:rsidR="00623AD4">
        <w:rPr>
          <w:snapToGrid w:val="0"/>
          <w:sz w:val="20"/>
          <w:szCs w:val="22"/>
        </w:rPr>
        <w:t>3</w:t>
      </w:r>
      <w:r w:rsidR="0097484D" w:rsidRPr="00176BA0">
        <w:rPr>
          <w:snapToGrid w:val="0"/>
          <w:sz w:val="20"/>
          <w:szCs w:val="22"/>
        </w:rPr>
        <w:t xml:space="preserve"> </w:t>
      </w:r>
      <w:r w:rsidR="006220A2" w:rsidRPr="00176BA0">
        <w:rPr>
          <w:snapToGrid w:val="0"/>
          <w:sz w:val="20"/>
          <w:szCs w:val="22"/>
        </w:rPr>
        <w:t xml:space="preserve">las cuentas corrientes contratadas por la Sociedad </w:t>
      </w:r>
      <w:r w:rsidR="0097484D" w:rsidRPr="00176BA0">
        <w:rPr>
          <w:snapToGrid w:val="0"/>
          <w:sz w:val="20"/>
          <w:szCs w:val="22"/>
        </w:rPr>
        <w:t xml:space="preserve">han </w:t>
      </w:r>
      <w:r w:rsidR="006220A2" w:rsidRPr="00176BA0">
        <w:rPr>
          <w:snapToGrid w:val="0"/>
          <w:sz w:val="20"/>
          <w:szCs w:val="22"/>
        </w:rPr>
        <w:t>genera</w:t>
      </w:r>
      <w:r w:rsidR="0097484D" w:rsidRPr="00176BA0">
        <w:rPr>
          <w:snapToGrid w:val="0"/>
          <w:sz w:val="20"/>
          <w:szCs w:val="22"/>
        </w:rPr>
        <w:t>do</w:t>
      </w:r>
      <w:r w:rsidR="006220A2" w:rsidRPr="00176BA0">
        <w:rPr>
          <w:snapToGrid w:val="0"/>
          <w:sz w:val="20"/>
          <w:szCs w:val="22"/>
        </w:rPr>
        <w:t xml:space="preserve"> </w:t>
      </w:r>
      <w:r w:rsidR="004161BD" w:rsidRPr="00176BA0">
        <w:rPr>
          <w:snapToGrid w:val="0"/>
          <w:sz w:val="20"/>
          <w:szCs w:val="22"/>
        </w:rPr>
        <w:t xml:space="preserve">ingresos por </w:t>
      </w:r>
      <w:r w:rsidR="0097484D" w:rsidRPr="00176BA0">
        <w:rPr>
          <w:snapToGrid w:val="0"/>
          <w:sz w:val="20"/>
          <w:szCs w:val="22"/>
        </w:rPr>
        <w:t>intereses</w:t>
      </w:r>
      <w:r w:rsidR="006220A2" w:rsidRPr="00176BA0">
        <w:rPr>
          <w:snapToGrid w:val="0"/>
          <w:sz w:val="20"/>
          <w:szCs w:val="22"/>
        </w:rPr>
        <w:t>.</w:t>
      </w:r>
    </w:p>
    <w:tbl>
      <w:tblPr>
        <w:tblW w:w="5000" w:type="pct"/>
        <w:jc w:val="center"/>
        <w:tblCellMar>
          <w:left w:w="70" w:type="dxa"/>
          <w:right w:w="70" w:type="dxa"/>
        </w:tblCellMar>
        <w:tblLook w:val="04A0" w:firstRow="1" w:lastRow="0" w:firstColumn="1" w:lastColumn="0" w:noHBand="0" w:noVBand="1"/>
      </w:tblPr>
      <w:tblGrid>
        <w:gridCol w:w="5313"/>
        <w:gridCol w:w="1735"/>
        <w:gridCol w:w="1733"/>
      </w:tblGrid>
      <w:tr w:rsidR="00803471" w:rsidRPr="00954AA6" w14:paraId="46AFF319" w14:textId="77777777" w:rsidTr="00954AA6">
        <w:trPr>
          <w:trHeight w:val="227"/>
          <w:jc w:val="center"/>
        </w:trPr>
        <w:tc>
          <w:tcPr>
            <w:tcW w:w="3025" w:type="pct"/>
            <w:tcBorders>
              <w:top w:val="single" w:sz="4" w:space="0" w:color="auto"/>
              <w:left w:val="nil"/>
              <w:bottom w:val="nil"/>
              <w:right w:val="nil"/>
            </w:tcBorders>
            <w:shd w:val="clear" w:color="auto" w:fill="auto"/>
            <w:noWrap/>
            <w:vAlign w:val="bottom"/>
            <w:hideMark/>
          </w:tcPr>
          <w:p w14:paraId="15395AEC" w14:textId="77777777" w:rsidR="00803471" w:rsidRPr="00954AA6" w:rsidRDefault="00803471" w:rsidP="00954AA6">
            <w:pPr>
              <w:pBdr>
                <w:top w:val="none" w:sz="0" w:space="0" w:color="auto"/>
                <w:left w:val="none" w:sz="0" w:space="0" w:color="auto"/>
                <w:bottom w:val="none" w:sz="0" w:space="0" w:color="auto"/>
                <w:right w:val="none" w:sz="0" w:space="0" w:color="auto"/>
                <w:between w:val="none" w:sz="0" w:space="0" w:color="auto"/>
                <w:bar w:val="none" w:sz="0" w:color="auto"/>
              </w:pBdr>
              <w:ind w:left="209"/>
              <w:jc w:val="center"/>
              <w:outlineLvl w:val="9"/>
              <w:rPr>
                <w:rFonts w:ascii="Times New Roman" w:eastAsia="Times New Roman" w:hAnsi="Times New Roman" w:cs="Times New Roman"/>
                <w:color w:val="auto"/>
                <w:sz w:val="18"/>
                <w:szCs w:val="18"/>
                <w:bdr w:val="none" w:sz="0" w:space="0" w:color="auto"/>
                <w:lang w:eastAsia="es-ES"/>
              </w:rPr>
            </w:pPr>
          </w:p>
        </w:tc>
        <w:tc>
          <w:tcPr>
            <w:tcW w:w="1975" w:type="pct"/>
            <w:gridSpan w:val="2"/>
            <w:tcBorders>
              <w:top w:val="single" w:sz="4" w:space="0" w:color="auto"/>
              <w:left w:val="nil"/>
              <w:bottom w:val="single" w:sz="4" w:space="0" w:color="auto"/>
              <w:right w:val="nil"/>
            </w:tcBorders>
            <w:shd w:val="clear" w:color="auto" w:fill="auto"/>
            <w:noWrap/>
            <w:vAlign w:val="bottom"/>
            <w:hideMark/>
          </w:tcPr>
          <w:p w14:paraId="5461CADA" w14:textId="77777777" w:rsidR="00803471" w:rsidRPr="00954AA6" w:rsidRDefault="00803471" w:rsidP="0025368E">
            <w:pPr>
              <w:pBdr>
                <w:top w:val="none" w:sz="0" w:space="0" w:color="auto"/>
                <w:left w:val="none" w:sz="0" w:space="0" w:color="auto"/>
                <w:bottom w:val="none" w:sz="0" w:space="0" w:color="auto"/>
                <w:right w:val="none" w:sz="0" w:space="0" w:color="auto"/>
                <w:between w:val="none" w:sz="0" w:space="0" w:color="auto"/>
                <w:bar w:val="none" w:sz="0" w:color="auto"/>
              </w:pBdr>
              <w:jc w:val="center"/>
              <w:outlineLvl w:val="9"/>
              <w:rPr>
                <w:rFonts w:eastAsia="Times New Roman"/>
                <w:b/>
                <w:bCs/>
                <w:sz w:val="18"/>
                <w:szCs w:val="18"/>
                <w:bdr w:val="none" w:sz="0" w:space="0" w:color="auto"/>
                <w:lang w:eastAsia="es-ES"/>
              </w:rPr>
            </w:pPr>
            <w:r w:rsidRPr="00954AA6">
              <w:rPr>
                <w:rFonts w:eastAsia="Times New Roman"/>
                <w:b/>
                <w:bCs/>
                <w:sz w:val="18"/>
                <w:szCs w:val="18"/>
                <w:bdr w:val="none" w:sz="0" w:space="0" w:color="auto"/>
                <w:lang w:eastAsia="es-ES"/>
              </w:rPr>
              <w:t>Euros</w:t>
            </w:r>
          </w:p>
        </w:tc>
      </w:tr>
      <w:tr w:rsidR="00A700C7" w:rsidRPr="00954AA6" w14:paraId="04ABFE75" w14:textId="77777777" w:rsidTr="00A700C7">
        <w:trPr>
          <w:trHeight w:val="227"/>
          <w:jc w:val="center"/>
        </w:trPr>
        <w:tc>
          <w:tcPr>
            <w:tcW w:w="3025" w:type="pct"/>
            <w:tcBorders>
              <w:top w:val="nil"/>
              <w:left w:val="nil"/>
              <w:bottom w:val="single" w:sz="4" w:space="0" w:color="auto"/>
              <w:right w:val="nil"/>
            </w:tcBorders>
            <w:shd w:val="clear" w:color="auto" w:fill="auto"/>
            <w:noWrap/>
            <w:vAlign w:val="bottom"/>
            <w:hideMark/>
          </w:tcPr>
          <w:p w14:paraId="670DE11E" w14:textId="77777777" w:rsidR="00A700C7" w:rsidRPr="00954AA6" w:rsidRDefault="00A700C7" w:rsidP="00A700C7">
            <w:pPr>
              <w:pBdr>
                <w:top w:val="none" w:sz="0" w:space="0" w:color="auto"/>
                <w:left w:val="none" w:sz="0" w:space="0" w:color="auto"/>
                <w:bottom w:val="none" w:sz="0" w:space="0" w:color="auto"/>
                <w:right w:val="none" w:sz="0" w:space="0" w:color="auto"/>
                <w:between w:val="none" w:sz="0" w:space="0" w:color="auto"/>
                <w:bar w:val="none" w:sz="0" w:color="auto"/>
              </w:pBdr>
              <w:ind w:left="209"/>
              <w:jc w:val="center"/>
              <w:outlineLvl w:val="9"/>
              <w:rPr>
                <w:rFonts w:eastAsia="Times New Roman"/>
                <w:sz w:val="18"/>
                <w:szCs w:val="18"/>
                <w:bdr w:val="none" w:sz="0" w:space="0" w:color="auto"/>
                <w:lang w:eastAsia="es-ES"/>
              </w:rPr>
            </w:pPr>
          </w:p>
        </w:tc>
        <w:tc>
          <w:tcPr>
            <w:tcW w:w="988" w:type="pct"/>
            <w:tcBorders>
              <w:top w:val="nil"/>
              <w:left w:val="nil"/>
              <w:bottom w:val="single" w:sz="4" w:space="0" w:color="auto"/>
              <w:right w:val="nil"/>
            </w:tcBorders>
            <w:shd w:val="clear" w:color="auto" w:fill="auto"/>
            <w:noWrap/>
            <w:vAlign w:val="bottom"/>
            <w:hideMark/>
          </w:tcPr>
          <w:p w14:paraId="1A823057" w14:textId="26DCA562" w:rsidR="00A700C7" w:rsidRPr="00954AA6" w:rsidRDefault="00A700C7" w:rsidP="00A700C7">
            <w:pPr>
              <w:pBdr>
                <w:top w:val="none" w:sz="0" w:space="0" w:color="auto"/>
                <w:left w:val="none" w:sz="0" w:space="0" w:color="auto"/>
                <w:bottom w:val="none" w:sz="0" w:space="0" w:color="auto"/>
                <w:right w:val="none" w:sz="0" w:space="0" w:color="auto"/>
                <w:between w:val="none" w:sz="0" w:space="0" w:color="auto"/>
                <w:bar w:val="none" w:sz="0" w:color="auto"/>
              </w:pBdr>
              <w:jc w:val="center"/>
              <w:outlineLvl w:val="9"/>
              <w:rPr>
                <w:rFonts w:eastAsia="Times New Roman"/>
                <w:b/>
                <w:bCs/>
                <w:sz w:val="18"/>
                <w:szCs w:val="18"/>
                <w:bdr w:val="none" w:sz="0" w:space="0" w:color="auto"/>
                <w:lang w:eastAsia="es-ES"/>
              </w:rPr>
            </w:pPr>
            <w:r w:rsidRPr="00954AA6">
              <w:rPr>
                <w:rFonts w:eastAsia="Times New Roman"/>
                <w:b/>
                <w:bCs/>
                <w:sz w:val="18"/>
                <w:szCs w:val="18"/>
                <w:bdr w:val="none" w:sz="0" w:space="0" w:color="auto"/>
                <w:lang w:eastAsia="es-ES"/>
              </w:rPr>
              <w:t>202</w:t>
            </w:r>
            <w:r w:rsidR="00623AD4">
              <w:rPr>
                <w:rFonts w:eastAsia="Times New Roman"/>
                <w:b/>
                <w:bCs/>
                <w:sz w:val="18"/>
                <w:szCs w:val="18"/>
                <w:bdr w:val="none" w:sz="0" w:space="0" w:color="auto"/>
                <w:lang w:eastAsia="es-ES"/>
              </w:rPr>
              <w:t>4</w:t>
            </w:r>
          </w:p>
        </w:tc>
        <w:tc>
          <w:tcPr>
            <w:tcW w:w="987" w:type="pct"/>
            <w:tcBorders>
              <w:top w:val="nil"/>
              <w:left w:val="nil"/>
              <w:bottom w:val="single" w:sz="4" w:space="0" w:color="auto"/>
              <w:right w:val="nil"/>
            </w:tcBorders>
            <w:shd w:val="clear" w:color="auto" w:fill="auto"/>
            <w:noWrap/>
            <w:vAlign w:val="bottom"/>
            <w:hideMark/>
          </w:tcPr>
          <w:p w14:paraId="0F85376D" w14:textId="0E5514CC" w:rsidR="00A700C7" w:rsidRPr="00954AA6" w:rsidRDefault="00A700C7" w:rsidP="00A700C7">
            <w:pPr>
              <w:pBdr>
                <w:top w:val="none" w:sz="0" w:space="0" w:color="auto"/>
                <w:left w:val="none" w:sz="0" w:space="0" w:color="auto"/>
                <w:bottom w:val="none" w:sz="0" w:space="0" w:color="auto"/>
                <w:right w:val="none" w:sz="0" w:space="0" w:color="auto"/>
                <w:between w:val="none" w:sz="0" w:space="0" w:color="auto"/>
                <w:bar w:val="none" w:sz="0" w:color="auto"/>
              </w:pBdr>
              <w:jc w:val="center"/>
              <w:outlineLvl w:val="9"/>
              <w:rPr>
                <w:rFonts w:eastAsia="Times New Roman"/>
                <w:b/>
                <w:bCs/>
                <w:sz w:val="18"/>
                <w:szCs w:val="18"/>
                <w:bdr w:val="none" w:sz="0" w:space="0" w:color="auto"/>
                <w:lang w:eastAsia="es-ES"/>
              </w:rPr>
            </w:pPr>
            <w:r w:rsidRPr="00954AA6">
              <w:rPr>
                <w:rFonts w:eastAsia="Times New Roman"/>
                <w:b/>
                <w:bCs/>
                <w:sz w:val="18"/>
                <w:szCs w:val="18"/>
                <w:bdr w:val="none" w:sz="0" w:space="0" w:color="auto"/>
                <w:lang w:eastAsia="es-ES"/>
              </w:rPr>
              <w:t>202</w:t>
            </w:r>
            <w:r w:rsidR="00623AD4">
              <w:rPr>
                <w:rFonts w:eastAsia="Times New Roman"/>
                <w:b/>
                <w:bCs/>
                <w:sz w:val="18"/>
                <w:szCs w:val="18"/>
                <w:bdr w:val="none" w:sz="0" w:space="0" w:color="auto"/>
                <w:lang w:eastAsia="es-ES"/>
              </w:rPr>
              <w:t>3</w:t>
            </w:r>
          </w:p>
        </w:tc>
      </w:tr>
      <w:tr w:rsidR="00623AD4" w:rsidRPr="00954AA6" w14:paraId="09282E8A" w14:textId="77777777" w:rsidTr="00623AD4">
        <w:trPr>
          <w:trHeight w:val="283"/>
          <w:jc w:val="center"/>
        </w:trPr>
        <w:tc>
          <w:tcPr>
            <w:tcW w:w="3025" w:type="pct"/>
            <w:tcBorders>
              <w:top w:val="nil"/>
              <w:left w:val="nil"/>
              <w:bottom w:val="nil"/>
              <w:right w:val="nil"/>
            </w:tcBorders>
            <w:shd w:val="clear" w:color="auto" w:fill="auto"/>
            <w:noWrap/>
            <w:vAlign w:val="center"/>
            <w:hideMark/>
          </w:tcPr>
          <w:p w14:paraId="554D8846" w14:textId="77777777" w:rsidR="00623AD4" w:rsidRPr="00954AA6" w:rsidRDefault="00623AD4" w:rsidP="00623AD4">
            <w:pPr>
              <w:pBdr>
                <w:top w:val="none" w:sz="0" w:space="0" w:color="auto"/>
                <w:left w:val="none" w:sz="0" w:space="0" w:color="auto"/>
                <w:bottom w:val="none" w:sz="0" w:space="0" w:color="auto"/>
                <w:right w:val="none" w:sz="0" w:space="0" w:color="auto"/>
                <w:between w:val="none" w:sz="0" w:space="0" w:color="auto"/>
                <w:bar w:val="none" w:sz="0" w:color="auto"/>
              </w:pBdr>
              <w:ind w:left="209"/>
              <w:outlineLvl w:val="9"/>
              <w:rPr>
                <w:rFonts w:eastAsia="Times New Roman"/>
                <w:b/>
                <w:bCs/>
                <w:sz w:val="18"/>
                <w:szCs w:val="18"/>
                <w:bdr w:val="none" w:sz="0" w:space="0" w:color="auto"/>
                <w:lang w:eastAsia="es-ES"/>
              </w:rPr>
            </w:pPr>
            <w:r w:rsidRPr="00954AA6">
              <w:rPr>
                <w:rFonts w:eastAsia="Times New Roman"/>
                <w:b/>
                <w:bCs/>
                <w:sz w:val="18"/>
                <w:szCs w:val="18"/>
                <w:bdr w:val="none" w:sz="0" w:space="0" w:color="auto"/>
                <w:lang w:eastAsia="es-ES"/>
              </w:rPr>
              <w:t>Ingresos financieros:</w:t>
            </w:r>
          </w:p>
        </w:tc>
        <w:tc>
          <w:tcPr>
            <w:tcW w:w="988" w:type="pct"/>
            <w:tcBorders>
              <w:top w:val="nil"/>
              <w:left w:val="nil"/>
              <w:bottom w:val="nil"/>
              <w:right w:val="nil"/>
            </w:tcBorders>
            <w:shd w:val="clear" w:color="auto" w:fill="auto"/>
            <w:noWrap/>
            <w:vAlign w:val="center"/>
          </w:tcPr>
          <w:p w14:paraId="1A71C0FF" w14:textId="77777777" w:rsidR="00623AD4" w:rsidRPr="00954AA6" w:rsidRDefault="00623AD4" w:rsidP="00623AD4">
            <w:pPr>
              <w:pBdr>
                <w:top w:val="none" w:sz="0" w:space="0" w:color="auto"/>
                <w:left w:val="none" w:sz="0" w:space="0" w:color="auto"/>
                <w:bottom w:val="none" w:sz="0" w:space="0" w:color="auto"/>
                <w:right w:val="none" w:sz="0" w:space="0" w:color="auto"/>
                <w:between w:val="none" w:sz="0" w:space="0" w:color="auto"/>
                <w:bar w:val="none" w:sz="0" w:color="auto"/>
              </w:pBdr>
              <w:jc w:val="right"/>
              <w:outlineLvl w:val="9"/>
              <w:rPr>
                <w:rFonts w:eastAsia="Times New Roman"/>
                <w:b/>
                <w:bCs/>
                <w:sz w:val="18"/>
                <w:szCs w:val="18"/>
                <w:bdr w:val="none" w:sz="0" w:space="0" w:color="auto"/>
                <w:lang w:eastAsia="es-ES"/>
              </w:rPr>
            </w:pPr>
          </w:p>
        </w:tc>
        <w:tc>
          <w:tcPr>
            <w:tcW w:w="987" w:type="pct"/>
            <w:tcBorders>
              <w:top w:val="nil"/>
              <w:left w:val="nil"/>
              <w:bottom w:val="nil"/>
              <w:right w:val="nil"/>
            </w:tcBorders>
            <w:shd w:val="clear" w:color="auto" w:fill="auto"/>
            <w:noWrap/>
            <w:vAlign w:val="center"/>
            <w:hideMark/>
          </w:tcPr>
          <w:p w14:paraId="1905A8C4" w14:textId="77777777" w:rsidR="00623AD4" w:rsidRPr="00954AA6" w:rsidRDefault="00623AD4" w:rsidP="00623AD4">
            <w:pPr>
              <w:pBdr>
                <w:top w:val="none" w:sz="0" w:space="0" w:color="auto"/>
                <w:left w:val="none" w:sz="0" w:space="0" w:color="auto"/>
                <w:bottom w:val="none" w:sz="0" w:space="0" w:color="auto"/>
                <w:right w:val="none" w:sz="0" w:space="0" w:color="auto"/>
                <w:between w:val="none" w:sz="0" w:space="0" w:color="auto"/>
                <w:bar w:val="none" w:sz="0" w:color="auto"/>
              </w:pBdr>
              <w:jc w:val="right"/>
              <w:outlineLvl w:val="9"/>
              <w:rPr>
                <w:rFonts w:ascii="Times New Roman" w:eastAsia="Times New Roman" w:hAnsi="Times New Roman" w:cs="Times New Roman"/>
                <w:color w:val="auto"/>
                <w:sz w:val="18"/>
                <w:szCs w:val="18"/>
                <w:bdr w:val="none" w:sz="0" w:space="0" w:color="auto"/>
                <w:lang w:eastAsia="es-ES"/>
              </w:rPr>
            </w:pPr>
          </w:p>
        </w:tc>
      </w:tr>
      <w:tr w:rsidR="00623AD4" w:rsidRPr="00954AA6" w14:paraId="0D33B24D" w14:textId="77777777" w:rsidTr="00A700C7">
        <w:trPr>
          <w:trHeight w:val="283"/>
          <w:jc w:val="center"/>
        </w:trPr>
        <w:tc>
          <w:tcPr>
            <w:tcW w:w="3025" w:type="pct"/>
            <w:tcBorders>
              <w:top w:val="nil"/>
              <w:left w:val="nil"/>
              <w:bottom w:val="nil"/>
              <w:right w:val="nil"/>
            </w:tcBorders>
            <w:shd w:val="clear" w:color="auto" w:fill="auto"/>
            <w:noWrap/>
            <w:vAlign w:val="center"/>
          </w:tcPr>
          <w:p w14:paraId="16B99285" w14:textId="5559DE85" w:rsidR="00623AD4" w:rsidRPr="00954AA6" w:rsidRDefault="00623AD4" w:rsidP="00623AD4">
            <w:pPr>
              <w:pBdr>
                <w:top w:val="none" w:sz="0" w:space="0" w:color="auto"/>
                <w:left w:val="none" w:sz="0" w:space="0" w:color="auto"/>
                <w:bottom w:val="none" w:sz="0" w:space="0" w:color="auto"/>
                <w:right w:val="none" w:sz="0" w:space="0" w:color="auto"/>
                <w:between w:val="none" w:sz="0" w:space="0" w:color="auto"/>
                <w:bar w:val="none" w:sz="0" w:color="auto"/>
              </w:pBdr>
              <w:ind w:left="209"/>
              <w:outlineLvl w:val="9"/>
              <w:rPr>
                <w:rFonts w:eastAsia="Times New Roman"/>
                <w:b/>
                <w:bCs/>
                <w:sz w:val="18"/>
                <w:szCs w:val="18"/>
                <w:bdr w:val="none" w:sz="0" w:space="0" w:color="auto"/>
                <w:lang w:eastAsia="es-ES"/>
              </w:rPr>
            </w:pPr>
            <w:r w:rsidRPr="00954AA6">
              <w:rPr>
                <w:rFonts w:eastAsia="Times New Roman"/>
                <w:sz w:val="18"/>
                <w:szCs w:val="18"/>
                <w:bdr w:val="none" w:sz="0" w:space="0" w:color="auto"/>
                <w:lang w:eastAsia="es-ES"/>
              </w:rPr>
              <w:t>De valores negociables y otros instrumentos</w:t>
            </w:r>
            <w:r>
              <w:rPr>
                <w:rFonts w:eastAsia="Times New Roman"/>
                <w:sz w:val="18"/>
                <w:szCs w:val="18"/>
                <w:bdr w:val="none" w:sz="0" w:space="0" w:color="auto"/>
                <w:lang w:eastAsia="es-ES"/>
              </w:rPr>
              <w:t xml:space="preserve"> </w:t>
            </w:r>
            <w:r w:rsidRPr="00954AA6">
              <w:rPr>
                <w:rFonts w:eastAsia="Times New Roman"/>
                <w:sz w:val="18"/>
                <w:szCs w:val="18"/>
                <w:bdr w:val="none" w:sz="0" w:space="0" w:color="auto"/>
                <w:lang w:eastAsia="es-ES"/>
              </w:rPr>
              <w:t>financieros</w:t>
            </w:r>
          </w:p>
        </w:tc>
        <w:tc>
          <w:tcPr>
            <w:tcW w:w="988" w:type="pct"/>
            <w:tcBorders>
              <w:top w:val="nil"/>
              <w:left w:val="nil"/>
              <w:bottom w:val="nil"/>
              <w:right w:val="nil"/>
            </w:tcBorders>
            <w:shd w:val="clear" w:color="auto" w:fill="auto"/>
            <w:noWrap/>
            <w:vAlign w:val="center"/>
          </w:tcPr>
          <w:p w14:paraId="6836B6BB" w14:textId="77777777" w:rsidR="00623AD4" w:rsidRPr="00954AA6" w:rsidRDefault="00623AD4" w:rsidP="00623AD4">
            <w:pPr>
              <w:pBdr>
                <w:top w:val="none" w:sz="0" w:space="0" w:color="auto"/>
                <w:left w:val="none" w:sz="0" w:space="0" w:color="auto"/>
                <w:bottom w:val="none" w:sz="0" w:space="0" w:color="auto"/>
                <w:right w:val="none" w:sz="0" w:space="0" w:color="auto"/>
                <w:between w:val="none" w:sz="0" w:space="0" w:color="auto"/>
                <w:bar w:val="none" w:sz="0" w:color="auto"/>
              </w:pBdr>
              <w:jc w:val="right"/>
              <w:outlineLvl w:val="9"/>
              <w:rPr>
                <w:rFonts w:eastAsia="Times New Roman"/>
                <w:b/>
                <w:bCs/>
                <w:sz w:val="18"/>
                <w:szCs w:val="18"/>
                <w:bdr w:val="none" w:sz="0" w:space="0" w:color="auto"/>
                <w:lang w:eastAsia="es-ES"/>
              </w:rPr>
            </w:pPr>
          </w:p>
        </w:tc>
        <w:tc>
          <w:tcPr>
            <w:tcW w:w="987" w:type="pct"/>
            <w:tcBorders>
              <w:top w:val="nil"/>
              <w:left w:val="nil"/>
              <w:bottom w:val="nil"/>
              <w:right w:val="nil"/>
            </w:tcBorders>
            <w:shd w:val="clear" w:color="auto" w:fill="auto"/>
            <w:noWrap/>
            <w:vAlign w:val="center"/>
          </w:tcPr>
          <w:p w14:paraId="160D098A" w14:textId="77777777" w:rsidR="00623AD4" w:rsidRPr="00954AA6" w:rsidRDefault="00623AD4" w:rsidP="00623AD4">
            <w:pPr>
              <w:pBdr>
                <w:top w:val="none" w:sz="0" w:space="0" w:color="auto"/>
                <w:left w:val="none" w:sz="0" w:space="0" w:color="auto"/>
                <w:bottom w:val="none" w:sz="0" w:space="0" w:color="auto"/>
                <w:right w:val="none" w:sz="0" w:space="0" w:color="auto"/>
                <w:between w:val="none" w:sz="0" w:space="0" w:color="auto"/>
                <w:bar w:val="none" w:sz="0" w:color="auto"/>
              </w:pBdr>
              <w:jc w:val="right"/>
              <w:outlineLvl w:val="9"/>
              <w:rPr>
                <w:rFonts w:ascii="Times New Roman" w:eastAsia="Times New Roman" w:hAnsi="Times New Roman" w:cs="Times New Roman"/>
                <w:color w:val="auto"/>
                <w:sz w:val="18"/>
                <w:szCs w:val="18"/>
                <w:bdr w:val="none" w:sz="0" w:space="0" w:color="auto"/>
                <w:lang w:eastAsia="es-ES"/>
              </w:rPr>
            </w:pPr>
          </w:p>
        </w:tc>
      </w:tr>
      <w:tr w:rsidR="00623AD4" w:rsidRPr="00954AA6" w14:paraId="7B0B559E" w14:textId="77777777" w:rsidTr="00A700C7">
        <w:trPr>
          <w:trHeight w:val="283"/>
          <w:jc w:val="center"/>
        </w:trPr>
        <w:tc>
          <w:tcPr>
            <w:tcW w:w="3025" w:type="pct"/>
            <w:tcBorders>
              <w:top w:val="nil"/>
              <w:left w:val="nil"/>
              <w:bottom w:val="nil"/>
              <w:right w:val="nil"/>
            </w:tcBorders>
            <w:shd w:val="clear" w:color="auto" w:fill="auto"/>
            <w:noWrap/>
            <w:vAlign w:val="center"/>
            <w:hideMark/>
          </w:tcPr>
          <w:p w14:paraId="134BEC2C" w14:textId="77777777" w:rsidR="00623AD4" w:rsidRPr="00954AA6" w:rsidRDefault="00623AD4" w:rsidP="00623AD4">
            <w:pPr>
              <w:pBdr>
                <w:top w:val="none" w:sz="0" w:space="0" w:color="auto"/>
                <w:left w:val="none" w:sz="0" w:space="0" w:color="auto"/>
                <w:bottom w:val="none" w:sz="0" w:space="0" w:color="auto"/>
                <w:right w:val="none" w:sz="0" w:space="0" w:color="auto"/>
                <w:between w:val="none" w:sz="0" w:space="0" w:color="auto"/>
                <w:bar w:val="none" w:sz="0" w:color="auto"/>
              </w:pBdr>
              <w:ind w:left="209"/>
              <w:outlineLvl w:val="9"/>
              <w:rPr>
                <w:rFonts w:eastAsia="Times New Roman"/>
                <w:sz w:val="18"/>
                <w:szCs w:val="18"/>
                <w:bdr w:val="none" w:sz="0" w:space="0" w:color="auto"/>
                <w:lang w:eastAsia="es-ES"/>
              </w:rPr>
            </w:pPr>
            <w:r w:rsidRPr="00954AA6">
              <w:rPr>
                <w:rFonts w:eastAsia="Times New Roman"/>
                <w:sz w:val="18"/>
                <w:szCs w:val="18"/>
                <w:bdr w:val="none" w:sz="0" w:space="0" w:color="auto"/>
                <w:lang w:eastAsia="es-ES"/>
              </w:rPr>
              <w:t>- De terceros</w:t>
            </w:r>
          </w:p>
        </w:tc>
        <w:tc>
          <w:tcPr>
            <w:tcW w:w="988" w:type="pct"/>
            <w:tcBorders>
              <w:top w:val="nil"/>
              <w:left w:val="nil"/>
              <w:bottom w:val="nil"/>
              <w:right w:val="nil"/>
            </w:tcBorders>
            <w:shd w:val="clear" w:color="auto" w:fill="auto"/>
            <w:noWrap/>
            <w:vAlign w:val="center"/>
          </w:tcPr>
          <w:p w14:paraId="62B0104D" w14:textId="7E493CB0" w:rsidR="00623AD4" w:rsidRPr="00A3343F" w:rsidRDefault="00A3343F" w:rsidP="00A3343F">
            <w:pPr>
              <w:pBdr>
                <w:top w:val="none" w:sz="0" w:space="0" w:color="auto"/>
                <w:left w:val="none" w:sz="0" w:space="0" w:color="auto"/>
                <w:bottom w:val="none" w:sz="0" w:space="0" w:color="auto"/>
                <w:right w:val="none" w:sz="0" w:space="0" w:color="auto"/>
                <w:between w:val="none" w:sz="0" w:space="0" w:color="auto"/>
                <w:bar w:val="none" w:sz="0" w:color="auto"/>
              </w:pBdr>
              <w:jc w:val="right"/>
              <w:outlineLvl w:val="9"/>
              <w:rPr>
                <w:rFonts w:eastAsia="Times New Roman"/>
                <w:sz w:val="18"/>
                <w:szCs w:val="18"/>
                <w:bdr w:val="none" w:sz="0" w:space="0" w:color="auto"/>
                <w:lang w:eastAsia="es-ES"/>
              </w:rPr>
            </w:pPr>
            <w:r>
              <w:rPr>
                <w:sz w:val="18"/>
                <w:szCs w:val="18"/>
              </w:rPr>
              <w:t>180.879,32</w:t>
            </w:r>
          </w:p>
        </w:tc>
        <w:tc>
          <w:tcPr>
            <w:tcW w:w="987" w:type="pct"/>
            <w:tcBorders>
              <w:top w:val="nil"/>
              <w:left w:val="nil"/>
              <w:bottom w:val="nil"/>
              <w:right w:val="nil"/>
            </w:tcBorders>
            <w:shd w:val="clear" w:color="auto" w:fill="auto"/>
            <w:noWrap/>
            <w:vAlign w:val="center"/>
            <w:hideMark/>
          </w:tcPr>
          <w:p w14:paraId="176E3C48" w14:textId="461761DB" w:rsidR="00623AD4" w:rsidRPr="00954AA6" w:rsidRDefault="00623AD4" w:rsidP="00623AD4">
            <w:pPr>
              <w:pBdr>
                <w:top w:val="none" w:sz="0" w:space="0" w:color="auto"/>
                <w:left w:val="none" w:sz="0" w:space="0" w:color="auto"/>
                <w:bottom w:val="none" w:sz="0" w:space="0" w:color="auto"/>
                <w:right w:val="none" w:sz="0" w:space="0" w:color="auto"/>
                <w:between w:val="none" w:sz="0" w:space="0" w:color="auto"/>
                <w:bar w:val="none" w:sz="0" w:color="auto"/>
              </w:pBdr>
              <w:jc w:val="right"/>
              <w:outlineLvl w:val="9"/>
              <w:rPr>
                <w:rFonts w:eastAsia="Times New Roman"/>
                <w:sz w:val="18"/>
                <w:szCs w:val="18"/>
                <w:bdr w:val="none" w:sz="0" w:space="0" w:color="auto"/>
                <w:lang w:eastAsia="es-ES"/>
              </w:rPr>
            </w:pPr>
            <w:r>
              <w:rPr>
                <w:rFonts w:eastAsia="Times New Roman"/>
                <w:sz w:val="18"/>
                <w:szCs w:val="18"/>
                <w:bdr w:val="none" w:sz="0" w:space="0" w:color="auto"/>
                <w:lang w:eastAsia="es-ES"/>
              </w:rPr>
              <w:t>26.725,47</w:t>
            </w:r>
          </w:p>
        </w:tc>
      </w:tr>
      <w:tr w:rsidR="00623AD4" w:rsidRPr="00954AA6" w14:paraId="1E30B8C1" w14:textId="77777777" w:rsidTr="00A700C7">
        <w:trPr>
          <w:trHeight w:val="283"/>
          <w:jc w:val="center"/>
        </w:trPr>
        <w:tc>
          <w:tcPr>
            <w:tcW w:w="3025" w:type="pct"/>
            <w:tcBorders>
              <w:top w:val="single" w:sz="4" w:space="0" w:color="auto"/>
              <w:left w:val="nil"/>
              <w:bottom w:val="single" w:sz="4" w:space="0" w:color="auto"/>
              <w:right w:val="nil"/>
            </w:tcBorders>
            <w:shd w:val="clear" w:color="auto" w:fill="auto"/>
            <w:noWrap/>
            <w:vAlign w:val="center"/>
            <w:hideMark/>
          </w:tcPr>
          <w:p w14:paraId="2F3F7399" w14:textId="77777777" w:rsidR="00623AD4" w:rsidRPr="00954AA6" w:rsidRDefault="00623AD4" w:rsidP="00623AD4">
            <w:pPr>
              <w:pBdr>
                <w:top w:val="none" w:sz="0" w:space="0" w:color="auto"/>
                <w:left w:val="none" w:sz="0" w:space="0" w:color="auto"/>
                <w:bottom w:val="none" w:sz="0" w:space="0" w:color="auto"/>
                <w:right w:val="none" w:sz="0" w:space="0" w:color="auto"/>
                <w:between w:val="none" w:sz="0" w:space="0" w:color="auto"/>
                <w:bar w:val="none" w:sz="0" w:color="auto"/>
              </w:pBdr>
              <w:ind w:left="209"/>
              <w:outlineLvl w:val="9"/>
              <w:rPr>
                <w:rFonts w:eastAsia="Times New Roman"/>
                <w:b/>
                <w:bCs/>
                <w:sz w:val="18"/>
                <w:szCs w:val="18"/>
                <w:bdr w:val="none" w:sz="0" w:space="0" w:color="auto"/>
                <w:lang w:eastAsia="es-ES"/>
              </w:rPr>
            </w:pPr>
            <w:r w:rsidRPr="00954AA6">
              <w:rPr>
                <w:rFonts w:eastAsia="Times New Roman"/>
                <w:b/>
                <w:bCs/>
                <w:sz w:val="18"/>
                <w:szCs w:val="18"/>
                <w:bdr w:val="none" w:sz="0" w:space="0" w:color="auto"/>
                <w:lang w:eastAsia="es-ES"/>
              </w:rPr>
              <w:t>Resultado financiero</w:t>
            </w:r>
          </w:p>
        </w:tc>
        <w:tc>
          <w:tcPr>
            <w:tcW w:w="988" w:type="pct"/>
            <w:tcBorders>
              <w:top w:val="single" w:sz="4" w:space="0" w:color="auto"/>
              <w:left w:val="nil"/>
              <w:bottom w:val="single" w:sz="4" w:space="0" w:color="auto"/>
              <w:right w:val="nil"/>
            </w:tcBorders>
            <w:shd w:val="clear" w:color="auto" w:fill="auto"/>
            <w:noWrap/>
            <w:vAlign w:val="center"/>
          </w:tcPr>
          <w:p w14:paraId="304291CB" w14:textId="4BAFDF8A" w:rsidR="00623AD4" w:rsidRPr="00A3343F" w:rsidRDefault="00A3343F" w:rsidP="00A3343F">
            <w:pPr>
              <w:pBdr>
                <w:top w:val="none" w:sz="0" w:space="0" w:color="auto"/>
                <w:left w:val="none" w:sz="0" w:space="0" w:color="auto"/>
                <w:bottom w:val="none" w:sz="0" w:space="0" w:color="auto"/>
                <w:right w:val="none" w:sz="0" w:space="0" w:color="auto"/>
                <w:between w:val="none" w:sz="0" w:space="0" w:color="auto"/>
                <w:bar w:val="none" w:sz="0" w:color="auto"/>
              </w:pBdr>
              <w:jc w:val="right"/>
              <w:outlineLvl w:val="9"/>
              <w:rPr>
                <w:rFonts w:eastAsia="Times New Roman"/>
                <w:b/>
                <w:bCs/>
                <w:sz w:val="18"/>
                <w:szCs w:val="18"/>
                <w:bdr w:val="none" w:sz="0" w:space="0" w:color="auto"/>
                <w:lang w:eastAsia="es-ES"/>
              </w:rPr>
            </w:pPr>
            <w:r w:rsidRPr="00A3343F">
              <w:rPr>
                <w:b/>
                <w:bCs/>
                <w:sz w:val="18"/>
                <w:szCs w:val="18"/>
              </w:rPr>
              <w:t>180.879,32</w:t>
            </w:r>
          </w:p>
        </w:tc>
        <w:tc>
          <w:tcPr>
            <w:tcW w:w="987" w:type="pct"/>
            <w:tcBorders>
              <w:top w:val="single" w:sz="4" w:space="0" w:color="auto"/>
              <w:left w:val="nil"/>
              <w:bottom w:val="single" w:sz="4" w:space="0" w:color="auto"/>
              <w:right w:val="nil"/>
            </w:tcBorders>
            <w:shd w:val="clear" w:color="auto" w:fill="auto"/>
            <w:noWrap/>
            <w:vAlign w:val="center"/>
            <w:hideMark/>
          </w:tcPr>
          <w:p w14:paraId="04DFF117" w14:textId="61614E0E" w:rsidR="00623AD4" w:rsidRPr="00954AA6" w:rsidRDefault="00623AD4" w:rsidP="00623AD4">
            <w:pPr>
              <w:pBdr>
                <w:top w:val="none" w:sz="0" w:space="0" w:color="auto"/>
                <w:left w:val="none" w:sz="0" w:space="0" w:color="auto"/>
                <w:bottom w:val="none" w:sz="0" w:space="0" w:color="auto"/>
                <w:right w:val="none" w:sz="0" w:space="0" w:color="auto"/>
                <w:between w:val="none" w:sz="0" w:space="0" w:color="auto"/>
                <w:bar w:val="none" w:sz="0" w:color="auto"/>
              </w:pBdr>
              <w:jc w:val="right"/>
              <w:outlineLvl w:val="9"/>
              <w:rPr>
                <w:rFonts w:eastAsia="Times New Roman"/>
                <w:b/>
                <w:bCs/>
                <w:sz w:val="18"/>
                <w:szCs w:val="18"/>
                <w:bdr w:val="none" w:sz="0" w:space="0" w:color="auto"/>
                <w:lang w:eastAsia="es-ES"/>
              </w:rPr>
            </w:pPr>
            <w:r>
              <w:rPr>
                <w:rFonts w:eastAsia="Times New Roman"/>
                <w:b/>
                <w:bCs/>
                <w:sz w:val="18"/>
                <w:szCs w:val="18"/>
                <w:bdr w:val="none" w:sz="0" w:space="0" w:color="auto"/>
                <w:lang w:eastAsia="es-ES"/>
              </w:rPr>
              <w:t>26.725,47</w:t>
            </w:r>
          </w:p>
        </w:tc>
      </w:tr>
    </w:tbl>
    <w:p w14:paraId="0D1A95CF" w14:textId="0C833608" w:rsidR="00725815" w:rsidRPr="001B5A15" w:rsidRDefault="00803471" w:rsidP="00D67C6B">
      <w:pPr>
        <w:widowControl w:val="0"/>
        <w:numPr>
          <w:ilvl w:val="0"/>
          <w:numId w:val="6"/>
        </w:numPr>
        <w:pBdr>
          <w:top w:val="none" w:sz="0" w:space="0" w:color="auto"/>
          <w:left w:val="none" w:sz="0" w:space="0" w:color="auto"/>
          <w:bottom w:val="none" w:sz="0" w:space="0" w:color="auto"/>
          <w:right w:val="none" w:sz="0" w:space="0" w:color="auto"/>
          <w:between w:val="none" w:sz="0" w:space="0" w:color="auto"/>
          <w:bar w:val="none" w:sz="0" w:color="auto"/>
        </w:pBdr>
        <w:spacing w:before="360" w:after="120" w:line="280" w:lineRule="exact"/>
        <w:ind w:left="284" w:hanging="284"/>
        <w:outlineLvl w:val="9"/>
        <w:rPr>
          <w:b/>
          <w:snapToGrid w:val="0"/>
          <w:sz w:val="22"/>
          <w:szCs w:val="22"/>
        </w:rPr>
      </w:pPr>
      <w:r>
        <w:rPr>
          <w:b/>
          <w:snapToGrid w:val="0"/>
          <w:sz w:val="22"/>
          <w:szCs w:val="22"/>
        </w:rPr>
        <w:t xml:space="preserve"> </w:t>
      </w:r>
      <w:r w:rsidR="006220A2" w:rsidRPr="001B5A15">
        <w:rPr>
          <w:b/>
          <w:snapToGrid w:val="0"/>
          <w:sz w:val="22"/>
          <w:szCs w:val="22"/>
        </w:rPr>
        <w:t>Provisiones y contingencias</w:t>
      </w:r>
    </w:p>
    <w:p w14:paraId="4FF1DB3F" w14:textId="5A7AC38D" w:rsidR="00954AA6" w:rsidRDefault="006E3FEF" w:rsidP="00D67C6B">
      <w:pPr>
        <w:widowControl w:val="0"/>
        <w:spacing w:before="120" w:line="260" w:lineRule="exact"/>
        <w:jc w:val="both"/>
        <w:outlineLvl w:val="9"/>
        <w:rPr>
          <w:snapToGrid w:val="0"/>
          <w:sz w:val="20"/>
          <w:szCs w:val="22"/>
        </w:rPr>
      </w:pPr>
      <w:r w:rsidRPr="00A3343F">
        <w:rPr>
          <w:snapToGrid w:val="0"/>
          <w:sz w:val="20"/>
          <w:szCs w:val="22"/>
        </w:rPr>
        <w:t xml:space="preserve">En el ejercicio </w:t>
      </w:r>
      <w:r w:rsidR="00784500" w:rsidRPr="00A3343F">
        <w:rPr>
          <w:snapToGrid w:val="0"/>
          <w:sz w:val="20"/>
          <w:szCs w:val="22"/>
        </w:rPr>
        <w:t>20</w:t>
      </w:r>
      <w:r w:rsidR="00803471" w:rsidRPr="00A3343F">
        <w:rPr>
          <w:snapToGrid w:val="0"/>
          <w:sz w:val="20"/>
          <w:szCs w:val="22"/>
        </w:rPr>
        <w:t>2</w:t>
      </w:r>
      <w:r w:rsidR="00623AD4" w:rsidRPr="00A3343F">
        <w:rPr>
          <w:snapToGrid w:val="0"/>
          <w:sz w:val="20"/>
          <w:szCs w:val="22"/>
        </w:rPr>
        <w:t>4</w:t>
      </w:r>
      <w:r w:rsidR="00784500" w:rsidRPr="00A3343F">
        <w:rPr>
          <w:snapToGrid w:val="0"/>
          <w:sz w:val="20"/>
          <w:szCs w:val="22"/>
        </w:rPr>
        <w:t xml:space="preserve"> </w:t>
      </w:r>
      <w:r w:rsidR="003240AC" w:rsidRPr="00A3343F">
        <w:rPr>
          <w:snapToGrid w:val="0"/>
          <w:sz w:val="20"/>
          <w:szCs w:val="22"/>
        </w:rPr>
        <w:t>y 202</w:t>
      </w:r>
      <w:r w:rsidR="00623AD4" w:rsidRPr="00A3343F">
        <w:rPr>
          <w:snapToGrid w:val="0"/>
          <w:sz w:val="20"/>
          <w:szCs w:val="22"/>
        </w:rPr>
        <w:t>3</w:t>
      </w:r>
      <w:r w:rsidR="003240AC" w:rsidRPr="00A3343F">
        <w:rPr>
          <w:snapToGrid w:val="0"/>
          <w:sz w:val="20"/>
          <w:szCs w:val="22"/>
        </w:rPr>
        <w:t xml:space="preserve"> </w:t>
      </w:r>
      <w:r w:rsidR="006220A2" w:rsidRPr="00A3343F">
        <w:rPr>
          <w:snapToGrid w:val="0"/>
          <w:sz w:val="20"/>
          <w:szCs w:val="22"/>
        </w:rPr>
        <w:t>la Sociedad no ha reg</w:t>
      </w:r>
      <w:r w:rsidR="006220A2" w:rsidRPr="00D10C7E">
        <w:rPr>
          <w:snapToGrid w:val="0"/>
          <w:sz w:val="20"/>
          <w:szCs w:val="22"/>
        </w:rPr>
        <w:t xml:space="preserve">istrado </w:t>
      </w:r>
      <w:r w:rsidR="003240AC" w:rsidRPr="00D10C7E">
        <w:rPr>
          <w:snapToGrid w:val="0"/>
          <w:sz w:val="20"/>
          <w:szCs w:val="22"/>
        </w:rPr>
        <w:t xml:space="preserve">otras </w:t>
      </w:r>
      <w:r w:rsidR="006220A2" w:rsidRPr="00D10C7E">
        <w:rPr>
          <w:snapToGrid w:val="0"/>
          <w:sz w:val="20"/>
          <w:szCs w:val="22"/>
        </w:rPr>
        <w:t xml:space="preserve">provisiones ni </w:t>
      </w:r>
      <w:r w:rsidR="004161BD" w:rsidRPr="00D10C7E">
        <w:rPr>
          <w:snapToGrid w:val="0"/>
          <w:sz w:val="20"/>
          <w:szCs w:val="22"/>
        </w:rPr>
        <w:t>contingencias</w:t>
      </w:r>
      <w:r w:rsidR="003240AC" w:rsidRPr="00D10C7E">
        <w:rPr>
          <w:snapToGrid w:val="0"/>
          <w:sz w:val="20"/>
          <w:szCs w:val="22"/>
        </w:rPr>
        <w:t xml:space="preserve">, además, de las detalladas en las notas 8.3.a y 11.1.b, </w:t>
      </w:r>
      <w:r w:rsidR="006220A2" w:rsidRPr="00D10C7E">
        <w:rPr>
          <w:snapToGrid w:val="0"/>
          <w:sz w:val="20"/>
          <w:szCs w:val="22"/>
        </w:rPr>
        <w:t>al no</w:t>
      </w:r>
      <w:r w:rsidR="006220A2" w:rsidRPr="00A3343F">
        <w:rPr>
          <w:snapToGrid w:val="0"/>
          <w:sz w:val="20"/>
          <w:szCs w:val="22"/>
        </w:rPr>
        <w:t xml:space="preserve"> existir </w:t>
      </w:r>
      <w:r w:rsidR="004161BD" w:rsidRPr="00A3343F">
        <w:rPr>
          <w:snapToGrid w:val="0"/>
          <w:sz w:val="20"/>
          <w:szCs w:val="22"/>
        </w:rPr>
        <w:t>circunstancias</w:t>
      </w:r>
      <w:r w:rsidR="006220A2" w:rsidRPr="00A3343F">
        <w:rPr>
          <w:snapToGrid w:val="0"/>
          <w:sz w:val="20"/>
          <w:szCs w:val="22"/>
        </w:rPr>
        <w:t xml:space="preserve"> que motiven su dotación.</w:t>
      </w:r>
    </w:p>
    <w:p w14:paraId="75594525" w14:textId="70ECD64B" w:rsidR="00954AA6" w:rsidRDefault="00954AA6">
      <w:pPr>
        <w:pBdr>
          <w:top w:val="none" w:sz="0" w:space="0" w:color="auto"/>
          <w:left w:val="none" w:sz="0" w:space="0" w:color="auto"/>
          <w:bottom w:val="none" w:sz="0" w:space="0" w:color="auto"/>
          <w:right w:val="none" w:sz="0" w:space="0" w:color="auto"/>
          <w:between w:val="none" w:sz="0" w:space="0" w:color="auto"/>
          <w:bar w:val="none" w:sz="0" w:color="auto"/>
        </w:pBdr>
        <w:outlineLvl w:val="9"/>
        <w:rPr>
          <w:snapToGrid w:val="0"/>
          <w:sz w:val="20"/>
          <w:szCs w:val="22"/>
        </w:rPr>
      </w:pPr>
    </w:p>
    <w:p w14:paraId="48E5FF45" w14:textId="77777777" w:rsidR="003240AC" w:rsidRDefault="003240AC">
      <w:pPr>
        <w:pBdr>
          <w:top w:val="none" w:sz="0" w:space="0" w:color="auto"/>
          <w:left w:val="none" w:sz="0" w:space="0" w:color="auto"/>
          <w:bottom w:val="none" w:sz="0" w:space="0" w:color="auto"/>
          <w:right w:val="none" w:sz="0" w:space="0" w:color="auto"/>
          <w:between w:val="none" w:sz="0" w:space="0" w:color="auto"/>
          <w:bar w:val="none" w:sz="0" w:color="auto"/>
        </w:pBdr>
        <w:outlineLvl w:val="9"/>
        <w:rPr>
          <w:snapToGrid w:val="0"/>
          <w:sz w:val="20"/>
          <w:szCs w:val="22"/>
        </w:rPr>
      </w:pPr>
    </w:p>
    <w:p w14:paraId="22CF383D" w14:textId="3778FBE6" w:rsidR="006220A2" w:rsidRPr="0083433F" w:rsidRDefault="006220A2" w:rsidP="00052BF5">
      <w:pPr>
        <w:widowControl w:val="0"/>
        <w:numPr>
          <w:ilvl w:val="0"/>
          <w:numId w:val="6"/>
        </w:numPr>
        <w:pBdr>
          <w:top w:val="none" w:sz="0" w:space="0" w:color="auto"/>
          <w:left w:val="none" w:sz="0" w:space="0" w:color="auto"/>
          <w:bottom w:val="none" w:sz="0" w:space="0" w:color="auto"/>
          <w:right w:val="none" w:sz="0" w:space="0" w:color="auto"/>
          <w:between w:val="none" w:sz="0" w:space="0" w:color="auto"/>
          <w:bar w:val="none" w:sz="0" w:color="auto"/>
        </w:pBdr>
        <w:spacing w:after="120" w:line="280" w:lineRule="exact"/>
        <w:ind w:left="284" w:hanging="284"/>
        <w:outlineLvl w:val="9"/>
        <w:rPr>
          <w:b/>
          <w:snapToGrid w:val="0"/>
          <w:sz w:val="22"/>
          <w:szCs w:val="22"/>
        </w:rPr>
      </w:pPr>
      <w:r w:rsidRPr="0083433F">
        <w:rPr>
          <w:b/>
          <w:snapToGrid w:val="0"/>
          <w:sz w:val="22"/>
          <w:szCs w:val="22"/>
        </w:rPr>
        <w:t xml:space="preserve"> Información sobre medio ambiente</w:t>
      </w:r>
    </w:p>
    <w:p w14:paraId="02AD4AC4" w14:textId="0410DC5D" w:rsidR="00D67C6B" w:rsidRDefault="006220A2" w:rsidP="00D67C6B">
      <w:pPr>
        <w:widowControl w:val="0"/>
        <w:spacing w:before="120" w:line="260" w:lineRule="exact"/>
        <w:jc w:val="both"/>
        <w:outlineLvl w:val="9"/>
        <w:rPr>
          <w:snapToGrid w:val="0"/>
          <w:sz w:val="20"/>
          <w:szCs w:val="22"/>
        </w:rPr>
      </w:pPr>
      <w:r w:rsidRPr="00176BA0">
        <w:rPr>
          <w:snapToGrid w:val="0"/>
          <w:sz w:val="20"/>
          <w:szCs w:val="22"/>
        </w:rPr>
        <w:t>La Sociedad mantiene sus instalaciones constantemente en un estado que permite cumplir con todas las normas referentes al Medio Ambiente. No ha sido necesario incurrir en gastos particulares y tampoco fue necesaria la dotación de provisiones.</w:t>
      </w:r>
    </w:p>
    <w:p w14:paraId="15E28599" w14:textId="77777777" w:rsidR="00D67C6B" w:rsidRDefault="00D67C6B">
      <w:pPr>
        <w:pBdr>
          <w:top w:val="none" w:sz="0" w:space="0" w:color="auto"/>
          <w:left w:val="none" w:sz="0" w:space="0" w:color="auto"/>
          <w:bottom w:val="none" w:sz="0" w:space="0" w:color="auto"/>
          <w:right w:val="none" w:sz="0" w:space="0" w:color="auto"/>
          <w:between w:val="none" w:sz="0" w:space="0" w:color="auto"/>
          <w:bar w:val="none" w:sz="0" w:color="auto"/>
        </w:pBdr>
        <w:outlineLvl w:val="9"/>
        <w:rPr>
          <w:snapToGrid w:val="0"/>
          <w:sz w:val="20"/>
          <w:szCs w:val="22"/>
        </w:rPr>
      </w:pPr>
      <w:r>
        <w:rPr>
          <w:snapToGrid w:val="0"/>
          <w:sz w:val="20"/>
          <w:szCs w:val="22"/>
        </w:rPr>
        <w:br w:type="page"/>
      </w:r>
    </w:p>
    <w:p w14:paraId="42090230" w14:textId="1410EB45" w:rsidR="006220A2" w:rsidRPr="007A7245" w:rsidRDefault="006220A2" w:rsidP="00052BF5">
      <w:pPr>
        <w:widowControl w:val="0"/>
        <w:numPr>
          <w:ilvl w:val="0"/>
          <w:numId w:val="6"/>
        </w:numPr>
        <w:pBdr>
          <w:top w:val="none" w:sz="0" w:space="0" w:color="auto"/>
          <w:left w:val="none" w:sz="0" w:space="0" w:color="auto"/>
          <w:bottom w:val="none" w:sz="0" w:space="0" w:color="auto"/>
          <w:right w:val="none" w:sz="0" w:space="0" w:color="auto"/>
          <w:between w:val="none" w:sz="0" w:space="0" w:color="auto"/>
          <w:bar w:val="none" w:sz="0" w:color="auto"/>
        </w:pBdr>
        <w:spacing w:after="120" w:line="280" w:lineRule="exact"/>
        <w:ind w:left="284" w:hanging="284"/>
        <w:outlineLvl w:val="9"/>
        <w:rPr>
          <w:b/>
          <w:snapToGrid w:val="0"/>
          <w:sz w:val="22"/>
          <w:szCs w:val="22"/>
        </w:rPr>
      </w:pPr>
      <w:r w:rsidRPr="00C15BD4">
        <w:rPr>
          <w:b/>
          <w:snapToGrid w:val="0"/>
          <w:sz w:val="22"/>
          <w:szCs w:val="22"/>
        </w:rPr>
        <w:lastRenderedPageBreak/>
        <w:t xml:space="preserve"> </w:t>
      </w:r>
      <w:r w:rsidRPr="007A7245">
        <w:rPr>
          <w:b/>
          <w:snapToGrid w:val="0"/>
          <w:sz w:val="22"/>
          <w:szCs w:val="22"/>
        </w:rPr>
        <w:t>Subvenciones</w:t>
      </w:r>
    </w:p>
    <w:p w14:paraId="6EA5CBB8" w14:textId="77777777" w:rsidR="006220A2" w:rsidRPr="00B157EA" w:rsidRDefault="006220A2" w:rsidP="002B422A">
      <w:pPr>
        <w:keepNext/>
        <w:keepLines/>
        <w:widowControl w:val="0"/>
        <w:spacing w:before="200"/>
        <w:rPr>
          <w:b/>
          <w:sz w:val="20"/>
          <w:szCs w:val="22"/>
        </w:rPr>
      </w:pPr>
      <w:r w:rsidRPr="007A7245">
        <w:rPr>
          <w:b/>
          <w:sz w:val="20"/>
          <w:szCs w:val="22"/>
        </w:rPr>
        <w:t>15.</w:t>
      </w:r>
      <w:r w:rsidRPr="00B157EA">
        <w:rPr>
          <w:b/>
          <w:sz w:val="20"/>
          <w:szCs w:val="22"/>
        </w:rPr>
        <w:t>1 Subvenciones de Capital</w:t>
      </w:r>
    </w:p>
    <w:p w14:paraId="69853B57" w14:textId="77777777" w:rsidR="006220A2" w:rsidRPr="00B157EA" w:rsidRDefault="006220A2" w:rsidP="00D67C6B">
      <w:pPr>
        <w:widowControl w:val="0"/>
        <w:spacing w:before="120" w:after="120" w:line="260" w:lineRule="exact"/>
        <w:jc w:val="both"/>
        <w:outlineLvl w:val="9"/>
        <w:rPr>
          <w:snapToGrid w:val="0"/>
          <w:sz w:val="20"/>
          <w:szCs w:val="22"/>
        </w:rPr>
      </w:pPr>
      <w:r w:rsidRPr="00B157EA">
        <w:rPr>
          <w:snapToGrid w:val="0"/>
          <w:sz w:val="20"/>
          <w:szCs w:val="22"/>
        </w:rPr>
        <w:t>El detalle de las subvenciones de capital no reintegrables que aparecen en el balance bajo el epígrafe “Subvenciones, donaciones y legados recibidos” es el siguiente:</w:t>
      </w:r>
    </w:p>
    <w:tbl>
      <w:tblPr>
        <w:tblW w:w="9356" w:type="dxa"/>
        <w:tblCellMar>
          <w:left w:w="70" w:type="dxa"/>
          <w:right w:w="70" w:type="dxa"/>
        </w:tblCellMar>
        <w:tblLook w:val="04A0" w:firstRow="1" w:lastRow="0" w:firstColumn="1" w:lastColumn="0" w:noHBand="0" w:noVBand="1"/>
      </w:tblPr>
      <w:tblGrid>
        <w:gridCol w:w="1560"/>
        <w:gridCol w:w="1016"/>
        <w:gridCol w:w="1321"/>
        <w:gridCol w:w="1065"/>
        <w:gridCol w:w="3196"/>
        <w:gridCol w:w="1198"/>
      </w:tblGrid>
      <w:tr w:rsidR="006220A2" w:rsidRPr="00B157EA" w14:paraId="40A6D090" w14:textId="77777777" w:rsidTr="00D67C6B">
        <w:trPr>
          <w:trHeight w:val="567"/>
        </w:trPr>
        <w:tc>
          <w:tcPr>
            <w:tcW w:w="834" w:type="pct"/>
            <w:tcBorders>
              <w:top w:val="single" w:sz="4" w:space="0" w:color="auto"/>
              <w:left w:val="nil"/>
              <w:bottom w:val="single" w:sz="4" w:space="0" w:color="auto"/>
              <w:right w:val="nil"/>
            </w:tcBorders>
            <w:shd w:val="clear" w:color="auto" w:fill="auto"/>
            <w:vAlign w:val="bottom"/>
            <w:hideMark/>
          </w:tcPr>
          <w:p w14:paraId="37426F38" w14:textId="77777777" w:rsidR="006220A2" w:rsidRPr="00B157EA" w:rsidRDefault="006220A2" w:rsidP="002B422A">
            <w:pPr>
              <w:keepNext/>
              <w:keepLines/>
              <w:widowControl w:val="0"/>
              <w:jc w:val="center"/>
              <w:rPr>
                <w:rFonts w:eastAsia="Times New Roman"/>
                <w:b/>
                <w:bCs/>
                <w:sz w:val="16"/>
                <w:szCs w:val="16"/>
              </w:rPr>
            </w:pPr>
            <w:r w:rsidRPr="00B157EA">
              <w:rPr>
                <w:rFonts w:eastAsia="Times New Roman"/>
                <w:b/>
                <w:bCs/>
                <w:sz w:val="16"/>
                <w:szCs w:val="16"/>
              </w:rPr>
              <w:t>Entidad concesionaria</w:t>
            </w:r>
          </w:p>
        </w:tc>
        <w:tc>
          <w:tcPr>
            <w:tcW w:w="543" w:type="pct"/>
            <w:tcBorders>
              <w:top w:val="single" w:sz="4" w:space="0" w:color="auto"/>
              <w:left w:val="nil"/>
              <w:bottom w:val="single" w:sz="4" w:space="0" w:color="auto"/>
              <w:right w:val="nil"/>
            </w:tcBorders>
            <w:shd w:val="clear" w:color="auto" w:fill="auto"/>
            <w:vAlign w:val="bottom"/>
            <w:hideMark/>
          </w:tcPr>
          <w:p w14:paraId="0AB17F6E" w14:textId="77777777" w:rsidR="006220A2" w:rsidRPr="00B157EA" w:rsidRDefault="006220A2" w:rsidP="002B422A">
            <w:pPr>
              <w:keepNext/>
              <w:keepLines/>
              <w:widowControl w:val="0"/>
              <w:jc w:val="center"/>
              <w:rPr>
                <w:rFonts w:eastAsia="Times New Roman"/>
                <w:b/>
                <w:bCs/>
                <w:sz w:val="16"/>
                <w:szCs w:val="16"/>
              </w:rPr>
            </w:pPr>
            <w:r w:rsidRPr="00B157EA">
              <w:rPr>
                <w:rFonts w:eastAsia="Times New Roman"/>
                <w:b/>
                <w:bCs/>
                <w:sz w:val="16"/>
                <w:szCs w:val="16"/>
              </w:rPr>
              <w:t>Importe concedido</w:t>
            </w:r>
          </w:p>
        </w:tc>
        <w:tc>
          <w:tcPr>
            <w:tcW w:w="706" w:type="pct"/>
            <w:tcBorders>
              <w:top w:val="single" w:sz="4" w:space="0" w:color="auto"/>
              <w:left w:val="nil"/>
              <w:bottom w:val="single" w:sz="4" w:space="0" w:color="auto"/>
              <w:right w:val="nil"/>
            </w:tcBorders>
            <w:shd w:val="clear" w:color="auto" w:fill="auto"/>
            <w:vAlign w:val="bottom"/>
            <w:hideMark/>
          </w:tcPr>
          <w:p w14:paraId="56724865" w14:textId="77777777" w:rsidR="006220A2" w:rsidRPr="00B157EA" w:rsidRDefault="006220A2" w:rsidP="002B422A">
            <w:pPr>
              <w:keepNext/>
              <w:keepLines/>
              <w:widowControl w:val="0"/>
              <w:jc w:val="center"/>
              <w:rPr>
                <w:rFonts w:eastAsia="Times New Roman"/>
                <w:b/>
                <w:bCs/>
                <w:sz w:val="16"/>
                <w:szCs w:val="16"/>
              </w:rPr>
            </w:pPr>
            <w:r w:rsidRPr="00B157EA">
              <w:rPr>
                <w:rFonts w:eastAsia="Times New Roman"/>
                <w:b/>
                <w:bCs/>
                <w:sz w:val="16"/>
                <w:szCs w:val="16"/>
              </w:rPr>
              <w:t>Importe pendiente de traspasar a resultado</w:t>
            </w:r>
          </w:p>
        </w:tc>
        <w:tc>
          <w:tcPr>
            <w:tcW w:w="569" w:type="pct"/>
            <w:tcBorders>
              <w:top w:val="single" w:sz="4" w:space="0" w:color="auto"/>
              <w:left w:val="nil"/>
              <w:bottom w:val="single" w:sz="4" w:space="0" w:color="auto"/>
              <w:right w:val="nil"/>
            </w:tcBorders>
            <w:shd w:val="clear" w:color="auto" w:fill="auto"/>
            <w:vAlign w:val="bottom"/>
            <w:hideMark/>
          </w:tcPr>
          <w:p w14:paraId="795035B0" w14:textId="77777777" w:rsidR="006220A2" w:rsidRPr="00B157EA" w:rsidRDefault="006220A2" w:rsidP="002B422A">
            <w:pPr>
              <w:keepNext/>
              <w:keepLines/>
              <w:widowControl w:val="0"/>
              <w:jc w:val="center"/>
              <w:rPr>
                <w:rFonts w:eastAsia="Times New Roman"/>
                <w:b/>
                <w:bCs/>
                <w:sz w:val="16"/>
                <w:szCs w:val="16"/>
              </w:rPr>
            </w:pPr>
            <w:r w:rsidRPr="00B157EA">
              <w:rPr>
                <w:rFonts w:eastAsia="Times New Roman"/>
                <w:b/>
                <w:bCs/>
                <w:sz w:val="16"/>
                <w:szCs w:val="16"/>
              </w:rPr>
              <w:t>Pasivo por impuesto diferido</w:t>
            </w:r>
          </w:p>
        </w:tc>
        <w:tc>
          <w:tcPr>
            <w:tcW w:w="1708" w:type="pct"/>
            <w:tcBorders>
              <w:top w:val="single" w:sz="4" w:space="0" w:color="auto"/>
              <w:left w:val="nil"/>
              <w:bottom w:val="single" w:sz="4" w:space="0" w:color="auto"/>
              <w:right w:val="nil"/>
            </w:tcBorders>
            <w:shd w:val="clear" w:color="auto" w:fill="auto"/>
            <w:vAlign w:val="bottom"/>
            <w:hideMark/>
          </w:tcPr>
          <w:p w14:paraId="15288977" w14:textId="77777777" w:rsidR="006220A2" w:rsidRPr="00B157EA" w:rsidRDefault="006220A2" w:rsidP="002B422A">
            <w:pPr>
              <w:keepNext/>
              <w:keepLines/>
              <w:widowControl w:val="0"/>
              <w:jc w:val="center"/>
              <w:rPr>
                <w:rFonts w:eastAsia="Times New Roman"/>
                <w:b/>
                <w:bCs/>
                <w:sz w:val="16"/>
                <w:szCs w:val="16"/>
              </w:rPr>
            </w:pPr>
            <w:r w:rsidRPr="00B157EA">
              <w:rPr>
                <w:rFonts w:eastAsia="Times New Roman"/>
                <w:b/>
                <w:bCs/>
                <w:sz w:val="16"/>
                <w:szCs w:val="16"/>
              </w:rPr>
              <w:t>Finalidad</w:t>
            </w:r>
          </w:p>
        </w:tc>
        <w:tc>
          <w:tcPr>
            <w:tcW w:w="640" w:type="pct"/>
            <w:tcBorders>
              <w:top w:val="single" w:sz="4" w:space="0" w:color="auto"/>
              <w:left w:val="nil"/>
              <w:bottom w:val="single" w:sz="4" w:space="0" w:color="auto"/>
              <w:right w:val="nil"/>
            </w:tcBorders>
            <w:shd w:val="clear" w:color="auto" w:fill="auto"/>
            <w:vAlign w:val="bottom"/>
            <w:hideMark/>
          </w:tcPr>
          <w:p w14:paraId="4F2E5CB1" w14:textId="77777777" w:rsidR="006220A2" w:rsidRPr="00B157EA" w:rsidRDefault="006220A2" w:rsidP="002B422A">
            <w:pPr>
              <w:keepNext/>
              <w:keepLines/>
              <w:widowControl w:val="0"/>
              <w:jc w:val="center"/>
              <w:rPr>
                <w:rFonts w:eastAsia="Times New Roman"/>
                <w:b/>
                <w:bCs/>
                <w:sz w:val="16"/>
                <w:szCs w:val="16"/>
              </w:rPr>
            </w:pPr>
            <w:r w:rsidRPr="00B157EA">
              <w:rPr>
                <w:rFonts w:eastAsia="Times New Roman"/>
                <w:b/>
                <w:bCs/>
                <w:sz w:val="16"/>
                <w:szCs w:val="16"/>
              </w:rPr>
              <w:t>Fecha de concesión</w:t>
            </w:r>
          </w:p>
        </w:tc>
      </w:tr>
      <w:tr w:rsidR="00B157EA" w:rsidRPr="00B157EA" w14:paraId="433AF9D3" w14:textId="77777777" w:rsidTr="00D67C6B">
        <w:trPr>
          <w:trHeight w:val="1417"/>
        </w:trPr>
        <w:tc>
          <w:tcPr>
            <w:tcW w:w="834" w:type="pct"/>
            <w:tcBorders>
              <w:top w:val="nil"/>
              <w:left w:val="nil"/>
              <w:bottom w:val="single" w:sz="4" w:space="0" w:color="auto"/>
              <w:right w:val="nil"/>
            </w:tcBorders>
            <w:shd w:val="clear" w:color="auto" w:fill="auto"/>
            <w:vAlign w:val="center"/>
            <w:hideMark/>
          </w:tcPr>
          <w:p w14:paraId="5A9BEB1E" w14:textId="77777777" w:rsidR="00B157EA" w:rsidRPr="00B157EA" w:rsidRDefault="00B157EA" w:rsidP="00B157EA">
            <w:pPr>
              <w:rPr>
                <w:rFonts w:eastAsia="Times New Roman"/>
                <w:sz w:val="16"/>
                <w:szCs w:val="16"/>
              </w:rPr>
            </w:pPr>
            <w:r w:rsidRPr="00B157EA">
              <w:rPr>
                <w:rFonts w:eastAsia="Times New Roman"/>
                <w:sz w:val="16"/>
                <w:szCs w:val="16"/>
              </w:rPr>
              <w:t>Consejería de Turismo del Gobierno de Canarias</w:t>
            </w:r>
          </w:p>
        </w:tc>
        <w:tc>
          <w:tcPr>
            <w:tcW w:w="543" w:type="pct"/>
            <w:tcBorders>
              <w:top w:val="nil"/>
              <w:left w:val="nil"/>
              <w:bottom w:val="single" w:sz="4" w:space="0" w:color="auto"/>
              <w:right w:val="nil"/>
            </w:tcBorders>
            <w:shd w:val="clear" w:color="auto" w:fill="auto"/>
            <w:vAlign w:val="center"/>
            <w:hideMark/>
          </w:tcPr>
          <w:p w14:paraId="2A97D0B1" w14:textId="77777777" w:rsidR="00B157EA" w:rsidRPr="00B157EA" w:rsidRDefault="00B157EA" w:rsidP="00B157EA">
            <w:pPr>
              <w:pBdr>
                <w:top w:val="none" w:sz="0" w:space="0" w:color="auto"/>
                <w:left w:val="none" w:sz="0" w:space="0" w:color="auto"/>
                <w:bottom w:val="none" w:sz="0" w:space="0" w:color="auto"/>
                <w:right w:val="none" w:sz="0" w:space="0" w:color="auto"/>
                <w:between w:val="none" w:sz="0" w:space="0" w:color="auto"/>
                <w:bar w:val="none" w:sz="0" w:color="auto"/>
              </w:pBdr>
              <w:jc w:val="right"/>
              <w:outlineLvl w:val="9"/>
              <w:rPr>
                <w:rFonts w:eastAsia="Times New Roman"/>
                <w:sz w:val="16"/>
                <w:szCs w:val="16"/>
                <w:bdr w:val="none" w:sz="0" w:space="0" w:color="auto"/>
                <w:lang w:eastAsia="es-ES"/>
              </w:rPr>
            </w:pPr>
            <w:r w:rsidRPr="00B157EA">
              <w:rPr>
                <w:sz w:val="16"/>
                <w:szCs w:val="16"/>
              </w:rPr>
              <w:t>82.201,43</w:t>
            </w:r>
          </w:p>
        </w:tc>
        <w:tc>
          <w:tcPr>
            <w:tcW w:w="706" w:type="pct"/>
            <w:tcBorders>
              <w:top w:val="nil"/>
              <w:left w:val="nil"/>
              <w:bottom w:val="single" w:sz="4" w:space="0" w:color="auto"/>
              <w:right w:val="nil"/>
            </w:tcBorders>
            <w:shd w:val="clear" w:color="auto" w:fill="auto"/>
            <w:vAlign w:val="center"/>
            <w:hideMark/>
          </w:tcPr>
          <w:p w14:paraId="1D2DD445" w14:textId="3962E3E5" w:rsidR="00B157EA" w:rsidRPr="00B157EA" w:rsidRDefault="00B157EA" w:rsidP="00B157EA">
            <w:pPr>
              <w:jc w:val="right"/>
              <w:rPr>
                <w:sz w:val="16"/>
                <w:szCs w:val="16"/>
              </w:rPr>
            </w:pPr>
            <w:r w:rsidRPr="00B157EA">
              <w:rPr>
                <w:sz w:val="16"/>
                <w:szCs w:val="16"/>
              </w:rPr>
              <w:t>25.575,36</w:t>
            </w:r>
          </w:p>
        </w:tc>
        <w:tc>
          <w:tcPr>
            <w:tcW w:w="569" w:type="pct"/>
            <w:tcBorders>
              <w:top w:val="nil"/>
              <w:left w:val="nil"/>
              <w:bottom w:val="single" w:sz="4" w:space="0" w:color="auto"/>
              <w:right w:val="nil"/>
            </w:tcBorders>
            <w:shd w:val="clear" w:color="auto" w:fill="auto"/>
            <w:vAlign w:val="center"/>
          </w:tcPr>
          <w:p w14:paraId="023516DD" w14:textId="65BD21E2" w:rsidR="00B157EA" w:rsidRPr="00B157EA" w:rsidRDefault="00B157EA" w:rsidP="00B157EA">
            <w:pPr>
              <w:jc w:val="right"/>
              <w:rPr>
                <w:sz w:val="16"/>
                <w:szCs w:val="16"/>
              </w:rPr>
            </w:pPr>
            <w:r w:rsidRPr="00B157EA">
              <w:rPr>
                <w:sz w:val="16"/>
                <w:szCs w:val="16"/>
              </w:rPr>
              <w:t>8.525,11</w:t>
            </w:r>
          </w:p>
        </w:tc>
        <w:tc>
          <w:tcPr>
            <w:tcW w:w="1708" w:type="pct"/>
            <w:tcBorders>
              <w:top w:val="nil"/>
              <w:left w:val="nil"/>
              <w:bottom w:val="single" w:sz="4" w:space="0" w:color="auto"/>
              <w:right w:val="nil"/>
            </w:tcBorders>
            <w:shd w:val="clear" w:color="auto" w:fill="auto"/>
            <w:vAlign w:val="center"/>
            <w:hideMark/>
          </w:tcPr>
          <w:p w14:paraId="49BACDD0" w14:textId="77777777" w:rsidR="00B157EA" w:rsidRPr="00B157EA" w:rsidRDefault="00B157EA" w:rsidP="00B157EA">
            <w:pPr>
              <w:spacing w:before="40" w:after="40"/>
              <w:rPr>
                <w:rFonts w:eastAsia="Times New Roman"/>
                <w:sz w:val="16"/>
                <w:szCs w:val="16"/>
              </w:rPr>
            </w:pPr>
            <w:r w:rsidRPr="00B157EA">
              <w:rPr>
                <w:rFonts w:eastAsia="Times New Roman"/>
                <w:sz w:val="16"/>
                <w:szCs w:val="16"/>
              </w:rPr>
              <w:t xml:space="preserve">Dicho importe se corresponde con la contrapartida del Derecho de cesión de uso concedido a la sociedad en el ejercicio 2006 y comentado en la nota 6.a) de la memoria, que al igual que el inmovilizado afecto se aplica al resultado a razón de un 3% anual, importe que corresponde con la amortización de los locales cedidos. </w:t>
            </w:r>
          </w:p>
        </w:tc>
        <w:tc>
          <w:tcPr>
            <w:tcW w:w="640" w:type="pct"/>
            <w:tcBorders>
              <w:top w:val="nil"/>
              <w:left w:val="nil"/>
              <w:bottom w:val="single" w:sz="4" w:space="0" w:color="auto"/>
              <w:right w:val="nil"/>
            </w:tcBorders>
            <w:shd w:val="clear" w:color="auto" w:fill="auto"/>
            <w:vAlign w:val="center"/>
            <w:hideMark/>
          </w:tcPr>
          <w:p w14:paraId="1E7680E1" w14:textId="77777777" w:rsidR="00B157EA" w:rsidRPr="00B157EA" w:rsidRDefault="00B157EA" w:rsidP="00B157EA">
            <w:pPr>
              <w:jc w:val="right"/>
              <w:rPr>
                <w:rFonts w:eastAsia="Times New Roman"/>
                <w:sz w:val="16"/>
                <w:szCs w:val="16"/>
              </w:rPr>
            </w:pPr>
            <w:r w:rsidRPr="00B157EA">
              <w:rPr>
                <w:rFonts w:eastAsia="Times New Roman"/>
                <w:sz w:val="16"/>
                <w:szCs w:val="16"/>
              </w:rPr>
              <w:t>04/08/2006</w:t>
            </w:r>
          </w:p>
        </w:tc>
      </w:tr>
      <w:tr w:rsidR="00B157EA" w:rsidRPr="00B157EA" w14:paraId="23CF09CC" w14:textId="77777777" w:rsidTr="00D67C6B">
        <w:trPr>
          <w:trHeight w:val="964"/>
        </w:trPr>
        <w:tc>
          <w:tcPr>
            <w:tcW w:w="834" w:type="pct"/>
            <w:tcBorders>
              <w:top w:val="nil"/>
              <w:left w:val="nil"/>
              <w:bottom w:val="single" w:sz="4" w:space="0" w:color="auto"/>
              <w:right w:val="nil"/>
            </w:tcBorders>
            <w:shd w:val="clear" w:color="auto" w:fill="auto"/>
            <w:vAlign w:val="center"/>
          </w:tcPr>
          <w:p w14:paraId="488EF56F" w14:textId="77777777" w:rsidR="00B157EA" w:rsidRPr="00B157EA" w:rsidRDefault="00B157EA" w:rsidP="00B157EA">
            <w:pPr>
              <w:pBdr>
                <w:top w:val="none" w:sz="0" w:space="0" w:color="auto"/>
                <w:left w:val="none" w:sz="0" w:space="0" w:color="auto"/>
                <w:bottom w:val="none" w:sz="0" w:space="0" w:color="auto"/>
                <w:right w:val="none" w:sz="0" w:space="0" w:color="auto"/>
                <w:between w:val="none" w:sz="0" w:space="0" w:color="auto"/>
                <w:bar w:val="none" w:sz="0" w:color="auto"/>
              </w:pBdr>
              <w:outlineLvl w:val="9"/>
              <w:rPr>
                <w:rFonts w:eastAsia="Times New Roman"/>
                <w:sz w:val="16"/>
                <w:szCs w:val="16"/>
                <w:bdr w:val="none" w:sz="0" w:space="0" w:color="auto"/>
                <w:lang w:eastAsia="es-ES"/>
              </w:rPr>
            </w:pPr>
            <w:r w:rsidRPr="00B157EA">
              <w:rPr>
                <w:sz w:val="16"/>
                <w:szCs w:val="16"/>
              </w:rPr>
              <w:t>Consejería de Turismo, Industria y Comercio</w:t>
            </w:r>
          </w:p>
        </w:tc>
        <w:tc>
          <w:tcPr>
            <w:tcW w:w="543" w:type="pct"/>
            <w:tcBorders>
              <w:top w:val="nil"/>
              <w:left w:val="nil"/>
              <w:bottom w:val="single" w:sz="4" w:space="0" w:color="auto"/>
              <w:right w:val="nil"/>
            </w:tcBorders>
            <w:shd w:val="clear" w:color="auto" w:fill="auto"/>
            <w:vAlign w:val="center"/>
          </w:tcPr>
          <w:p w14:paraId="2F6A7EBD" w14:textId="77777777" w:rsidR="00B157EA" w:rsidRPr="00B157EA" w:rsidRDefault="00B157EA" w:rsidP="00B157EA">
            <w:pPr>
              <w:jc w:val="right"/>
              <w:rPr>
                <w:sz w:val="16"/>
                <w:szCs w:val="16"/>
              </w:rPr>
            </w:pPr>
            <w:r w:rsidRPr="00B157EA">
              <w:rPr>
                <w:sz w:val="16"/>
                <w:szCs w:val="16"/>
              </w:rPr>
              <w:t>300.000,00</w:t>
            </w:r>
          </w:p>
        </w:tc>
        <w:tc>
          <w:tcPr>
            <w:tcW w:w="706" w:type="pct"/>
            <w:tcBorders>
              <w:top w:val="nil"/>
              <w:left w:val="nil"/>
              <w:bottom w:val="single" w:sz="4" w:space="0" w:color="auto"/>
              <w:right w:val="nil"/>
            </w:tcBorders>
            <w:shd w:val="clear" w:color="auto" w:fill="auto"/>
            <w:vAlign w:val="center"/>
          </w:tcPr>
          <w:p w14:paraId="238CE337" w14:textId="0DFE1E68" w:rsidR="00B157EA" w:rsidRPr="00B157EA" w:rsidRDefault="00B157EA" w:rsidP="00B157EA">
            <w:pPr>
              <w:jc w:val="right"/>
              <w:rPr>
                <w:sz w:val="16"/>
                <w:szCs w:val="16"/>
              </w:rPr>
            </w:pPr>
            <w:r w:rsidRPr="00B157EA">
              <w:rPr>
                <w:sz w:val="16"/>
                <w:szCs w:val="16"/>
              </w:rPr>
              <w:t xml:space="preserve"> -</w:t>
            </w:r>
          </w:p>
        </w:tc>
        <w:tc>
          <w:tcPr>
            <w:tcW w:w="569" w:type="pct"/>
            <w:tcBorders>
              <w:top w:val="nil"/>
              <w:left w:val="nil"/>
              <w:bottom w:val="single" w:sz="4" w:space="0" w:color="auto"/>
              <w:right w:val="nil"/>
            </w:tcBorders>
            <w:shd w:val="clear" w:color="auto" w:fill="auto"/>
            <w:vAlign w:val="center"/>
          </w:tcPr>
          <w:p w14:paraId="6EF5848D" w14:textId="7FF874DD" w:rsidR="00B157EA" w:rsidRPr="00B157EA" w:rsidRDefault="004C4EE8" w:rsidP="00B157EA">
            <w:pPr>
              <w:jc w:val="right"/>
              <w:rPr>
                <w:sz w:val="16"/>
                <w:szCs w:val="16"/>
              </w:rPr>
            </w:pPr>
            <w:r>
              <w:rPr>
                <w:sz w:val="16"/>
                <w:szCs w:val="16"/>
              </w:rPr>
              <w:t>-</w:t>
            </w:r>
          </w:p>
        </w:tc>
        <w:tc>
          <w:tcPr>
            <w:tcW w:w="1708" w:type="pct"/>
            <w:tcBorders>
              <w:top w:val="nil"/>
              <w:left w:val="nil"/>
              <w:bottom w:val="single" w:sz="4" w:space="0" w:color="auto"/>
              <w:right w:val="nil"/>
            </w:tcBorders>
            <w:shd w:val="clear" w:color="auto" w:fill="auto"/>
            <w:vAlign w:val="center"/>
          </w:tcPr>
          <w:p w14:paraId="5BEB11AD" w14:textId="77777777" w:rsidR="00B157EA" w:rsidRPr="00B157EA" w:rsidRDefault="00B157EA" w:rsidP="00B157EA">
            <w:pPr>
              <w:spacing w:before="40" w:after="40"/>
              <w:rPr>
                <w:sz w:val="16"/>
                <w:szCs w:val="16"/>
              </w:rPr>
            </w:pPr>
            <w:r w:rsidRPr="00B157EA">
              <w:rPr>
                <w:sz w:val="16"/>
                <w:szCs w:val="16"/>
              </w:rPr>
              <w:t>Subvención para la mejora de la competitividad del modelo turístico canario y la proyección de la marca Islas Canarias a través del proyecto Centro de Difusión del Conocimiento Turístico</w:t>
            </w:r>
          </w:p>
        </w:tc>
        <w:tc>
          <w:tcPr>
            <w:tcW w:w="640" w:type="pct"/>
            <w:tcBorders>
              <w:top w:val="nil"/>
              <w:left w:val="nil"/>
              <w:bottom w:val="single" w:sz="4" w:space="0" w:color="auto"/>
              <w:right w:val="nil"/>
            </w:tcBorders>
            <w:shd w:val="clear" w:color="auto" w:fill="auto"/>
            <w:vAlign w:val="center"/>
          </w:tcPr>
          <w:p w14:paraId="64120ECF" w14:textId="77777777" w:rsidR="00B157EA" w:rsidRPr="00B157EA" w:rsidRDefault="00B157EA" w:rsidP="00B157EA">
            <w:pPr>
              <w:jc w:val="right"/>
              <w:rPr>
                <w:sz w:val="16"/>
                <w:szCs w:val="16"/>
              </w:rPr>
            </w:pPr>
            <w:r w:rsidRPr="00B157EA">
              <w:rPr>
                <w:sz w:val="16"/>
                <w:szCs w:val="16"/>
              </w:rPr>
              <w:t>08/08/2019</w:t>
            </w:r>
          </w:p>
        </w:tc>
      </w:tr>
      <w:tr w:rsidR="00B157EA" w:rsidRPr="00B157EA" w14:paraId="7E7E7912" w14:textId="77777777" w:rsidTr="00D67C6B">
        <w:trPr>
          <w:trHeight w:val="510"/>
        </w:trPr>
        <w:tc>
          <w:tcPr>
            <w:tcW w:w="834" w:type="pct"/>
            <w:tcBorders>
              <w:top w:val="nil"/>
              <w:left w:val="nil"/>
              <w:bottom w:val="single" w:sz="4" w:space="0" w:color="auto"/>
              <w:right w:val="nil"/>
            </w:tcBorders>
            <w:shd w:val="clear" w:color="auto" w:fill="auto"/>
            <w:vAlign w:val="center"/>
          </w:tcPr>
          <w:p w14:paraId="58B78E7B" w14:textId="77777777" w:rsidR="00B157EA" w:rsidRPr="00B157EA" w:rsidRDefault="00B157EA" w:rsidP="00B157EA">
            <w:pPr>
              <w:pBdr>
                <w:top w:val="none" w:sz="0" w:space="0" w:color="auto"/>
                <w:left w:val="none" w:sz="0" w:space="0" w:color="auto"/>
                <w:bottom w:val="none" w:sz="0" w:space="0" w:color="auto"/>
                <w:right w:val="none" w:sz="0" w:space="0" w:color="auto"/>
                <w:between w:val="none" w:sz="0" w:space="0" w:color="auto"/>
                <w:bar w:val="none" w:sz="0" w:color="auto"/>
              </w:pBdr>
              <w:outlineLvl w:val="9"/>
              <w:rPr>
                <w:rFonts w:eastAsia="Times New Roman"/>
                <w:sz w:val="16"/>
                <w:szCs w:val="16"/>
                <w:bdr w:val="none" w:sz="0" w:space="0" w:color="auto"/>
                <w:lang w:eastAsia="es-ES"/>
              </w:rPr>
            </w:pPr>
            <w:r w:rsidRPr="00B157EA">
              <w:rPr>
                <w:sz w:val="16"/>
                <w:szCs w:val="16"/>
              </w:rPr>
              <w:t>Consejería de Turismo, Industria y Comercio</w:t>
            </w:r>
          </w:p>
        </w:tc>
        <w:tc>
          <w:tcPr>
            <w:tcW w:w="543" w:type="pct"/>
            <w:tcBorders>
              <w:top w:val="nil"/>
              <w:left w:val="nil"/>
              <w:bottom w:val="single" w:sz="4" w:space="0" w:color="auto"/>
              <w:right w:val="nil"/>
            </w:tcBorders>
            <w:shd w:val="clear" w:color="auto" w:fill="auto"/>
            <w:vAlign w:val="center"/>
          </w:tcPr>
          <w:p w14:paraId="14E1E771" w14:textId="77777777" w:rsidR="00B157EA" w:rsidRPr="00B157EA" w:rsidRDefault="00B157EA" w:rsidP="00B157EA">
            <w:pPr>
              <w:jc w:val="right"/>
              <w:rPr>
                <w:sz w:val="16"/>
                <w:szCs w:val="16"/>
              </w:rPr>
            </w:pPr>
            <w:r w:rsidRPr="00B157EA">
              <w:rPr>
                <w:sz w:val="16"/>
                <w:szCs w:val="16"/>
              </w:rPr>
              <w:t>90.600,00</w:t>
            </w:r>
          </w:p>
        </w:tc>
        <w:tc>
          <w:tcPr>
            <w:tcW w:w="706" w:type="pct"/>
            <w:tcBorders>
              <w:top w:val="nil"/>
              <w:left w:val="nil"/>
              <w:bottom w:val="single" w:sz="4" w:space="0" w:color="auto"/>
              <w:right w:val="nil"/>
            </w:tcBorders>
            <w:shd w:val="clear" w:color="auto" w:fill="auto"/>
            <w:vAlign w:val="center"/>
          </w:tcPr>
          <w:p w14:paraId="39789CF6" w14:textId="5517880E" w:rsidR="00B157EA" w:rsidRPr="00B157EA" w:rsidRDefault="00B157EA" w:rsidP="00B157EA">
            <w:pPr>
              <w:jc w:val="right"/>
              <w:rPr>
                <w:sz w:val="16"/>
                <w:szCs w:val="16"/>
              </w:rPr>
            </w:pPr>
            <w:r w:rsidRPr="00B157EA">
              <w:rPr>
                <w:sz w:val="16"/>
                <w:szCs w:val="16"/>
              </w:rPr>
              <w:t>2.753,86</w:t>
            </w:r>
          </w:p>
        </w:tc>
        <w:tc>
          <w:tcPr>
            <w:tcW w:w="569" w:type="pct"/>
            <w:tcBorders>
              <w:top w:val="nil"/>
              <w:left w:val="nil"/>
              <w:bottom w:val="single" w:sz="4" w:space="0" w:color="auto"/>
              <w:right w:val="nil"/>
            </w:tcBorders>
            <w:shd w:val="clear" w:color="auto" w:fill="auto"/>
            <w:vAlign w:val="center"/>
          </w:tcPr>
          <w:p w14:paraId="632A6B12" w14:textId="4EAE24CB" w:rsidR="00B157EA" w:rsidRPr="00B157EA" w:rsidRDefault="00B157EA" w:rsidP="00B157EA">
            <w:pPr>
              <w:jc w:val="right"/>
              <w:rPr>
                <w:sz w:val="16"/>
                <w:szCs w:val="16"/>
              </w:rPr>
            </w:pPr>
            <w:r w:rsidRPr="00B157EA">
              <w:rPr>
                <w:sz w:val="16"/>
                <w:szCs w:val="16"/>
              </w:rPr>
              <w:t>917,91</w:t>
            </w:r>
          </w:p>
        </w:tc>
        <w:tc>
          <w:tcPr>
            <w:tcW w:w="1708" w:type="pct"/>
            <w:tcBorders>
              <w:top w:val="nil"/>
              <w:left w:val="nil"/>
              <w:bottom w:val="single" w:sz="4" w:space="0" w:color="auto"/>
              <w:right w:val="nil"/>
            </w:tcBorders>
            <w:shd w:val="clear" w:color="auto" w:fill="auto"/>
            <w:vAlign w:val="center"/>
          </w:tcPr>
          <w:p w14:paraId="6D5A8C58" w14:textId="77777777" w:rsidR="00B157EA" w:rsidRPr="00B157EA" w:rsidRDefault="00B157EA" w:rsidP="00B157EA">
            <w:pPr>
              <w:spacing w:before="40" w:after="40"/>
              <w:rPr>
                <w:sz w:val="16"/>
                <w:szCs w:val="16"/>
              </w:rPr>
            </w:pPr>
            <w:r w:rsidRPr="00B157EA">
              <w:rPr>
                <w:sz w:val="16"/>
                <w:szCs w:val="16"/>
              </w:rPr>
              <w:t>Subvención para la implementación de medidas para la gestión de "Canarias Fortaleza"</w:t>
            </w:r>
          </w:p>
        </w:tc>
        <w:tc>
          <w:tcPr>
            <w:tcW w:w="640" w:type="pct"/>
            <w:tcBorders>
              <w:top w:val="nil"/>
              <w:left w:val="nil"/>
              <w:bottom w:val="single" w:sz="4" w:space="0" w:color="auto"/>
              <w:right w:val="nil"/>
            </w:tcBorders>
            <w:shd w:val="clear" w:color="auto" w:fill="auto"/>
            <w:vAlign w:val="center"/>
          </w:tcPr>
          <w:p w14:paraId="45C70102" w14:textId="3985CA87" w:rsidR="00B157EA" w:rsidRPr="00B157EA" w:rsidRDefault="00B157EA" w:rsidP="00B157EA">
            <w:pPr>
              <w:jc w:val="right"/>
              <w:rPr>
                <w:sz w:val="16"/>
                <w:szCs w:val="16"/>
              </w:rPr>
            </w:pPr>
            <w:r w:rsidRPr="00B157EA">
              <w:rPr>
                <w:sz w:val="16"/>
                <w:szCs w:val="16"/>
              </w:rPr>
              <w:t>28/12/2020</w:t>
            </w:r>
          </w:p>
        </w:tc>
      </w:tr>
      <w:tr w:rsidR="00B157EA" w:rsidRPr="00E612CB" w14:paraId="4AA4ABE1" w14:textId="77777777" w:rsidTr="00D67C6B">
        <w:trPr>
          <w:trHeight w:val="283"/>
        </w:trPr>
        <w:tc>
          <w:tcPr>
            <w:tcW w:w="834" w:type="pct"/>
            <w:tcBorders>
              <w:top w:val="nil"/>
              <w:left w:val="nil"/>
              <w:bottom w:val="single" w:sz="4" w:space="0" w:color="auto"/>
              <w:right w:val="nil"/>
            </w:tcBorders>
            <w:shd w:val="clear" w:color="auto" w:fill="auto"/>
            <w:vAlign w:val="center"/>
            <w:hideMark/>
          </w:tcPr>
          <w:p w14:paraId="54F7B574" w14:textId="77777777" w:rsidR="00B157EA" w:rsidRPr="00B157EA" w:rsidRDefault="00B157EA" w:rsidP="00B157EA">
            <w:pPr>
              <w:rPr>
                <w:rFonts w:eastAsia="Times New Roman"/>
                <w:b/>
                <w:bCs/>
                <w:sz w:val="16"/>
                <w:szCs w:val="16"/>
              </w:rPr>
            </w:pPr>
            <w:r w:rsidRPr="00B157EA">
              <w:rPr>
                <w:rFonts w:eastAsia="Times New Roman"/>
                <w:b/>
                <w:bCs/>
                <w:sz w:val="16"/>
                <w:szCs w:val="16"/>
              </w:rPr>
              <w:t>Total</w:t>
            </w:r>
          </w:p>
        </w:tc>
        <w:tc>
          <w:tcPr>
            <w:tcW w:w="543" w:type="pct"/>
            <w:tcBorders>
              <w:top w:val="nil"/>
              <w:left w:val="nil"/>
              <w:bottom w:val="single" w:sz="4" w:space="0" w:color="auto"/>
              <w:right w:val="nil"/>
            </w:tcBorders>
            <w:shd w:val="clear" w:color="auto" w:fill="auto"/>
            <w:vAlign w:val="center"/>
            <w:hideMark/>
          </w:tcPr>
          <w:p w14:paraId="3DF8FE2E" w14:textId="77777777" w:rsidR="00B157EA" w:rsidRPr="00B157EA" w:rsidRDefault="00B157EA" w:rsidP="00B157EA">
            <w:pPr>
              <w:jc w:val="right"/>
              <w:rPr>
                <w:b/>
                <w:bCs/>
                <w:sz w:val="16"/>
                <w:szCs w:val="16"/>
              </w:rPr>
            </w:pPr>
            <w:r w:rsidRPr="00B157EA">
              <w:rPr>
                <w:b/>
                <w:bCs/>
                <w:sz w:val="16"/>
                <w:szCs w:val="16"/>
              </w:rPr>
              <w:t>472.801,43</w:t>
            </w:r>
          </w:p>
        </w:tc>
        <w:tc>
          <w:tcPr>
            <w:tcW w:w="706" w:type="pct"/>
            <w:tcBorders>
              <w:top w:val="nil"/>
              <w:left w:val="nil"/>
              <w:bottom w:val="single" w:sz="4" w:space="0" w:color="auto"/>
              <w:right w:val="nil"/>
            </w:tcBorders>
            <w:shd w:val="clear" w:color="auto" w:fill="auto"/>
            <w:vAlign w:val="center"/>
            <w:hideMark/>
          </w:tcPr>
          <w:p w14:paraId="143BF8CA" w14:textId="1C6175E6" w:rsidR="00B157EA" w:rsidRPr="00B157EA" w:rsidRDefault="00B157EA" w:rsidP="00B157EA">
            <w:pPr>
              <w:jc w:val="right"/>
              <w:rPr>
                <w:b/>
                <w:bCs/>
                <w:sz w:val="16"/>
                <w:szCs w:val="16"/>
              </w:rPr>
            </w:pPr>
            <w:r w:rsidRPr="00B157EA">
              <w:rPr>
                <w:b/>
                <w:bCs/>
                <w:sz w:val="16"/>
                <w:szCs w:val="16"/>
              </w:rPr>
              <w:t>28.329,22</w:t>
            </w:r>
          </w:p>
        </w:tc>
        <w:tc>
          <w:tcPr>
            <w:tcW w:w="569" w:type="pct"/>
            <w:tcBorders>
              <w:top w:val="nil"/>
              <w:left w:val="nil"/>
              <w:bottom w:val="single" w:sz="4" w:space="0" w:color="auto"/>
              <w:right w:val="nil"/>
            </w:tcBorders>
            <w:shd w:val="clear" w:color="auto" w:fill="auto"/>
            <w:vAlign w:val="center"/>
          </w:tcPr>
          <w:p w14:paraId="5BC41B33" w14:textId="041C2DB3" w:rsidR="00B157EA" w:rsidRPr="007A7245" w:rsidRDefault="00B157EA" w:rsidP="00B157EA">
            <w:pPr>
              <w:jc w:val="right"/>
              <w:rPr>
                <w:b/>
                <w:bCs/>
                <w:sz w:val="16"/>
                <w:szCs w:val="16"/>
              </w:rPr>
            </w:pPr>
            <w:r w:rsidRPr="00B157EA">
              <w:rPr>
                <w:b/>
                <w:bCs/>
                <w:sz w:val="16"/>
                <w:szCs w:val="16"/>
              </w:rPr>
              <w:t>9.443,02</w:t>
            </w:r>
          </w:p>
        </w:tc>
        <w:tc>
          <w:tcPr>
            <w:tcW w:w="1708" w:type="pct"/>
            <w:tcBorders>
              <w:top w:val="nil"/>
              <w:left w:val="nil"/>
              <w:bottom w:val="single" w:sz="4" w:space="0" w:color="auto"/>
              <w:right w:val="nil"/>
            </w:tcBorders>
            <w:shd w:val="clear" w:color="auto" w:fill="auto"/>
            <w:vAlign w:val="center"/>
            <w:hideMark/>
          </w:tcPr>
          <w:p w14:paraId="0D5447C0" w14:textId="77777777" w:rsidR="00B157EA" w:rsidRPr="007A7245" w:rsidRDefault="00B157EA" w:rsidP="00B157EA">
            <w:pPr>
              <w:rPr>
                <w:rFonts w:eastAsia="Times New Roman" w:cs="Times"/>
                <w:sz w:val="16"/>
                <w:szCs w:val="16"/>
              </w:rPr>
            </w:pPr>
            <w:r w:rsidRPr="007A7245">
              <w:rPr>
                <w:rFonts w:eastAsia="Times New Roman" w:cs="Times"/>
                <w:sz w:val="16"/>
                <w:szCs w:val="16"/>
              </w:rPr>
              <w:t> </w:t>
            </w:r>
          </w:p>
        </w:tc>
        <w:tc>
          <w:tcPr>
            <w:tcW w:w="640" w:type="pct"/>
            <w:tcBorders>
              <w:top w:val="nil"/>
              <w:left w:val="nil"/>
              <w:bottom w:val="single" w:sz="4" w:space="0" w:color="auto"/>
              <w:right w:val="nil"/>
            </w:tcBorders>
            <w:shd w:val="clear" w:color="auto" w:fill="auto"/>
            <w:vAlign w:val="center"/>
            <w:hideMark/>
          </w:tcPr>
          <w:p w14:paraId="75514A84" w14:textId="77777777" w:rsidR="00B157EA" w:rsidRPr="007A7245" w:rsidRDefault="00B157EA" w:rsidP="00B157EA">
            <w:pPr>
              <w:rPr>
                <w:rFonts w:eastAsia="Times New Roman" w:cs="Times"/>
                <w:sz w:val="16"/>
                <w:szCs w:val="16"/>
              </w:rPr>
            </w:pPr>
            <w:r w:rsidRPr="007A7245">
              <w:rPr>
                <w:rFonts w:eastAsia="Times New Roman" w:cs="Times"/>
                <w:sz w:val="16"/>
                <w:szCs w:val="16"/>
              </w:rPr>
              <w:t> </w:t>
            </w:r>
          </w:p>
        </w:tc>
      </w:tr>
    </w:tbl>
    <w:p w14:paraId="3E9488B8" w14:textId="2A6B3144" w:rsidR="004D0B1C" w:rsidRPr="00353C75" w:rsidRDefault="004D0B1C" w:rsidP="001B5A15">
      <w:pPr>
        <w:keepNext/>
        <w:keepLines/>
        <w:widowControl w:val="0"/>
        <w:spacing w:before="240" w:after="120" w:line="260" w:lineRule="exact"/>
        <w:jc w:val="both"/>
        <w:outlineLvl w:val="9"/>
        <w:rPr>
          <w:snapToGrid w:val="0"/>
          <w:sz w:val="20"/>
          <w:szCs w:val="22"/>
        </w:rPr>
      </w:pPr>
      <w:r w:rsidRPr="00353C75">
        <w:rPr>
          <w:snapToGrid w:val="0"/>
          <w:sz w:val="20"/>
          <w:szCs w:val="22"/>
        </w:rPr>
        <w:t>Los importes imputados a la cuenta de pérdidas y ganancias en el ejercicio 202</w:t>
      </w:r>
      <w:r w:rsidR="009F2B4A" w:rsidRPr="00353C75">
        <w:rPr>
          <w:snapToGrid w:val="0"/>
          <w:sz w:val="20"/>
          <w:szCs w:val="22"/>
        </w:rPr>
        <w:t>4</w:t>
      </w:r>
      <w:r w:rsidRPr="00353C75">
        <w:rPr>
          <w:snapToGrid w:val="0"/>
          <w:sz w:val="20"/>
          <w:szCs w:val="22"/>
        </w:rPr>
        <w:t xml:space="preserve"> son los siguientes:</w:t>
      </w:r>
    </w:p>
    <w:tbl>
      <w:tblPr>
        <w:tblW w:w="9072" w:type="dxa"/>
        <w:tblCellMar>
          <w:left w:w="70" w:type="dxa"/>
          <w:right w:w="70" w:type="dxa"/>
        </w:tblCellMar>
        <w:tblLook w:val="04A0" w:firstRow="1" w:lastRow="0" w:firstColumn="1" w:lastColumn="0" w:noHBand="0" w:noVBand="1"/>
      </w:tblPr>
      <w:tblGrid>
        <w:gridCol w:w="2748"/>
        <w:gridCol w:w="1100"/>
        <w:gridCol w:w="1401"/>
        <w:gridCol w:w="1702"/>
        <w:gridCol w:w="1054"/>
        <w:gridCol w:w="1067"/>
      </w:tblGrid>
      <w:tr w:rsidR="004D0B1C" w:rsidRPr="00353C75" w14:paraId="47AEB801" w14:textId="77777777" w:rsidTr="00B1370C">
        <w:trPr>
          <w:trHeight w:val="288"/>
        </w:trPr>
        <w:tc>
          <w:tcPr>
            <w:tcW w:w="1515" w:type="pct"/>
            <w:tcBorders>
              <w:top w:val="nil"/>
              <w:left w:val="nil"/>
              <w:bottom w:val="nil"/>
              <w:right w:val="nil"/>
            </w:tcBorders>
            <w:shd w:val="clear" w:color="auto" w:fill="auto"/>
            <w:noWrap/>
            <w:vAlign w:val="bottom"/>
            <w:hideMark/>
          </w:tcPr>
          <w:p w14:paraId="52D61DA6" w14:textId="77777777" w:rsidR="004D0B1C" w:rsidRPr="00353C75" w:rsidRDefault="004D0B1C" w:rsidP="004D0B1C">
            <w:pPr>
              <w:pBdr>
                <w:top w:val="none" w:sz="0" w:space="0" w:color="auto"/>
                <w:left w:val="none" w:sz="0" w:space="0" w:color="auto"/>
                <w:bottom w:val="none" w:sz="0" w:space="0" w:color="auto"/>
                <w:right w:val="none" w:sz="0" w:space="0" w:color="auto"/>
                <w:between w:val="none" w:sz="0" w:space="0" w:color="auto"/>
                <w:bar w:val="none" w:sz="0" w:color="auto"/>
              </w:pBdr>
              <w:outlineLvl w:val="9"/>
              <w:rPr>
                <w:rFonts w:ascii="Times New Roman" w:eastAsia="Times New Roman" w:hAnsi="Times New Roman" w:cs="Times New Roman"/>
                <w:color w:val="auto"/>
                <w:bdr w:val="none" w:sz="0" w:space="0" w:color="auto"/>
                <w:lang w:eastAsia="es-ES"/>
              </w:rPr>
            </w:pPr>
          </w:p>
        </w:tc>
        <w:tc>
          <w:tcPr>
            <w:tcW w:w="606" w:type="pct"/>
            <w:tcBorders>
              <w:top w:val="nil"/>
              <w:left w:val="nil"/>
              <w:bottom w:val="nil"/>
              <w:right w:val="nil"/>
            </w:tcBorders>
            <w:shd w:val="clear" w:color="auto" w:fill="auto"/>
            <w:noWrap/>
            <w:vAlign w:val="bottom"/>
            <w:hideMark/>
          </w:tcPr>
          <w:p w14:paraId="7B3C5C9E" w14:textId="77777777" w:rsidR="004D0B1C" w:rsidRPr="00353C75" w:rsidRDefault="004D0B1C" w:rsidP="004D0B1C">
            <w:pPr>
              <w:pBdr>
                <w:top w:val="none" w:sz="0" w:space="0" w:color="auto"/>
                <w:left w:val="none" w:sz="0" w:space="0" w:color="auto"/>
                <w:bottom w:val="none" w:sz="0" w:space="0" w:color="auto"/>
                <w:right w:val="none" w:sz="0" w:space="0" w:color="auto"/>
                <w:between w:val="none" w:sz="0" w:space="0" w:color="auto"/>
                <w:bar w:val="none" w:sz="0" w:color="auto"/>
              </w:pBdr>
              <w:outlineLvl w:val="9"/>
              <w:rPr>
                <w:rFonts w:ascii="Times New Roman" w:eastAsia="Times New Roman" w:hAnsi="Times New Roman" w:cs="Times New Roman"/>
                <w:color w:val="auto"/>
                <w:sz w:val="20"/>
                <w:szCs w:val="20"/>
                <w:bdr w:val="none" w:sz="0" w:space="0" w:color="auto"/>
                <w:lang w:eastAsia="es-ES"/>
              </w:rPr>
            </w:pPr>
          </w:p>
        </w:tc>
        <w:tc>
          <w:tcPr>
            <w:tcW w:w="772" w:type="pct"/>
            <w:tcBorders>
              <w:top w:val="nil"/>
              <w:left w:val="nil"/>
              <w:bottom w:val="nil"/>
              <w:right w:val="nil"/>
            </w:tcBorders>
            <w:shd w:val="clear" w:color="auto" w:fill="auto"/>
            <w:noWrap/>
            <w:vAlign w:val="bottom"/>
            <w:hideMark/>
          </w:tcPr>
          <w:p w14:paraId="55BA0824" w14:textId="77777777" w:rsidR="004D0B1C" w:rsidRPr="00353C75" w:rsidRDefault="004D0B1C" w:rsidP="004D0B1C">
            <w:pPr>
              <w:pBdr>
                <w:top w:val="none" w:sz="0" w:space="0" w:color="auto"/>
                <w:left w:val="none" w:sz="0" w:space="0" w:color="auto"/>
                <w:bottom w:val="none" w:sz="0" w:space="0" w:color="auto"/>
                <w:right w:val="none" w:sz="0" w:space="0" w:color="auto"/>
                <w:between w:val="none" w:sz="0" w:space="0" w:color="auto"/>
                <w:bar w:val="none" w:sz="0" w:color="auto"/>
              </w:pBdr>
              <w:outlineLvl w:val="9"/>
              <w:rPr>
                <w:rFonts w:ascii="Times New Roman" w:eastAsia="Times New Roman" w:hAnsi="Times New Roman" w:cs="Times New Roman"/>
                <w:color w:val="auto"/>
                <w:sz w:val="20"/>
                <w:szCs w:val="20"/>
                <w:bdr w:val="none" w:sz="0" w:space="0" w:color="auto"/>
                <w:lang w:eastAsia="es-ES"/>
              </w:rPr>
            </w:pPr>
          </w:p>
        </w:tc>
        <w:tc>
          <w:tcPr>
            <w:tcW w:w="2107" w:type="pct"/>
            <w:gridSpan w:val="3"/>
            <w:tcBorders>
              <w:top w:val="single" w:sz="4" w:space="0" w:color="auto"/>
              <w:left w:val="nil"/>
              <w:bottom w:val="single" w:sz="4" w:space="0" w:color="auto"/>
              <w:right w:val="nil"/>
            </w:tcBorders>
            <w:shd w:val="clear" w:color="auto" w:fill="auto"/>
            <w:noWrap/>
            <w:vAlign w:val="bottom"/>
            <w:hideMark/>
          </w:tcPr>
          <w:p w14:paraId="5CD738E6" w14:textId="76F295DD" w:rsidR="004D0B1C" w:rsidRPr="00353C75" w:rsidRDefault="004D0B1C" w:rsidP="004D0B1C">
            <w:pPr>
              <w:pBdr>
                <w:top w:val="none" w:sz="0" w:space="0" w:color="auto"/>
                <w:left w:val="none" w:sz="0" w:space="0" w:color="auto"/>
                <w:bottom w:val="none" w:sz="0" w:space="0" w:color="auto"/>
                <w:right w:val="none" w:sz="0" w:space="0" w:color="auto"/>
                <w:between w:val="none" w:sz="0" w:space="0" w:color="auto"/>
                <w:bar w:val="none" w:sz="0" w:color="auto"/>
              </w:pBdr>
              <w:jc w:val="center"/>
              <w:outlineLvl w:val="9"/>
              <w:rPr>
                <w:rFonts w:eastAsia="Times New Roman"/>
                <w:b/>
                <w:bCs/>
                <w:sz w:val="16"/>
                <w:szCs w:val="16"/>
                <w:bdr w:val="none" w:sz="0" w:space="0" w:color="auto"/>
                <w:lang w:eastAsia="es-ES"/>
              </w:rPr>
            </w:pPr>
            <w:r w:rsidRPr="00353C75">
              <w:rPr>
                <w:rFonts w:eastAsia="Times New Roman"/>
                <w:b/>
                <w:bCs/>
                <w:sz w:val="16"/>
                <w:szCs w:val="16"/>
                <w:bdr w:val="none" w:sz="0" w:space="0" w:color="auto"/>
                <w:lang w:eastAsia="es-ES"/>
              </w:rPr>
              <w:t xml:space="preserve">Traspaso a </w:t>
            </w:r>
            <w:proofErr w:type="spellStart"/>
            <w:r w:rsidRPr="00353C75">
              <w:rPr>
                <w:rFonts w:eastAsia="Times New Roman"/>
                <w:b/>
                <w:bCs/>
                <w:sz w:val="16"/>
                <w:szCs w:val="16"/>
                <w:bdr w:val="none" w:sz="0" w:space="0" w:color="auto"/>
                <w:lang w:eastAsia="es-ES"/>
              </w:rPr>
              <w:t>rtdo</w:t>
            </w:r>
            <w:proofErr w:type="spellEnd"/>
            <w:r w:rsidRPr="00353C75">
              <w:rPr>
                <w:rFonts w:eastAsia="Times New Roman"/>
                <w:b/>
                <w:bCs/>
                <w:sz w:val="16"/>
                <w:szCs w:val="16"/>
                <w:bdr w:val="none" w:sz="0" w:space="0" w:color="auto"/>
                <w:lang w:eastAsia="es-ES"/>
              </w:rPr>
              <w:t xml:space="preserve"> del ejercicio 20</w:t>
            </w:r>
            <w:r w:rsidR="00E50FF4" w:rsidRPr="00353C75">
              <w:rPr>
                <w:rFonts w:eastAsia="Times New Roman"/>
                <w:b/>
                <w:bCs/>
                <w:sz w:val="16"/>
                <w:szCs w:val="16"/>
                <w:bdr w:val="none" w:sz="0" w:space="0" w:color="auto"/>
                <w:lang w:eastAsia="es-ES"/>
              </w:rPr>
              <w:t>2</w:t>
            </w:r>
            <w:r w:rsidR="00353C75" w:rsidRPr="00353C75">
              <w:rPr>
                <w:rFonts w:eastAsia="Times New Roman"/>
                <w:b/>
                <w:bCs/>
                <w:sz w:val="16"/>
                <w:szCs w:val="16"/>
                <w:bdr w:val="none" w:sz="0" w:space="0" w:color="auto"/>
                <w:lang w:eastAsia="es-ES"/>
              </w:rPr>
              <w:t>4</w:t>
            </w:r>
          </w:p>
        </w:tc>
      </w:tr>
      <w:tr w:rsidR="004D0B1C" w:rsidRPr="00353C75" w14:paraId="314745FA" w14:textId="77777777" w:rsidTr="00B1370C">
        <w:trPr>
          <w:trHeight w:val="454"/>
        </w:trPr>
        <w:tc>
          <w:tcPr>
            <w:tcW w:w="1515" w:type="pct"/>
            <w:tcBorders>
              <w:top w:val="single" w:sz="4" w:space="0" w:color="auto"/>
              <w:left w:val="nil"/>
              <w:bottom w:val="single" w:sz="4" w:space="0" w:color="auto"/>
              <w:right w:val="nil"/>
            </w:tcBorders>
            <w:shd w:val="clear" w:color="auto" w:fill="auto"/>
            <w:vAlign w:val="bottom"/>
            <w:hideMark/>
          </w:tcPr>
          <w:p w14:paraId="14D5E026" w14:textId="77777777" w:rsidR="004D0B1C" w:rsidRPr="00353C75" w:rsidRDefault="004D0B1C" w:rsidP="004D0B1C">
            <w:pPr>
              <w:pBdr>
                <w:top w:val="none" w:sz="0" w:space="0" w:color="auto"/>
                <w:left w:val="none" w:sz="0" w:space="0" w:color="auto"/>
                <w:bottom w:val="none" w:sz="0" w:space="0" w:color="auto"/>
                <w:right w:val="none" w:sz="0" w:space="0" w:color="auto"/>
                <w:between w:val="none" w:sz="0" w:space="0" w:color="auto"/>
                <w:bar w:val="none" w:sz="0" w:color="auto"/>
              </w:pBdr>
              <w:jc w:val="center"/>
              <w:outlineLvl w:val="9"/>
              <w:rPr>
                <w:rFonts w:eastAsia="Times New Roman"/>
                <w:b/>
                <w:bCs/>
                <w:sz w:val="16"/>
                <w:szCs w:val="16"/>
                <w:bdr w:val="none" w:sz="0" w:space="0" w:color="auto"/>
                <w:lang w:eastAsia="es-ES"/>
              </w:rPr>
            </w:pPr>
            <w:r w:rsidRPr="00353C75">
              <w:rPr>
                <w:rFonts w:eastAsia="Times New Roman"/>
                <w:b/>
                <w:bCs/>
                <w:sz w:val="16"/>
                <w:szCs w:val="16"/>
                <w:bdr w:val="none" w:sz="0" w:space="0" w:color="auto"/>
                <w:lang w:eastAsia="es-ES"/>
              </w:rPr>
              <w:t>Entidad concesionaria</w:t>
            </w:r>
          </w:p>
        </w:tc>
        <w:tc>
          <w:tcPr>
            <w:tcW w:w="606" w:type="pct"/>
            <w:tcBorders>
              <w:top w:val="single" w:sz="4" w:space="0" w:color="auto"/>
              <w:left w:val="nil"/>
              <w:bottom w:val="nil"/>
              <w:right w:val="nil"/>
            </w:tcBorders>
            <w:shd w:val="clear" w:color="auto" w:fill="auto"/>
            <w:vAlign w:val="bottom"/>
            <w:hideMark/>
          </w:tcPr>
          <w:p w14:paraId="6C04C6DA" w14:textId="1ADEE704" w:rsidR="004D0B1C" w:rsidRPr="00353C75" w:rsidRDefault="004D0B1C" w:rsidP="004D0B1C">
            <w:pPr>
              <w:pBdr>
                <w:top w:val="none" w:sz="0" w:space="0" w:color="auto"/>
                <w:left w:val="none" w:sz="0" w:space="0" w:color="auto"/>
                <w:bottom w:val="none" w:sz="0" w:space="0" w:color="auto"/>
                <w:right w:val="none" w:sz="0" w:space="0" w:color="auto"/>
                <w:between w:val="none" w:sz="0" w:space="0" w:color="auto"/>
                <w:bar w:val="none" w:sz="0" w:color="auto"/>
              </w:pBdr>
              <w:jc w:val="center"/>
              <w:outlineLvl w:val="9"/>
              <w:rPr>
                <w:rFonts w:eastAsia="Times New Roman"/>
                <w:b/>
                <w:bCs/>
                <w:sz w:val="16"/>
                <w:szCs w:val="16"/>
                <w:bdr w:val="none" w:sz="0" w:space="0" w:color="auto"/>
                <w:lang w:eastAsia="es-ES"/>
              </w:rPr>
            </w:pPr>
            <w:r w:rsidRPr="00353C75">
              <w:rPr>
                <w:rFonts w:eastAsia="Times New Roman"/>
                <w:b/>
                <w:bCs/>
                <w:sz w:val="16"/>
                <w:szCs w:val="16"/>
                <w:bdr w:val="none" w:sz="0" w:space="0" w:color="auto"/>
                <w:lang w:eastAsia="es-ES"/>
              </w:rPr>
              <w:t>Importe concedido 202</w:t>
            </w:r>
            <w:r w:rsidR="00353C75" w:rsidRPr="00353C75">
              <w:rPr>
                <w:rFonts w:eastAsia="Times New Roman"/>
                <w:b/>
                <w:bCs/>
                <w:sz w:val="16"/>
                <w:szCs w:val="16"/>
                <w:bdr w:val="none" w:sz="0" w:space="0" w:color="auto"/>
                <w:lang w:eastAsia="es-ES"/>
              </w:rPr>
              <w:t>4</w:t>
            </w:r>
          </w:p>
        </w:tc>
        <w:tc>
          <w:tcPr>
            <w:tcW w:w="772" w:type="pct"/>
            <w:tcBorders>
              <w:top w:val="single" w:sz="4" w:space="0" w:color="auto"/>
              <w:left w:val="nil"/>
              <w:bottom w:val="nil"/>
              <w:right w:val="nil"/>
            </w:tcBorders>
            <w:shd w:val="clear" w:color="auto" w:fill="auto"/>
            <w:vAlign w:val="bottom"/>
            <w:hideMark/>
          </w:tcPr>
          <w:p w14:paraId="0E4D8A1E" w14:textId="6A1DBFAB" w:rsidR="004D0B1C" w:rsidRPr="00353C75" w:rsidRDefault="004D0B1C" w:rsidP="004D0B1C">
            <w:pPr>
              <w:pBdr>
                <w:top w:val="none" w:sz="0" w:space="0" w:color="auto"/>
                <w:left w:val="none" w:sz="0" w:space="0" w:color="auto"/>
                <w:bottom w:val="none" w:sz="0" w:space="0" w:color="auto"/>
                <w:right w:val="none" w:sz="0" w:space="0" w:color="auto"/>
                <w:between w:val="none" w:sz="0" w:space="0" w:color="auto"/>
                <w:bar w:val="none" w:sz="0" w:color="auto"/>
              </w:pBdr>
              <w:jc w:val="center"/>
              <w:outlineLvl w:val="9"/>
              <w:rPr>
                <w:rFonts w:eastAsia="Times New Roman"/>
                <w:b/>
                <w:bCs/>
                <w:sz w:val="16"/>
                <w:szCs w:val="16"/>
                <w:bdr w:val="none" w:sz="0" w:space="0" w:color="auto"/>
                <w:lang w:eastAsia="es-ES"/>
              </w:rPr>
            </w:pPr>
            <w:r w:rsidRPr="00353C75">
              <w:rPr>
                <w:rFonts w:eastAsia="Times New Roman"/>
                <w:b/>
                <w:bCs/>
                <w:sz w:val="16"/>
                <w:szCs w:val="16"/>
                <w:bdr w:val="none" w:sz="0" w:space="0" w:color="auto"/>
                <w:lang w:eastAsia="es-ES"/>
              </w:rPr>
              <w:t>Efecto impositivo concesión 202</w:t>
            </w:r>
            <w:r w:rsidR="00353C75" w:rsidRPr="00353C75">
              <w:rPr>
                <w:rFonts w:eastAsia="Times New Roman"/>
                <w:b/>
                <w:bCs/>
                <w:sz w:val="16"/>
                <w:szCs w:val="16"/>
                <w:bdr w:val="none" w:sz="0" w:space="0" w:color="auto"/>
                <w:lang w:eastAsia="es-ES"/>
              </w:rPr>
              <w:t>4</w:t>
            </w:r>
          </w:p>
        </w:tc>
        <w:tc>
          <w:tcPr>
            <w:tcW w:w="938" w:type="pct"/>
            <w:tcBorders>
              <w:top w:val="nil"/>
              <w:left w:val="nil"/>
              <w:bottom w:val="nil"/>
              <w:right w:val="nil"/>
            </w:tcBorders>
            <w:shd w:val="clear" w:color="auto" w:fill="auto"/>
            <w:vAlign w:val="bottom"/>
            <w:hideMark/>
          </w:tcPr>
          <w:p w14:paraId="4FB84A2F" w14:textId="77777777" w:rsidR="004D0B1C" w:rsidRPr="00353C75" w:rsidRDefault="004D0B1C" w:rsidP="004D0B1C">
            <w:pPr>
              <w:pBdr>
                <w:top w:val="none" w:sz="0" w:space="0" w:color="auto"/>
                <w:left w:val="none" w:sz="0" w:space="0" w:color="auto"/>
                <w:bottom w:val="none" w:sz="0" w:space="0" w:color="auto"/>
                <w:right w:val="none" w:sz="0" w:space="0" w:color="auto"/>
                <w:between w:val="none" w:sz="0" w:space="0" w:color="auto"/>
                <w:bar w:val="none" w:sz="0" w:color="auto"/>
              </w:pBdr>
              <w:jc w:val="center"/>
              <w:outlineLvl w:val="9"/>
              <w:rPr>
                <w:rFonts w:eastAsia="Times New Roman"/>
                <w:b/>
                <w:bCs/>
                <w:sz w:val="16"/>
                <w:szCs w:val="16"/>
                <w:bdr w:val="none" w:sz="0" w:space="0" w:color="auto"/>
                <w:lang w:eastAsia="es-ES"/>
              </w:rPr>
            </w:pPr>
            <w:r w:rsidRPr="00353C75">
              <w:rPr>
                <w:rFonts w:eastAsia="Times New Roman"/>
                <w:b/>
                <w:bCs/>
                <w:sz w:val="16"/>
                <w:szCs w:val="16"/>
                <w:bdr w:val="none" w:sz="0" w:space="0" w:color="auto"/>
                <w:lang w:eastAsia="es-ES"/>
              </w:rPr>
              <w:t xml:space="preserve">Efecto impositivo traspaso a </w:t>
            </w:r>
            <w:proofErr w:type="spellStart"/>
            <w:r w:rsidRPr="00353C75">
              <w:rPr>
                <w:rFonts w:eastAsia="Times New Roman"/>
                <w:b/>
                <w:bCs/>
                <w:sz w:val="16"/>
                <w:szCs w:val="16"/>
                <w:bdr w:val="none" w:sz="0" w:space="0" w:color="auto"/>
                <w:lang w:eastAsia="es-ES"/>
              </w:rPr>
              <w:t>Rtdo</w:t>
            </w:r>
            <w:proofErr w:type="spellEnd"/>
          </w:p>
        </w:tc>
        <w:tc>
          <w:tcPr>
            <w:tcW w:w="581" w:type="pct"/>
            <w:tcBorders>
              <w:top w:val="nil"/>
              <w:left w:val="nil"/>
              <w:bottom w:val="nil"/>
              <w:right w:val="nil"/>
            </w:tcBorders>
            <w:shd w:val="clear" w:color="auto" w:fill="auto"/>
            <w:vAlign w:val="bottom"/>
            <w:hideMark/>
          </w:tcPr>
          <w:p w14:paraId="6C02CA22" w14:textId="77777777" w:rsidR="004D0B1C" w:rsidRPr="00353C75" w:rsidRDefault="004D0B1C" w:rsidP="004D0B1C">
            <w:pPr>
              <w:pBdr>
                <w:top w:val="none" w:sz="0" w:space="0" w:color="auto"/>
                <w:left w:val="none" w:sz="0" w:space="0" w:color="auto"/>
                <w:bottom w:val="none" w:sz="0" w:space="0" w:color="auto"/>
                <w:right w:val="none" w:sz="0" w:space="0" w:color="auto"/>
                <w:between w:val="none" w:sz="0" w:space="0" w:color="auto"/>
                <w:bar w:val="none" w:sz="0" w:color="auto"/>
              </w:pBdr>
              <w:jc w:val="center"/>
              <w:outlineLvl w:val="9"/>
              <w:rPr>
                <w:rFonts w:eastAsia="Times New Roman"/>
                <w:b/>
                <w:bCs/>
                <w:sz w:val="16"/>
                <w:szCs w:val="16"/>
                <w:bdr w:val="none" w:sz="0" w:space="0" w:color="auto"/>
                <w:lang w:eastAsia="es-ES"/>
              </w:rPr>
            </w:pPr>
            <w:proofErr w:type="spellStart"/>
            <w:r w:rsidRPr="00353C75">
              <w:rPr>
                <w:rFonts w:eastAsia="Times New Roman"/>
                <w:b/>
                <w:bCs/>
                <w:sz w:val="16"/>
                <w:szCs w:val="16"/>
                <w:bdr w:val="none" w:sz="0" w:space="0" w:color="auto"/>
                <w:lang w:eastAsia="es-ES"/>
              </w:rPr>
              <w:t>Subv</w:t>
            </w:r>
            <w:proofErr w:type="spellEnd"/>
            <w:r w:rsidRPr="00353C75">
              <w:rPr>
                <w:rFonts w:eastAsia="Times New Roman"/>
                <w:b/>
                <w:bCs/>
                <w:sz w:val="16"/>
                <w:szCs w:val="16"/>
                <w:bdr w:val="none" w:sz="0" w:space="0" w:color="auto"/>
                <w:lang w:eastAsia="es-ES"/>
              </w:rPr>
              <w:t>. de capital</w:t>
            </w:r>
          </w:p>
        </w:tc>
        <w:tc>
          <w:tcPr>
            <w:tcW w:w="588" w:type="pct"/>
            <w:tcBorders>
              <w:top w:val="nil"/>
              <w:left w:val="nil"/>
              <w:bottom w:val="nil"/>
              <w:right w:val="nil"/>
            </w:tcBorders>
            <w:shd w:val="clear" w:color="auto" w:fill="auto"/>
            <w:vAlign w:val="bottom"/>
            <w:hideMark/>
          </w:tcPr>
          <w:p w14:paraId="42116B1E" w14:textId="77777777" w:rsidR="004D0B1C" w:rsidRPr="00353C75" w:rsidRDefault="004D0B1C" w:rsidP="004D0B1C">
            <w:pPr>
              <w:pBdr>
                <w:top w:val="none" w:sz="0" w:space="0" w:color="auto"/>
                <w:left w:val="none" w:sz="0" w:space="0" w:color="auto"/>
                <w:bottom w:val="none" w:sz="0" w:space="0" w:color="auto"/>
                <w:right w:val="none" w:sz="0" w:space="0" w:color="auto"/>
                <w:between w:val="none" w:sz="0" w:space="0" w:color="auto"/>
                <w:bar w:val="none" w:sz="0" w:color="auto"/>
              </w:pBdr>
              <w:jc w:val="center"/>
              <w:outlineLvl w:val="9"/>
              <w:rPr>
                <w:rFonts w:eastAsia="Times New Roman"/>
                <w:b/>
                <w:bCs/>
                <w:sz w:val="16"/>
                <w:szCs w:val="16"/>
                <w:bdr w:val="none" w:sz="0" w:space="0" w:color="auto"/>
                <w:lang w:eastAsia="es-ES"/>
              </w:rPr>
            </w:pPr>
            <w:r w:rsidRPr="00353C75">
              <w:rPr>
                <w:rFonts w:eastAsia="Times New Roman"/>
                <w:b/>
                <w:bCs/>
                <w:sz w:val="16"/>
                <w:szCs w:val="16"/>
                <w:bdr w:val="none" w:sz="0" w:space="0" w:color="auto"/>
                <w:lang w:eastAsia="es-ES"/>
              </w:rPr>
              <w:t xml:space="preserve">Traspaso </w:t>
            </w:r>
            <w:proofErr w:type="spellStart"/>
            <w:r w:rsidRPr="00353C75">
              <w:rPr>
                <w:rFonts w:eastAsia="Times New Roman"/>
                <w:b/>
                <w:bCs/>
                <w:sz w:val="16"/>
                <w:szCs w:val="16"/>
                <w:bdr w:val="none" w:sz="0" w:space="0" w:color="auto"/>
                <w:lang w:eastAsia="es-ES"/>
              </w:rPr>
              <w:t>Rtdos</w:t>
            </w:r>
            <w:proofErr w:type="spellEnd"/>
            <w:r w:rsidRPr="00353C75">
              <w:rPr>
                <w:rFonts w:eastAsia="Times New Roman"/>
                <w:b/>
                <w:bCs/>
                <w:sz w:val="16"/>
                <w:szCs w:val="16"/>
                <w:bdr w:val="none" w:sz="0" w:space="0" w:color="auto"/>
                <w:lang w:eastAsia="es-ES"/>
              </w:rPr>
              <w:t>.</w:t>
            </w:r>
          </w:p>
        </w:tc>
      </w:tr>
      <w:tr w:rsidR="00353C75" w:rsidRPr="00353C75" w14:paraId="381D6A4D" w14:textId="77777777" w:rsidTr="00B1370C">
        <w:trPr>
          <w:trHeight w:val="288"/>
        </w:trPr>
        <w:tc>
          <w:tcPr>
            <w:tcW w:w="1515" w:type="pct"/>
            <w:tcBorders>
              <w:top w:val="nil"/>
              <w:left w:val="nil"/>
              <w:bottom w:val="single" w:sz="4" w:space="0" w:color="auto"/>
              <w:right w:val="nil"/>
            </w:tcBorders>
            <w:shd w:val="clear" w:color="auto" w:fill="auto"/>
            <w:vAlign w:val="center"/>
            <w:hideMark/>
          </w:tcPr>
          <w:p w14:paraId="165446C3" w14:textId="77777777" w:rsidR="00353C75" w:rsidRPr="00353C75" w:rsidRDefault="00353C75" w:rsidP="00353C75">
            <w:pPr>
              <w:pBdr>
                <w:top w:val="none" w:sz="0" w:space="0" w:color="auto"/>
                <w:left w:val="none" w:sz="0" w:space="0" w:color="auto"/>
                <w:bottom w:val="none" w:sz="0" w:space="0" w:color="auto"/>
                <w:right w:val="none" w:sz="0" w:space="0" w:color="auto"/>
                <w:between w:val="none" w:sz="0" w:space="0" w:color="auto"/>
                <w:bar w:val="none" w:sz="0" w:color="auto"/>
              </w:pBdr>
              <w:spacing w:before="40" w:after="40"/>
              <w:rPr>
                <w:rFonts w:eastAsia="Times New Roman"/>
                <w:sz w:val="16"/>
                <w:szCs w:val="16"/>
                <w:bdr w:val="none" w:sz="0" w:space="0" w:color="auto"/>
                <w:lang w:eastAsia="es-ES"/>
              </w:rPr>
            </w:pPr>
            <w:r w:rsidRPr="00353C75">
              <w:rPr>
                <w:rFonts w:eastAsia="Times New Roman"/>
                <w:sz w:val="16"/>
                <w:szCs w:val="16"/>
                <w:bdr w:val="none" w:sz="0" w:space="0" w:color="auto"/>
                <w:lang w:eastAsia="es-ES"/>
              </w:rPr>
              <w:t>Consejería de Turismo del Gobierno de Canarias</w:t>
            </w:r>
          </w:p>
        </w:tc>
        <w:tc>
          <w:tcPr>
            <w:tcW w:w="606" w:type="pct"/>
            <w:tcBorders>
              <w:top w:val="single" w:sz="4" w:space="0" w:color="auto"/>
              <w:left w:val="nil"/>
              <w:bottom w:val="single" w:sz="4" w:space="0" w:color="auto"/>
              <w:right w:val="nil"/>
            </w:tcBorders>
            <w:shd w:val="clear" w:color="auto" w:fill="auto"/>
            <w:vAlign w:val="center"/>
            <w:hideMark/>
          </w:tcPr>
          <w:p w14:paraId="3A2B707F" w14:textId="77777777" w:rsidR="00353C75" w:rsidRPr="00353C75" w:rsidRDefault="00353C75" w:rsidP="00353C75">
            <w:pPr>
              <w:pBdr>
                <w:top w:val="none" w:sz="0" w:space="0" w:color="auto"/>
                <w:left w:val="none" w:sz="0" w:space="0" w:color="auto"/>
                <w:bottom w:val="none" w:sz="0" w:space="0" w:color="auto"/>
                <w:right w:val="none" w:sz="0" w:space="0" w:color="auto"/>
                <w:between w:val="none" w:sz="0" w:space="0" w:color="auto"/>
                <w:bar w:val="none" w:sz="0" w:color="auto"/>
              </w:pBdr>
              <w:jc w:val="right"/>
              <w:outlineLvl w:val="9"/>
              <w:rPr>
                <w:rFonts w:eastAsia="Times New Roman"/>
                <w:sz w:val="16"/>
                <w:szCs w:val="16"/>
                <w:bdr w:val="none" w:sz="0" w:space="0" w:color="auto"/>
                <w:lang w:eastAsia="es-ES"/>
              </w:rPr>
            </w:pPr>
            <w:r w:rsidRPr="00353C75">
              <w:rPr>
                <w:rFonts w:eastAsia="Times New Roman"/>
                <w:sz w:val="16"/>
                <w:szCs w:val="16"/>
                <w:bdr w:val="none" w:sz="0" w:space="0" w:color="auto"/>
                <w:lang w:eastAsia="es-ES"/>
              </w:rPr>
              <w:t xml:space="preserve"> -</w:t>
            </w:r>
          </w:p>
        </w:tc>
        <w:tc>
          <w:tcPr>
            <w:tcW w:w="772" w:type="pct"/>
            <w:tcBorders>
              <w:top w:val="single" w:sz="4" w:space="0" w:color="auto"/>
              <w:left w:val="nil"/>
              <w:bottom w:val="single" w:sz="4" w:space="0" w:color="auto"/>
              <w:right w:val="nil"/>
            </w:tcBorders>
            <w:shd w:val="clear" w:color="auto" w:fill="auto"/>
            <w:vAlign w:val="center"/>
            <w:hideMark/>
          </w:tcPr>
          <w:p w14:paraId="2F8780D2" w14:textId="77777777" w:rsidR="00353C75" w:rsidRPr="00353C75" w:rsidRDefault="00353C75" w:rsidP="00353C75">
            <w:pPr>
              <w:pBdr>
                <w:top w:val="none" w:sz="0" w:space="0" w:color="auto"/>
                <w:left w:val="none" w:sz="0" w:space="0" w:color="auto"/>
                <w:bottom w:val="none" w:sz="0" w:space="0" w:color="auto"/>
                <w:right w:val="none" w:sz="0" w:space="0" w:color="auto"/>
                <w:between w:val="none" w:sz="0" w:space="0" w:color="auto"/>
                <w:bar w:val="none" w:sz="0" w:color="auto"/>
              </w:pBdr>
              <w:jc w:val="right"/>
              <w:outlineLvl w:val="9"/>
              <w:rPr>
                <w:rFonts w:eastAsia="Times New Roman"/>
                <w:sz w:val="16"/>
                <w:szCs w:val="16"/>
                <w:bdr w:val="none" w:sz="0" w:space="0" w:color="auto"/>
                <w:lang w:eastAsia="es-ES"/>
              </w:rPr>
            </w:pPr>
            <w:r w:rsidRPr="00353C75">
              <w:rPr>
                <w:rFonts w:eastAsia="Times New Roman"/>
                <w:sz w:val="16"/>
                <w:szCs w:val="16"/>
                <w:bdr w:val="none" w:sz="0" w:space="0" w:color="auto"/>
                <w:lang w:eastAsia="es-ES"/>
              </w:rPr>
              <w:t xml:space="preserve"> -</w:t>
            </w:r>
          </w:p>
        </w:tc>
        <w:tc>
          <w:tcPr>
            <w:tcW w:w="938" w:type="pct"/>
            <w:tcBorders>
              <w:top w:val="single" w:sz="4" w:space="0" w:color="auto"/>
              <w:left w:val="nil"/>
              <w:bottom w:val="single" w:sz="4" w:space="0" w:color="auto"/>
              <w:right w:val="nil"/>
            </w:tcBorders>
            <w:shd w:val="clear" w:color="auto" w:fill="auto"/>
            <w:vAlign w:val="center"/>
            <w:hideMark/>
          </w:tcPr>
          <w:p w14:paraId="7C65B31B" w14:textId="66C1BC1C" w:rsidR="00353C75" w:rsidRPr="00353C75" w:rsidRDefault="00353C75" w:rsidP="00353C75">
            <w:pPr>
              <w:pBdr>
                <w:top w:val="none" w:sz="0" w:space="0" w:color="auto"/>
                <w:left w:val="none" w:sz="0" w:space="0" w:color="auto"/>
                <w:bottom w:val="none" w:sz="0" w:space="0" w:color="auto"/>
                <w:right w:val="none" w:sz="0" w:space="0" w:color="auto"/>
                <w:between w:val="none" w:sz="0" w:space="0" w:color="auto"/>
                <w:bar w:val="none" w:sz="0" w:color="auto"/>
              </w:pBdr>
              <w:jc w:val="right"/>
              <w:outlineLvl w:val="9"/>
              <w:rPr>
                <w:rFonts w:eastAsia="Times New Roman"/>
                <w:sz w:val="16"/>
                <w:szCs w:val="16"/>
                <w:bdr w:val="none" w:sz="0" w:space="0" w:color="auto"/>
                <w:lang w:eastAsia="es-ES"/>
              </w:rPr>
            </w:pPr>
            <w:r w:rsidRPr="00353C75">
              <w:rPr>
                <w:sz w:val="16"/>
                <w:szCs w:val="16"/>
              </w:rPr>
              <w:t>828,33</w:t>
            </w:r>
          </w:p>
        </w:tc>
        <w:tc>
          <w:tcPr>
            <w:tcW w:w="581" w:type="pct"/>
            <w:tcBorders>
              <w:top w:val="single" w:sz="4" w:space="0" w:color="auto"/>
              <w:left w:val="nil"/>
              <w:bottom w:val="single" w:sz="4" w:space="0" w:color="auto"/>
              <w:right w:val="nil"/>
            </w:tcBorders>
            <w:shd w:val="clear" w:color="auto" w:fill="auto"/>
            <w:vAlign w:val="center"/>
            <w:hideMark/>
          </w:tcPr>
          <w:p w14:paraId="64950333" w14:textId="737ECAC8" w:rsidR="00353C75" w:rsidRPr="00353C75" w:rsidRDefault="00353C75" w:rsidP="00353C75">
            <w:pPr>
              <w:pBdr>
                <w:top w:val="none" w:sz="0" w:space="0" w:color="auto"/>
                <w:left w:val="none" w:sz="0" w:space="0" w:color="auto"/>
                <w:bottom w:val="none" w:sz="0" w:space="0" w:color="auto"/>
                <w:right w:val="none" w:sz="0" w:space="0" w:color="auto"/>
                <w:between w:val="none" w:sz="0" w:space="0" w:color="auto"/>
                <w:bar w:val="none" w:sz="0" w:color="auto"/>
              </w:pBdr>
              <w:jc w:val="right"/>
              <w:outlineLvl w:val="9"/>
              <w:rPr>
                <w:rFonts w:eastAsia="Times New Roman"/>
                <w:sz w:val="16"/>
                <w:szCs w:val="16"/>
                <w:bdr w:val="none" w:sz="0" w:space="0" w:color="auto"/>
                <w:lang w:eastAsia="es-ES"/>
              </w:rPr>
            </w:pPr>
            <w:r w:rsidRPr="00353C75">
              <w:rPr>
                <w:sz w:val="16"/>
                <w:szCs w:val="16"/>
              </w:rPr>
              <w:t>1.908,98</w:t>
            </w:r>
          </w:p>
        </w:tc>
        <w:tc>
          <w:tcPr>
            <w:tcW w:w="588" w:type="pct"/>
            <w:tcBorders>
              <w:top w:val="single" w:sz="4" w:space="0" w:color="auto"/>
              <w:left w:val="nil"/>
              <w:bottom w:val="single" w:sz="4" w:space="0" w:color="auto"/>
              <w:right w:val="nil"/>
            </w:tcBorders>
            <w:shd w:val="clear" w:color="auto" w:fill="auto"/>
            <w:vAlign w:val="center"/>
            <w:hideMark/>
          </w:tcPr>
          <w:p w14:paraId="43A8A70D" w14:textId="5A9BD7D8" w:rsidR="00353C75" w:rsidRPr="00353C75" w:rsidRDefault="00353C75" w:rsidP="00353C75">
            <w:pPr>
              <w:pBdr>
                <w:top w:val="none" w:sz="0" w:space="0" w:color="auto"/>
                <w:left w:val="none" w:sz="0" w:space="0" w:color="auto"/>
                <w:bottom w:val="none" w:sz="0" w:space="0" w:color="auto"/>
                <w:right w:val="none" w:sz="0" w:space="0" w:color="auto"/>
                <w:between w:val="none" w:sz="0" w:space="0" w:color="auto"/>
                <w:bar w:val="none" w:sz="0" w:color="auto"/>
              </w:pBdr>
              <w:jc w:val="right"/>
              <w:outlineLvl w:val="9"/>
              <w:rPr>
                <w:rFonts w:eastAsia="Times New Roman"/>
                <w:sz w:val="16"/>
                <w:szCs w:val="16"/>
                <w:bdr w:val="none" w:sz="0" w:space="0" w:color="auto"/>
                <w:lang w:eastAsia="es-ES"/>
              </w:rPr>
            </w:pPr>
            <w:r w:rsidRPr="00353C75">
              <w:rPr>
                <w:sz w:val="16"/>
                <w:szCs w:val="16"/>
              </w:rPr>
              <w:t>2.737,31</w:t>
            </w:r>
          </w:p>
        </w:tc>
      </w:tr>
      <w:tr w:rsidR="00353C75" w:rsidRPr="00353C75" w14:paraId="6FFF76CA" w14:textId="77777777" w:rsidTr="00B1370C">
        <w:trPr>
          <w:trHeight w:val="288"/>
        </w:trPr>
        <w:tc>
          <w:tcPr>
            <w:tcW w:w="1515" w:type="pct"/>
            <w:tcBorders>
              <w:top w:val="nil"/>
              <w:left w:val="nil"/>
              <w:bottom w:val="single" w:sz="4" w:space="0" w:color="auto"/>
              <w:right w:val="nil"/>
            </w:tcBorders>
            <w:shd w:val="clear" w:color="auto" w:fill="auto"/>
            <w:vAlign w:val="center"/>
            <w:hideMark/>
          </w:tcPr>
          <w:p w14:paraId="5B83D7E0" w14:textId="77777777" w:rsidR="00353C75" w:rsidRPr="00353C75" w:rsidRDefault="00353C75" w:rsidP="00353C75">
            <w:pPr>
              <w:pBdr>
                <w:top w:val="none" w:sz="0" w:space="0" w:color="auto"/>
                <w:left w:val="none" w:sz="0" w:space="0" w:color="auto"/>
                <w:bottom w:val="none" w:sz="0" w:space="0" w:color="auto"/>
                <w:right w:val="none" w:sz="0" w:space="0" w:color="auto"/>
                <w:between w:val="none" w:sz="0" w:space="0" w:color="auto"/>
                <w:bar w:val="none" w:sz="0" w:color="auto"/>
              </w:pBdr>
              <w:spacing w:before="40" w:after="40"/>
              <w:rPr>
                <w:rFonts w:eastAsia="Times New Roman"/>
                <w:sz w:val="16"/>
                <w:szCs w:val="16"/>
                <w:bdr w:val="none" w:sz="0" w:space="0" w:color="auto"/>
                <w:lang w:eastAsia="es-ES"/>
              </w:rPr>
            </w:pPr>
            <w:r w:rsidRPr="00353C75">
              <w:rPr>
                <w:rFonts w:eastAsia="Times New Roman"/>
                <w:sz w:val="16"/>
                <w:szCs w:val="16"/>
                <w:bdr w:val="none" w:sz="0" w:space="0" w:color="auto"/>
                <w:lang w:eastAsia="es-ES"/>
              </w:rPr>
              <w:t>Consejería de Turismo, Industria y Comercio</w:t>
            </w:r>
          </w:p>
        </w:tc>
        <w:tc>
          <w:tcPr>
            <w:tcW w:w="606" w:type="pct"/>
            <w:tcBorders>
              <w:top w:val="nil"/>
              <w:left w:val="nil"/>
              <w:bottom w:val="single" w:sz="4" w:space="0" w:color="auto"/>
              <w:right w:val="nil"/>
            </w:tcBorders>
            <w:shd w:val="clear" w:color="auto" w:fill="auto"/>
            <w:vAlign w:val="center"/>
            <w:hideMark/>
          </w:tcPr>
          <w:p w14:paraId="6BFD8649" w14:textId="77777777" w:rsidR="00353C75" w:rsidRPr="00353C75" w:rsidRDefault="00353C75" w:rsidP="00353C75">
            <w:pPr>
              <w:pBdr>
                <w:top w:val="none" w:sz="0" w:space="0" w:color="auto"/>
                <w:left w:val="none" w:sz="0" w:space="0" w:color="auto"/>
                <w:bottom w:val="none" w:sz="0" w:space="0" w:color="auto"/>
                <w:right w:val="none" w:sz="0" w:space="0" w:color="auto"/>
                <w:between w:val="none" w:sz="0" w:space="0" w:color="auto"/>
                <w:bar w:val="none" w:sz="0" w:color="auto"/>
              </w:pBdr>
              <w:jc w:val="right"/>
              <w:outlineLvl w:val="9"/>
              <w:rPr>
                <w:rFonts w:eastAsia="Times New Roman"/>
                <w:sz w:val="16"/>
                <w:szCs w:val="16"/>
                <w:bdr w:val="none" w:sz="0" w:space="0" w:color="auto"/>
                <w:lang w:eastAsia="es-ES"/>
              </w:rPr>
            </w:pPr>
            <w:r w:rsidRPr="00353C75">
              <w:rPr>
                <w:rFonts w:eastAsia="Times New Roman"/>
                <w:sz w:val="16"/>
                <w:szCs w:val="16"/>
                <w:bdr w:val="none" w:sz="0" w:space="0" w:color="auto"/>
                <w:lang w:eastAsia="es-ES"/>
              </w:rPr>
              <w:t xml:space="preserve"> -</w:t>
            </w:r>
          </w:p>
        </w:tc>
        <w:tc>
          <w:tcPr>
            <w:tcW w:w="772" w:type="pct"/>
            <w:tcBorders>
              <w:top w:val="nil"/>
              <w:left w:val="nil"/>
              <w:bottom w:val="single" w:sz="4" w:space="0" w:color="auto"/>
              <w:right w:val="nil"/>
            </w:tcBorders>
            <w:shd w:val="clear" w:color="auto" w:fill="auto"/>
            <w:vAlign w:val="center"/>
            <w:hideMark/>
          </w:tcPr>
          <w:p w14:paraId="78159D85" w14:textId="77777777" w:rsidR="00353C75" w:rsidRPr="00353C75" w:rsidRDefault="00353C75" w:rsidP="00353C75">
            <w:pPr>
              <w:pBdr>
                <w:top w:val="none" w:sz="0" w:space="0" w:color="auto"/>
                <w:left w:val="none" w:sz="0" w:space="0" w:color="auto"/>
                <w:bottom w:val="none" w:sz="0" w:space="0" w:color="auto"/>
                <w:right w:val="none" w:sz="0" w:space="0" w:color="auto"/>
                <w:between w:val="none" w:sz="0" w:space="0" w:color="auto"/>
                <w:bar w:val="none" w:sz="0" w:color="auto"/>
              </w:pBdr>
              <w:jc w:val="right"/>
              <w:outlineLvl w:val="9"/>
              <w:rPr>
                <w:rFonts w:eastAsia="Times New Roman"/>
                <w:sz w:val="16"/>
                <w:szCs w:val="16"/>
                <w:bdr w:val="none" w:sz="0" w:space="0" w:color="auto"/>
                <w:lang w:eastAsia="es-ES"/>
              </w:rPr>
            </w:pPr>
            <w:r w:rsidRPr="00353C75">
              <w:rPr>
                <w:rFonts w:eastAsia="Times New Roman"/>
                <w:sz w:val="16"/>
                <w:szCs w:val="16"/>
                <w:bdr w:val="none" w:sz="0" w:space="0" w:color="auto"/>
                <w:lang w:eastAsia="es-ES"/>
              </w:rPr>
              <w:t xml:space="preserve"> -</w:t>
            </w:r>
          </w:p>
        </w:tc>
        <w:tc>
          <w:tcPr>
            <w:tcW w:w="938" w:type="pct"/>
            <w:tcBorders>
              <w:top w:val="nil"/>
              <w:left w:val="nil"/>
              <w:bottom w:val="single" w:sz="4" w:space="0" w:color="auto"/>
              <w:right w:val="nil"/>
            </w:tcBorders>
            <w:shd w:val="clear" w:color="auto" w:fill="auto"/>
            <w:vAlign w:val="center"/>
            <w:hideMark/>
          </w:tcPr>
          <w:p w14:paraId="7048F305" w14:textId="4B31F7C7" w:rsidR="00353C75" w:rsidRPr="00353C75" w:rsidRDefault="00353C75" w:rsidP="00353C75">
            <w:pPr>
              <w:pBdr>
                <w:top w:val="none" w:sz="0" w:space="0" w:color="auto"/>
                <w:left w:val="none" w:sz="0" w:space="0" w:color="auto"/>
                <w:bottom w:val="none" w:sz="0" w:space="0" w:color="auto"/>
                <w:right w:val="none" w:sz="0" w:space="0" w:color="auto"/>
                <w:between w:val="none" w:sz="0" w:space="0" w:color="auto"/>
                <w:bar w:val="none" w:sz="0" w:color="auto"/>
              </w:pBdr>
              <w:jc w:val="right"/>
              <w:outlineLvl w:val="9"/>
              <w:rPr>
                <w:rFonts w:eastAsia="Times New Roman"/>
                <w:sz w:val="16"/>
                <w:szCs w:val="16"/>
                <w:bdr w:val="none" w:sz="0" w:space="0" w:color="auto"/>
                <w:lang w:eastAsia="es-ES"/>
              </w:rPr>
            </w:pPr>
            <w:r w:rsidRPr="00353C75">
              <w:rPr>
                <w:sz w:val="16"/>
                <w:szCs w:val="16"/>
              </w:rPr>
              <w:t>10.176,10</w:t>
            </w:r>
          </w:p>
        </w:tc>
        <w:tc>
          <w:tcPr>
            <w:tcW w:w="581" w:type="pct"/>
            <w:tcBorders>
              <w:top w:val="nil"/>
              <w:left w:val="nil"/>
              <w:bottom w:val="single" w:sz="4" w:space="0" w:color="auto"/>
              <w:right w:val="nil"/>
            </w:tcBorders>
            <w:shd w:val="clear" w:color="auto" w:fill="auto"/>
            <w:vAlign w:val="center"/>
            <w:hideMark/>
          </w:tcPr>
          <w:p w14:paraId="39A002D3" w14:textId="058536F8" w:rsidR="00353C75" w:rsidRPr="00353C75" w:rsidRDefault="00353C75" w:rsidP="00353C75">
            <w:pPr>
              <w:pBdr>
                <w:top w:val="none" w:sz="0" w:space="0" w:color="auto"/>
                <w:left w:val="none" w:sz="0" w:space="0" w:color="auto"/>
                <w:bottom w:val="none" w:sz="0" w:space="0" w:color="auto"/>
                <w:right w:val="none" w:sz="0" w:space="0" w:color="auto"/>
                <w:between w:val="none" w:sz="0" w:space="0" w:color="auto"/>
                <w:bar w:val="none" w:sz="0" w:color="auto"/>
              </w:pBdr>
              <w:jc w:val="right"/>
              <w:outlineLvl w:val="9"/>
              <w:rPr>
                <w:rFonts w:eastAsia="Times New Roman"/>
                <w:sz w:val="16"/>
                <w:szCs w:val="16"/>
                <w:bdr w:val="none" w:sz="0" w:space="0" w:color="auto"/>
                <w:lang w:eastAsia="es-ES"/>
              </w:rPr>
            </w:pPr>
            <w:r w:rsidRPr="00353C75">
              <w:rPr>
                <w:sz w:val="16"/>
                <w:szCs w:val="16"/>
              </w:rPr>
              <w:t>30.528,29</w:t>
            </w:r>
          </w:p>
        </w:tc>
        <w:tc>
          <w:tcPr>
            <w:tcW w:w="588" w:type="pct"/>
            <w:tcBorders>
              <w:top w:val="nil"/>
              <w:left w:val="nil"/>
              <w:bottom w:val="single" w:sz="4" w:space="0" w:color="auto"/>
              <w:right w:val="nil"/>
            </w:tcBorders>
            <w:shd w:val="clear" w:color="auto" w:fill="auto"/>
            <w:vAlign w:val="center"/>
            <w:hideMark/>
          </w:tcPr>
          <w:p w14:paraId="4A9923CE" w14:textId="59361C39" w:rsidR="00353C75" w:rsidRPr="00353C75" w:rsidRDefault="00353C75" w:rsidP="00353C75">
            <w:pPr>
              <w:pBdr>
                <w:top w:val="none" w:sz="0" w:space="0" w:color="auto"/>
                <w:left w:val="none" w:sz="0" w:space="0" w:color="auto"/>
                <w:bottom w:val="none" w:sz="0" w:space="0" w:color="auto"/>
                <w:right w:val="none" w:sz="0" w:space="0" w:color="auto"/>
                <w:between w:val="none" w:sz="0" w:space="0" w:color="auto"/>
                <w:bar w:val="none" w:sz="0" w:color="auto"/>
              </w:pBdr>
              <w:jc w:val="right"/>
              <w:outlineLvl w:val="9"/>
              <w:rPr>
                <w:rFonts w:eastAsia="Times New Roman"/>
                <w:sz w:val="16"/>
                <w:szCs w:val="16"/>
                <w:bdr w:val="none" w:sz="0" w:space="0" w:color="auto"/>
                <w:lang w:eastAsia="es-ES"/>
              </w:rPr>
            </w:pPr>
            <w:r w:rsidRPr="00353C75">
              <w:rPr>
                <w:sz w:val="16"/>
                <w:szCs w:val="16"/>
              </w:rPr>
              <w:t>40.704,39</w:t>
            </w:r>
          </w:p>
        </w:tc>
      </w:tr>
      <w:tr w:rsidR="00353C75" w:rsidRPr="00353C75" w14:paraId="7A589216" w14:textId="77777777" w:rsidTr="00B1370C">
        <w:trPr>
          <w:trHeight w:val="288"/>
        </w:trPr>
        <w:tc>
          <w:tcPr>
            <w:tcW w:w="1515" w:type="pct"/>
            <w:tcBorders>
              <w:top w:val="nil"/>
              <w:left w:val="nil"/>
              <w:bottom w:val="single" w:sz="4" w:space="0" w:color="auto"/>
              <w:right w:val="nil"/>
            </w:tcBorders>
            <w:shd w:val="clear" w:color="auto" w:fill="auto"/>
            <w:vAlign w:val="center"/>
            <w:hideMark/>
          </w:tcPr>
          <w:p w14:paraId="367D253C" w14:textId="77777777" w:rsidR="00353C75" w:rsidRPr="00353C75" w:rsidRDefault="00353C75" w:rsidP="00353C75">
            <w:pPr>
              <w:pBdr>
                <w:top w:val="none" w:sz="0" w:space="0" w:color="auto"/>
                <w:left w:val="none" w:sz="0" w:space="0" w:color="auto"/>
                <w:bottom w:val="none" w:sz="0" w:space="0" w:color="auto"/>
                <w:right w:val="none" w:sz="0" w:space="0" w:color="auto"/>
                <w:between w:val="none" w:sz="0" w:space="0" w:color="auto"/>
                <w:bar w:val="none" w:sz="0" w:color="auto"/>
              </w:pBdr>
              <w:spacing w:before="40" w:after="40"/>
              <w:rPr>
                <w:rFonts w:eastAsia="Times New Roman"/>
                <w:sz w:val="16"/>
                <w:szCs w:val="16"/>
                <w:bdr w:val="none" w:sz="0" w:space="0" w:color="auto"/>
                <w:lang w:eastAsia="es-ES"/>
              </w:rPr>
            </w:pPr>
            <w:r w:rsidRPr="00353C75">
              <w:rPr>
                <w:rFonts w:eastAsia="Times New Roman"/>
                <w:sz w:val="16"/>
                <w:szCs w:val="16"/>
                <w:bdr w:val="none" w:sz="0" w:space="0" w:color="auto"/>
                <w:lang w:eastAsia="es-ES"/>
              </w:rPr>
              <w:t>Consejería de Turismo, Industria y Comercio</w:t>
            </w:r>
          </w:p>
        </w:tc>
        <w:tc>
          <w:tcPr>
            <w:tcW w:w="606" w:type="pct"/>
            <w:tcBorders>
              <w:top w:val="nil"/>
              <w:left w:val="nil"/>
              <w:bottom w:val="nil"/>
              <w:right w:val="nil"/>
            </w:tcBorders>
            <w:shd w:val="clear" w:color="auto" w:fill="auto"/>
            <w:vAlign w:val="center"/>
            <w:hideMark/>
          </w:tcPr>
          <w:p w14:paraId="7A0A4064" w14:textId="0C13B92D" w:rsidR="00353C75" w:rsidRPr="00353C75" w:rsidRDefault="00353C75" w:rsidP="00353C75">
            <w:pPr>
              <w:pBdr>
                <w:top w:val="none" w:sz="0" w:space="0" w:color="auto"/>
                <w:left w:val="none" w:sz="0" w:space="0" w:color="auto"/>
                <w:bottom w:val="none" w:sz="0" w:space="0" w:color="auto"/>
                <w:right w:val="none" w:sz="0" w:space="0" w:color="auto"/>
                <w:between w:val="none" w:sz="0" w:space="0" w:color="auto"/>
                <w:bar w:val="none" w:sz="0" w:color="auto"/>
              </w:pBdr>
              <w:jc w:val="right"/>
              <w:outlineLvl w:val="9"/>
              <w:rPr>
                <w:rFonts w:eastAsia="Times New Roman"/>
                <w:sz w:val="16"/>
                <w:szCs w:val="16"/>
                <w:bdr w:val="none" w:sz="0" w:space="0" w:color="auto"/>
                <w:lang w:eastAsia="es-ES"/>
              </w:rPr>
            </w:pPr>
            <w:r w:rsidRPr="00353C75">
              <w:rPr>
                <w:rFonts w:eastAsia="Times New Roman"/>
                <w:sz w:val="16"/>
                <w:szCs w:val="16"/>
                <w:bdr w:val="none" w:sz="0" w:space="0" w:color="auto"/>
                <w:lang w:eastAsia="es-ES"/>
              </w:rPr>
              <w:t>-</w:t>
            </w:r>
          </w:p>
        </w:tc>
        <w:tc>
          <w:tcPr>
            <w:tcW w:w="772" w:type="pct"/>
            <w:tcBorders>
              <w:top w:val="nil"/>
              <w:left w:val="nil"/>
              <w:bottom w:val="nil"/>
              <w:right w:val="nil"/>
            </w:tcBorders>
            <w:shd w:val="clear" w:color="auto" w:fill="auto"/>
            <w:vAlign w:val="center"/>
            <w:hideMark/>
          </w:tcPr>
          <w:p w14:paraId="7655351C" w14:textId="32AE46D4" w:rsidR="00353C75" w:rsidRPr="00353C75" w:rsidRDefault="00353C75" w:rsidP="00353C75">
            <w:pPr>
              <w:pBdr>
                <w:top w:val="none" w:sz="0" w:space="0" w:color="auto"/>
                <w:left w:val="none" w:sz="0" w:space="0" w:color="auto"/>
                <w:bottom w:val="none" w:sz="0" w:space="0" w:color="auto"/>
                <w:right w:val="none" w:sz="0" w:space="0" w:color="auto"/>
                <w:between w:val="none" w:sz="0" w:space="0" w:color="auto"/>
                <w:bar w:val="none" w:sz="0" w:color="auto"/>
              </w:pBdr>
              <w:jc w:val="right"/>
              <w:outlineLvl w:val="9"/>
              <w:rPr>
                <w:rFonts w:eastAsia="Times New Roman"/>
                <w:sz w:val="16"/>
                <w:szCs w:val="16"/>
                <w:bdr w:val="none" w:sz="0" w:space="0" w:color="auto"/>
                <w:lang w:eastAsia="es-ES"/>
              </w:rPr>
            </w:pPr>
            <w:r w:rsidRPr="00353C75">
              <w:rPr>
                <w:rFonts w:eastAsia="Times New Roman"/>
                <w:sz w:val="16"/>
                <w:szCs w:val="16"/>
                <w:bdr w:val="none" w:sz="0" w:space="0" w:color="auto"/>
                <w:lang w:eastAsia="es-ES"/>
              </w:rPr>
              <w:t>-</w:t>
            </w:r>
          </w:p>
        </w:tc>
        <w:tc>
          <w:tcPr>
            <w:tcW w:w="938" w:type="pct"/>
            <w:tcBorders>
              <w:top w:val="nil"/>
              <w:left w:val="nil"/>
              <w:bottom w:val="nil"/>
              <w:right w:val="nil"/>
            </w:tcBorders>
            <w:shd w:val="clear" w:color="auto" w:fill="auto"/>
            <w:vAlign w:val="center"/>
            <w:hideMark/>
          </w:tcPr>
          <w:p w14:paraId="3DE36BE2" w14:textId="00F57BE4" w:rsidR="00353C75" w:rsidRPr="00353C75" w:rsidRDefault="00353C75" w:rsidP="00353C75">
            <w:pPr>
              <w:pBdr>
                <w:top w:val="none" w:sz="0" w:space="0" w:color="auto"/>
                <w:left w:val="none" w:sz="0" w:space="0" w:color="auto"/>
                <w:bottom w:val="none" w:sz="0" w:space="0" w:color="auto"/>
                <w:right w:val="none" w:sz="0" w:space="0" w:color="auto"/>
                <w:between w:val="none" w:sz="0" w:space="0" w:color="auto"/>
                <w:bar w:val="none" w:sz="0" w:color="auto"/>
              </w:pBdr>
              <w:jc w:val="right"/>
              <w:outlineLvl w:val="9"/>
              <w:rPr>
                <w:rFonts w:eastAsia="Times New Roman"/>
                <w:sz w:val="16"/>
                <w:szCs w:val="16"/>
                <w:bdr w:val="none" w:sz="0" w:space="0" w:color="auto"/>
                <w:lang w:eastAsia="es-ES"/>
              </w:rPr>
            </w:pPr>
            <w:r w:rsidRPr="00353C75">
              <w:rPr>
                <w:sz w:val="16"/>
                <w:szCs w:val="16"/>
              </w:rPr>
              <w:t>1.301,92</w:t>
            </w:r>
          </w:p>
        </w:tc>
        <w:tc>
          <w:tcPr>
            <w:tcW w:w="581" w:type="pct"/>
            <w:tcBorders>
              <w:top w:val="nil"/>
              <w:left w:val="nil"/>
              <w:bottom w:val="single" w:sz="4" w:space="0" w:color="auto"/>
              <w:right w:val="nil"/>
            </w:tcBorders>
            <w:shd w:val="clear" w:color="auto" w:fill="auto"/>
            <w:vAlign w:val="center"/>
            <w:hideMark/>
          </w:tcPr>
          <w:p w14:paraId="58AE888E" w14:textId="2E77FF5A" w:rsidR="00353C75" w:rsidRPr="00353C75" w:rsidRDefault="00353C75" w:rsidP="00353C75">
            <w:pPr>
              <w:pBdr>
                <w:top w:val="none" w:sz="0" w:space="0" w:color="auto"/>
                <w:left w:val="none" w:sz="0" w:space="0" w:color="auto"/>
                <w:bottom w:val="none" w:sz="0" w:space="0" w:color="auto"/>
                <w:right w:val="none" w:sz="0" w:space="0" w:color="auto"/>
                <w:between w:val="none" w:sz="0" w:space="0" w:color="auto"/>
                <w:bar w:val="none" w:sz="0" w:color="auto"/>
              </w:pBdr>
              <w:jc w:val="right"/>
              <w:outlineLvl w:val="9"/>
              <w:rPr>
                <w:rFonts w:eastAsia="Times New Roman"/>
                <w:sz w:val="16"/>
                <w:szCs w:val="16"/>
                <w:bdr w:val="none" w:sz="0" w:space="0" w:color="auto"/>
                <w:lang w:eastAsia="es-ES"/>
              </w:rPr>
            </w:pPr>
            <w:r w:rsidRPr="00353C75">
              <w:rPr>
                <w:sz w:val="16"/>
                <w:szCs w:val="16"/>
              </w:rPr>
              <w:t>3.905,76</w:t>
            </w:r>
          </w:p>
        </w:tc>
        <w:tc>
          <w:tcPr>
            <w:tcW w:w="588" w:type="pct"/>
            <w:tcBorders>
              <w:top w:val="nil"/>
              <w:left w:val="nil"/>
              <w:bottom w:val="nil"/>
              <w:right w:val="nil"/>
            </w:tcBorders>
            <w:shd w:val="clear" w:color="auto" w:fill="auto"/>
            <w:vAlign w:val="center"/>
            <w:hideMark/>
          </w:tcPr>
          <w:p w14:paraId="3AB9860E" w14:textId="2DE8B15C" w:rsidR="00353C75" w:rsidRPr="00353C75" w:rsidRDefault="00353C75" w:rsidP="00353C75">
            <w:pPr>
              <w:pBdr>
                <w:top w:val="none" w:sz="0" w:space="0" w:color="auto"/>
                <w:left w:val="none" w:sz="0" w:space="0" w:color="auto"/>
                <w:bottom w:val="none" w:sz="0" w:space="0" w:color="auto"/>
                <w:right w:val="none" w:sz="0" w:space="0" w:color="auto"/>
                <w:between w:val="none" w:sz="0" w:space="0" w:color="auto"/>
                <w:bar w:val="none" w:sz="0" w:color="auto"/>
              </w:pBdr>
              <w:jc w:val="right"/>
              <w:outlineLvl w:val="9"/>
              <w:rPr>
                <w:rFonts w:eastAsia="Times New Roman"/>
                <w:sz w:val="16"/>
                <w:szCs w:val="16"/>
                <w:bdr w:val="none" w:sz="0" w:space="0" w:color="auto"/>
                <w:lang w:eastAsia="es-ES"/>
              </w:rPr>
            </w:pPr>
            <w:r w:rsidRPr="00353C75">
              <w:rPr>
                <w:sz w:val="16"/>
                <w:szCs w:val="16"/>
              </w:rPr>
              <w:t>5.207,68</w:t>
            </w:r>
          </w:p>
        </w:tc>
      </w:tr>
      <w:tr w:rsidR="00353C75" w:rsidRPr="007A7245" w14:paraId="1A3EC513" w14:textId="77777777" w:rsidTr="00B1370C">
        <w:trPr>
          <w:trHeight w:val="283"/>
        </w:trPr>
        <w:tc>
          <w:tcPr>
            <w:tcW w:w="1515" w:type="pct"/>
            <w:tcBorders>
              <w:top w:val="nil"/>
              <w:left w:val="nil"/>
              <w:bottom w:val="single" w:sz="4" w:space="0" w:color="auto"/>
              <w:right w:val="nil"/>
            </w:tcBorders>
            <w:shd w:val="clear" w:color="auto" w:fill="auto"/>
            <w:vAlign w:val="center"/>
            <w:hideMark/>
          </w:tcPr>
          <w:p w14:paraId="32E94F61" w14:textId="77777777" w:rsidR="00353C75" w:rsidRPr="00353C75" w:rsidRDefault="00353C75" w:rsidP="00353C75">
            <w:pPr>
              <w:pBdr>
                <w:top w:val="none" w:sz="0" w:space="0" w:color="auto"/>
                <w:left w:val="none" w:sz="0" w:space="0" w:color="auto"/>
                <w:bottom w:val="none" w:sz="0" w:space="0" w:color="auto"/>
                <w:right w:val="none" w:sz="0" w:space="0" w:color="auto"/>
                <w:between w:val="none" w:sz="0" w:space="0" w:color="auto"/>
                <w:bar w:val="none" w:sz="0" w:color="auto"/>
              </w:pBdr>
              <w:outlineLvl w:val="9"/>
              <w:rPr>
                <w:rFonts w:eastAsia="Times New Roman"/>
                <w:b/>
                <w:bCs/>
                <w:sz w:val="16"/>
                <w:szCs w:val="16"/>
                <w:bdr w:val="none" w:sz="0" w:space="0" w:color="auto"/>
                <w:lang w:eastAsia="es-ES"/>
              </w:rPr>
            </w:pPr>
            <w:r w:rsidRPr="00353C75">
              <w:rPr>
                <w:rFonts w:eastAsia="Times New Roman"/>
                <w:b/>
                <w:bCs/>
                <w:sz w:val="16"/>
                <w:szCs w:val="16"/>
                <w:bdr w:val="none" w:sz="0" w:space="0" w:color="auto"/>
                <w:lang w:eastAsia="es-ES"/>
              </w:rPr>
              <w:t>Total</w:t>
            </w:r>
          </w:p>
        </w:tc>
        <w:tc>
          <w:tcPr>
            <w:tcW w:w="606" w:type="pct"/>
            <w:tcBorders>
              <w:top w:val="single" w:sz="4" w:space="0" w:color="auto"/>
              <w:left w:val="nil"/>
              <w:bottom w:val="single" w:sz="4" w:space="0" w:color="auto"/>
              <w:right w:val="nil"/>
            </w:tcBorders>
            <w:shd w:val="clear" w:color="auto" w:fill="auto"/>
            <w:vAlign w:val="center"/>
          </w:tcPr>
          <w:p w14:paraId="3B96F99B" w14:textId="4107A6B4" w:rsidR="00353C75" w:rsidRPr="00353C75" w:rsidRDefault="00353C75" w:rsidP="00353C75">
            <w:pPr>
              <w:pBdr>
                <w:top w:val="none" w:sz="0" w:space="0" w:color="auto"/>
                <w:left w:val="none" w:sz="0" w:space="0" w:color="auto"/>
                <w:bottom w:val="none" w:sz="0" w:space="0" w:color="auto"/>
                <w:right w:val="none" w:sz="0" w:space="0" w:color="auto"/>
                <w:between w:val="none" w:sz="0" w:space="0" w:color="auto"/>
                <w:bar w:val="none" w:sz="0" w:color="auto"/>
              </w:pBdr>
              <w:jc w:val="right"/>
              <w:outlineLvl w:val="9"/>
              <w:rPr>
                <w:rFonts w:eastAsia="Times New Roman"/>
                <w:b/>
                <w:bCs/>
                <w:sz w:val="16"/>
                <w:szCs w:val="16"/>
                <w:bdr w:val="none" w:sz="0" w:space="0" w:color="auto"/>
                <w:lang w:eastAsia="es-ES"/>
              </w:rPr>
            </w:pPr>
            <w:r w:rsidRPr="00353C75">
              <w:rPr>
                <w:rFonts w:eastAsia="Times New Roman"/>
                <w:b/>
                <w:bCs/>
                <w:sz w:val="16"/>
                <w:szCs w:val="16"/>
                <w:bdr w:val="none" w:sz="0" w:space="0" w:color="auto"/>
                <w:lang w:eastAsia="es-ES"/>
              </w:rPr>
              <w:t>-</w:t>
            </w:r>
          </w:p>
        </w:tc>
        <w:tc>
          <w:tcPr>
            <w:tcW w:w="772" w:type="pct"/>
            <w:tcBorders>
              <w:top w:val="single" w:sz="4" w:space="0" w:color="auto"/>
              <w:left w:val="nil"/>
              <w:bottom w:val="single" w:sz="4" w:space="0" w:color="auto"/>
              <w:right w:val="nil"/>
            </w:tcBorders>
            <w:shd w:val="clear" w:color="auto" w:fill="auto"/>
            <w:vAlign w:val="center"/>
          </w:tcPr>
          <w:p w14:paraId="29F28015" w14:textId="5D930F3F" w:rsidR="00353C75" w:rsidRPr="00353C75" w:rsidRDefault="00353C75" w:rsidP="00353C75">
            <w:pPr>
              <w:pBdr>
                <w:top w:val="none" w:sz="0" w:space="0" w:color="auto"/>
                <w:left w:val="none" w:sz="0" w:space="0" w:color="auto"/>
                <w:bottom w:val="none" w:sz="0" w:space="0" w:color="auto"/>
                <w:right w:val="none" w:sz="0" w:space="0" w:color="auto"/>
                <w:between w:val="none" w:sz="0" w:space="0" w:color="auto"/>
                <w:bar w:val="none" w:sz="0" w:color="auto"/>
              </w:pBdr>
              <w:jc w:val="right"/>
              <w:outlineLvl w:val="9"/>
              <w:rPr>
                <w:rFonts w:eastAsia="Times New Roman"/>
                <w:b/>
                <w:bCs/>
                <w:sz w:val="16"/>
                <w:szCs w:val="16"/>
                <w:bdr w:val="none" w:sz="0" w:space="0" w:color="auto"/>
                <w:lang w:eastAsia="es-ES"/>
              </w:rPr>
            </w:pPr>
            <w:r w:rsidRPr="00353C75">
              <w:rPr>
                <w:rFonts w:eastAsia="Times New Roman"/>
                <w:b/>
                <w:bCs/>
                <w:sz w:val="16"/>
                <w:szCs w:val="16"/>
                <w:bdr w:val="none" w:sz="0" w:space="0" w:color="auto"/>
                <w:lang w:eastAsia="es-ES"/>
              </w:rPr>
              <w:t>-</w:t>
            </w:r>
          </w:p>
        </w:tc>
        <w:tc>
          <w:tcPr>
            <w:tcW w:w="938" w:type="pct"/>
            <w:tcBorders>
              <w:top w:val="single" w:sz="4" w:space="0" w:color="auto"/>
              <w:left w:val="nil"/>
              <w:bottom w:val="single" w:sz="4" w:space="0" w:color="auto"/>
              <w:right w:val="nil"/>
            </w:tcBorders>
            <w:shd w:val="clear" w:color="auto" w:fill="auto"/>
            <w:vAlign w:val="center"/>
            <w:hideMark/>
          </w:tcPr>
          <w:p w14:paraId="57287820" w14:textId="4D4A8C87" w:rsidR="00353C75" w:rsidRPr="00353C75" w:rsidRDefault="00353C75" w:rsidP="00353C75">
            <w:pPr>
              <w:pBdr>
                <w:top w:val="none" w:sz="0" w:space="0" w:color="auto"/>
                <w:left w:val="none" w:sz="0" w:space="0" w:color="auto"/>
                <w:bottom w:val="none" w:sz="0" w:space="0" w:color="auto"/>
                <w:right w:val="none" w:sz="0" w:space="0" w:color="auto"/>
                <w:between w:val="none" w:sz="0" w:space="0" w:color="auto"/>
                <w:bar w:val="none" w:sz="0" w:color="auto"/>
              </w:pBdr>
              <w:jc w:val="right"/>
              <w:outlineLvl w:val="9"/>
              <w:rPr>
                <w:rFonts w:eastAsia="Times New Roman"/>
                <w:b/>
                <w:bCs/>
                <w:sz w:val="16"/>
                <w:szCs w:val="16"/>
                <w:bdr w:val="none" w:sz="0" w:space="0" w:color="auto"/>
                <w:lang w:eastAsia="es-ES"/>
              </w:rPr>
            </w:pPr>
            <w:r w:rsidRPr="00353C75">
              <w:rPr>
                <w:b/>
                <w:bCs/>
                <w:sz w:val="16"/>
                <w:szCs w:val="16"/>
              </w:rPr>
              <w:t>12.306,35</w:t>
            </w:r>
          </w:p>
        </w:tc>
        <w:tc>
          <w:tcPr>
            <w:tcW w:w="581" w:type="pct"/>
            <w:tcBorders>
              <w:top w:val="nil"/>
              <w:left w:val="nil"/>
              <w:bottom w:val="single" w:sz="4" w:space="0" w:color="auto"/>
              <w:right w:val="nil"/>
            </w:tcBorders>
            <w:shd w:val="clear" w:color="auto" w:fill="auto"/>
            <w:vAlign w:val="center"/>
            <w:hideMark/>
          </w:tcPr>
          <w:p w14:paraId="46953CF0" w14:textId="0E76041A" w:rsidR="00353C75" w:rsidRPr="00353C75" w:rsidRDefault="00353C75" w:rsidP="00353C75">
            <w:pPr>
              <w:pBdr>
                <w:top w:val="none" w:sz="0" w:space="0" w:color="auto"/>
                <w:left w:val="none" w:sz="0" w:space="0" w:color="auto"/>
                <w:bottom w:val="none" w:sz="0" w:space="0" w:color="auto"/>
                <w:right w:val="none" w:sz="0" w:space="0" w:color="auto"/>
                <w:between w:val="none" w:sz="0" w:space="0" w:color="auto"/>
                <w:bar w:val="none" w:sz="0" w:color="auto"/>
              </w:pBdr>
              <w:jc w:val="right"/>
              <w:outlineLvl w:val="9"/>
              <w:rPr>
                <w:rFonts w:eastAsia="Times New Roman"/>
                <w:b/>
                <w:bCs/>
                <w:sz w:val="16"/>
                <w:szCs w:val="16"/>
                <w:bdr w:val="none" w:sz="0" w:space="0" w:color="auto"/>
                <w:lang w:eastAsia="es-ES"/>
              </w:rPr>
            </w:pPr>
            <w:r w:rsidRPr="00353C75">
              <w:rPr>
                <w:b/>
                <w:bCs/>
                <w:sz w:val="16"/>
                <w:szCs w:val="16"/>
              </w:rPr>
              <w:t>36.343,03</w:t>
            </w:r>
          </w:p>
        </w:tc>
        <w:tc>
          <w:tcPr>
            <w:tcW w:w="588" w:type="pct"/>
            <w:tcBorders>
              <w:top w:val="single" w:sz="4" w:space="0" w:color="auto"/>
              <w:left w:val="nil"/>
              <w:bottom w:val="single" w:sz="4" w:space="0" w:color="auto"/>
              <w:right w:val="nil"/>
            </w:tcBorders>
            <w:shd w:val="clear" w:color="auto" w:fill="auto"/>
            <w:vAlign w:val="center"/>
            <w:hideMark/>
          </w:tcPr>
          <w:p w14:paraId="664FB0CE" w14:textId="5E648B68" w:rsidR="00353C75" w:rsidRPr="007A7245" w:rsidRDefault="00353C75" w:rsidP="00353C75">
            <w:pPr>
              <w:pBdr>
                <w:top w:val="none" w:sz="0" w:space="0" w:color="auto"/>
                <w:left w:val="none" w:sz="0" w:space="0" w:color="auto"/>
                <w:bottom w:val="none" w:sz="0" w:space="0" w:color="auto"/>
                <w:right w:val="none" w:sz="0" w:space="0" w:color="auto"/>
                <w:between w:val="none" w:sz="0" w:space="0" w:color="auto"/>
                <w:bar w:val="none" w:sz="0" w:color="auto"/>
              </w:pBdr>
              <w:jc w:val="right"/>
              <w:outlineLvl w:val="9"/>
              <w:rPr>
                <w:rFonts w:eastAsia="Times New Roman"/>
                <w:b/>
                <w:bCs/>
                <w:sz w:val="16"/>
                <w:szCs w:val="16"/>
                <w:bdr w:val="none" w:sz="0" w:space="0" w:color="auto"/>
                <w:lang w:eastAsia="es-ES"/>
              </w:rPr>
            </w:pPr>
            <w:r w:rsidRPr="00353C75">
              <w:rPr>
                <w:b/>
                <w:bCs/>
                <w:sz w:val="16"/>
                <w:szCs w:val="16"/>
              </w:rPr>
              <w:t>48.649,38</w:t>
            </w:r>
          </w:p>
        </w:tc>
      </w:tr>
    </w:tbl>
    <w:p w14:paraId="2A62AF61" w14:textId="4AAC734E" w:rsidR="006220A2" w:rsidRPr="007A7245" w:rsidRDefault="006220A2" w:rsidP="001B5A15">
      <w:pPr>
        <w:keepNext/>
        <w:keepLines/>
        <w:widowControl w:val="0"/>
        <w:spacing w:before="240" w:after="120" w:line="260" w:lineRule="exact"/>
        <w:jc w:val="both"/>
        <w:outlineLvl w:val="9"/>
        <w:rPr>
          <w:snapToGrid w:val="0"/>
          <w:sz w:val="20"/>
          <w:szCs w:val="22"/>
        </w:rPr>
      </w:pPr>
      <w:r w:rsidRPr="007A7245">
        <w:rPr>
          <w:snapToGrid w:val="0"/>
          <w:sz w:val="20"/>
          <w:szCs w:val="22"/>
        </w:rPr>
        <w:t>El movimiento de estas subvenciones ha sido el siguiente:</w:t>
      </w:r>
    </w:p>
    <w:tbl>
      <w:tblPr>
        <w:tblW w:w="5000" w:type="pct"/>
        <w:jc w:val="center"/>
        <w:tblCellMar>
          <w:left w:w="70" w:type="dxa"/>
          <w:right w:w="70" w:type="dxa"/>
        </w:tblCellMar>
        <w:tblLook w:val="04A0" w:firstRow="1" w:lastRow="0" w:firstColumn="1" w:lastColumn="0" w:noHBand="0" w:noVBand="1"/>
      </w:tblPr>
      <w:tblGrid>
        <w:gridCol w:w="5077"/>
        <w:gridCol w:w="1853"/>
        <w:gridCol w:w="1851"/>
      </w:tblGrid>
      <w:tr w:rsidR="006220A2" w:rsidRPr="007A7245" w14:paraId="09454B40" w14:textId="77777777" w:rsidTr="00176BA0">
        <w:trPr>
          <w:trHeight w:val="283"/>
          <w:jc w:val="center"/>
        </w:trPr>
        <w:tc>
          <w:tcPr>
            <w:tcW w:w="2891" w:type="pct"/>
            <w:tcBorders>
              <w:top w:val="single" w:sz="4" w:space="0" w:color="auto"/>
              <w:left w:val="nil"/>
              <w:bottom w:val="nil"/>
              <w:right w:val="nil"/>
            </w:tcBorders>
            <w:shd w:val="clear" w:color="auto" w:fill="auto"/>
            <w:vAlign w:val="bottom"/>
            <w:hideMark/>
          </w:tcPr>
          <w:p w14:paraId="26EEF182" w14:textId="77777777" w:rsidR="006220A2" w:rsidRPr="007A7245" w:rsidRDefault="006220A2" w:rsidP="00176BA0">
            <w:pPr>
              <w:keepNext/>
              <w:keepLines/>
              <w:ind w:left="215"/>
              <w:jc w:val="center"/>
              <w:rPr>
                <w:rFonts w:eastAsia="Times New Roman" w:cs="Times"/>
                <w:sz w:val="18"/>
                <w:szCs w:val="18"/>
              </w:rPr>
            </w:pPr>
          </w:p>
        </w:tc>
        <w:tc>
          <w:tcPr>
            <w:tcW w:w="2109" w:type="pct"/>
            <w:gridSpan w:val="2"/>
            <w:tcBorders>
              <w:top w:val="single" w:sz="4" w:space="0" w:color="auto"/>
              <w:left w:val="nil"/>
              <w:bottom w:val="single" w:sz="4" w:space="0" w:color="auto"/>
              <w:right w:val="nil"/>
            </w:tcBorders>
            <w:shd w:val="clear" w:color="auto" w:fill="auto"/>
            <w:vAlign w:val="bottom"/>
            <w:hideMark/>
          </w:tcPr>
          <w:p w14:paraId="37B3D6D4" w14:textId="77777777" w:rsidR="006220A2" w:rsidRPr="007A7245" w:rsidRDefault="006220A2" w:rsidP="00852114">
            <w:pPr>
              <w:keepNext/>
              <w:keepLines/>
              <w:jc w:val="center"/>
              <w:rPr>
                <w:rFonts w:eastAsia="Times New Roman"/>
                <w:b/>
                <w:bCs/>
                <w:sz w:val="18"/>
                <w:szCs w:val="18"/>
              </w:rPr>
            </w:pPr>
            <w:r w:rsidRPr="007A7245">
              <w:rPr>
                <w:rFonts w:eastAsia="Times New Roman"/>
                <w:b/>
                <w:bCs/>
                <w:sz w:val="18"/>
                <w:szCs w:val="18"/>
              </w:rPr>
              <w:t>Euros</w:t>
            </w:r>
          </w:p>
        </w:tc>
      </w:tr>
      <w:tr w:rsidR="007E462E" w:rsidRPr="007A7245" w14:paraId="158B86C8" w14:textId="77777777" w:rsidTr="00A679E0">
        <w:trPr>
          <w:trHeight w:val="283"/>
          <w:jc w:val="center"/>
        </w:trPr>
        <w:tc>
          <w:tcPr>
            <w:tcW w:w="2891" w:type="pct"/>
            <w:tcBorders>
              <w:top w:val="nil"/>
              <w:left w:val="nil"/>
              <w:bottom w:val="single" w:sz="4" w:space="0" w:color="auto"/>
              <w:right w:val="nil"/>
            </w:tcBorders>
            <w:shd w:val="clear" w:color="auto" w:fill="auto"/>
            <w:vAlign w:val="bottom"/>
            <w:hideMark/>
          </w:tcPr>
          <w:p w14:paraId="42648D9F" w14:textId="77777777" w:rsidR="007E462E" w:rsidRPr="007A7245" w:rsidRDefault="007E462E" w:rsidP="007E462E">
            <w:pPr>
              <w:keepNext/>
              <w:keepLines/>
              <w:ind w:left="215"/>
              <w:jc w:val="center"/>
              <w:rPr>
                <w:rFonts w:eastAsia="Times New Roman" w:cs="Times"/>
                <w:sz w:val="18"/>
                <w:szCs w:val="18"/>
              </w:rPr>
            </w:pPr>
          </w:p>
        </w:tc>
        <w:tc>
          <w:tcPr>
            <w:tcW w:w="1055" w:type="pct"/>
            <w:tcBorders>
              <w:top w:val="nil"/>
              <w:left w:val="nil"/>
              <w:bottom w:val="single" w:sz="4" w:space="0" w:color="auto"/>
              <w:right w:val="nil"/>
            </w:tcBorders>
            <w:shd w:val="clear" w:color="auto" w:fill="auto"/>
            <w:vAlign w:val="bottom"/>
            <w:hideMark/>
          </w:tcPr>
          <w:p w14:paraId="2699EF85" w14:textId="2F3F30BB" w:rsidR="007E462E" w:rsidRPr="007A7245" w:rsidRDefault="007E462E" w:rsidP="007E462E">
            <w:pPr>
              <w:keepNext/>
              <w:keepLines/>
              <w:jc w:val="center"/>
              <w:rPr>
                <w:rFonts w:eastAsia="Times New Roman"/>
                <w:b/>
                <w:bCs/>
                <w:sz w:val="18"/>
                <w:szCs w:val="18"/>
              </w:rPr>
            </w:pPr>
            <w:r w:rsidRPr="007A7245">
              <w:rPr>
                <w:rFonts w:eastAsia="Times New Roman"/>
                <w:b/>
                <w:bCs/>
                <w:sz w:val="18"/>
                <w:szCs w:val="18"/>
              </w:rPr>
              <w:t>31/12/202</w:t>
            </w:r>
            <w:r w:rsidR="00623AD4">
              <w:rPr>
                <w:rFonts w:eastAsia="Times New Roman"/>
                <w:b/>
                <w:bCs/>
                <w:sz w:val="18"/>
                <w:szCs w:val="18"/>
              </w:rPr>
              <w:t>4</w:t>
            </w:r>
          </w:p>
        </w:tc>
        <w:tc>
          <w:tcPr>
            <w:tcW w:w="1054" w:type="pct"/>
            <w:tcBorders>
              <w:top w:val="nil"/>
              <w:left w:val="nil"/>
              <w:bottom w:val="single" w:sz="4" w:space="0" w:color="auto"/>
              <w:right w:val="nil"/>
            </w:tcBorders>
            <w:shd w:val="clear" w:color="auto" w:fill="auto"/>
            <w:vAlign w:val="bottom"/>
            <w:hideMark/>
          </w:tcPr>
          <w:p w14:paraId="7A868439" w14:textId="2C8D8792" w:rsidR="007E462E" w:rsidRPr="007A7245" w:rsidRDefault="007E462E" w:rsidP="007E462E">
            <w:pPr>
              <w:keepNext/>
              <w:keepLines/>
              <w:jc w:val="center"/>
              <w:rPr>
                <w:rFonts w:eastAsia="Times New Roman"/>
                <w:b/>
                <w:bCs/>
                <w:sz w:val="18"/>
                <w:szCs w:val="18"/>
              </w:rPr>
            </w:pPr>
            <w:r w:rsidRPr="007A7245">
              <w:rPr>
                <w:rFonts w:eastAsia="Times New Roman"/>
                <w:b/>
                <w:bCs/>
                <w:sz w:val="18"/>
                <w:szCs w:val="18"/>
              </w:rPr>
              <w:t>31/12/202</w:t>
            </w:r>
            <w:r w:rsidR="00623AD4">
              <w:rPr>
                <w:rFonts w:eastAsia="Times New Roman"/>
                <w:b/>
                <w:bCs/>
                <w:sz w:val="18"/>
                <w:szCs w:val="18"/>
              </w:rPr>
              <w:t>3</w:t>
            </w:r>
          </w:p>
        </w:tc>
      </w:tr>
      <w:tr w:rsidR="00623AD4" w:rsidRPr="007A7245" w14:paraId="38DEFFAA" w14:textId="77777777" w:rsidTr="00A679E0">
        <w:trPr>
          <w:trHeight w:val="283"/>
          <w:jc w:val="center"/>
        </w:trPr>
        <w:tc>
          <w:tcPr>
            <w:tcW w:w="2891" w:type="pct"/>
            <w:tcBorders>
              <w:top w:val="single" w:sz="4" w:space="0" w:color="auto"/>
              <w:left w:val="nil"/>
              <w:bottom w:val="single" w:sz="4" w:space="0" w:color="auto"/>
              <w:right w:val="nil"/>
            </w:tcBorders>
            <w:shd w:val="clear" w:color="auto" w:fill="auto"/>
            <w:vAlign w:val="center"/>
            <w:hideMark/>
          </w:tcPr>
          <w:p w14:paraId="24BE54BD" w14:textId="77777777" w:rsidR="00623AD4" w:rsidRPr="007A7245" w:rsidRDefault="00623AD4" w:rsidP="00623AD4">
            <w:pPr>
              <w:keepNext/>
              <w:keepLines/>
              <w:ind w:left="215"/>
              <w:rPr>
                <w:rFonts w:eastAsia="Times New Roman"/>
                <w:b/>
                <w:bCs/>
                <w:sz w:val="18"/>
                <w:szCs w:val="18"/>
              </w:rPr>
            </w:pPr>
            <w:r w:rsidRPr="007A7245">
              <w:rPr>
                <w:rFonts w:eastAsia="Times New Roman"/>
                <w:b/>
                <w:bCs/>
                <w:sz w:val="18"/>
                <w:szCs w:val="18"/>
              </w:rPr>
              <w:t>Saldo inicial</w:t>
            </w:r>
          </w:p>
        </w:tc>
        <w:tc>
          <w:tcPr>
            <w:tcW w:w="1055" w:type="pct"/>
            <w:tcBorders>
              <w:top w:val="single" w:sz="4" w:space="0" w:color="auto"/>
              <w:left w:val="nil"/>
              <w:bottom w:val="single" w:sz="4" w:space="0" w:color="auto"/>
              <w:right w:val="nil"/>
            </w:tcBorders>
            <w:shd w:val="clear" w:color="auto" w:fill="auto"/>
            <w:vAlign w:val="center"/>
          </w:tcPr>
          <w:p w14:paraId="34C5A556" w14:textId="657CE658" w:rsidR="00623AD4" w:rsidRPr="00B157EA" w:rsidRDefault="00B157EA" w:rsidP="00B157EA">
            <w:pPr>
              <w:pBdr>
                <w:top w:val="none" w:sz="0" w:space="0" w:color="auto"/>
                <w:left w:val="none" w:sz="0" w:space="0" w:color="auto"/>
                <w:bottom w:val="none" w:sz="0" w:space="0" w:color="auto"/>
                <w:right w:val="none" w:sz="0" w:space="0" w:color="auto"/>
                <w:between w:val="none" w:sz="0" w:space="0" w:color="auto"/>
                <w:bar w:val="none" w:sz="0" w:color="auto"/>
              </w:pBdr>
              <w:jc w:val="right"/>
              <w:outlineLvl w:val="9"/>
              <w:rPr>
                <w:rFonts w:eastAsia="Times New Roman"/>
                <w:b/>
                <w:bCs/>
                <w:sz w:val="18"/>
                <w:szCs w:val="18"/>
                <w:bdr w:val="none" w:sz="0" w:space="0" w:color="auto"/>
                <w:lang w:eastAsia="es-ES"/>
              </w:rPr>
            </w:pPr>
            <w:r w:rsidRPr="00B157EA">
              <w:rPr>
                <w:b/>
                <w:bCs/>
                <w:sz w:val="18"/>
                <w:szCs w:val="18"/>
              </w:rPr>
              <w:t>64.672,25</w:t>
            </w:r>
          </w:p>
        </w:tc>
        <w:tc>
          <w:tcPr>
            <w:tcW w:w="1054" w:type="pct"/>
            <w:tcBorders>
              <w:top w:val="single" w:sz="4" w:space="0" w:color="auto"/>
              <w:left w:val="nil"/>
              <w:bottom w:val="single" w:sz="4" w:space="0" w:color="auto"/>
              <w:right w:val="nil"/>
            </w:tcBorders>
            <w:shd w:val="clear" w:color="auto" w:fill="auto"/>
            <w:vAlign w:val="center"/>
            <w:hideMark/>
          </w:tcPr>
          <w:p w14:paraId="1D64A372" w14:textId="0F960487" w:rsidR="00623AD4" w:rsidRPr="007A7245" w:rsidRDefault="00623AD4" w:rsidP="00623AD4">
            <w:pPr>
              <w:pBdr>
                <w:top w:val="none" w:sz="0" w:space="0" w:color="auto"/>
                <w:left w:val="none" w:sz="0" w:space="0" w:color="auto"/>
                <w:bottom w:val="none" w:sz="0" w:space="0" w:color="auto"/>
                <w:right w:val="none" w:sz="0" w:space="0" w:color="auto"/>
                <w:between w:val="none" w:sz="0" w:space="0" w:color="auto"/>
                <w:bar w:val="none" w:sz="0" w:color="auto"/>
              </w:pBdr>
              <w:jc w:val="right"/>
              <w:outlineLvl w:val="9"/>
              <w:rPr>
                <w:rFonts w:eastAsia="Times New Roman"/>
                <w:b/>
                <w:bCs/>
                <w:sz w:val="18"/>
                <w:szCs w:val="18"/>
                <w:bdr w:val="none" w:sz="0" w:space="0" w:color="auto"/>
                <w:lang w:eastAsia="es-ES"/>
              </w:rPr>
            </w:pPr>
            <w:r w:rsidRPr="007A7245">
              <w:rPr>
                <w:b/>
                <w:bCs/>
                <w:sz w:val="18"/>
                <w:szCs w:val="18"/>
              </w:rPr>
              <w:t>118.536,68</w:t>
            </w:r>
          </w:p>
        </w:tc>
      </w:tr>
      <w:tr w:rsidR="00B157EA" w:rsidRPr="007A7245" w14:paraId="5922E215" w14:textId="77777777" w:rsidTr="00A679E0">
        <w:trPr>
          <w:trHeight w:val="283"/>
          <w:jc w:val="center"/>
        </w:trPr>
        <w:tc>
          <w:tcPr>
            <w:tcW w:w="2891" w:type="pct"/>
            <w:tcBorders>
              <w:top w:val="single" w:sz="4" w:space="0" w:color="auto"/>
              <w:left w:val="nil"/>
              <w:bottom w:val="nil"/>
              <w:right w:val="nil"/>
            </w:tcBorders>
            <w:shd w:val="clear" w:color="auto" w:fill="auto"/>
            <w:vAlign w:val="center"/>
            <w:hideMark/>
          </w:tcPr>
          <w:p w14:paraId="5B9A3E03" w14:textId="35D651AE" w:rsidR="00B157EA" w:rsidRPr="007A7245" w:rsidRDefault="00B157EA" w:rsidP="00B157EA">
            <w:pPr>
              <w:keepNext/>
              <w:keepLines/>
              <w:ind w:left="215"/>
              <w:rPr>
                <w:rFonts w:eastAsia="Times New Roman"/>
                <w:sz w:val="18"/>
                <w:szCs w:val="18"/>
              </w:rPr>
            </w:pPr>
            <w:r w:rsidRPr="007A7245">
              <w:rPr>
                <w:sz w:val="18"/>
                <w:szCs w:val="18"/>
              </w:rPr>
              <w:t>Imputación al resultado</w:t>
            </w:r>
          </w:p>
        </w:tc>
        <w:tc>
          <w:tcPr>
            <w:tcW w:w="1055" w:type="pct"/>
            <w:tcBorders>
              <w:top w:val="single" w:sz="4" w:space="0" w:color="auto"/>
              <w:left w:val="nil"/>
              <w:bottom w:val="nil"/>
              <w:right w:val="nil"/>
            </w:tcBorders>
            <w:shd w:val="clear" w:color="auto" w:fill="auto"/>
            <w:vAlign w:val="center"/>
          </w:tcPr>
          <w:p w14:paraId="4749CE95" w14:textId="2E41CB9B" w:rsidR="00B157EA" w:rsidRPr="007A7245" w:rsidRDefault="00B157EA" w:rsidP="00B157EA">
            <w:pPr>
              <w:jc w:val="right"/>
              <w:rPr>
                <w:sz w:val="18"/>
                <w:szCs w:val="18"/>
              </w:rPr>
            </w:pPr>
            <w:r>
              <w:rPr>
                <w:sz w:val="18"/>
                <w:szCs w:val="18"/>
              </w:rPr>
              <w:t>(48.649,38)</w:t>
            </w:r>
          </w:p>
        </w:tc>
        <w:tc>
          <w:tcPr>
            <w:tcW w:w="1054" w:type="pct"/>
            <w:tcBorders>
              <w:top w:val="single" w:sz="4" w:space="0" w:color="auto"/>
              <w:left w:val="nil"/>
              <w:bottom w:val="nil"/>
              <w:right w:val="nil"/>
            </w:tcBorders>
            <w:shd w:val="clear" w:color="auto" w:fill="auto"/>
            <w:vAlign w:val="center"/>
            <w:hideMark/>
          </w:tcPr>
          <w:p w14:paraId="75870DA1" w14:textId="54590C47" w:rsidR="00B157EA" w:rsidRPr="007A7245" w:rsidRDefault="00B157EA" w:rsidP="00B157EA">
            <w:pPr>
              <w:jc w:val="right"/>
              <w:rPr>
                <w:sz w:val="18"/>
                <w:szCs w:val="18"/>
              </w:rPr>
            </w:pPr>
            <w:r w:rsidRPr="007A7245">
              <w:rPr>
                <w:sz w:val="18"/>
                <w:szCs w:val="18"/>
              </w:rPr>
              <w:t>(71.771,25)</w:t>
            </w:r>
          </w:p>
        </w:tc>
      </w:tr>
      <w:tr w:rsidR="00B157EA" w:rsidRPr="007A7245" w14:paraId="7BA8C8BB" w14:textId="77777777" w:rsidTr="00176BA0">
        <w:trPr>
          <w:trHeight w:val="283"/>
          <w:jc w:val="center"/>
        </w:trPr>
        <w:tc>
          <w:tcPr>
            <w:tcW w:w="2891" w:type="pct"/>
            <w:tcBorders>
              <w:top w:val="nil"/>
              <w:left w:val="nil"/>
              <w:bottom w:val="single" w:sz="4" w:space="0" w:color="auto"/>
              <w:right w:val="nil"/>
            </w:tcBorders>
            <w:shd w:val="clear" w:color="auto" w:fill="auto"/>
            <w:vAlign w:val="center"/>
            <w:hideMark/>
          </w:tcPr>
          <w:p w14:paraId="2A481E91" w14:textId="2AB33615" w:rsidR="00B157EA" w:rsidRPr="007A7245" w:rsidRDefault="00B157EA" w:rsidP="00B157EA">
            <w:pPr>
              <w:ind w:left="215"/>
              <w:rPr>
                <w:rFonts w:eastAsia="Times New Roman"/>
                <w:sz w:val="18"/>
                <w:szCs w:val="18"/>
              </w:rPr>
            </w:pPr>
            <w:r w:rsidRPr="007A7245">
              <w:rPr>
                <w:sz w:val="18"/>
                <w:szCs w:val="18"/>
              </w:rPr>
              <w:t xml:space="preserve">Efecto impositivo por imputación a </w:t>
            </w:r>
            <w:proofErr w:type="spellStart"/>
            <w:r w:rsidRPr="007A7245">
              <w:rPr>
                <w:sz w:val="18"/>
                <w:szCs w:val="18"/>
              </w:rPr>
              <w:t>rdtos</w:t>
            </w:r>
            <w:proofErr w:type="spellEnd"/>
            <w:r w:rsidRPr="007A7245">
              <w:rPr>
                <w:sz w:val="18"/>
                <w:szCs w:val="18"/>
              </w:rPr>
              <w:t>.</w:t>
            </w:r>
          </w:p>
        </w:tc>
        <w:tc>
          <w:tcPr>
            <w:tcW w:w="1055" w:type="pct"/>
            <w:tcBorders>
              <w:top w:val="nil"/>
              <w:left w:val="nil"/>
              <w:bottom w:val="single" w:sz="4" w:space="0" w:color="auto"/>
              <w:right w:val="nil"/>
            </w:tcBorders>
            <w:shd w:val="clear" w:color="auto" w:fill="auto"/>
            <w:vAlign w:val="center"/>
          </w:tcPr>
          <w:p w14:paraId="2BC95979" w14:textId="2D2CD266" w:rsidR="00B157EA" w:rsidRPr="007A7245" w:rsidRDefault="00B157EA" w:rsidP="00B157EA">
            <w:pPr>
              <w:jc w:val="right"/>
              <w:rPr>
                <w:sz w:val="18"/>
                <w:szCs w:val="18"/>
              </w:rPr>
            </w:pPr>
            <w:r>
              <w:rPr>
                <w:sz w:val="18"/>
                <w:szCs w:val="18"/>
              </w:rPr>
              <w:t>12.306,35</w:t>
            </w:r>
          </w:p>
        </w:tc>
        <w:tc>
          <w:tcPr>
            <w:tcW w:w="1054" w:type="pct"/>
            <w:tcBorders>
              <w:top w:val="nil"/>
              <w:left w:val="nil"/>
              <w:bottom w:val="single" w:sz="4" w:space="0" w:color="auto"/>
              <w:right w:val="nil"/>
            </w:tcBorders>
            <w:shd w:val="clear" w:color="auto" w:fill="auto"/>
            <w:vAlign w:val="center"/>
            <w:hideMark/>
          </w:tcPr>
          <w:p w14:paraId="667A44A8" w14:textId="5E7745B1" w:rsidR="00B157EA" w:rsidRPr="007A7245" w:rsidRDefault="00B157EA" w:rsidP="00B157EA">
            <w:pPr>
              <w:jc w:val="right"/>
              <w:rPr>
                <w:sz w:val="18"/>
                <w:szCs w:val="18"/>
              </w:rPr>
            </w:pPr>
            <w:r w:rsidRPr="007A7245">
              <w:rPr>
                <w:sz w:val="18"/>
                <w:szCs w:val="18"/>
              </w:rPr>
              <w:t>17.906,82</w:t>
            </w:r>
          </w:p>
        </w:tc>
      </w:tr>
      <w:tr w:rsidR="00B157EA" w:rsidRPr="00E612CB" w14:paraId="6426A50F" w14:textId="77777777" w:rsidTr="00176BA0">
        <w:trPr>
          <w:trHeight w:val="283"/>
          <w:jc w:val="center"/>
        </w:trPr>
        <w:tc>
          <w:tcPr>
            <w:tcW w:w="2891" w:type="pct"/>
            <w:tcBorders>
              <w:top w:val="nil"/>
              <w:left w:val="nil"/>
              <w:bottom w:val="single" w:sz="4" w:space="0" w:color="auto"/>
              <w:right w:val="nil"/>
            </w:tcBorders>
            <w:shd w:val="clear" w:color="auto" w:fill="auto"/>
            <w:vAlign w:val="center"/>
            <w:hideMark/>
          </w:tcPr>
          <w:p w14:paraId="152996C3" w14:textId="77777777" w:rsidR="00B157EA" w:rsidRPr="007A7245" w:rsidRDefault="00B157EA" w:rsidP="00B157EA">
            <w:pPr>
              <w:ind w:left="215"/>
              <w:rPr>
                <w:rFonts w:eastAsia="Times New Roman"/>
                <w:b/>
                <w:bCs/>
                <w:sz w:val="18"/>
                <w:szCs w:val="18"/>
              </w:rPr>
            </w:pPr>
            <w:r w:rsidRPr="007A7245">
              <w:rPr>
                <w:rFonts w:eastAsia="Times New Roman"/>
                <w:b/>
                <w:bCs/>
                <w:sz w:val="18"/>
                <w:szCs w:val="18"/>
              </w:rPr>
              <w:t>Saldo final</w:t>
            </w:r>
          </w:p>
        </w:tc>
        <w:tc>
          <w:tcPr>
            <w:tcW w:w="1055" w:type="pct"/>
            <w:tcBorders>
              <w:top w:val="nil"/>
              <w:left w:val="nil"/>
              <w:bottom w:val="single" w:sz="4" w:space="0" w:color="auto"/>
              <w:right w:val="nil"/>
            </w:tcBorders>
            <w:shd w:val="clear" w:color="auto" w:fill="auto"/>
            <w:vAlign w:val="center"/>
          </w:tcPr>
          <w:p w14:paraId="77896ECF" w14:textId="2B906BC5" w:rsidR="00B157EA" w:rsidRPr="007A7245" w:rsidRDefault="00B157EA" w:rsidP="00B157EA">
            <w:pPr>
              <w:jc w:val="right"/>
              <w:rPr>
                <w:b/>
                <w:bCs/>
                <w:sz w:val="18"/>
                <w:szCs w:val="18"/>
              </w:rPr>
            </w:pPr>
            <w:r>
              <w:rPr>
                <w:b/>
                <w:bCs/>
                <w:sz w:val="18"/>
                <w:szCs w:val="18"/>
              </w:rPr>
              <w:t>28.329,22</w:t>
            </w:r>
          </w:p>
        </w:tc>
        <w:tc>
          <w:tcPr>
            <w:tcW w:w="1054" w:type="pct"/>
            <w:tcBorders>
              <w:top w:val="nil"/>
              <w:left w:val="nil"/>
              <w:bottom w:val="single" w:sz="4" w:space="0" w:color="auto"/>
              <w:right w:val="nil"/>
            </w:tcBorders>
            <w:shd w:val="clear" w:color="auto" w:fill="auto"/>
            <w:vAlign w:val="center"/>
            <w:hideMark/>
          </w:tcPr>
          <w:p w14:paraId="6E6CEF56" w14:textId="04AC49F6" w:rsidR="00B157EA" w:rsidRPr="007A7245" w:rsidRDefault="00B157EA" w:rsidP="00B157EA">
            <w:pPr>
              <w:jc w:val="right"/>
              <w:rPr>
                <w:b/>
                <w:bCs/>
                <w:sz w:val="18"/>
                <w:szCs w:val="18"/>
              </w:rPr>
            </w:pPr>
            <w:r w:rsidRPr="007A7245">
              <w:rPr>
                <w:b/>
                <w:bCs/>
                <w:sz w:val="18"/>
                <w:szCs w:val="18"/>
              </w:rPr>
              <w:t>64.672,25</w:t>
            </w:r>
          </w:p>
        </w:tc>
      </w:tr>
    </w:tbl>
    <w:p w14:paraId="3997232A" w14:textId="55B156D5" w:rsidR="00113C04" w:rsidRPr="00353C75" w:rsidRDefault="00113C04" w:rsidP="001B5A15">
      <w:pPr>
        <w:keepNext/>
        <w:keepLines/>
        <w:widowControl w:val="0"/>
        <w:spacing w:before="240" w:after="120" w:line="260" w:lineRule="exact"/>
        <w:jc w:val="both"/>
        <w:outlineLvl w:val="9"/>
        <w:rPr>
          <w:snapToGrid w:val="0"/>
          <w:sz w:val="20"/>
          <w:szCs w:val="22"/>
        </w:rPr>
      </w:pPr>
      <w:r w:rsidRPr="00353C75">
        <w:rPr>
          <w:snapToGrid w:val="0"/>
          <w:sz w:val="20"/>
          <w:szCs w:val="22"/>
        </w:rPr>
        <w:t>En el ejercicio 2020 la Consejería de Turismo</w:t>
      </w:r>
      <w:r w:rsidR="00396EF8" w:rsidRPr="00353C75">
        <w:rPr>
          <w:snapToGrid w:val="0"/>
          <w:sz w:val="20"/>
          <w:szCs w:val="22"/>
        </w:rPr>
        <w:t xml:space="preserve"> y Empleo</w:t>
      </w:r>
      <w:r w:rsidRPr="00353C75">
        <w:rPr>
          <w:snapToGrid w:val="0"/>
          <w:sz w:val="20"/>
          <w:szCs w:val="22"/>
        </w:rPr>
        <w:t xml:space="preserve"> concedi</w:t>
      </w:r>
      <w:r w:rsidR="00C15BD4" w:rsidRPr="00353C75">
        <w:rPr>
          <w:snapToGrid w:val="0"/>
          <w:sz w:val="20"/>
          <w:szCs w:val="22"/>
        </w:rPr>
        <w:t>ó</w:t>
      </w:r>
      <w:r w:rsidRPr="00353C75">
        <w:rPr>
          <w:snapToGrid w:val="0"/>
          <w:sz w:val="20"/>
          <w:szCs w:val="22"/>
        </w:rPr>
        <w:t xml:space="preserve"> una subvención por importe de 90.600 euros, reconociendo 67.950 euros en Patrimonio y 22.650 euros en pasivos diferidos.</w:t>
      </w:r>
    </w:p>
    <w:p w14:paraId="762CDF9E" w14:textId="5704CF41" w:rsidR="00D67C6B" w:rsidRDefault="00831BAC" w:rsidP="00D67C6B">
      <w:pPr>
        <w:widowControl w:val="0"/>
        <w:spacing w:before="120" w:after="120" w:line="260" w:lineRule="exact"/>
        <w:jc w:val="both"/>
        <w:outlineLvl w:val="9"/>
        <w:rPr>
          <w:snapToGrid w:val="0"/>
          <w:sz w:val="20"/>
          <w:szCs w:val="22"/>
        </w:rPr>
      </w:pPr>
      <w:r w:rsidRPr="00353C75">
        <w:rPr>
          <w:snapToGrid w:val="0"/>
          <w:sz w:val="20"/>
          <w:szCs w:val="22"/>
        </w:rPr>
        <w:t>En el ejercicio 2019 la Consejería de Turismo</w:t>
      </w:r>
      <w:r w:rsidR="00396EF8" w:rsidRPr="00353C75">
        <w:rPr>
          <w:snapToGrid w:val="0"/>
          <w:sz w:val="20"/>
          <w:szCs w:val="22"/>
        </w:rPr>
        <w:t xml:space="preserve"> y Empleo</w:t>
      </w:r>
      <w:r w:rsidRPr="00353C75">
        <w:rPr>
          <w:snapToGrid w:val="0"/>
          <w:sz w:val="20"/>
          <w:szCs w:val="22"/>
        </w:rPr>
        <w:t xml:space="preserve"> </w:t>
      </w:r>
      <w:r w:rsidR="00E6315F" w:rsidRPr="00353C75">
        <w:rPr>
          <w:snapToGrid w:val="0"/>
          <w:sz w:val="20"/>
          <w:szCs w:val="22"/>
        </w:rPr>
        <w:t>concedió</w:t>
      </w:r>
      <w:r w:rsidRPr="00353C75">
        <w:rPr>
          <w:snapToGrid w:val="0"/>
          <w:sz w:val="20"/>
          <w:szCs w:val="22"/>
        </w:rPr>
        <w:t xml:space="preserve"> una subvención por importe de 300.000 euros</w:t>
      </w:r>
      <w:r w:rsidR="0058330F" w:rsidRPr="00353C75">
        <w:rPr>
          <w:snapToGrid w:val="0"/>
          <w:sz w:val="20"/>
          <w:szCs w:val="22"/>
        </w:rPr>
        <w:t xml:space="preserve">, </w:t>
      </w:r>
      <w:r w:rsidR="00E6315F" w:rsidRPr="00353C75">
        <w:rPr>
          <w:snapToGrid w:val="0"/>
          <w:sz w:val="20"/>
          <w:szCs w:val="22"/>
        </w:rPr>
        <w:t>reconoció</w:t>
      </w:r>
      <w:r w:rsidR="0058330F" w:rsidRPr="00353C75">
        <w:rPr>
          <w:snapToGrid w:val="0"/>
          <w:sz w:val="20"/>
          <w:szCs w:val="22"/>
        </w:rPr>
        <w:t xml:space="preserve"> 225.000 euros en Patrimonio y 75.000 euros en pasivos diferidos.</w:t>
      </w:r>
    </w:p>
    <w:p w14:paraId="6BE4B626" w14:textId="77777777" w:rsidR="00D67C6B" w:rsidRDefault="00D67C6B">
      <w:pPr>
        <w:pBdr>
          <w:top w:val="none" w:sz="0" w:space="0" w:color="auto"/>
          <w:left w:val="none" w:sz="0" w:space="0" w:color="auto"/>
          <w:bottom w:val="none" w:sz="0" w:space="0" w:color="auto"/>
          <w:right w:val="none" w:sz="0" w:space="0" w:color="auto"/>
          <w:between w:val="none" w:sz="0" w:space="0" w:color="auto"/>
          <w:bar w:val="none" w:sz="0" w:color="auto"/>
        </w:pBdr>
        <w:outlineLvl w:val="9"/>
        <w:rPr>
          <w:snapToGrid w:val="0"/>
          <w:sz w:val="20"/>
          <w:szCs w:val="22"/>
        </w:rPr>
      </w:pPr>
      <w:r>
        <w:rPr>
          <w:snapToGrid w:val="0"/>
          <w:sz w:val="20"/>
          <w:szCs w:val="22"/>
        </w:rPr>
        <w:br w:type="page"/>
      </w:r>
    </w:p>
    <w:p w14:paraId="60A1A97D" w14:textId="091A0CE8" w:rsidR="006220A2" w:rsidRPr="006E4A4C" w:rsidRDefault="006220A2" w:rsidP="00497BBB">
      <w:pPr>
        <w:keepNext/>
        <w:keepLines/>
        <w:widowControl w:val="0"/>
        <w:tabs>
          <w:tab w:val="center" w:pos="4390"/>
        </w:tabs>
        <w:spacing w:before="200"/>
        <w:rPr>
          <w:b/>
          <w:sz w:val="20"/>
          <w:szCs w:val="22"/>
        </w:rPr>
      </w:pPr>
      <w:r w:rsidRPr="006E4A4C">
        <w:rPr>
          <w:b/>
          <w:sz w:val="20"/>
          <w:szCs w:val="22"/>
        </w:rPr>
        <w:lastRenderedPageBreak/>
        <w:t>15.2 Subvenciones de Explotación</w:t>
      </w:r>
    </w:p>
    <w:p w14:paraId="34F00258" w14:textId="0FB36D1B" w:rsidR="006220A2" w:rsidRPr="001028B8" w:rsidRDefault="006220A2" w:rsidP="00D67C6B">
      <w:pPr>
        <w:widowControl w:val="0"/>
        <w:spacing w:before="120" w:after="120" w:line="260" w:lineRule="exact"/>
        <w:jc w:val="both"/>
        <w:outlineLvl w:val="9"/>
        <w:rPr>
          <w:snapToGrid w:val="0"/>
          <w:sz w:val="20"/>
          <w:szCs w:val="22"/>
        </w:rPr>
      </w:pPr>
      <w:r w:rsidRPr="006E4A4C">
        <w:rPr>
          <w:snapToGrid w:val="0"/>
          <w:sz w:val="20"/>
          <w:szCs w:val="22"/>
        </w:rPr>
        <w:t>El detalle de las subvenciones de explotación</w:t>
      </w:r>
      <w:r w:rsidRPr="001028B8">
        <w:rPr>
          <w:snapToGrid w:val="0"/>
          <w:sz w:val="20"/>
          <w:szCs w:val="22"/>
        </w:rPr>
        <w:t xml:space="preserve"> incorporadas al resultado</w:t>
      </w:r>
      <w:r w:rsidR="00176BA0" w:rsidRPr="001028B8">
        <w:rPr>
          <w:snapToGrid w:val="0"/>
          <w:sz w:val="20"/>
          <w:szCs w:val="22"/>
        </w:rPr>
        <w:t xml:space="preserve"> del ejercicio</w:t>
      </w:r>
      <w:r w:rsidRPr="001028B8">
        <w:rPr>
          <w:snapToGrid w:val="0"/>
          <w:sz w:val="20"/>
          <w:szCs w:val="22"/>
        </w:rPr>
        <w:t xml:space="preserve"> es </w:t>
      </w:r>
      <w:r w:rsidR="00176BA0" w:rsidRPr="001028B8">
        <w:rPr>
          <w:snapToGrid w:val="0"/>
          <w:sz w:val="20"/>
          <w:szCs w:val="22"/>
        </w:rPr>
        <w:t>el siguiente</w:t>
      </w:r>
      <w:r w:rsidRPr="001028B8">
        <w:rPr>
          <w:snapToGrid w:val="0"/>
          <w:sz w:val="20"/>
          <w:szCs w:val="22"/>
        </w:rPr>
        <w:t>:</w:t>
      </w:r>
    </w:p>
    <w:tbl>
      <w:tblPr>
        <w:tblW w:w="9072" w:type="dxa"/>
        <w:tblLayout w:type="fixed"/>
        <w:tblCellMar>
          <w:left w:w="70" w:type="dxa"/>
          <w:right w:w="70" w:type="dxa"/>
        </w:tblCellMar>
        <w:tblLook w:val="04A0" w:firstRow="1" w:lastRow="0" w:firstColumn="1" w:lastColumn="0" w:noHBand="0" w:noVBand="1"/>
      </w:tblPr>
      <w:tblGrid>
        <w:gridCol w:w="6443"/>
        <w:gridCol w:w="1319"/>
        <w:gridCol w:w="1310"/>
      </w:tblGrid>
      <w:tr w:rsidR="00173DFA" w:rsidRPr="001028B8" w14:paraId="19CD18AC" w14:textId="77777777" w:rsidTr="00B1370C">
        <w:trPr>
          <w:trHeight w:val="227"/>
          <w:tblHeader/>
        </w:trPr>
        <w:tc>
          <w:tcPr>
            <w:tcW w:w="3551" w:type="pct"/>
            <w:tcBorders>
              <w:top w:val="single" w:sz="4" w:space="0" w:color="auto"/>
              <w:left w:val="nil"/>
              <w:bottom w:val="nil"/>
              <w:right w:val="nil"/>
            </w:tcBorders>
            <w:shd w:val="clear" w:color="auto" w:fill="auto"/>
            <w:noWrap/>
            <w:vAlign w:val="center"/>
            <w:hideMark/>
          </w:tcPr>
          <w:p w14:paraId="0D75F552" w14:textId="77777777" w:rsidR="00A304AB" w:rsidRPr="001028B8" w:rsidRDefault="00A304AB" w:rsidP="00B1370C">
            <w:pPr>
              <w:keepNext/>
              <w:keepLines/>
              <w:widowControl w:val="0"/>
              <w:pBdr>
                <w:top w:val="none" w:sz="0" w:space="0" w:color="auto"/>
                <w:left w:val="none" w:sz="0" w:space="0" w:color="auto"/>
                <w:bottom w:val="none" w:sz="0" w:space="0" w:color="auto"/>
                <w:right w:val="none" w:sz="0" w:space="0" w:color="auto"/>
                <w:between w:val="none" w:sz="0" w:space="0" w:color="auto"/>
                <w:bar w:val="none" w:sz="0" w:color="auto"/>
              </w:pBdr>
              <w:outlineLvl w:val="9"/>
              <w:rPr>
                <w:rFonts w:ascii="Times New Roman" w:eastAsia="Times New Roman" w:hAnsi="Times New Roman" w:cs="Times New Roman"/>
                <w:color w:val="auto"/>
                <w:sz w:val="16"/>
                <w:szCs w:val="16"/>
                <w:bdr w:val="none" w:sz="0" w:space="0" w:color="auto"/>
                <w:lang w:eastAsia="es-ES"/>
              </w:rPr>
            </w:pPr>
          </w:p>
        </w:tc>
        <w:tc>
          <w:tcPr>
            <w:tcW w:w="1449" w:type="pct"/>
            <w:gridSpan w:val="2"/>
            <w:tcBorders>
              <w:top w:val="single" w:sz="4" w:space="0" w:color="auto"/>
              <w:left w:val="nil"/>
              <w:bottom w:val="single" w:sz="4" w:space="0" w:color="auto"/>
              <w:right w:val="nil"/>
            </w:tcBorders>
            <w:shd w:val="clear" w:color="auto" w:fill="auto"/>
            <w:vAlign w:val="bottom"/>
            <w:hideMark/>
          </w:tcPr>
          <w:p w14:paraId="0150F4D4" w14:textId="77777777" w:rsidR="00A304AB" w:rsidRPr="001028B8" w:rsidRDefault="00A304AB" w:rsidP="00A4210A">
            <w:pPr>
              <w:keepNext/>
              <w:keepLines/>
              <w:widowControl w:val="0"/>
              <w:pBdr>
                <w:top w:val="none" w:sz="0" w:space="0" w:color="auto"/>
                <w:left w:val="none" w:sz="0" w:space="0" w:color="auto"/>
                <w:bottom w:val="none" w:sz="0" w:space="0" w:color="auto"/>
                <w:right w:val="none" w:sz="0" w:space="0" w:color="auto"/>
                <w:between w:val="none" w:sz="0" w:space="0" w:color="auto"/>
                <w:bar w:val="none" w:sz="0" w:color="auto"/>
              </w:pBdr>
              <w:jc w:val="center"/>
              <w:outlineLvl w:val="9"/>
              <w:rPr>
                <w:rFonts w:eastAsia="Times New Roman"/>
                <w:b/>
                <w:bCs/>
                <w:sz w:val="16"/>
                <w:szCs w:val="16"/>
                <w:bdr w:val="none" w:sz="0" w:space="0" w:color="auto"/>
                <w:lang w:eastAsia="es-ES"/>
              </w:rPr>
            </w:pPr>
            <w:r w:rsidRPr="001028B8">
              <w:rPr>
                <w:rFonts w:eastAsia="Times New Roman"/>
                <w:b/>
                <w:bCs/>
                <w:sz w:val="16"/>
                <w:szCs w:val="16"/>
                <w:bdr w:val="none" w:sz="0" w:space="0" w:color="auto"/>
                <w:lang w:eastAsia="es-ES"/>
              </w:rPr>
              <w:t>Euros</w:t>
            </w:r>
          </w:p>
        </w:tc>
      </w:tr>
      <w:tr w:rsidR="00E6315F" w:rsidRPr="001028B8" w14:paraId="232E49E7" w14:textId="77777777" w:rsidTr="00B1370C">
        <w:trPr>
          <w:trHeight w:val="227"/>
          <w:tblHeader/>
        </w:trPr>
        <w:tc>
          <w:tcPr>
            <w:tcW w:w="3551" w:type="pct"/>
            <w:tcBorders>
              <w:top w:val="nil"/>
              <w:left w:val="nil"/>
              <w:bottom w:val="single" w:sz="4" w:space="0" w:color="auto"/>
              <w:right w:val="nil"/>
            </w:tcBorders>
            <w:shd w:val="clear" w:color="auto" w:fill="auto"/>
            <w:noWrap/>
            <w:vAlign w:val="center"/>
            <w:hideMark/>
          </w:tcPr>
          <w:p w14:paraId="6C38460A" w14:textId="4A6B4CA3" w:rsidR="00E6315F" w:rsidRPr="001028B8" w:rsidRDefault="00E6315F" w:rsidP="00B1370C">
            <w:pPr>
              <w:keepNext/>
              <w:keepLines/>
              <w:widowControl w:val="0"/>
              <w:pBdr>
                <w:top w:val="none" w:sz="0" w:space="0" w:color="auto"/>
                <w:left w:val="none" w:sz="0" w:space="0" w:color="auto"/>
                <w:bottom w:val="none" w:sz="0" w:space="0" w:color="auto"/>
                <w:right w:val="none" w:sz="0" w:space="0" w:color="auto"/>
                <w:between w:val="none" w:sz="0" w:space="0" w:color="auto"/>
                <w:bar w:val="none" w:sz="0" w:color="auto"/>
              </w:pBdr>
              <w:outlineLvl w:val="9"/>
              <w:rPr>
                <w:rFonts w:eastAsia="Times New Roman"/>
                <w:sz w:val="16"/>
                <w:szCs w:val="16"/>
                <w:bdr w:val="none" w:sz="0" w:space="0" w:color="auto"/>
                <w:lang w:eastAsia="es-ES"/>
              </w:rPr>
            </w:pPr>
          </w:p>
        </w:tc>
        <w:tc>
          <w:tcPr>
            <w:tcW w:w="727" w:type="pct"/>
            <w:tcBorders>
              <w:top w:val="nil"/>
              <w:left w:val="nil"/>
              <w:bottom w:val="single" w:sz="4" w:space="0" w:color="auto"/>
              <w:right w:val="nil"/>
            </w:tcBorders>
            <w:shd w:val="clear" w:color="auto" w:fill="auto"/>
            <w:vAlign w:val="bottom"/>
            <w:hideMark/>
          </w:tcPr>
          <w:p w14:paraId="45E3E4E2" w14:textId="59B8D816" w:rsidR="00E6315F" w:rsidRPr="001028B8" w:rsidRDefault="00E6315F" w:rsidP="00A4210A">
            <w:pPr>
              <w:keepNext/>
              <w:keepLines/>
              <w:widowControl w:val="0"/>
              <w:pBdr>
                <w:top w:val="none" w:sz="0" w:space="0" w:color="auto"/>
                <w:left w:val="none" w:sz="0" w:space="0" w:color="auto"/>
                <w:bottom w:val="none" w:sz="0" w:space="0" w:color="auto"/>
                <w:right w:val="none" w:sz="0" w:space="0" w:color="auto"/>
                <w:between w:val="none" w:sz="0" w:space="0" w:color="auto"/>
                <w:bar w:val="none" w:sz="0" w:color="auto"/>
              </w:pBdr>
              <w:jc w:val="center"/>
              <w:outlineLvl w:val="9"/>
              <w:rPr>
                <w:rFonts w:eastAsia="Times New Roman"/>
                <w:b/>
                <w:bCs/>
                <w:sz w:val="16"/>
                <w:szCs w:val="16"/>
                <w:bdr w:val="none" w:sz="0" w:space="0" w:color="auto"/>
                <w:lang w:eastAsia="es-ES"/>
              </w:rPr>
            </w:pPr>
            <w:r w:rsidRPr="001028B8">
              <w:rPr>
                <w:rFonts w:eastAsia="Times New Roman"/>
                <w:b/>
                <w:bCs/>
                <w:sz w:val="16"/>
                <w:szCs w:val="16"/>
                <w:bdr w:val="none" w:sz="0" w:space="0" w:color="auto"/>
                <w:lang w:eastAsia="es-ES"/>
              </w:rPr>
              <w:t>202</w:t>
            </w:r>
            <w:r w:rsidR="00623AD4">
              <w:rPr>
                <w:rFonts w:eastAsia="Times New Roman"/>
                <w:b/>
                <w:bCs/>
                <w:sz w:val="16"/>
                <w:szCs w:val="16"/>
                <w:bdr w:val="none" w:sz="0" w:space="0" w:color="auto"/>
                <w:lang w:eastAsia="es-ES"/>
              </w:rPr>
              <w:t>4</w:t>
            </w:r>
          </w:p>
        </w:tc>
        <w:tc>
          <w:tcPr>
            <w:tcW w:w="722" w:type="pct"/>
            <w:tcBorders>
              <w:top w:val="nil"/>
              <w:left w:val="nil"/>
              <w:bottom w:val="single" w:sz="4" w:space="0" w:color="auto"/>
              <w:right w:val="nil"/>
            </w:tcBorders>
            <w:shd w:val="clear" w:color="auto" w:fill="auto"/>
            <w:vAlign w:val="bottom"/>
            <w:hideMark/>
          </w:tcPr>
          <w:p w14:paraId="52D07BE8" w14:textId="662A2851" w:rsidR="00E6315F" w:rsidRPr="001028B8" w:rsidRDefault="001028B8" w:rsidP="00A4210A">
            <w:pPr>
              <w:keepNext/>
              <w:keepLines/>
              <w:widowControl w:val="0"/>
              <w:pBdr>
                <w:top w:val="none" w:sz="0" w:space="0" w:color="auto"/>
                <w:left w:val="none" w:sz="0" w:space="0" w:color="auto"/>
                <w:bottom w:val="none" w:sz="0" w:space="0" w:color="auto"/>
                <w:right w:val="none" w:sz="0" w:space="0" w:color="auto"/>
                <w:between w:val="none" w:sz="0" w:space="0" w:color="auto"/>
                <w:bar w:val="none" w:sz="0" w:color="auto"/>
              </w:pBdr>
              <w:jc w:val="center"/>
              <w:outlineLvl w:val="9"/>
              <w:rPr>
                <w:rFonts w:eastAsia="Times New Roman"/>
                <w:b/>
                <w:bCs/>
                <w:sz w:val="16"/>
                <w:szCs w:val="16"/>
                <w:bdr w:val="none" w:sz="0" w:space="0" w:color="auto"/>
                <w:lang w:eastAsia="es-ES"/>
              </w:rPr>
            </w:pPr>
            <w:r>
              <w:rPr>
                <w:rFonts w:eastAsia="Times New Roman"/>
                <w:b/>
                <w:bCs/>
                <w:sz w:val="16"/>
                <w:szCs w:val="16"/>
                <w:bdr w:val="none" w:sz="0" w:space="0" w:color="auto"/>
                <w:lang w:eastAsia="es-ES"/>
              </w:rPr>
              <w:t>202</w:t>
            </w:r>
            <w:r w:rsidR="00623AD4">
              <w:rPr>
                <w:rFonts w:eastAsia="Times New Roman"/>
                <w:b/>
                <w:bCs/>
                <w:sz w:val="16"/>
                <w:szCs w:val="16"/>
                <w:bdr w:val="none" w:sz="0" w:space="0" w:color="auto"/>
                <w:lang w:eastAsia="es-ES"/>
              </w:rPr>
              <w:t>3</w:t>
            </w:r>
          </w:p>
        </w:tc>
      </w:tr>
      <w:tr w:rsidR="00A328B0" w:rsidRPr="001028B8" w14:paraId="78849123" w14:textId="77777777" w:rsidTr="00B1370C">
        <w:trPr>
          <w:trHeight w:val="454"/>
        </w:trPr>
        <w:tc>
          <w:tcPr>
            <w:tcW w:w="3551" w:type="pct"/>
            <w:tcBorders>
              <w:top w:val="single" w:sz="4" w:space="0" w:color="auto"/>
              <w:left w:val="nil"/>
              <w:bottom w:val="single" w:sz="4" w:space="0" w:color="auto"/>
              <w:right w:val="nil"/>
            </w:tcBorders>
            <w:shd w:val="clear" w:color="auto" w:fill="auto"/>
            <w:noWrap/>
            <w:vAlign w:val="center"/>
          </w:tcPr>
          <w:p w14:paraId="3B5E0D35" w14:textId="1167F617" w:rsidR="00A328B0" w:rsidRDefault="00A328B0" w:rsidP="00B1370C">
            <w:pPr>
              <w:pBdr>
                <w:top w:val="none" w:sz="0" w:space="0" w:color="auto"/>
                <w:left w:val="none" w:sz="0" w:space="0" w:color="auto"/>
                <w:bottom w:val="none" w:sz="0" w:space="0" w:color="auto"/>
                <w:right w:val="none" w:sz="0" w:space="0" w:color="auto"/>
                <w:between w:val="none" w:sz="0" w:space="0" w:color="auto"/>
                <w:bar w:val="none" w:sz="0" w:color="auto"/>
              </w:pBdr>
              <w:outlineLvl w:val="9"/>
              <w:rPr>
                <w:sz w:val="16"/>
                <w:szCs w:val="16"/>
              </w:rPr>
            </w:pPr>
            <w:r>
              <w:rPr>
                <w:sz w:val="16"/>
                <w:szCs w:val="16"/>
              </w:rPr>
              <w:t>Consejería de Turismo y Empleo:</w:t>
            </w:r>
          </w:p>
          <w:p w14:paraId="41D5D57F" w14:textId="56955EAE" w:rsidR="00A328B0" w:rsidRPr="001028B8" w:rsidRDefault="00A328B0" w:rsidP="00B1370C">
            <w:pPr>
              <w:pBdr>
                <w:top w:val="none" w:sz="0" w:space="0" w:color="auto"/>
                <w:left w:val="none" w:sz="0" w:space="0" w:color="auto"/>
                <w:bottom w:val="none" w:sz="0" w:space="0" w:color="auto"/>
                <w:right w:val="none" w:sz="0" w:space="0" w:color="auto"/>
                <w:between w:val="none" w:sz="0" w:space="0" w:color="auto"/>
                <w:bar w:val="none" w:sz="0" w:color="auto"/>
              </w:pBdr>
              <w:outlineLvl w:val="9"/>
              <w:rPr>
                <w:rFonts w:eastAsia="Times New Roman"/>
                <w:sz w:val="16"/>
                <w:szCs w:val="16"/>
                <w:bdr w:val="none" w:sz="0" w:space="0" w:color="auto"/>
                <w:lang w:eastAsia="es-ES"/>
              </w:rPr>
            </w:pPr>
            <w:r>
              <w:rPr>
                <w:sz w:val="16"/>
                <w:szCs w:val="16"/>
              </w:rPr>
              <w:t>para el desarrollo de actividad promocional (FEDER)</w:t>
            </w:r>
          </w:p>
        </w:tc>
        <w:tc>
          <w:tcPr>
            <w:tcW w:w="727" w:type="pct"/>
            <w:tcBorders>
              <w:top w:val="single" w:sz="4" w:space="0" w:color="auto"/>
              <w:left w:val="nil"/>
              <w:bottom w:val="single" w:sz="4" w:space="0" w:color="auto"/>
              <w:right w:val="nil"/>
            </w:tcBorders>
            <w:shd w:val="clear" w:color="auto" w:fill="auto"/>
            <w:vAlign w:val="center"/>
          </w:tcPr>
          <w:p w14:paraId="436C33EA" w14:textId="44DE4D56" w:rsidR="00A328B0" w:rsidRPr="00A328B0" w:rsidRDefault="00A328B0" w:rsidP="00A328B0">
            <w:pPr>
              <w:pBdr>
                <w:top w:val="none" w:sz="0" w:space="0" w:color="auto"/>
                <w:left w:val="none" w:sz="0" w:space="0" w:color="auto"/>
                <w:bottom w:val="none" w:sz="0" w:space="0" w:color="auto"/>
                <w:right w:val="none" w:sz="0" w:space="0" w:color="auto"/>
                <w:between w:val="none" w:sz="0" w:space="0" w:color="auto"/>
                <w:bar w:val="none" w:sz="0" w:color="auto"/>
              </w:pBdr>
              <w:jc w:val="right"/>
              <w:outlineLvl w:val="9"/>
              <w:rPr>
                <w:rFonts w:eastAsia="Times New Roman"/>
                <w:sz w:val="16"/>
                <w:szCs w:val="16"/>
                <w:bdr w:val="none" w:sz="0" w:space="0" w:color="auto"/>
                <w:lang w:eastAsia="es-ES"/>
              </w:rPr>
            </w:pPr>
            <w:r w:rsidRPr="00A328B0">
              <w:rPr>
                <w:sz w:val="16"/>
                <w:szCs w:val="16"/>
              </w:rPr>
              <w:t>11.799.033,66</w:t>
            </w:r>
          </w:p>
        </w:tc>
        <w:tc>
          <w:tcPr>
            <w:tcW w:w="722" w:type="pct"/>
            <w:tcBorders>
              <w:top w:val="single" w:sz="4" w:space="0" w:color="auto"/>
              <w:left w:val="nil"/>
              <w:bottom w:val="single" w:sz="4" w:space="0" w:color="auto"/>
              <w:right w:val="nil"/>
            </w:tcBorders>
            <w:shd w:val="clear" w:color="auto" w:fill="auto"/>
            <w:vAlign w:val="center"/>
          </w:tcPr>
          <w:p w14:paraId="29107C7D" w14:textId="37B62C35" w:rsidR="00A328B0" w:rsidRPr="001028B8" w:rsidRDefault="00A328B0" w:rsidP="00A328B0">
            <w:pPr>
              <w:jc w:val="right"/>
              <w:rPr>
                <w:sz w:val="16"/>
                <w:szCs w:val="16"/>
              </w:rPr>
            </w:pPr>
            <w:r>
              <w:rPr>
                <w:sz w:val="16"/>
                <w:szCs w:val="16"/>
              </w:rPr>
              <w:t>10.129.173,73</w:t>
            </w:r>
          </w:p>
        </w:tc>
      </w:tr>
      <w:tr w:rsidR="00A328B0" w:rsidRPr="001028B8" w14:paraId="06AE3D82" w14:textId="77777777" w:rsidTr="00B1370C">
        <w:trPr>
          <w:trHeight w:val="454"/>
        </w:trPr>
        <w:tc>
          <w:tcPr>
            <w:tcW w:w="3551" w:type="pct"/>
            <w:tcBorders>
              <w:top w:val="single" w:sz="4" w:space="0" w:color="auto"/>
              <w:left w:val="nil"/>
              <w:bottom w:val="single" w:sz="4" w:space="0" w:color="auto"/>
              <w:right w:val="nil"/>
            </w:tcBorders>
            <w:shd w:val="clear" w:color="auto" w:fill="auto"/>
            <w:noWrap/>
            <w:vAlign w:val="center"/>
          </w:tcPr>
          <w:p w14:paraId="0C5FE9B4" w14:textId="5C5880E8" w:rsidR="00A328B0" w:rsidRDefault="00A328B0" w:rsidP="00B1370C">
            <w:pPr>
              <w:rPr>
                <w:sz w:val="16"/>
                <w:szCs w:val="16"/>
              </w:rPr>
            </w:pPr>
            <w:r>
              <w:rPr>
                <w:sz w:val="16"/>
                <w:szCs w:val="16"/>
              </w:rPr>
              <w:t>Consejería de Turismo y Empleo:</w:t>
            </w:r>
          </w:p>
          <w:p w14:paraId="10C0E1BB" w14:textId="636A9EEE" w:rsidR="00A328B0" w:rsidRPr="001028B8" w:rsidRDefault="00A328B0" w:rsidP="00B1370C">
            <w:pPr>
              <w:rPr>
                <w:sz w:val="16"/>
                <w:szCs w:val="16"/>
              </w:rPr>
            </w:pPr>
            <w:r>
              <w:rPr>
                <w:sz w:val="16"/>
                <w:szCs w:val="16"/>
              </w:rPr>
              <w:t>para el desarrollo de actividad promocional (NO FEDER)</w:t>
            </w:r>
          </w:p>
        </w:tc>
        <w:tc>
          <w:tcPr>
            <w:tcW w:w="727" w:type="pct"/>
            <w:tcBorders>
              <w:top w:val="single" w:sz="4" w:space="0" w:color="auto"/>
              <w:left w:val="nil"/>
              <w:bottom w:val="single" w:sz="4" w:space="0" w:color="auto"/>
              <w:right w:val="nil"/>
            </w:tcBorders>
            <w:shd w:val="clear" w:color="auto" w:fill="auto"/>
            <w:vAlign w:val="center"/>
          </w:tcPr>
          <w:p w14:paraId="52A079B5" w14:textId="1F49B196" w:rsidR="00A328B0" w:rsidRPr="00A328B0" w:rsidRDefault="00A328B0" w:rsidP="00A328B0">
            <w:pPr>
              <w:jc w:val="right"/>
              <w:rPr>
                <w:sz w:val="16"/>
                <w:szCs w:val="16"/>
              </w:rPr>
            </w:pPr>
            <w:r w:rsidRPr="00A328B0">
              <w:rPr>
                <w:sz w:val="16"/>
                <w:szCs w:val="16"/>
              </w:rPr>
              <w:t>10.442.610,00</w:t>
            </w:r>
          </w:p>
        </w:tc>
        <w:tc>
          <w:tcPr>
            <w:tcW w:w="722" w:type="pct"/>
            <w:tcBorders>
              <w:top w:val="single" w:sz="4" w:space="0" w:color="auto"/>
              <w:left w:val="nil"/>
              <w:bottom w:val="single" w:sz="4" w:space="0" w:color="auto"/>
              <w:right w:val="nil"/>
            </w:tcBorders>
            <w:shd w:val="clear" w:color="auto" w:fill="auto"/>
            <w:vAlign w:val="center"/>
          </w:tcPr>
          <w:p w14:paraId="7169E620" w14:textId="17A69C82" w:rsidR="00A328B0" w:rsidRPr="001028B8" w:rsidRDefault="00A328B0" w:rsidP="00A328B0">
            <w:pPr>
              <w:jc w:val="right"/>
              <w:rPr>
                <w:sz w:val="16"/>
                <w:szCs w:val="16"/>
              </w:rPr>
            </w:pPr>
            <w:r>
              <w:rPr>
                <w:sz w:val="16"/>
                <w:szCs w:val="16"/>
              </w:rPr>
              <w:t>8.407.361,00</w:t>
            </w:r>
          </w:p>
        </w:tc>
      </w:tr>
      <w:tr w:rsidR="00A328B0" w:rsidRPr="001028B8" w14:paraId="703C422A" w14:textId="77777777" w:rsidTr="00B1370C">
        <w:trPr>
          <w:trHeight w:val="454"/>
        </w:trPr>
        <w:tc>
          <w:tcPr>
            <w:tcW w:w="3551" w:type="pct"/>
            <w:tcBorders>
              <w:top w:val="single" w:sz="4" w:space="0" w:color="auto"/>
              <w:left w:val="nil"/>
              <w:bottom w:val="single" w:sz="4" w:space="0" w:color="auto"/>
              <w:right w:val="nil"/>
            </w:tcBorders>
            <w:shd w:val="clear" w:color="auto" w:fill="auto"/>
            <w:noWrap/>
            <w:vAlign w:val="center"/>
          </w:tcPr>
          <w:p w14:paraId="0CEAE800" w14:textId="77777777" w:rsidR="00B1370C" w:rsidRDefault="00A328B0" w:rsidP="00B1370C">
            <w:pPr>
              <w:pBdr>
                <w:top w:val="none" w:sz="0" w:space="0" w:color="auto"/>
                <w:left w:val="none" w:sz="0" w:space="0" w:color="auto"/>
                <w:bottom w:val="none" w:sz="0" w:space="0" w:color="auto"/>
                <w:right w:val="none" w:sz="0" w:space="0" w:color="auto"/>
                <w:between w:val="none" w:sz="0" w:space="0" w:color="auto"/>
                <w:bar w:val="none" w:sz="0" w:color="auto"/>
              </w:pBdr>
              <w:outlineLvl w:val="9"/>
              <w:rPr>
                <w:sz w:val="16"/>
                <w:szCs w:val="16"/>
              </w:rPr>
            </w:pPr>
            <w:r>
              <w:rPr>
                <w:sz w:val="16"/>
                <w:szCs w:val="16"/>
              </w:rPr>
              <w:t xml:space="preserve">Consejería de Turismo y Empleo: para el desarrollo de la actividad promocional </w:t>
            </w:r>
          </w:p>
          <w:p w14:paraId="74876481" w14:textId="7B948CCF" w:rsidR="00A328B0" w:rsidRPr="001028B8" w:rsidRDefault="00A328B0" w:rsidP="00B1370C">
            <w:pPr>
              <w:pBdr>
                <w:top w:val="none" w:sz="0" w:space="0" w:color="auto"/>
                <w:left w:val="none" w:sz="0" w:space="0" w:color="auto"/>
                <w:bottom w:val="none" w:sz="0" w:space="0" w:color="auto"/>
                <w:right w:val="none" w:sz="0" w:space="0" w:color="auto"/>
                <w:between w:val="none" w:sz="0" w:space="0" w:color="auto"/>
                <w:bar w:val="none" w:sz="0" w:color="auto"/>
              </w:pBdr>
              <w:outlineLvl w:val="9"/>
              <w:rPr>
                <w:rFonts w:eastAsia="Times New Roman"/>
                <w:sz w:val="16"/>
                <w:szCs w:val="16"/>
                <w:bdr w:val="none" w:sz="0" w:space="0" w:color="auto"/>
                <w:lang w:eastAsia="es-ES"/>
              </w:rPr>
            </w:pPr>
            <w:r>
              <w:rPr>
                <w:sz w:val="16"/>
                <w:szCs w:val="16"/>
              </w:rPr>
              <w:t>para la Cohesión, y los Territorios de Europa (REACT-EU)</w:t>
            </w:r>
          </w:p>
        </w:tc>
        <w:tc>
          <w:tcPr>
            <w:tcW w:w="727" w:type="pct"/>
            <w:tcBorders>
              <w:top w:val="single" w:sz="4" w:space="0" w:color="auto"/>
              <w:left w:val="nil"/>
              <w:bottom w:val="single" w:sz="4" w:space="0" w:color="auto"/>
              <w:right w:val="nil"/>
            </w:tcBorders>
            <w:shd w:val="clear" w:color="auto" w:fill="auto"/>
            <w:vAlign w:val="center"/>
          </w:tcPr>
          <w:p w14:paraId="092798A9" w14:textId="1A809135" w:rsidR="00A328B0" w:rsidRPr="001028B8" w:rsidRDefault="00A328B0" w:rsidP="00A328B0">
            <w:pPr>
              <w:pBdr>
                <w:top w:val="none" w:sz="0" w:space="0" w:color="auto"/>
                <w:left w:val="none" w:sz="0" w:space="0" w:color="auto"/>
                <w:bottom w:val="none" w:sz="0" w:space="0" w:color="auto"/>
                <w:right w:val="none" w:sz="0" w:space="0" w:color="auto"/>
                <w:between w:val="none" w:sz="0" w:space="0" w:color="auto"/>
                <w:bar w:val="none" w:sz="0" w:color="auto"/>
              </w:pBdr>
              <w:jc w:val="right"/>
              <w:outlineLvl w:val="9"/>
              <w:rPr>
                <w:rFonts w:eastAsia="Times New Roman"/>
                <w:sz w:val="16"/>
                <w:szCs w:val="16"/>
                <w:bdr w:val="none" w:sz="0" w:space="0" w:color="auto"/>
                <w:lang w:eastAsia="es-ES"/>
              </w:rPr>
            </w:pPr>
            <w:r>
              <w:rPr>
                <w:sz w:val="16"/>
                <w:szCs w:val="16"/>
              </w:rPr>
              <w:t xml:space="preserve"> -</w:t>
            </w:r>
          </w:p>
        </w:tc>
        <w:tc>
          <w:tcPr>
            <w:tcW w:w="722" w:type="pct"/>
            <w:tcBorders>
              <w:top w:val="single" w:sz="4" w:space="0" w:color="auto"/>
              <w:left w:val="nil"/>
              <w:bottom w:val="single" w:sz="4" w:space="0" w:color="auto"/>
              <w:right w:val="nil"/>
            </w:tcBorders>
            <w:shd w:val="clear" w:color="auto" w:fill="auto"/>
            <w:vAlign w:val="center"/>
          </w:tcPr>
          <w:p w14:paraId="4F183F2B" w14:textId="1D8D2028" w:rsidR="00A328B0" w:rsidRPr="001028B8" w:rsidRDefault="00A328B0" w:rsidP="00A328B0">
            <w:pPr>
              <w:jc w:val="right"/>
              <w:rPr>
                <w:sz w:val="16"/>
                <w:szCs w:val="16"/>
              </w:rPr>
            </w:pPr>
            <w:r>
              <w:rPr>
                <w:sz w:val="16"/>
                <w:szCs w:val="16"/>
              </w:rPr>
              <w:t>13.996.966,13</w:t>
            </w:r>
          </w:p>
        </w:tc>
      </w:tr>
      <w:tr w:rsidR="00A328B0" w:rsidRPr="001028B8" w14:paraId="3CD938D1" w14:textId="77777777" w:rsidTr="00B1370C">
        <w:trPr>
          <w:trHeight w:val="454"/>
        </w:trPr>
        <w:tc>
          <w:tcPr>
            <w:tcW w:w="3551" w:type="pct"/>
            <w:tcBorders>
              <w:top w:val="single" w:sz="4" w:space="0" w:color="auto"/>
              <w:left w:val="nil"/>
              <w:bottom w:val="single" w:sz="4" w:space="0" w:color="auto"/>
              <w:right w:val="nil"/>
            </w:tcBorders>
            <w:shd w:val="clear" w:color="auto" w:fill="auto"/>
            <w:noWrap/>
            <w:vAlign w:val="center"/>
          </w:tcPr>
          <w:p w14:paraId="4500D79C" w14:textId="4A563918" w:rsidR="00A328B0" w:rsidRDefault="00A328B0" w:rsidP="00B1370C">
            <w:pPr>
              <w:pBdr>
                <w:top w:val="none" w:sz="0" w:space="0" w:color="auto"/>
                <w:left w:val="none" w:sz="0" w:space="0" w:color="auto"/>
                <w:bottom w:val="none" w:sz="0" w:space="0" w:color="auto"/>
                <w:right w:val="none" w:sz="0" w:space="0" w:color="auto"/>
                <w:between w:val="none" w:sz="0" w:space="0" w:color="auto"/>
                <w:bar w:val="none" w:sz="0" w:color="auto"/>
              </w:pBdr>
              <w:outlineLvl w:val="9"/>
              <w:rPr>
                <w:sz w:val="16"/>
                <w:szCs w:val="16"/>
              </w:rPr>
            </w:pPr>
            <w:r>
              <w:rPr>
                <w:sz w:val="16"/>
                <w:szCs w:val="16"/>
              </w:rPr>
              <w:t>Consejería de Turismo y Empleo:</w:t>
            </w:r>
          </w:p>
          <w:p w14:paraId="795AB19C" w14:textId="222D757C" w:rsidR="00A328B0" w:rsidRPr="001028B8" w:rsidRDefault="00A328B0" w:rsidP="00B1370C">
            <w:pPr>
              <w:pBdr>
                <w:top w:val="none" w:sz="0" w:space="0" w:color="auto"/>
                <w:left w:val="none" w:sz="0" w:space="0" w:color="auto"/>
                <w:bottom w:val="none" w:sz="0" w:space="0" w:color="auto"/>
                <w:right w:val="none" w:sz="0" w:space="0" w:color="auto"/>
                <w:between w:val="none" w:sz="0" w:space="0" w:color="auto"/>
                <w:bar w:val="none" w:sz="0" w:color="auto"/>
              </w:pBdr>
              <w:outlineLvl w:val="9"/>
              <w:rPr>
                <w:rFonts w:eastAsia="Times New Roman"/>
                <w:sz w:val="16"/>
                <w:szCs w:val="16"/>
                <w:bdr w:val="none" w:sz="0" w:space="0" w:color="auto"/>
                <w:lang w:eastAsia="es-ES"/>
              </w:rPr>
            </w:pPr>
            <w:r>
              <w:rPr>
                <w:sz w:val="16"/>
                <w:szCs w:val="16"/>
              </w:rPr>
              <w:t>para un plan de dinamización turística del norte de La Gomera</w:t>
            </w:r>
          </w:p>
        </w:tc>
        <w:tc>
          <w:tcPr>
            <w:tcW w:w="727" w:type="pct"/>
            <w:tcBorders>
              <w:top w:val="single" w:sz="4" w:space="0" w:color="auto"/>
              <w:left w:val="nil"/>
              <w:bottom w:val="single" w:sz="4" w:space="0" w:color="auto"/>
              <w:right w:val="nil"/>
            </w:tcBorders>
            <w:shd w:val="clear" w:color="auto" w:fill="auto"/>
            <w:vAlign w:val="center"/>
          </w:tcPr>
          <w:p w14:paraId="275C947A" w14:textId="514F6CB4" w:rsidR="00A328B0" w:rsidRPr="001028B8" w:rsidRDefault="00A328B0" w:rsidP="00A328B0">
            <w:pPr>
              <w:jc w:val="right"/>
              <w:rPr>
                <w:sz w:val="16"/>
                <w:szCs w:val="16"/>
              </w:rPr>
            </w:pPr>
            <w:r>
              <w:rPr>
                <w:sz w:val="16"/>
                <w:szCs w:val="16"/>
              </w:rPr>
              <w:t>176.430,68</w:t>
            </w:r>
          </w:p>
        </w:tc>
        <w:tc>
          <w:tcPr>
            <w:tcW w:w="722" w:type="pct"/>
            <w:tcBorders>
              <w:top w:val="single" w:sz="4" w:space="0" w:color="auto"/>
              <w:left w:val="nil"/>
              <w:bottom w:val="single" w:sz="4" w:space="0" w:color="auto"/>
              <w:right w:val="nil"/>
            </w:tcBorders>
            <w:shd w:val="clear" w:color="auto" w:fill="auto"/>
            <w:vAlign w:val="center"/>
          </w:tcPr>
          <w:p w14:paraId="25B8C7E4" w14:textId="7D44564A" w:rsidR="00A328B0" w:rsidRPr="001028B8" w:rsidRDefault="00A328B0" w:rsidP="00A328B0">
            <w:pPr>
              <w:jc w:val="right"/>
              <w:rPr>
                <w:sz w:val="16"/>
                <w:szCs w:val="16"/>
              </w:rPr>
            </w:pPr>
            <w:r>
              <w:rPr>
                <w:sz w:val="16"/>
                <w:szCs w:val="16"/>
              </w:rPr>
              <w:t>245.569,32</w:t>
            </w:r>
          </w:p>
        </w:tc>
      </w:tr>
      <w:tr w:rsidR="00A328B0" w:rsidRPr="001028B8" w14:paraId="19C2C4B4" w14:textId="77777777" w:rsidTr="00B1370C">
        <w:trPr>
          <w:trHeight w:val="340"/>
        </w:trPr>
        <w:tc>
          <w:tcPr>
            <w:tcW w:w="3551" w:type="pct"/>
            <w:tcBorders>
              <w:top w:val="single" w:sz="4" w:space="0" w:color="auto"/>
              <w:left w:val="nil"/>
              <w:bottom w:val="single" w:sz="4" w:space="0" w:color="auto"/>
              <w:right w:val="nil"/>
            </w:tcBorders>
            <w:shd w:val="clear" w:color="auto" w:fill="auto"/>
            <w:noWrap/>
            <w:vAlign w:val="center"/>
          </w:tcPr>
          <w:p w14:paraId="0CEA7888" w14:textId="68D92E60" w:rsidR="00A328B0" w:rsidRDefault="00A328B0" w:rsidP="00B1370C">
            <w:pPr>
              <w:pBdr>
                <w:top w:val="none" w:sz="0" w:space="0" w:color="auto"/>
                <w:left w:val="none" w:sz="0" w:space="0" w:color="auto"/>
                <w:bottom w:val="none" w:sz="0" w:space="0" w:color="auto"/>
                <w:right w:val="none" w:sz="0" w:space="0" w:color="auto"/>
                <w:between w:val="none" w:sz="0" w:space="0" w:color="auto"/>
                <w:bar w:val="none" w:sz="0" w:color="auto"/>
              </w:pBdr>
              <w:outlineLvl w:val="9"/>
              <w:rPr>
                <w:sz w:val="16"/>
                <w:szCs w:val="16"/>
              </w:rPr>
            </w:pPr>
            <w:r>
              <w:rPr>
                <w:sz w:val="16"/>
                <w:szCs w:val="16"/>
              </w:rPr>
              <w:t>Consejería de Turismo y Empleo:</w:t>
            </w:r>
          </w:p>
          <w:p w14:paraId="4B982E48" w14:textId="4C5C530A" w:rsidR="00A328B0" w:rsidRPr="001028B8" w:rsidRDefault="00A328B0" w:rsidP="00B1370C">
            <w:pPr>
              <w:pBdr>
                <w:top w:val="none" w:sz="0" w:space="0" w:color="auto"/>
                <w:left w:val="none" w:sz="0" w:space="0" w:color="auto"/>
                <w:bottom w:val="none" w:sz="0" w:space="0" w:color="auto"/>
                <w:right w:val="none" w:sz="0" w:space="0" w:color="auto"/>
                <w:between w:val="none" w:sz="0" w:space="0" w:color="auto"/>
                <w:bar w:val="none" w:sz="0" w:color="auto"/>
              </w:pBdr>
              <w:outlineLvl w:val="9"/>
              <w:rPr>
                <w:rFonts w:eastAsia="Times New Roman"/>
                <w:sz w:val="16"/>
                <w:szCs w:val="16"/>
                <w:bdr w:val="none" w:sz="0" w:space="0" w:color="auto"/>
                <w:lang w:eastAsia="es-ES"/>
              </w:rPr>
            </w:pPr>
            <w:r>
              <w:rPr>
                <w:sz w:val="16"/>
                <w:szCs w:val="16"/>
              </w:rPr>
              <w:t>Para el proyecto "Bonos La Palma"</w:t>
            </w:r>
          </w:p>
        </w:tc>
        <w:tc>
          <w:tcPr>
            <w:tcW w:w="727" w:type="pct"/>
            <w:tcBorders>
              <w:top w:val="single" w:sz="4" w:space="0" w:color="auto"/>
              <w:left w:val="nil"/>
              <w:bottom w:val="single" w:sz="4" w:space="0" w:color="auto"/>
              <w:right w:val="nil"/>
            </w:tcBorders>
            <w:shd w:val="clear" w:color="auto" w:fill="auto"/>
            <w:vAlign w:val="center"/>
          </w:tcPr>
          <w:p w14:paraId="2834611E" w14:textId="073308E7" w:rsidR="00A328B0" w:rsidRPr="001028B8" w:rsidRDefault="00A328B0" w:rsidP="00A328B0">
            <w:pPr>
              <w:jc w:val="right"/>
              <w:rPr>
                <w:sz w:val="16"/>
                <w:szCs w:val="16"/>
              </w:rPr>
            </w:pPr>
            <w:r>
              <w:rPr>
                <w:sz w:val="16"/>
                <w:szCs w:val="16"/>
              </w:rPr>
              <w:t xml:space="preserve"> -</w:t>
            </w:r>
          </w:p>
        </w:tc>
        <w:tc>
          <w:tcPr>
            <w:tcW w:w="722" w:type="pct"/>
            <w:tcBorders>
              <w:top w:val="single" w:sz="4" w:space="0" w:color="auto"/>
              <w:left w:val="nil"/>
              <w:bottom w:val="single" w:sz="4" w:space="0" w:color="auto"/>
              <w:right w:val="nil"/>
            </w:tcBorders>
            <w:shd w:val="clear" w:color="auto" w:fill="auto"/>
            <w:vAlign w:val="center"/>
          </w:tcPr>
          <w:p w14:paraId="7C7E7105" w14:textId="7E154219" w:rsidR="00A328B0" w:rsidRPr="001028B8" w:rsidRDefault="00A328B0" w:rsidP="00A328B0">
            <w:pPr>
              <w:jc w:val="right"/>
              <w:rPr>
                <w:sz w:val="16"/>
                <w:szCs w:val="16"/>
              </w:rPr>
            </w:pPr>
            <w:r>
              <w:rPr>
                <w:sz w:val="16"/>
                <w:szCs w:val="16"/>
              </w:rPr>
              <w:t>1.147.925,77</w:t>
            </w:r>
          </w:p>
        </w:tc>
      </w:tr>
      <w:tr w:rsidR="00A328B0" w:rsidRPr="001028B8" w14:paraId="2208C0EC" w14:textId="77777777" w:rsidTr="00B1370C">
        <w:trPr>
          <w:trHeight w:val="454"/>
        </w:trPr>
        <w:tc>
          <w:tcPr>
            <w:tcW w:w="3551" w:type="pct"/>
            <w:tcBorders>
              <w:top w:val="single" w:sz="4" w:space="0" w:color="auto"/>
              <w:left w:val="nil"/>
              <w:bottom w:val="single" w:sz="4" w:space="0" w:color="auto"/>
              <w:right w:val="nil"/>
            </w:tcBorders>
            <w:shd w:val="clear" w:color="auto" w:fill="auto"/>
            <w:noWrap/>
            <w:vAlign w:val="center"/>
          </w:tcPr>
          <w:p w14:paraId="28EBE878" w14:textId="6ED4FEDA" w:rsidR="00A328B0" w:rsidRDefault="00A328B0" w:rsidP="00B1370C">
            <w:pPr>
              <w:pBdr>
                <w:top w:val="none" w:sz="0" w:space="0" w:color="auto"/>
                <w:left w:val="none" w:sz="0" w:space="0" w:color="auto"/>
                <w:bottom w:val="none" w:sz="0" w:space="0" w:color="auto"/>
                <w:right w:val="none" w:sz="0" w:space="0" w:color="auto"/>
                <w:between w:val="none" w:sz="0" w:space="0" w:color="auto"/>
                <w:bar w:val="none" w:sz="0" w:color="auto"/>
              </w:pBdr>
              <w:outlineLvl w:val="9"/>
              <w:rPr>
                <w:sz w:val="16"/>
                <w:szCs w:val="16"/>
              </w:rPr>
            </w:pPr>
            <w:r>
              <w:rPr>
                <w:sz w:val="16"/>
                <w:szCs w:val="16"/>
              </w:rPr>
              <w:t>Consejería de Turismo y Empleo:</w:t>
            </w:r>
          </w:p>
          <w:p w14:paraId="566D548E" w14:textId="1A1EC157" w:rsidR="00A328B0" w:rsidRPr="001028B8" w:rsidRDefault="00A328B0" w:rsidP="00B1370C">
            <w:pPr>
              <w:pBdr>
                <w:top w:val="none" w:sz="0" w:space="0" w:color="auto"/>
                <w:left w:val="none" w:sz="0" w:space="0" w:color="auto"/>
                <w:bottom w:val="none" w:sz="0" w:space="0" w:color="auto"/>
                <w:right w:val="none" w:sz="0" w:space="0" w:color="auto"/>
                <w:between w:val="none" w:sz="0" w:space="0" w:color="auto"/>
                <w:bar w:val="none" w:sz="0" w:color="auto"/>
              </w:pBdr>
              <w:outlineLvl w:val="9"/>
              <w:rPr>
                <w:rFonts w:eastAsia="Times New Roman"/>
                <w:sz w:val="16"/>
                <w:szCs w:val="16"/>
                <w:bdr w:val="none" w:sz="0" w:space="0" w:color="auto"/>
                <w:lang w:eastAsia="es-ES"/>
              </w:rPr>
            </w:pPr>
            <w:r>
              <w:rPr>
                <w:sz w:val="16"/>
                <w:szCs w:val="16"/>
              </w:rPr>
              <w:t>Gestión estructural del fondo de ayuda a la Recuperación para la Cohesión y los Territorios de Europa (REACT-EU)</w:t>
            </w:r>
          </w:p>
        </w:tc>
        <w:tc>
          <w:tcPr>
            <w:tcW w:w="727" w:type="pct"/>
            <w:tcBorders>
              <w:top w:val="single" w:sz="4" w:space="0" w:color="auto"/>
              <w:left w:val="nil"/>
              <w:bottom w:val="single" w:sz="4" w:space="0" w:color="auto"/>
              <w:right w:val="nil"/>
            </w:tcBorders>
            <w:shd w:val="clear" w:color="auto" w:fill="auto"/>
            <w:vAlign w:val="center"/>
          </w:tcPr>
          <w:p w14:paraId="3B519CE2" w14:textId="4BE93D11" w:rsidR="00A328B0" w:rsidRPr="001028B8" w:rsidRDefault="00A328B0" w:rsidP="00A328B0">
            <w:pPr>
              <w:pBdr>
                <w:top w:val="none" w:sz="0" w:space="0" w:color="auto"/>
                <w:left w:val="none" w:sz="0" w:space="0" w:color="auto"/>
                <w:bottom w:val="none" w:sz="0" w:space="0" w:color="auto"/>
                <w:right w:val="none" w:sz="0" w:space="0" w:color="auto"/>
                <w:between w:val="none" w:sz="0" w:space="0" w:color="auto"/>
                <w:bar w:val="none" w:sz="0" w:color="auto"/>
              </w:pBdr>
              <w:jc w:val="right"/>
              <w:outlineLvl w:val="9"/>
              <w:rPr>
                <w:rFonts w:eastAsia="Times New Roman"/>
                <w:sz w:val="16"/>
                <w:szCs w:val="16"/>
                <w:bdr w:val="none" w:sz="0" w:space="0" w:color="auto"/>
                <w:lang w:eastAsia="es-ES"/>
              </w:rPr>
            </w:pPr>
            <w:r>
              <w:rPr>
                <w:sz w:val="16"/>
                <w:szCs w:val="16"/>
              </w:rPr>
              <w:t xml:space="preserve"> -</w:t>
            </w:r>
          </w:p>
        </w:tc>
        <w:tc>
          <w:tcPr>
            <w:tcW w:w="722" w:type="pct"/>
            <w:tcBorders>
              <w:top w:val="single" w:sz="4" w:space="0" w:color="auto"/>
              <w:left w:val="nil"/>
              <w:bottom w:val="single" w:sz="4" w:space="0" w:color="auto"/>
              <w:right w:val="nil"/>
            </w:tcBorders>
            <w:shd w:val="clear" w:color="auto" w:fill="auto"/>
            <w:vAlign w:val="center"/>
          </w:tcPr>
          <w:p w14:paraId="44FC6703" w14:textId="5ABB59A6" w:rsidR="00A328B0" w:rsidRPr="001028B8" w:rsidRDefault="00A328B0" w:rsidP="00A328B0">
            <w:pPr>
              <w:jc w:val="right"/>
              <w:rPr>
                <w:sz w:val="16"/>
                <w:szCs w:val="16"/>
              </w:rPr>
            </w:pPr>
            <w:r>
              <w:rPr>
                <w:sz w:val="16"/>
                <w:szCs w:val="16"/>
              </w:rPr>
              <w:t>92.137,29</w:t>
            </w:r>
          </w:p>
        </w:tc>
      </w:tr>
      <w:tr w:rsidR="00A328B0" w:rsidRPr="001028B8" w14:paraId="191244C1" w14:textId="77777777" w:rsidTr="00B1370C">
        <w:trPr>
          <w:trHeight w:val="454"/>
        </w:trPr>
        <w:tc>
          <w:tcPr>
            <w:tcW w:w="3551" w:type="pct"/>
            <w:tcBorders>
              <w:top w:val="single" w:sz="4" w:space="0" w:color="auto"/>
              <w:left w:val="nil"/>
              <w:bottom w:val="single" w:sz="4" w:space="0" w:color="auto"/>
              <w:right w:val="nil"/>
            </w:tcBorders>
            <w:shd w:val="clear" w:color="auto" w:fill="auto"/>
            <w:noWrap/>
            <w:vAlign w:val="center"/>
          </w:tcPr>
          <w:p w14:paraId="6A7EB35E" w14:textId="7C41D333" w:rsidR="00A328B0" w:rsidRDefault="00A328B0" w:rsidP="00B1370C">
            <w:pPr>
              <w:pBdr>
                <w:top w:val="none" w:sz="0" w:space="0" w:color="auto"/>
                <w:left w:val="none" w:sz="0" w:space="0" w:color="auto"/>
                <w:bottom w:val="none" w:sz="0" w:space="0" w:color="auto"/>
                <w:right w:val="none" w:sz="0" w:space="0" w:color="auto"/>
                <w:between w:val="none" w:sz="0" w:space="0" w:color="auto"/>
                <w:bar w:val="none" w:sz="0" w:color="auto"/>
              </w:pBdr>
              <w:outlineLvl w:val="9"/>
              <w:rPr>
                <w:sz w:val="16"/>
                <w:szCs w:val="16"/>
              </w:rPr>
            </w:pPr>
            <w:r>
              <w:rPr>
                <w:sz w:val="16"/>
                <w:szCs w:val="16"/>
              </w:rPr>
              <w:t>Consejería de Turismo y Empleo:</w:t>
            </w:r>
          </w:p>
          <w:p w14:paraId="5E3984BB" w14:textId="7D421077" w:rsidR="00A328B0" w:rsidRPr="001028B8" w:rsidRDefault="00A328B0" w:rsidP="00B1370C">
            <w:pPr>
              <w:pBdr>
                <w:top w:val="none" w:sz="0" w:space="0" w:color="auto"/>
                <w:left w:val="none" w:sz="0" w:space="0" w:color="auto"/>
                <w:bottom w:val="none" w:sz="0" w:space="0" w:color="auto"/>
                <w:right w:val="none" w:sz="0" w:space="0" w:color="auto"/>
                <w:between w:val="none" w:sz="0" w:space="0" w:color="auto"/>
                <w:bar w:val="none" w:sz="0" w:color="auto"/>
              </w:pBdr>
              <w:outlineLvl w:val="9"/>
              <w:rPr>
                <w:rFonts w:eastAsia="Times New Roman"/>
                <w:sz w:val="16"/>
                <w:szCs w:val="16"/>
                <w:bdr w:val="none" w:sz="0" w:space="0" w:color="auto"/>
                <w:lang w:eastAsia="es-ES"/>
              </w:rPr>
            </w:pPr>
            <w:r>
              <w:rPr>
                <w:sz w:val="16"/>
                <w:szCs w:val="16"/>
              </w:rPr>
              <w:t>Gestión estructural del fondo de ayuda a la Recuperación para la Cohesión y los Territorios de Europa (REACT-EU) - Ampliación</w:t>
            </w:r>
          </w:p>
        </w:tc>
        <w:tc>
          <w:tcPr>
            <w:tcW w:w="727" w:type="pct"/>
            <w:tcBorders>
              <w:top w:val="single" w:sz="4" w:space="0" w:color="auto"/>
              <w:left w:val="nil"/>
              <w:bottom w:val="single" w:sz="4" w:space="0" w:color="auto"/>
              <w:right w:val="nil"/>
            </w:tcBorders>
            <w:shd w:val="clear" w:color="auto" w:fill="auto"/>
            <w:vAlign w:val="center"/>
          </w:tcPr>
          <w:p w14:paraId="5FA5EA1A" w14:textId="4DD88307" w:rsidR="00A328B0" w:rsidRPr="001028B8" w:rsidRDefault="00A328B0" w:rsidP="00A328B0">
            <w:pPr>
              <w:jc w:val="right"/>
              <w:rPr>
                <w:sz w:val="16"/>
                <w:szCs w:val="16"/>
              </w:rPr>
            </w:pPr>
            <w:r>
              <w:rPr>
                <w:sz w:val="16"/>
                <w:szCs w:val="16"/>
              </w:rPr>
              <w:t xml:space="preserve"> -</w:t>
            </w:r>
          </w:p>
        </w:tc>
        <w:tc>
          <w:tcPr>
            <w:tcW w:w="722" w:type="pct"/>
            <w:tcBorders>
              <w:top w:val="single" w:sz="4" w:space="0" w:color="auto"/>
              <w:left w:val="nil"/>
              <w:bottom w:val="single" w:sz="4" w:space="0" w:color="auto"/>
              <w:right w:val="nil"/>
            </w:tcBorders>
            <w:shd w:val="clear" w:color="auto" w:fill="auto"/>
            <w:vAlign w:val="center"/>
          </w:tcPr>
          <w:p w14:paraId="7B12BE0F" w14:textId="065BEE2D" w:rsidR="00A328B0" w:rsidRPr="001028B8" w:rsidRDefault="00A328B0" w:rsidP="00A328B0">
            <w:pPr>
              <w:jc w:val="right"/>
              <w:rPr>
                <w:sz w:val="16"/>
                <w:szCs w:val="16"/>
              </w:rPr>
            </w:pPr>
            <w:r>
              <w:rPr>
                <w:sz w:val="16"/>
                <w:szCs w:val="16"/>
              </w:rPr>
              <w:t>8.000,00</w:t>
            </w:r>
          </w:p>
        </w:tc>
      </w:tr>
      <w:tr w:rsidR="00A328B0" w:rsidRPr="001028B8" w14:paraId="3F8480A0" w14:textId="77777777" w:rsidTr="00B1370C">
        <w:trPr>
          <w:trHeight w:val="454"/>
        </w:trPr>
        <w:tc>
          <w:tcPr>
            <w:tcW w:w="3551" w:type="pct"/>
            <w:tcBorders>
              <w:top w:val="single" w:sz="4" w:space="0" w:color="auto"/>
              <w:left w:val="nil"/>
              <w:bottom w:val="single" w:sz="4" w:space="0" w:color="auto"/>
              <w:right w:val="nil"/>
            </w:tcBorders>
            <w:shd w:val="clear" w:color="auto" w:fill="auto"/>
            <w:noWrap/>
            <w:vAlign w:val="center"/>
          </w:tcPr>
          <w:p w14:paraId="2B643390" w14:textId="04503BD9" w:rsidR="00A328B0" w:rsidRDefault="00A328B0" w:rsidP="00B1370C">
            <w:pPr>
              <w:pBdr>
                <w:top w:val="none" w:sz="0" w:space="0" w:color="auto"/>
                <w:left w:val="none" w:sz="0" w:space="0" w:color="auto"/>
                <w:bottom w:val="none" w:sz="0" w:space="0" w:color="auto"/>
                <w:right w:val="none" w:sz="0" w:space="0" w:color="auto"/>
                <w:between w:val="none" w:sz="0" w:space="0" w:color="auto"/>
                <w:bar w:val="none" w:sz="0" w:color="auto"/>
              </w:pBdr>
              <w:outlineLvl w:val="9"/>
              <w:rPr>
                <w:sz w:val="16"/>
                <w:szCs w:val="16"/>
              </w:rPr>
            </w:pPr>
            <w:r>
              <w:rPr>
                <w:sz w:val="16"/>
                <w:szCs w:val="16"/>
              </w:rPr>
              <w:t>Consejería de Turismo y Empleo:</w:t>
            </w:r>
          </w:p>
          <w:p w14:paraId="5CA6C616" w14:textId="19B40D05" w:rsidR="00A328B0" w:rsidRPr="001028B8" w:rsidRDefault="00A328B0" w:rsidP="00B1370C">
            <w:pPr>
              <w:pBdr>
                <w:top w:val="none" w:sz="0" w:space="0" w:color="auto"/>
                <w:left w:val="none" w:sz="0" w:space="0" w:color="auto"/>
                <w:bottom w:val="none" w:sz="0" w:space="0" w:color="auto"/>
                <w:right w:val="none" w:sz="0" w:space="0" w:color="auto"/>
                <w:between w:val="none" w:sz="0" w:space="0" w:color="auto"/>
                <w:bar w:val="none" w:sz="0" w:color="auto"/>
              </w:pBdr>
              <w:outlineLvl w:val="9"/>
              <w:rPr>
                <w:rFonts w:eastAsia="Times New Roman"/>
                <w:sz w:val="16"/>
                <w:szCs w:val="16"/>
                <w:bdr w:val="none" w:sz="0" w:space="0" w:color="auto"/>
                <w:lang w:eastAsia="es-ES"/>
              </w:rPr>
            </w:pPr>
            <w:r>
              <w:rPr>
                <w:sz w:val="16"/>
                <w:szCs w:val="16"/>
              </w:rPr>
              <w:t>Bonos La Palma - Anualidad 2023 (Plan La Palma Renace)</w:t>
            </w:r>
          </w:p>
        </w:tc>
        <w:tc>
          <w:tcPr>
            <w:tcW w:w="727" w:type="pct"/>
            <w:tcBorders>
              <w:top w:val="single" w:sz="4" w:space="0" w:color="auto"/>
              <w:left w:val="nil"/>
              <w:bottom w:val="single" w:sz="4" w:space="0" w:color="auto"/>
              <w:right w:val="nil"/>
            </w:tcBorders>
            <w:shd w:val="clear" w:color="auto" w:fill="auto"/>
            <w:vAlign w:val="center"/>
          </w:tcPr>
          <w:p w14:paraId="050A296A" w14:textId="062772D2" w:rsidR="00A328B0" w:rsidRPr="001028B8" w:rsidRDefault="00A328B0" w:rsidP="00A328B0">
            <w:pPr>
              <w:jc w:val="right"/>
              <w:rPr>
                <w:sz w:val="16"/>
                <w:szCs w:val="16"/>
              </w:rPr>
            </w:pPr>
            <w:r>
              <w:rPr>
                <w:sz w:val="16"/>
                <w:szCs w:val="16"/>
              </w:rPr>
              <w:t xml:space="preserve"> -</w:t>
            </w:r>
          </w:p>
        </w:tc>
        <w:tc>
          <w:tcPr>
            <w:tcW w:w="722" w:type="pct"/>
            <w:tcBorders>
              <w:top w:val="single" w:sz="4" w:space="0" w:color="auto"/>
              <w:left w:val="nil"/>
              <w:bottom w:val="single" w:sz="4" w:space="0" w:color="auto"/>
              <w:right w:val="nil"/>
            </w:tcBorders>
            <w:shd w:val="clear" w:color="auto" w:fill="auto"/>
            <w:vAlign w:val="center"/>
          </w:tcPr>
          <w:p w14:paraId="71E37ECD" w14:textId="4511225D" w:rsidR="00A328B0" w:rsidRPr="001028B8" w:rsidRDefault="00A328B0" w:rsidP="00A328B0">
            <w:pPr>
              <w:jc w:val="right"/>
              <w:rPr>
                <w:sz w:val="16"/>
                <w:szCs w:val="16"/>
              </w:rPr>
            </w:pPr>
            <w:r>
              <w:rPr>
                <w:sz w:val="16"/>
                <w:szCs w:val="16"/>
              </w:rPr>
              <w:t>582.991,00</w:t>
            </w:r>
          </w:p>
        </w:tc>
      </w:tr>
      <w:tr w:rsidR="00A328B0" w:rsidRPr="001028B8" w14:paraId="6627BD74" w14:textId="77777777" w:rsidTr="00B1370C">
        <w:trPr>
          <w:trHeight w:val="340"/>
        </w:trPr>
        <w:tc>
          <w:tcPr>
            <w:tcW w:w="3551" w:type="pct"/>
            <w:tcBorders>
              <w:top w:val="single" w:sz="4" w:space="0" w:color="auto"/>
              <w:left w:val="nil"/>
              <w:bottom w:val="single" w:sz="4" w:space="0" w:color="auto"/>
              <w:right w:val="nil"/>
            </w:tcBorders>
            <w:shd w:val="clear" w:color="auto" w:fill="auto"/>
            <w:noWrap/>
            <w:vAlign w:val="center"/>
          </w:tcPr>
          <w:p w14:paraId="27D1D228" w14:textId="1514B21A" w:rsidR="00A328B0" w:rsidRDefault="00A328B0" w:rsidP="00B1370C">
            <w:pPr>
              <w:pBdr>
                <w:top w:val="none" w:sz="0" w:space="0" w:color="auto"/>
                <w:left w:val="none" w:sz="0" w:space="0" w:color="auto"/>
                <w:bottom w:val="none" w:sz="0" w:space="0" w:color="auto"/>
                <w:right w:val="none" w:sz="0" w:space="0" w:color="auto"/>
                <w:between w:val="none" w:sz="0" w:space="0" w:color="auto"/>
                <w:bar w:val="none" w:sz="0" w:color="auto"/>
              </w:pBdr>
              <w:outlineLvl w:val="9"/>
              <w:rPr>
                <w:sz w:val="16"/>
                <w:szCs w:val="16"/>
              </w:rPr>
            </w:pPr>
            <w:r>
              <w:rPr>
                <w:sz w:val="16"/>
                <w:szCs w:val="16"/>
              </w:rPr>
              <w:t>Consejería de Turismo y Empleo:</w:t>
            </w:r>
          </w:p>
          <w:p w14:paraId="166B8500" w14:textId="3E1ADE60" w:rsidR="00A328B0" w:rsidRPr="001028B8" w:rsidRDefault="00A328B0" w:rsidP="00B1370C">
            <w:pPr>
              <w:pBdr>
                <w:top w:val="none" w:sz="0" w:space="0" w:color="auto"/>
                <w:left w:val="none" w:sz="0" w:space="0" w:color="auto"/>
                <w:bottom w:val="none" w:sz="0" w:space="0" w:color="auto"/>
                <w:right w:val="none" w:sz="0" w:space="0" w:color="auto"/>
                <w:between w:val="none" w:sz="0" w:space="0" w:color="auto"/>
                <w:bar w:val="none" w:sz="0" w:color="auto"/>
              </w:pBdr>
              <w:outlineLvl w:val="9"/>
              <w:rPr>
                <w:rFonts w:eastAsia="Times New Roman"/>
                <w:sz w:val="16"/>
                <w:szCs w:val="16"/>
                <w:bdr w:val="none" w:sz="0" w:space="0" w:color="auto"/>
                <w:lang w:eastAsia="es-ES"/>
              </w:rPr>
            </w:pPr>
            <w:r>
              <w:rPr>
                <w:sz w:val="16"/>
                <w:szCs w:val="16"/>
              </w:rPr>
              <w:t>Promoción de la red museística de Canarias</w:t>
            </w:r>
          </w:p>
        </w:tc>
        <w:tc>
          <w:tcPr>
            <w:tcW w:w="727" w:type="pct"/>
            <w:tcBorders>
              <w:top w:val="single" w:sz="4" w:space="0" w:color="auto"/>
              <w:left w:val="nil"/>
              <w:bottom w:val="single" w:sz="4" w:space="0" w:color="auto"/>
              <w:right w:val="nil"/>
            </w:tcBorders>
            <w:shd w:val="clear" w:color="auto" w:fill="auto"/>
            <w:vAlign w:val="center"/>
          </w:tcPr>
          <w:p w14:paraId="35D9FBB6" w14:textId="326C9C82" w:rsidR="00A328B0" w:rsidRPr="001028B8" w:rsidRDefault="00A328B0" w:rsidP="00A328B0">
            <w:pPr>
              <w:jc w:val="right"/>
              <w:rPr>
                <w:sz w:val="16"/>
                <w:szCs w:val="16"/>
              </w:rPr>
            </w:pPr>
            <w:r>
              <w:rPr>
                <w:sz w:val="16"/>
                <w:szCs w:val="16"/>
              </w:rPr>
              <w:t xml:space="preserve"> -</w:t>
            </w:r>
          </w:p>
        </w:tc>
        <w:tc>
          <w:tcPr>
            <w:tcW w:w="722" w:type="pct"/>
            <w:tcBorders>
              <w:top w:val="single" w:sz="4" w:space="0" w:color="auto"/>
              <w:left w:val="nil"/>
              <w:bottom w:val="single" w:sz="4" w:space="0" w:color="auto"/>
              <w:right w:val="nil"/>
            </w:tcBorders>
            <w:shd w:val="clear" w:color="auto" w:fill="auto"/>
            <w:vAlign w:val="center"/>
          </w:tcPr>
          <w:p w14:paraId="069A3D21" w14:textId="2DBC11DB" w:rsidR="00A328B0" w:rsidRPr="001028B8" w:rsidRDefault="00A328B0" w:rsidP="00A328B0">
            <w:pPr>
              <w:jc w:val="right"/>
              <w:rPr>
                <w:sz w:val="16"/>
                <w:szCs w:val="16"/>
              </w:rPr>
            </w:pPr>
            <w:r>
              <w:rPr>
                <w:sz w:val="16"/>
                <w:szCs w:val="16"/>
              </w:rPr>
              <w:t>180.000,00</w:t>
            </w:r>
          </w:p>
        </w:tc>
      </w:tr>
      <w:tr w:rsidR="00A328B0" w:rsidRPr="001028B8" w14:paraId="35B7C072" w14:textId="77777777" w:rsidTr="00B1370C">
        <w:trPr>
          <w:trHeight w:val="340"/>
        </w:trPr>
        <w:tc>
          <w:tcPr>
            <w:tcW w:w="3551" w:type="pct"/>
            <w:tcBorders>
              <w:top w:val="single" w:sz="4" w:space="0" w:color="auto"/>
              <w:left w:val="nil"/>
              <w:bottom w:val="single" w:sz="4" w:space="0" w:color="auto"/>
              <w:right w:val="nil"/>
            </w:tcBorders>
            <w:shd w:val="clear" w:color="auto" w:fill="auto"/>
            <w:noWrap/>
            <w:vAlign w:val="center"/>
          </w:tcPr>
          <w:p w14:paraId="14C03FB9" w14:textId="560140BF" w:rsidR="00A328B0" w:rsidRDefault="00A328B0" w:rsidP="00B1370C">
            <w:pPr>
              <w:pBdr>
                <w:top w:val="none" w:sz="0" w:space="0" w:color="auto"/>
                <w:left w:val="none" w:sz="0" w:space="0" w:color="auto"/>
                <w:bottom w:val="none" w:sz="0" w:space="0" w:color="auto"/>
                <w:right w:val="none" w:sz="0" w:space="0" w:color="auto"/>
                <w:between w:val="none" w:sz="0" w:space="0" w:color="auto"/>
                <w:bar w:val="none" w:sz="0" w:color="auto"/>
              </w:pBdr>
              <w:outlineLvl w:val="9"/>
              <w:rPr>
                <w:sz w:val="16"/>
                <w:szCs w:val="16"/>
              </w:rPr>
            </w:pPr>
            <w:r>
              <w:rPr>
                <w:sz w:val="16"/>
                <w:szCs w:val="16"/>
              </w:rPr>
              <w:t>Consejería de Turismo y Empleo:</w:t>
            </w:r>
          </w:p>
          <w:p w14:paraId="551EF779" w14:textId="377814BC" w:rsidR="00A328B0" w:rsidRPr="001028B8" w:rsidRDefault="00A328B0" w:rsidP="00B1370C">
            <w:pPr>
              <w:pBdr>
                <w:top w:val="none" w:sz="0" w:space="0" w:color="auto"/>
                <w:left w:val="none" w:sz="0" w:space="0" w:color="auto"/>
                <w:bottom w:val="none" w:sz="0" w:space="0" w:color="auto"/>
                <w:right w:val="none" w:sz="0" w:space="0" w:color="auto"/>
                <w:between w:val="none" w:sz="0" w:space="0" w:color="auto"/>
                <w:bar w:val="none" w:sz="0" w:color="auto"/>
              </w:pBdr>
              <w:outlineLvl w:val="9"/>
              <w:rPr>
                <w:rFonts w:eastAsia="Times New Roman"/>
                <w:sz w:val="16"/>
                <w:szCs w:val="16"/>
                <w:bdr w:val="none" w:sz="0" w:space="0" w:color="auto"/>
                <w:lang w:eastAsia="es-ES"/>
              </w:rPr>
            </w:pPr>
            <w:r>
              <w:rPr>
                <w:sz w:val="16"/>
                <w:szCs w:val="16"/>
              </w:rPr>
              <w:t>Conectividad aérea</w:t>
            </w:r>
          </w:p>
        </w:tc>
        <w:tc>
          <w:tcPr>
            <w:tcW w:w="727" w:type="pct"/>
            <w:tcBorders>
              <w:top w:val="single" w:sz="4" w:space="0" w:color="auto"/>
              <w:left w:val="nil"/>
              <w:bottom w:val="single" w:sz="4" w:space="0" w:color="auto"/>
              <w:right w:val="nil"/>
            </w:tcBorders>
            <w:shd w:val="clear" w:color="auto" w:fill="auto"/>
            <w:vAlign w:val="center"/>
          </w:tcPr>
          <w:p w14:paraId="2008C7A8" w14:textId="0BBD063D" w:rsidR="00A328B0" w:rsidRPr="001028B8" w:rsidRDefault="00A328B0" w:rsidP="00A328B0">
            <w:pPr>
              <w:jc w:val="right"/>
              <w:rPr>
                <w:sz w:val="16"/>
                <w:szCs w:val="16"/>
              </w:rPr>
            </w:pPr>
            <w:r>
              <w:rPr>
                <w:sz w:val="16"/>
                <w:szCs w:val="16"/>
              </w:rPr>
              <w:t>150.000,00</w:t>
            </w:r>
          </w:p>
        </w:tc>
        <w:tc>
          <w:tcPr>
            <w:tcW w:w="722" w:type="pct"/>
            <w:tcBorders>
              <w:top w:val="single" w:sz="4" w:space="0" w:color="auto"/>
              <w:left w:val="nil"/>
              <w:bottom w:val="single" w:sz="4" w:space="0" w:color="auto"/>
              <w:right w:val="nil"/>
            </w:tcBorders>
            <w:shd w:val="clear" w:color="auto" w:fill="auto"/>
            <w:vAlign w:val="center"/>
          </w:tcPr>
          <w:p w14:paraId="0BE044B0" w14:textId="31CFF84A" w:rsidR="00A328B0" w:rsidRPr="001028B8" w:rsidRDefault="00A328B0" w:rsidP="00A328B0">
            <w:pPr>
              <w:jc w:val="right"/>
              <w:rPr>
                <w:sz w:val="16"/>
                <w:szCs w:val="16"/>
              </w:rPr>
            </w:pPr>
            <w:r>
              <w:rPr>
                <w:sz w:val="16"/>
                <w:szCs w:val="16"/>
              </w:rPr>
              <w:t>150.000,00</w:t>
            </w:r>
          </w:p>
        </w:tc>
      </w:tr>
      <w:tr w:rsidR="00A328B0" w:rsidRPr="001028B8" w14:paraId="40529BEA" w14:textId="77777777" w:rsidTr="00B1370C">
        <w:trPr>
          <w:trHeight w:val="454"/>
        </w:trPr>
        <w:tc>
          <w:tcPr>
            <w:tcW w:w="3551" w:type="pct"/>
            <w:tcBorders>
              <w:top w:val="single" w:sz="4" w:space="0" w:color="auto"/>
              <w:left w:val="nil"/>
              <w:bottom w:val="single" w:sz="4" w:space="0" w:color="auto"/>
              <w:right w:val="nil"/>
            </w:tcBorders>
            <w:shd w:val="clear" w:color="auto" w:fill="auto"/>
            <w:noWrap/>
            <w:vAlign w:val="center"/>
          </w:tcPr>
          <w:p w14:paraId="366C1A8E" w14:textId="091DCD29" w:rsidR="00A328B0" w:rsidRDefault="00A328B0" w:rsidP="00B1370C">
            <w:pPr>
              <w:pBdr>
                <w:top w:val="none" w:sz="0" w:space="0" w:color="auto"/>
                <w:left w:val="none" w:sz="0" w:space="0" w:color="auto"/>
                <w:bottom w:val="none" w:sz="0" w:space="0" w:color="auto"/>
                <w:right w:val="none" w:sz="0" w:space="0" w:color="auto"/>
                <w:between w:val="none" w:sz="0" w:space="0" w:color="auto"/>
                <w:bar w:val="none" w:sz="0" w:color="auto"/>
              </w:pBdr>
              <w:outlineLvl w:val="9"/>
              <w:rPr>
                <w:sz w:val="16"/>
                <w:szCs w:val="16"/>
              </w:rPr>
            </w:pPr>
            <w:r>
              <w:rPr>
                <w:sz w:val="16"/>
                <w:szCs w:val="16"/>
              </w:rPr>
              <w:t>Consejería de Turismo y Empleo:</w:t>
            </w:r>
          </w:p>
          <w:p w14:paraId="31F331D3" w14:textId="2E59645D" w:rsidR="00A328B0" w:rsidRPr="001028B8" w:rsidRDefault="00A328B0" w:rsidP="00B1370C">
            <w:pPr>
              <w:pBdr>
                <w:top w:val="none" w:sz="0" w:space="0" w:color="auto"/>
                <w:left w:val="none" w:sz="0" w:space="0" w:color="auto"/>
                <w:bottom w:val="none" w:sz="0" w:space="0" w:color="auto"/>
                <w:right w:val="none" w:sz="0" w:space="0" w:color="auto"/>
                <w:between w:val="none" w:sz="0" w:space="0" w:color="auto"/>
                <w:bar w:val="none" w:sz="0" w:color="auto"/>
              </w:pBdr>
              <w:outlineLvl w:val="9"/>
              <w:rPr>
                <w:rFonts w:eastAsia="Times New Roman"/>
                <w:sz w:val="16"/>
                <w:szCs w:val="16"/>
                <w:bdr w:val="none" w:sz="0" w:space="0" w:color="auto"/>
                <w:lang w:eastAsia="es-ES"/>
              </w:rPr>
            </w:pPr>
            <w:r>
              <w:rPr>
                <w:sz w:val="16"/>
                <w:szCs w:val="16"/>
              </w:rPr>
              <w:t xml:space="preserve">Sistema de información en destino - Remote </w:t>
            </w:r>
            <w:proofErr w:type="spellStart"/>
            <w:r>
              <w:rPr>
                <w:sz w:val="16"/>
                <w:szCs w:val="16"/>
              </w:rPr>
              <w:t>Worters</w:t>
            </w:r>
            <w:proofErr w:type="spellEnd"/>
          </w:p>
        </w:tc>
        <w:tc>
          <w:tcPr>
            <w:tcW w:w="727" w:type="pct"/>
            <w:tcBorders>
              <w:top w:val="single" w:sz="4" w:space="0" w:color="auto"/>
              <w:left w:val="nil"/>
              <w:bottom w:val="single" w:sz="4" w:space="0" w:color="auto"/>
              <w:right w:val="nil"/>
            </w:tcBorders>
            <w:shd w:val="clear" w:color="auto" w:fill="auto"/>
            <w:vAlign w:val="center"/>
          </w:tcPr>
          <w:p w14:paraId="59CB2951" w14:textId="6DA511EC" w:rsidR="00A328B0" w:rsidRPr="001028B8" w:rsidRDefault="00A328B0" w:rsidP="00A328B0">
            <w:pPr>
              <w:jc w:val="right"/>
              <w:rPr>
                <w:sz w:val="16"/>
                <w:szCs w:val="16"/>
              </w:rPr>
            </w:pPr>
            <w:r>
              <w:rPr>
                <w:sz w:val="16"/>
                <w:szCs w:val="16"/>
              </w:rPr>
              <w:t>21.379,58</w:t>
            </w:r>
          </w:p>
        </w:tc>
        <w:tc>
          <w:tcPr>
            <w:tcW w:w="722" w:type="pct"/>
            <w:tcBorders>
              <w:top w:val="single" w:sz="4" w:space="0" w:color="auto"/>
              <w:left w:val="nil"/>
              <w:bottom w:val="single" w:sz="4" w:space="0" w:color="auto"/>
              <w:right w:val="nil"/>
            </w:tcBorders>
            <w:shd w:val="clear" w:color="auto" w:fill="auto"/>
            <w:vAlign w:val="center"/>
          </w:tcPr>
          <w:p w14:paraId="61FCF512" w14:textId="2C9AACE0" w:rsidR="00A328B0" w:rsidRPr="001028B8" w:rsidRDefault="00A328B0" w:rsidP="00A328B0">
            <w:pPr>
              <w:jc w:val="right"/>
              <w:rPr>
                <w:sz w:val="16"/>
                <w:szCs w:val="16"/>
              </w:rPr>
            </w:pPr>
            <w:r>
              <w:rPr>
                <w:sz w:val="16"/>
                <w:szCs w:val="16"/>
              </w:rPr>
              <w:t>26.534,22</w:t>
            </w:r>
          </w:p>
        </w:tc>
      </w:tr>
      <w:tr w:rsidR="00A328B0" w:rsidRPr="001028B8" w14:paraId="0E455AAE" w14:textId="77777777" w:rsidTr="00B1370C">
        <w:trPr>
          <w:trHeight w:val="340"/>
        </w:trPr>
        <w:tc>
          <w:tcPr>
            <w:tcW w:w="3551" w:type="pct"/>
            <w:tcBorders>
              <w:top w:val="single" w:sz="4" w:space="0" w:color="auto"/>
              <w:left w:val="nil"/>
              <w:bottom w:val="single" w:sz="4" w:space="0" w:color="auto"/>
              <w:right w:val="nil"/>
            </w:tcBorders>
            <w:shd w:val="clear" w:color="auto" w:fill="auto"/>
            <w:noWrap/>
            <w:vAlign w:val="center"/>
          </w:tcPr>
          <w:p w14:paraId="73AFF9FB" w14:textId="57545557" w:rsidR="00A328B0" w:rsidRDefault="00A328B0" w:rsidP="00B1370C">
            <w:pPr>
              <w:pBdr>
                <w:top w:val="none" w:sz="0" w:space="0" w:color="auto"/>
                <w:left w:val="none" w:sz="0" w:space="0" w:color="auto"/>
                <w:bottom w:val="none" w:sz="0" w:space="0" w:color="auto"/>
                <w:right w:val="none" w:sz="0" w:space="0" w:color="auto"/>
                <w:between w:val="none" w:sz="0" w:space="0" w:color="auto"/>
                <w:bar w:val="none" w:sz="0" w:color="auto"/>
              </w:pBdr>
              <w:outlineLvl w:val="9"/>
              <w:rPr>
                <w:sz w:val="16"/>
                <w:szCs w:val="16"/>
              </w:rPr>
            </w:pPr>
            <w:r>
              <w:rPr>
                <w:sz w:val="16"/>
                <w:szCs w:val="16"/>
              </w:rPr>
              <w:t>Consejería de Turismo y Empleo:</w:t>
            </w:r>
          </w:p>
          <w:p w14:paraId="6113AF14" w14:textId="595AD454" w:rsidR="00A328B0" w:rsidRPr="001028B8" w:rsidRDefault="00A328B0" w:rsidP="00B1370C">
            <w:pPr>
              <w:pBdr>
                <w:top w:val="none" w:sz="0" w:space="0" w:color="auto"/>
                <w:left w:val="none" w:sz="0" w:space="0" w:color="auto"/>
                <w:bottom w:val="none" w:sz="0" w:space="0" w:color="auto"/>
                <w:right w:val="none" w:sz="0" w:space="0" w:color="auto"/>
                <w:between w:val="none" w:sz="0" w:space="0" w:color="auto"/>
                <w:bar w:val="none" w:sz="0" w:color="auto"/>
              </w:pBdr>
              <w:outlineLvl w:val="9"/>
              <w:rPr>
                <w:rFonts w:eastAsia="Times New Roman"/>
                <w:sz w:val="16"/>
                <w:szCs w:val="16"/>
                <w:bdr w:val="none" w:sz="0" w:space="0" w:color="auto"/>
                <w:lang w:eastAsia="es-ES"/>
              </w:rPr>
            </w:pPr>
            <w:r>
              <w:rPr>
                <w:sz w:val="16"/>
                <w:szCs w:val="16"/>
              </w:rPr>
              <w:t xml:space="preserve">MRR </w:t>
            </w:r>
            <w:proofErr w:type="spellStart"/>
            <w:r>
              <w:rPr>
                <w:sz w:val="16"/>
                <w:szCs w:val="16"/>
              </w:rPr>
              <w:t>Extrapeninsular</w:t>
            </w:r>
            <w:proofErr w:type="spellEnd"/>
          </w:p>
        </w:tc>
        <w:tc>
          <w:tcPr>
            <w:tcW w:w="727" w:type="pct"/>
            <w:tcBorders>
              <w:top w:val="single" w:sz="4" w:space="0" w:color="auto"/>
              <w:left w:val="nil"/>
              <w:bottom w:val="single" w:sz="4" w:space="0" w:color="auto"/>
              <w:right w:val="nil"/>
            </w:tcBorders>
            <w:shd w:val="clear" w:color="auto" w:fill="auto"/>
            <w:vAlign w:val="center"/>
          </w:tcPr>
          <w:p w14:paraId="4B3080EF" w14:textId="70AD7AAD" w:rsidR="00A328B0" w:rsidRPr="001028B8" w:rsidRDefault="00A328B0" w:rsidP="00A328B0">
            <w:pPr>
              <w:jc w:val="right"/>
              <w:rPr>
                <w:sz w:val="16"/>
                <w:szCs w:val="16"/>
              </w:rPr>
            </w:pPr>
            <w:r>
              <w:rPr>
                <w:sz w:val="16"/>
                <w:szCs w:val="16"/>
              </w:rPr>
              <w:t>22.515.957,74</w:t>
            </w:r>
          </w:p>
        </w:tc>
        <w:tc>
          <w:tcPr>
            <w:tcW w:w="722" w:type="pct"/>
            <w:tcBorders>
              <w:top w:val="single" w:sz="4" w:space="0" w:color="auto"/>
              <w:left w:val="nil"/>
              <w:bottom w:val="single" w:sz="4" w:space="0" w:color="auto"/>
              <w:right w:val="nil"/>
            </w:tcBorders>
            <w:shd w:val="clear" w:color="auto" w:fill="auto"/>
            <w:vAlign w:val="center"/>
          </w:tcPr>
          <w:p w14:paraId="1ECF3588" w14:textId="66D6F675" w:rsidR="00A328B0" w:rsidRPr="001028B8" w:rsidRDefault="00A328B0" w:rsidP="00A328B0">
            <w:pPr>
              <w:jc w:val="right"/>
              <w:rPr>
                <w:sz w:val="16"/>
                <w:szCs w:val="16"/>
              </w:rPr>
            </w:pPr>
            <w:r>
              <w:rPr>
                <w:sz w:val="16"/>
                <w:szCs w:val="16"/>
              </w:rPr>
              <w:t>11.188.394,36</w:t>
            </w:r>
          </w:p>
        </w:tc>
      </w:tr>
      <w:tr w:rsidR="00A328B0" w:rsidRPr="001028B8" w14:paraId="30ADA37D" w14:textId="77777777" w:rsidTr="00B1370C">
        <w:trPr>
          <w:trHeight w:val="340"/>
        </w:trPr>
        <w:tc>
          <w:tcPr>
            <w:tcW w:w="3551" w:type="pct"/>
            <w:tcBorders>
              <w:top w:val="single" w:sz="4" w:space="0" w:color="auto"/>
              <w:left w:val="nil"/>
              <w:bottom w:val="single" w:sz="4" w:space="0" w:color="auto"/>
              <w:right w:val="nil"/>
            </w:tcBorders>
            <w:shd w:val="clear" w:color="auto" w:fill="auto"/>
            <w:noWrap/>
            <w:vAlign w:val="center"/>
          </w:tcPr>
          <w:p w14:paraId="02C16046" w14:textId="0C907FAC" w:rsidR="00A328B0" w:rsidRDefault="00A328B0" w:rsidP="00B1370C">
            <w:pPr>
              <w:pBdr>
                <w:top w:val="none" w:sz="0" w:space="0" w:color="auto"/>
                <w:left w:val="none" w:sz="0" w:space="0" w:color="auto"/>
                <w:bottom w:val="none" w:sz="0" w:space="0" w:color="auto"/>
                <w:right w:val="none" w:sz="0" w:space="0" w:color="auto"/>
                <w:between w:val="none" w:sz="0" w:space="0" w:color="auto"/>
                <w:bar w:val="none" w:sz="0" w:color="auto"/>
              </w:pBdr>
              <w:outlineLvl w:val="9"/>
              <w:rPr>
                <w:sz w:val="16"/>
                <w:szCs w:val="16"/>
              </w:rPr>
            </w:pPr>
            <w:r>
              <w:rPr>
                <w:sz w:val="16"/>
                <w:szCs w:val="16"/>
              </w:rPr>
              <w:t>Consejería de Turismo y Empleo:</w:t>
            </w:r>
          </w:p>
          <w:p w14:paraId="6241ACDB" w14:textId="4115F769" w:rsidR="00A328B0" w:rsidRPr="001028B8" w:rsidRDefault="00A328B0" w:rsidP="00B1370C">
            <w:pPr>
              <w:pBdr>
                <w:top w:val="none" w:sz="0" w:space="0" w:color="auto"/>
                <w:left w:val="none" w:sz="0" w:space="0" w:color="auto"/>
                <w:bottom w:val="none" w:sz="0" w:space="0" w:color="auto"/>
                <w:right w:val="none" w:sz="0" w:space="0" w:color="auto"/>
                <w:between w:val="none" w:sz="0" w:space="0" w:color="auto"/>
                <w:bar w:val="none" w:sz="0" w:color="auto"/>
              </w:pBdr>
              <w:outlineLvl w:val="9"/>
              <w:rPr>
                <w:rFonts w:eastAsia="Times New Roman"/>
                <w:sz w:val="16"/>
                <w:szCs w:val="16"/>
                <w:bdr w:val="none" w:sz="0" w:space="0" w:color="auto"/>
                <w:lang w:eastAsia="es-ES"/>
              </w:rPr>
            </w:pPr>
            <w:r>
              <w:rPr>
                <w:sz w:val="16"/>
                <w:szCs w:val="16"/>
              </w:rPr>
              <w:t>Cohesión en destino convocatoria 2022</w:t>
            </w:r>
          </w:p>
        </w:tc>
        <w:tc>
          <w:tcPr>
            <w:tcW w:w="727" w:type="pct"/>
            <w:tcBorders>
              <w:top w:val="single" w:sz="4" w:space="0" w:color="auto"/>
              <w:left w:val="nil"/>
              <w:bottom w:val="single" w:sz="4" w:space="0" w:color="auto"/>
              <w:right w:val="nil"/>
            </w:tcBorders>
            <w:shd w:val="clear" w:color="auto" w:fill="auto"/>
            <w:vAlign w:val="center"/>
          </w:tcPr>
          <w:p w14:paraId="0C913DA8" w14:textId="4A482713" w:rsidR="00A328B0" w:rsidRPr="001028B8" w:rsidRDefault="00A328B0" w:rsidP="00A328B0">
            <w:pPr>
              <w:jc w:val="right"/>
              <w:rPr>
                <w:sz w:val="16"/>
                <w:szCs w:val="16"/>
              </w:rPr>
            </w:pPr>
            <w:r>
              <w:rPr>
                <w:sz w:val="16"/>
                <w:szCs w:val="16"/>
              </w:rPr>
              <w:t>1.574.249,42</w:t>
            </w:r>
          </w:p>
        </w:tc>
        <w:tc>
          <w:tcPr>
            <w:tcW w:w="722" w:type="pct"/>
            <w:tcBorders>
              <w:top w:val="single" w:sz="4" w:space="0" w:color="auto"/>
              <w:left w:val="nil"/>
              <w:bottom w:val="single" w:sz="4" w:space="0" w:color="auto"/>
              <w:right w:val="nil"/>
            </w:tcBorders>
            <w:shd w:val="clear" w:color="auto" w:fill="auto"/>
            <w:vAlign w:val="center"/>
          </w:tcPr>
          <w:p w14:paraId="3AF6FF51" w14:textId="74905C14" w:rsidR="00A328B0" w:rsidRPr="001028B8" w:rsidRDefault="00A328B0" w:rsidP="00A328B0">
            <w:pPr>
              <w:jc w:val="right"/>
              <w:rPr>
                <w:sz w:val="16"/>
                <w:szCs w:val="16"/>
              </w:rPr>
            </w:pPr>
            <w:r>
              <w:rPr>
                <w:sz w:val="16"/>
                <w:szCs w:val="16"/>
              </w:rPr>
              <w:t>376.841,46</w:t>
            </w:r>
          </w:p>
        </w:tc>
      </w:tr>
      <w:tr w:rsidR="00A328B0" w:rsidRPr="001028B8" w14:paraId="2A0B8ED6" w14:textId="77777777" w:rsidTr="00B1370C">
        <w:trPr>
          <w:trHeight w:val="340"/>
        </w:trPr>
        <w:tc>
          <w:tcPr>
            <w:tcW w:w="3551" w:type="pct"/>
            <w:tcBorders>
              <w:top w:val="single" w:sz="4" w:space="0" w:color="auto"/>
              <w:left w:val="nil"/>
              <w:bottom w:val="nil"/>
              <w:right w:val="nil"/>
            </w:tcBorders>
            <w:shd w:val="clear" w:color="auto" w:fill="auto"/>
            <w:noWrap/>
            <w:vAlign w:val="center"/>
          </w:tcPr>
          <w:p w14:paraId="7087906E" w14:textId="1E7EA534" w:rsidR="00A328B0" w:rsidRDefault="00A328B0" w:rsidP="00B1370C">
            <w:pPr>
              <w:keepNext/>
              <w:keepLines/>
              <w:rPr>
                <w:sz w:val="16"/>
                <w:szCs w:val="16"/>
              </w:rPr>
            </w:pPr>
            <w:r>
              <w:rPr>
                <w:sz w:val="16"/>
                <w:szCs w:val="16"/>
              </w:rPr>
              <w:t>Consejería de Turismo y Empleo:</w:t>
            </w:r>
          </w:p>
          <w:p w14:paraId="74656C3C" w14:textId="4F970AD6" w:rsidR="00A328B0" w:rsidRPr="001028B8" w:rsidRDefault="00A328B0" w:rsidP="00B1370C">
            <w:pPr>
              <w:keepNext/>
              <w:keepLines/>
              <w:rPr>
                <w:sz w:val="16"/>
                <w:szCs w:val="16"/>
              </w:rPr>
            </w:pPr>
            <w:r>
              <w:rPr>
                <w:sz w:val="16"/>
                <w:szCs w:val="16"/>
              </w:rPr>
              <w:t>Prevención riesgos laborales en la hostelería</w:t>
            </w:r>
          </w:p>
        </w:tc>
        <w:tc>
          <w:tcPr>
            <w:tcW w:w="727" w:type="pct"/>
            <w:tcBorders>
              <w:top w:val="single" w:sz="4" w:space="0" w:color="auto"/>
              <w:left w:val="nil"/>
              <w:bottom w:val="nil"/>
              <w:right w:val="nil"/>
            </w:tcBorders>
            <w:shd w:val="clear" w:color="auto" w:fill="auto"/>
            <w:vAlign w:val="center"/>
          </w:tcPr>
          <w:p w14:paraId="71F6307B" w14:textId="4D0FD0DA" w:rsidR="00A328B0" w:rsidRPr="001028B8" w:rsidRDefault="00A328B0" w:rsidP="00A328B0">
            <w:pPr>
              <w:pBdr>
                <w:top w:val="none" w:sz="0" w:space="0" w:color="auto"/>
                <w:left w:val="none" w:sz="0" w:space="0" w:color="auto"/>
                <w:bottom w:val="none" w:sz="0" w:space="0" w:color="auto"/>
                <w:right w:val="none" w:sz="0" w:space="0" w:color="auto"/>
                <w:between w:val="none" w:sz="0" w:space="0" w:color="auto"/>
                <w:bar w:val="none" w:sz="0" w:color="auto"/>
              </w:pBdr>
              <w:jc w:val="right"/>
              <w:outlineLvl w:val="9"/>
              <w:rPr>
                <w:rFonts w:eastAsia="Times New Roman"/>
                <w:sz w:val="16"/>
                <w:szCs w:val="16"/>
                <w:bdr w:val="none" w:sz="0" w:space="0" w:color="auto"/>
                <w:lang w:eastAsia="es-ES"/>
              </w:rPr>
            </w:pPr>
            <w:r>
              <w:rPr>
                <w:sz w:val="16"/>
                <w:szCs w:val="16"/>
              </w:rPr>
              <w:t xml:space="preserve"> -</w:t>
            </w:r>
          </w:p>
        </w:tc>
        <w:tc>
          <w:tcPr>
            <w:tcW w:w="722" w:type="pct"/>
            <w:tcBorders>
              <w:top w:val="single" w:sz="4" w:space="0" w:color="auto"/>
              <w:left w:val="nil"/>
              <w:bottom w:val="nil"/>
              <w:right w:val="nil"/>
            </w:tcBorders>
            <w:shd w:val="clear" w:color="auto" w:fill="auto"/>
            <w:vAlign w:val="center"/>
          </w:tcPr>
          <w:p w14:paraId="0CAED41A" w14:textId="096C360B" w:rsidR="00A328B0" w:rsidRPr="001028B8" w:rsidRDefault="00A328B0" w:rsidP="00A328B0">
            <w:pPr>
              <w:keepNext/>
              <w:keepLines/>
              <w:jc w:val="right"/>
              <w:rPr>
                <w:sz w:val="16"/>
                <w:szCs w:val="16"/>
              </w:rPr>
            </w:pPr>
            <w:r>
              <w:rPr>
                <w:sz w:val="16"/>
                <w:szCs w:val="16"/>
              </w:rPr>
              <w:t>212.000,00</w:t>
            </w:r>
          </w:p>
        </w:tc>
      </w:tr>
      <w:tr w:rsidR="00A328B0" w:rsidRPr="001028B8" w14:paraId="76C3A895" w14:textId="77777777" w:rsidTr="00B1370C">
        <w:trPr>
          <w:trHeight w:val="340"/>
        </w:trPr>
        <w:tc>
          <w:tcPr>
            <w:tcW w:w="3551" w:type="pct"/>
            <w:tcBorders>
              <w:top w:val="single" w:sz="4" w:space="0" w:color="auto"/>
              <w:left w:val="nil"/>
              <w:bottom w:val="nil"/>
              <w:right w:val="nil"/>
            </w:tcBorders>
            <w:shd w:val="clear" w:color="auto" w:fill="auto"/>
            <w:noWrap/>
            <w:vAlign w:val="center"/>
          </w:tcPr>
          <w:p w14:paraId="602C4017" w14:textId="77777777" w:rsidR="00A328B0" w:rsidRDefault="00A328B0" w:rsidP="00B1370C">
            <w:pPr>
              <w:keepNext/>
              <w:keepLines/>
              <w:rPr>
                <w:sz w:val="16"/>
                <w:szCs w:val="16"/>
              </w:rPr>
            </w:pPr>
            <w:r>
              <w:rPr>
                <w:sz w:val="16"/>
                <w:szCs w:val="16"/>
              </w:rPr>
              <w:t>Consejería de Turismo y Empleo: Fomento del turismo de cruceros</w:t>
            </w:r>
          </w:p>
          <w:p w14:paraId="5F31F538" w14:textId="6A267390" w:rsidR="00A328B0" w:rsidRDefault="00A328B0" w:rsidP="00B1370C">
            <w:pPr>
              <w:keepNext/>
              <w:keepLines/>
              <w:rPr>
                <w:sz w:val="16"/>
                <w:szCs w:val="16"/>
              </w:rPr>
            </w:pPr>
            <w:r>
              <w:rPr>
                <w:sz w:val="16"/>
                <w:szCs w:val="16"/>
              </w:rPr>
              <w:t>en la provincia de Las Palmas</w:t>
            </w:r>
          </w:p>
        </w:tc>
        <w:tc>
          <w:tcPr>
            <w:tcW w:w="727" w:type="pct"/>
            <w:tcBorders>
              <w:top w:val="single" w:sz="4" w:space="0" w:color="auto"/>
              <w:left w:val="nil"/>
              <w:bottom w:val="nil"/>
              <w:right w:val="nil"/>
            </w:tcBorders>
            <w:shd w:val="clear" w:color="auto" w:fill="auto"/>
            <w:vAlign w:val="center"/>
          </w:tcPr>
          <w:p w14:paraId="1A993BE3" w14:textId="252B69B1" w:rsidR="00A328B0" w:rsidRDefault="00A328B0" w:rsidP="00A328B0">
            <w:pPr>
              <w:pBdr>
                <w:top w:val="none" w:sz="0" w:space="0" w:color="auto"/>
                <w:left w:val="none" w:sz="0" w:space="0" w:color="auto"/>
                <w:bottom w:val="none" w:sz="0" w:space="0" w:color="auto"/>
                <w:right w:val="none" w:sz="0" w:space="0" w:color="auto"/>
                <w:between w:val="none" w:sz="0" w:space="0" w:color="auto"/>
                <w:bar w:val="none" w:sz="0" w:color="auto"/>
              </w:pBdr>
              <w:jc w:val="right"/>
              <w:outlineLvl w:val="9"/>
              <w:rPr>
                <w:sz w:val="16"/>
                <w:szCs w:val="16"/>
              </w:rPr>
            </w:pPr>
            <w:r>
              <w:rPr>
                <w:sz w:val="16"/>
                <w:szCs w:val="16"/>
              </w:rPr>
              <w:t>25.000,00</w:t>
            </w:r>
          </w:p>
        </w:tc>
        <w:tc>
          <w:tcPr>
            <w:tcW w:w="722" w:type="pct"/>
            <w:tcBorders>
              <w:top w:val="single" w:sz="4" w:space="0" w:color="auto"/>
              <w:left w:val="nil"/>
              <w:bottom w:val="nil"/>
              <w:right w:val="nil"/>
            </w:tcBorders>
            <w:shd w:val="clear" w:color="auto" w:fill="auto"/>
            <w:vAlign w:val="center"/>
          </w:tcPr>
          <w:p w14:paraId="039B4571" w14:textId="48DE9960" w:rsidR="00A328B0" w:rsidRDefault="00A328B0" w:rsidP="00A328B0">
            <w:pPr>
              <w:keepNext/>
              <w:keepLines/>
              <w:jc w:val="right"/>
              <w:rPr>
                <w:sz w:val="16"/>
                <w:szCs w:val="16"/>
              </w:rPr>
            </w:pPr>
            <w:r>
              <w:rPr>
                <w:sz w:val="16"/>
                <w:szCs w:val="16"/>
              </w:rPr>
              <w:t>-</w:t>
            </w:r>
          </w:p>
        </w:tc>
      </w:tr>
      <w:tr w:rsidR="00A328B0" w:rsidRPr="001028B8" w14:paraId="7E3A5B98" w14:textId="77777777" w:rsidTr="00B1370C">
        <w:trPr>
          <w:trHeight w:val="340"/>
        </w:trPr>
        <w:tc>
          <w:tcPr>
            <w:tcW w:w="3551" w:type="pct"/>
            <w:tcBorders>
              <w:top w:val="single" w:sz="4" w:space="0" w:color="auto"/>
              <w:left w:val="nil"/>
              <w:bottom w:val="nil"/>
              <w:right w:val="nil"/>
            </w:tcBorders>
            <w:shd w:val="clear" w:color="auto" w:fill="auto"/>
            <w:noWrap/>
            <w:vAlign w:val="center"/>
          </w:tcPr>
          <w:p w14:paraId="453B7AF7" w14:textId="77777777" w:rsidR="00A328B0" w:rsidRDefault="00A328B0" w:rsidP="00B1370C">
            <w:pPr>
              <w:keepNext/>
              <w:keepLines/>
              <w:rPr>
                <w:sz w:val="16"/>
                <w:szCs w:val="16"/>
              </w:rPr>
            </w:pPr>
            <w:r>
              <w:rPr>
                <w:sz w:val="16"/>
                <w:szCs w:val="16"/>
              </w:rPr>
              <w:t>Consejería de Turismo y Empleo: Fomento del turismo de cruceros</w:t>
            </w:r>
          </w:p>
          <w:p w14:paraId="67FA5D0A" w14:textId="4B097788" w:rsidR="00A328B0" w:rsidRDefault="00A328B0" w:rsidP="00B1370C">
            <w:pPr>
              <w:keepNext/>
              <w:keepLines/>
              <w:rPr>
                <w:sz w:val="16"/>
                <w:szCs w:val="16"/>
              </w:rPr>
            </w:pPr>
            <w:r>
              <w:rPr>
                <w:sz w:val="16"/>
                <w:szCs w:val="16"/>
              </w:rPr>
              <w:t>en la provincia de Santa Cruz de Tenerife</w:t>
            </w:r>
          </w:p>
        </w:tc>
        <w:tc>
          <w:tcPr>
            <w:tcW w:w="727" w:type="pct"/>
            <w:tcBorders>
              <w:top w:val="single" w:sz="4" w:space="0" w:color="auto"/>
              <w:left w:val="nil"/>
              <w:bottom w:val="nil"/>
              <w:right w:val="nil"/>
            </w:tcBorders>
            <w:shd w:val="clear" w:color="auto" w:fill="auto"/>
            <w:vAlign w:val="center"/>
          </w:tcPr>
          <w:p w14:paraId="0AD024B9" w14:textId="5D836993" w:rsidR="00A328B0" w:rsidRDefault="00A328B0" w:rsidP="00A328B0">
            <w:pPr>
              <w:pBdr>
                <w:top w:val="none" w:sz="0" w:space="0" w:color="auto"/>
                <w:left w:val="none" w:sz="0" w:space="0" w:color="auto"/>
                <w:bottom w:val="none" w:sz="0" w:space="0" w:color="auto"/>
                <w:right w:val="none" w:sz="0" w:space="0" w:color="auto"/>
                <w:between w:val="none" w:sz="0" w:space="0" w:color="auto"/>
                <w:bar w:val="none" w:sz="0" w:color="auto"/>
              </w:pBdr>
              <w:jc w:val="right"/>
              <w:outlineLvl w:val="9"/>
              <w:rPr>
                <w:sz w:val="16"/>
                <w:szCs w:val="16"/>
              </w:rPr>
            </w:pPr>
            <w:r>
              <w:rPr>
                <w:sz w:val="16"/>
                <w:szCs w:val="16"/>
              </w:rPr>
              <w:t>25.000,00</w:t>
            </w:r>
          </w:p>
        </w:tc>
        <w:tc>
          <w:tcPr>
            <w:tcW w:w="722" w:type="pct"/>
            <w:tcBorders>
              <w:top w:val="single" w:sz="4" w:space="0" w:color="auto"/>
              <w:left w:val="nil"/>
              <w:bottom w:val="nil"/>
              <w:right w:val="nil"/>
            </w:tcBorders>
            <w:shd w:val="clear" w:color="auto" w:fill="auto"/>
            <w:vAlign w:val="center"/>
          </w:tcPr>
          <w:p w14:paraId="6E1D89BF" w14:textId="1EAED803" w:rsidR="00A328B0" w:rsidRDefault="00A328B0" w:rsidP="00A328B0">
            <w:pPr>
              <w:keepNext/>
              <w:keepLines/>
              <w:jc w:val="right"/>
              <w:rPr>
                <w:sz w:val="16"/>
                <w:szCs w:val="16"/>
              </w:rPr>
            </w:pPr>
            <w:r>
              <w:rPr>
                <w:sz w:val="16"/>
                <w:szCs w:val="16"/>
              </w:rPr>
              <w:t>-</w:t>
            </w:r>
          </w:p>
        </w:tc>
      </w:tr>
      <w:tr w:rsidR="00A328B0" w:rsidRPr="001028B8" w14:paraId="4866FB28" w14:textId="77777777" w:rsidTr="00B1370C">
        <w:trPr>
          <w:trHeight w:val="340"/>
        </w:trPr>
        <w:tc>
          <w:tcPr>
            <w:tcW w:w="3551" w:type="pct"/>
            <w:tcBorders>
              <w:top w:val="single" w:sz="4" w:space="0" w:color="auto"/>
              <w:left w:val="nil"/>
              <w:bottom w:val="nil"/>
              <w:right w:val="nil"/>
            </w:tcBorders>
            <w:shd w:val="clear" w:color="auto" w:fill="auto"/>
            <w:noWrap/>
            <w:vAlign w:val="center"/>
          </w:tcPr>
          <w:p w14:paraId="0906F4CB" w14:textId="15761FCB" w:rsidR="00A328B0" w:rsidRDefault="00A328B0" w:rsidP="00B1370C">
            <w:pPr>
              <w:keepNext/>
              <w:keepLines/>
              <w:rPr>
                <w:sz w:val="16"/>
                <w:szCs w:val="16"/>
              </w:rPr>
            </w:pPr>
            <w:r>
              <w:rPr>
                <w:sz w:val="16"/>
                <w:szCs w:val="16"/>
              </w:rPr>
              <w:t>Consejería de Turismo y Empleo: Sistema de información en destino</w:t>
            </w:r>
          </w:p>
        </w:tc>
        <w:tc>
          <w:tcPr>
            <w:tcW w:w="727" w:type="pct"/>
            <w:tcBorders>
              <w:top w:val="single" w:sz="4" w:space="0" w:color="auto"/>
              <w:left w:val="nil"/>
              <w:bottom w:val="nil"/>
              <w:right w:val="nil"/>
            </w:tcBorders>
            <w:shd w:val="clear" w:color="auto" w:fill="auto"/>
            <w:vAlign w:val="center"/>
          </w:tcPr>
          <w:p w14:paraId="6AE9C398" w14:textId="6FAE7E18" w:rsidR="00A328B0" w:rsidRDefault="00A328B0" w:rsidP="00A328B0">
            <w:pPr>
              <w:pBdr>
                <w:top w:val="none" w:sz="0" w:space="0" w:color="auto"/>
                <w:left w:val="none" w:sz="0" w:space="0" w:color="auto"/>
                <w:bottom w:val="none" w:sz="0" w:space="0" w:color="auto"/>
                <w:right w:val="none" w:sz="0" w:space="0" w:color="auto"/>
                <w:between w:val="none" w:sz="0" w:space="0" w:color="auto"/>
                <w:bar w:val="none" w:sz="0" w:color="auto"/>
              </w:pBdr>
              <w:jc w:val="right"/>
              <w:outlineLvl w:val="9"/>
              <w:rPr>
                <w:sz w:val="16"/>
                <w:szCs w:val="16"/>
              </w:rPr>
            </w:pPr>
            <w:r>
              <w:rPr>
                <w:sz w:val="16"/>
                <w:szCs w:val="16"/>
              </w:rPr>
              <w:t>768.303,06</w:t>
            </w:r>
          </w:p>
        </w:tc>
        <w:tc>
          <w:tcPr>
            <w:tcW w:w="722" w:type="pct"/>
            <w:tcBorders>
              <w:top w:val="single" w:sz="4" w:space="0" w:color="auto"/>
              <w:left w:val="nil"/>
              <w:bottom w:val="nil"/>
              <w:right w:val="nil"/>
            </w:tcBorders>
            <w:shd w:val="clear" w:color="auto" w:fill="auto"/>
            <w:vAlign w:val="center"/>
          </w:tcPr>
          <w:p w14:paraId="250192BC" w14:textId="34A1A04A" w:rsidR="00A328B0" w:rsidRDefault="00A328B0" w:rsidP="00A328B0">
            <w:pPr>
              <w:keepNext/>
              <w:keepLines/>
              <w:jc w:val="right"/>
              <w:rPr>
                <w:sz w:val="16"/>
                <w:szCs w:val="16"/>
              </w:rPr>
            </w:pPr>
            <w:r>
              <w:rPr>
                <w:sz w:val="16"/>
                <w:szCs w:val="16"/>
              </w:rPr>
              <w:t>-</w:t>
            </w:r>
          </w:p>
        </w:tc>
      </w:tr>
      <w:tr w:rsidR="00A328B0" w:rsidRPr="001028B8" w14:paraId="2BBA2ACF" w14:textId="77777777" w:rsidTr="00B1370C">
        <w:trPr>
          <w:trHeight w:val="340"/>
        </w:trPr>
        <w:tc>
          <w:tcPr>
            <w:tcW w:w="3551" w:type="pct"/>
            <w:tcBorders>
              <w:top w:val="single" w:sz="4" w:space="0" w:color="auto"/>
              <w:left w:val="nil"/>
              <w:bottom w:val="nil"/>
              <w:right w:val="nil"/>
            </w:tcBorders>
            <w:shd w:val="clear" w:color="auto" w:fill="auto"/>
            <w:noWrap/>
            <w:vAlign w:val="center"/>
          </w:tcPr>
          <w:p w14:paraId="51EB00F4" w14:textId="14284646" w:rsidR="00A328B0" w:rsidRDefault="00A328B0" w:rsidP="00B1370C">
            <w:pPr>
              <w:keepNext/>
              <w:keepLines/>
              <w:rPr>
                <w:sz w:val="16"/>
                <w:szCs w:val="16"/>
              </w:rPr>
            </w:pPr>
            <w:r>
              <w:rPr>
                <w:sz w:val="16"/>
                <w:szCs w:val="16"/>
              </w:rPr>
              <w:t>Consejería de Turismo y Empleo: Cohesión en destino convocatoria 2021</w:t>
            </w:r>
          </w:p>
        </w:tc>
        <w:tc>
          <w:tcPr>
            <w:tcW w:w="727" w:type="pct"/>
            <w:tcBorders>
              <w:top w:val="single" w:sz="4" w:space="0" w:color="auto"/>
              <w:left w:val="nil"/>
              <w:bottom w:val="nil"/>
              <w:right w:val="nil"/>
            </w:tcBorders>
            <w:shd w:val="clear" w:color="auto" w:fill="auto"/>
            <w:vAlign w:val="center"/>
          </w:tcPr>
          <w:p w14:paraId="3F906B9B" w14:textId="681CA01A" w:rsidR="00A328B0" w:rsidRDefault="00A328B0" w:rsidP="00A328B0">
            <w:pPr>
              <w:pBdr>
                <w:top w:val="none" w:sz="0" w:space="0" w:color="auto"/>
                <w:left w:val="none" w:sz="0" w:space="0" w:color="auto"/>
                <w:bottom w:val="none" w:sz="0" w:space="0" w:color="auto"/>
                <w:right w:val="none" w:sz="0" w:space="0" w:color="auto"/>
                <w:between w:val="none" w:sz="0" w:space="0" w:color="auto"/>
                <w:bar w:val="none" w:sz="0" w:color="auto"/>
              </w:pBdr>
              <w:jc w:val="right"/>
              <w:outlineLvl w:val="9"/>
              <w:rPr>
                <w:sz w:val="16"/>
                <w:szCs w:val="16"/>
              </w:rPr>
            </w:pPr>
            <w:r>
              <w:rPr>
                <w:sz w:val="16"/>
                <w:szCs w:val="16"/>
              </w:rPr>
              <w:t>524.491,75</w:t>
            </w:r>
          </w:p>
        </w:tc>
        <w:tc>
          <w:tcPr>
            <w:tcW w:w="722" w:type="pct"/>
            <w:tcBorders>
              <w:top w:val="single" w:sz="4" w:space="0" w:color="auto"/>
              <w:left w:val="nil"/>
              <w:bottom w:val="nil"/>
              <w:right w:val="nil"/>
            </w:tcBorders>
            <w:shd w:val="clear" w:color="auto" w:fill="auto"/>
            <w:vAlign w:val="center"/>
          </w:tcPr>
          <w:p w14:paraId="227CE06B" w14:textId="378F0F60" w:rsidR="00A328B0" w:rsidRDefault="00A328B0" w:rsidP="00A328B0">
            <w:pPr>
              <w:keepNext/>
              <w:keepLines/>
              <w:jc w:val="right"/>
              <w:rPr>
                <w:sz w:val="16"/>
                <w:szCs w:val="16"/>
              </w:rPr>
            </w:pPr>
            <w:r>
              <w:rPr>
                <w:sz w:val="16"/>
                <w:szCs w:val="16"/>
              </w:rPr>
              <w:t>-</w:t>
            </w:r>
          </w:p>
        </w:tc>
      </w:tr>
      <w:tr w:rsidR="00A328B0" w:rsidRPr="001028B8" w14:paraId="63455603" w14:textId="77777777" w:rsidTr="00B1370C">
        <w:trPr>
          <w:trHeight w:val="340"/>
        </w:trPr>
        <w:tc>
          <w:tcPr>
            <w:tcW w:w="3551" w:type="pct"/>
            <w:tcBorders>
              <w:top w:val="single" w:sz="4" w:space="0" w:color="auto"/>
              <w:left w:val="nil"/>
              <w:bottom w:val="nil"/>
              <w:right w:val="nil"/>
            </w:tcBorders>
            <w:shd w:val="clear" w:color="auto" w:fill="auto"/>
            <w:noWrap/>
            <w:vAlign w:val="center"/>
          </w:tcPr>
          <w:p w14:paraId="438FA093" w14:textId="2D36F9E3" w:rsidR="00A328B0" w:rsidRDefault="00A328B0" w:rsidP="00B1370C">
            <w:pPr>
              <w:keepNext/>
              <w:keepLines/>
              <w:rPr>
                <w:sz w:val="16"/>
                <w:szCs w:val="16"/>
              </w:rPr>
            </w:pPr>
            <w:r>
              <w:rPr>
                <w:sz w:val="16"/>
                <w:szCs w:val="16"/>
              </w:rPr>
              <w:t>Consejería de Turismo y Empleo: Cohesión en destino convocatoria 2023</w:t>
            </w:r>
          </w:p>
        </w:tc>
        <w:tc>
          <w:tcPr>
            <w:tcW w:w="727" w:type="pct"/>
            <w:tcBorders>
              <w:top w:val="single" w:sz="4" w:space="0" w:color="auto"/>
              <w:left w:val="nil"/>
              <w:bottom w:val="nil"/>
              <w:right w:val="nil"/>
            </w:tcBorders>
            <w:shd w:val="clear" w:color="auto" w:fill="auto"/>
            <w:vAlign w:val="center"/>
          </w:tcPr>
          <w:p w14:paraId="78100057" w14:textId="311D3748" w:rsidR="00A328B0" w:rsidRDefault="00A328B0" w:rsidP="00A328B0">
            <w:pPr>
              <w:pBdr>
                <w:top w:val="none" w:sz="0" w:space="0" w:color="auto"/>
                <w:left w:val="none" w:sz="0" w:space="0" w:color="auto"/>
                <w:bottom w:val="none" w:sz="0" w:space="0" w:color="auto"/>
                <w:right w:val="none" w:sz="0" w:space="0" w:color="auto"/>
                <w:between w:val="none" w:sz="0" w:space="0" w:color="auto"/>
                <w:bar w:val="none" w:sz="0" w:color="auto"/>
              </w:pBdr>
              <w:jc w:val="right"/>
              <w:outlineLvl w:val="9"/>
              <w:rPr>
                <w:sz w:val="16"/>
                <w:szCs w:val="16"/>
              </w:rPr>
            </w:pPr>
            <w:r>
              <w:rPr>
                <w:sz w:val="16"/>
                <w:szCs w:val="16"/>
              </w:rPr>
              <w:t>223.860,53</w:t>
            </w:r>
          </w:p>
        </w:tc>
        <w:tc>
          <w:tcPr>
            <w:tcW w:w="722" w:type="pct"/>
            <w:tcBorders>
              <w:top w:val="single" w:sz="4" w:space="0" w:color="auto"/>
              <w:left w:val="nil"/>
              <w:bottom w:val="nil"/>
              <w:right w:val="nil"/>
            </w:tcBorders>
            <w:shd w:val="clear" w:color="auto" w:fill="auto"/>
            <w:vAlign w:val="center"/>
          </w:tcPr>
          <w:p w14:paraId="18E9FAC0" w14:textId="064D9D36" w:rsidR="00A328B0" w:rsidRDefault="00A328B0" w:rsidP="00A328B0">
            <w:pPr>
              <w:keepNext/>
              <w:keepLines/>
              <w:jc w:val="right"/>
              <w:rPr>
                <w:sz w:val="16"/>
                <w:szCs w:val="16"/>
              </w:rPr>
            </w:pPr>
            <w:r>
              <w:rPr>
                <w:sz w:val="16"/>
                <w:szCs w:val="16"/>
              </w:rPr>
              <w:t>-</w:t>
            </w:r>
          </w:p>
        </w:tc>
      </w:tr>
      <w:tr w:rsidR="00623AD4" w:rsidRPr="001028B8" w14:paraId="755435FF" w14:textId="77777777" w:rsidTr="00B1370C">
        <w:trPr>
          <w:trHeight w:val="283"/>
        </w:trPr>
        <w:tc>
          <w:tcPr>
            <w:tcW w:w="3551" w:type="pct"/>
            <w:tcBorders>
              <w:top w:val="single" w:sz="4" w:space="0" w:color="auto"/>
              <w:left w:val="nil"/>
              <w:bottom w:val="single" w:sz="4" w:space="0" w:color="auto"/>
              <w:right w:val="nil"/>
            </w:tcBorders>
            <w:shd w:val="clear" w:color="auto" w:fill="auto"/>
            <w:noWrap/>
            <w:vAlign w:val="center"/>
            <w:hideMark/>
          </w:tcPr>
          <w:p w14:paraId="187373B9" w14:textId="0D8F852D" w:rsidR="00623AD4" w:rsidRPr="001028B8" w:rsidRDefault="00623AD4" w:rsidP="00B1370C">
            <w:pPr>
              <w:pBdr>
                <w:top w:val="none" w:sz="0" w:space="0" w:color="auto"/>
                <w:left w:val="none" w:sz="0" w:space="0" w:color="auto"/>
                <w:bottom w:val="none" w:sz="0" w:space="0" w:color="auto"/>
                <w:right w:val="none" w:sz="0" w:space="0" w:color="auto"/>
                <w:between w:val="none" w:sz="0" w:space="0" w:color="auto"/>
                <w:bar w:val="none" w:sz="0" w:color="auto"/>
              </w:pBdr>
              <w:outlineLvl w:val="9"/>
              <w:rPr>
                <w:rFonts w:eastAsia="Times New Roman"/>
                <w:b/>
                <w:bCs/>
                <w:sz w:val="16"/>
                <w:szCs w:val="16"/>
                <w:bdr w:val="none" w:sz="0" w:space="0" w:color="auto"/>
                <w:lang w:eastAsia="es-ES"/>
              </w:rPr>
            </w:pPr>
            <w:r w:rsidRPr="001028B8">
              <w:rPr>
                <w:b/>
                <w:bCs/>
                <w:sz w:val="16"/>
                <w:szCs w:val="16"/>
              </w:rPr>
              <w:t>Total</w:t>
            </w:r>
          </w:p>
        </w:tc>
        <w:tc>
          <w:tcPr>
            <w:tcW w:w="727" w:type="pct"/>
            <w:tcBorders>
              <w:top w:val="single" w:sz="4" w:space="0" w:color="auto"/>
              <w:left w:val="nil"/>
              <w:bottom w:val="single" w:sz="4" w:space="0" w:color="auto"/>
              <w:right w:val="nil"/>
            </w:tcBorders>
            <w:shd w:val="clear" w:color="auto" w:fill="auto"/>
            <w:noWrap/>
            <w:vAlign w:val="center"/>
          </w:tcPr>
          <w:p w14:paraId="202B3ABA" w14:textId="1BEDC639" w:rsidR="00623AD4" w:rsidRPr="00A328B0" w:rsidRDefault="00A328B0" w:rsidP="00A328B0">
            <w:pPr>
              <w:pBdr>
                <w:top w:val="none" w:sz="0" w:space="0" w:color="auto"/>
                <w:left w:val="none" w:sz="0" w:space="0" w:color="auto"/>
                <w:bottom w:val="none" w:sz="0" w:space="0" w:color="auto"/>
                <w:right w:val="none" w:sz="0" w:space="0" w:color="auto"/>
                <w:between w:val="none" w:sz="0" w:space="0" w:color="auto"/>
                <w:bar w:val="none" w:sz="0" w:color="auto"/>
              </w:pBdr>
              <w:jc w:val="right"/>
              <w:outlineLvl w:val="9"/>
              <w:rPr>
                <w:rFonts w:eastAsia="Times New Roman"/>
                <w:b/>
                <w:bCs/>
                <w:sz w:val="16"/>
                <w:szCs w:val="16"/>
                <w:bdr w:val="none" w:sz="0" w:space="0" w:color="auto"/>
                <w:lang w:eastAsia="es-ES"/>
              </w:rPr>
            </w:pPr>
            <w:r>
              <w:rPr>
                <w:b/>
                <w:bCs/>
                <w:sz w:val="16"/>
                <w:szCs w:val="16"/>
              </w:rPr>
              <w:t>48.246.316,42</w:t>
            </w:r>
          </w:p>
        </w:tc>
        <w:tc>
          <w:tcPr>
            <w:tcW w:w="722" w:type="pct"/>
            <w:tcBorders>
              <w:top w:val="single" w:sz="4" w:space="0" w:color="auto"/>
              <w:left w:val="nil"/>
              <w:bottom w:val="single" w:sz="4" w:space="0" w:color="auto"/>
              <w:right w:val="nil"/>
            </w:tcBorders>
            <w:shd w:val="clear" w:color="auto" w:fill="auto"/>
            <w:noWrap/>
            <w:vAlign w:val="center"/>
            <w:hideMark/>
          </w:tcPr>
          <w:p w14:paraId="3578C617" w14:textId="2290E374" w:rsidR="00623AD4" w:rsidRPr="001028B8" w:rsidRDefault="00623AD4" w:rsidP="00623AD4">
            <w:pPr>
              <w:jc w:val="right"/>
              <w:rPr>
                <w:b/>
                <w:bCs/>
                <w:sz w:val="16"/>
                <w:szCs w:val="16"/>
              </w:rPr>
            </w:pPr>
            <w:r w:rsidRPr="001028B8">
              <w:rPr>
                <w:b/>
                <w:bCs/>
                <w:sz w:val="16"/>
                <w:szCs w:val="16"/>
              </w:rPr>
              <w:t>46.743.894,28</w:t>
            </w:r>
          </w:p>
        </w:tc>
      </w:tr>
    </w:tbl>
    <w:p w14:paraId="3AA86914" w14:textId="7CE16C43" w:rsidR="00D67C6B" w:rsidRDefault="006220A2" w:rsidP="001B5A15">
      <w:pPr>
        <w:keepNext/>
        <w:keepLines/>
        <w:widowControl w:val="0"/>
        <w:spacing w:before="240" w:after="120" w:line="260" w:lineRule="exact"/>
        <w:jc w:val="both"/>
        <w:outlineLvl w:val="9"/>
        <w:rPr>
          <w:snapToGrid w:val="0"/>
          <w:sz w:val="20"/>
          <w:szCs w:val="22"/>
        </w:rPr>
      </w:pPr>
      <w:r w:rsidRPr="006E4A4C">
        <w:rPr>
          <w:snapToGrid w:val="0"/>
          <w:sz w:val="20"/>
          <w:szCs w:val="22"/>
        </w:rPr>
        <w:t>Dichos importes han sido</w:t>
      </w:r>
      <w:r w:rsidR="00EF6EBF" w:rsidRPr="006E4A4C">
        <w:rPr>
          <w:snapToGrid w:val="0"/>
          <w:sz w:val="20"/>
          <w:szCs w:val="22"/>
        </w:rPr>
        <w:t xml:space="preserve"> devengados en el ejercicio 20</w:t>
      </w:r>
      <w:r w:rsidR="000778A8" w:rsidRPr="006E4A4C">
        <w:rPr>
          <w:snapToGrid w:val="0"/>
          <w:sz w:val="20"/>
          <w:szCs w:val="22"/>
        </w:rPr>
        <w:t>2</w:t>
      </w:r>
      <w:r w:rsidR="006E4A4C" w:rsidRPr="006E4A4C">
        <w:rPr>
          <w:snapToGrid w:val="0"/>
          <w:sz w:val="20"/>
          <w:szCs w:val="22"/>
        </w:rPr>
        <w:t>4</w:t>
      </w:r>
      <w:r w:rsidRPr="006E4A4C">
        <w:rPr>
          <w:snapToGrid w:val="0"/>
          <w:sz w:val="20"/>
          <w:szCs w:val="22"/>
        </w:rPr>
        <w:t>, cumpliendo con las condiciones de las resoluciones de las transferencias concedidas para tal fin, y habiendo sido justifica</w:t>
      </w:r>
      <w:r w:rsidR="006D42A8" w:rsidRPr="006E4A4C">
        <w:rPr>
          <w:snapToGrid w:val="0"/>
          <w:sz w:val="20"/>
          <w:szCs w:val="22"/>
        </w:rPr>
        <w:t>das en tiempo y forma</w:t>
      </w:r>
      <w:r w:rsidR="00497BBB" w:rsidRPr="006E4A4C">
        <w:rPr>
          <w:snapToGrid w:val="0"/>
          <w:sz w:val="20"/>
          <w:szCs w:val="22"/>
        </w:rPr>
        <w:t>.</w:t>
      </w:r>
    </w:p>
    <w:p w14:paraId="3359E95D" w14:textId="77777777" w:rsidR="00D67C6B" w:rsidRDefault="00D67C6B">
      <w:pPr>
        <w:pBdr>
          <w:top w:val="none" w:sz="0" w:space="0" w:color="auto"/>
          <w:left w:val="none" w:sz="0" w:space="0" w:color="auto"/>
          <w:bottom w:val="none" w:sz="0" w:space="0" w:color="auto"/>
          <w:right w:val="none" w:sz="0" w:space="0" w:color="auto"/>
          <w:between w:val="none" w:sz="0" w:space="0" w:color="auto"/>
          <w:bar w:val="none" w:sz="0" w:color="auto"/>
        </w:pBdr>
        <w:outlineLvl w:val="9"/>
        <w:rPr>
          <w:snapToGrid w:val="0"/>
          <w:sz w:val="20"/>
          <w:szCs w:val="22"/>
        </w:rPr>
      </w:pPr>
      <w:r>
        <w:rPr>
          <w:snapToGrid w:val="0"/>
          <w:sz w:val="20"/>
          <w:szCs w:val="22"/>
        </w:rPr>
        <w:br w:type="page"/>
      </w:r>
    </w:p>
    <w:p w14:paraId="33A79CC7" w14:textId="65E2BDA6" w:rsidR="003D4867" w:rsidRPr="001028B8" w:rsidRDefault="003D4867" w:rsidP="00D67C6B">
      <w:pPr>
        <w:widowControl w:val="0"/>
        <w:spacing w:before="120" w:after="120" w:line="260" w:lineRule="exact"/>
        <w:jc w:val="both"/>
        <w:outlineLvl w:val="9"/>
        <w:rPr>
          <w:snapToGrid w:val="0"/>
          <w:sz w:val="20"/>
          <w:szCs w:val="22"/>
        </w:rPr>
      </w:pPr>
      <w:r w:rsidRPr="00715F60">
        <w:rPr>
          <w:snapToGrid w:val="0"/>
          <w:sz w:val="20"/>
          <w:szCs w:val="22"/>
        </w:rPr>
        <w:lastRenderedPageBreak/>
        <w:t>En el ejercicio 202</w:t>
      </w:r>
      <w:r w:rsidR="00623AD4" w:rsidRPr="00715F60">
        <w:rPr>
          <w:snapToGrid w:val="0"/>
          <w:sz w:val="20"/>
          <w:szCs w:val="22"/>
        </w:rPr>
        <w:t>4</w:t>
      </w:r>
      <w:r w:rsidR="001028B8" w:rsidRPr="00715F60">
        <w:rPr>
          <w:snapToGrid w:val="0"/>
          <w:sz w:val="20"/>
          <w:szCs w:val="22"/>
        </w:rPr>
        <w:t xml:space="preserve"> y 202</w:t>
      </w:r>
      <w:r w:rsidR="00623AD4" w:rsidRPr="00715F60">
        <w:rPr>
          <w:snapToGrid w:val="0"/>
          <w:sz w:val="20"/>
          <w:szCs w:val="22"/>
        </w:rPr>
        <w:t>3</w:t>
      </w:r>
      <w:r w:rsidRPr="00715F60">
        <w:rPr>
          <w:snapToGrid w:val="0"/>
          <w:sz w:val="20"/>
          <w:szCs w:val="22"/>
        </w:rPr>
        <w:t xml:space="preserve"> la Sociedad ha ejecutado un gasto inferior al esperado correspondiente a las subvenciones de la Consejería</w:t>
      </w:r>
      <w:r w:rsidRPr="001028B8">
        <w:rPr>
          <w:snapToGrid w:val="0"/>
          <w:sz w:val="20"/>
          <w:szCs w:val="22"/>
        </w:rPr>
        <w:t xml:space="preserve"> de Turismo</w:t>
      </w:r>
      <w:r w:rsidR="001028B8" w:rsidRPr="001028B8">
        <w:rPr>
          <w:snapToGrid w:val="0"/>
          <w:sz w:val="20"/>
          <w:szCs w:val="22"/>
        </w:rPr>
        <w:t xml:space="preserve"> y Empleo</w:t>
      </w:r>
      <w:r w:rsidRPr="001028B8">
        <w:rPr>
          <w:snapToGrid w:val="0"/>
          <w:sz w:val="20"/>
          <w:szCs w:val="22"/>
        </w:rPr>
        <w:t xml:space="preserve"> para los proyectos:</w:t>
      </w:r>
    </w:p>
    <w:tbl>
      <w:tblPr>
        <w:tblW w:w="9072" w:type="dxa"/>
        <w:tblCellMar>
          <w:left w:w="70" w:type="dxa"/>
          <w:right w:w="70" w:type="dxa"/>
        </w:tblCellMar>
        <w:tblLook w:val="04A0" w:firstRow="1" w:lastRow="0" w:firstColumn="1" w:lastColumn="0" w:noHBand="0" w:noVBand="1"/>
      </w:tblPr>
      <w:tblGrid>
        <w:gridCol w:w="6379"/>
        <w:gridCol w:w="1276"/>
        <w:gridCol w:w="1417"/>
      </w:tblGrid>
      <w:tr w:rsidR="001028B8" w:rsidRPr="001028B8" w14:paraId="14AAFDB7" w14:textId="017B3291" w:rsidTr="00B1370C">
        <w:trPr>
          <w:trHeight w:val="283"/>
        </w:trPr>
        <w:tc>
          <w:tcPr>
            <w:tcW w:w="3516" w:type="pct"/>
            <w:tcBorders>
              <w:top w:val="single" w:sz="4" w:space="0" w:color="auto"/>
              <w:left w:val="nil"/>
              <w:right w:val="nil"/>
            </w:tcBorders>
            <w:shd w:val="clear" w:color="auto" w:fill="auto"/>
            <w:noWrap/>
            <w:vAlign w:val="center"/>
            <w:hideMark/>
          </w:tcPr>
          <w:p w14:paraId="2FAF2B40" w14:textId="77777777" w:rsidR="001028B8" w:rsidRPr="001028B8" w:rsidRDefault="001028B8" w:rsidP="0078666C">
            <w:pPr>
              <w:pBdr>
                <w:top w:val="none" w:sz="0" w:space="0" w:color="auto"/>
                <w:left w:val="none" w:sz="0" w:space="0" w:color="auto"/>
                <w:bottom w:val="none" w:sz="0" w:space="0" w:color="auto"/>
                <w:right w:val="none" w:sz="0" w:space="0" w:color="auto"/>
                <w:between w:val="none" w:sz="0" w:space="0" w:color="auto"/>
                <w:bar w:val="none" w:sz="0" w:color="auto"/>
              </w:pBdr>
              <w:outlineLvl w:val="9"/>
              <w:rPr>
                <w:rFonts w:eastAsia="Times New Roman"/>
                <w:sz w:val="17"/>
                <w:szCs w:val="17"/>
                <w:bdr w:val="none" w:sz="0" w:space="0" w:color="auto"/>
                <w:lang w:eastAsia="es-ES"/>
              </w:rPr>
            </w:pPr>
            <w:r w:rsidRPr="001028B8">
              <w:rPr>
                <w:rFonts w:eastAsia="Times New Roman"/>
                <w:sz w:val="17"/>
                <w:szCs w:val="17"/>
                <w:bdr w:val="none" w:sz="0" w:space="0" w:color="auto"/>
                <w:lang w:eastAsia="es-ES"/>
              </w:rPr>
              <w:t> </w:t>
            </w:r>
          </w:p>
        </w:tc>
        <w:tc>
          <w:tcPr>
            <w:tcW w:w="1484" w:type="pct"/>
            <w:gridSpan w:val="2"/>
            <w:tcBorders>
              <w:top w:val="single" w:sz="4" w:space="0" w:color="auto"/>
              <w:left w:val="nil"/>
              <w:bottom w:val="single" w:sz="4" w:space="0" w:color="auto"/>
              <w:right w:val="nil"/>
            </w:tcBorders>
            <w:shd w:val="clear" w:color="auto" w:fill="auto"/>
            <w:vAlign w:val="bottom"/>
            <w:hideMark/>
          </w:tcPr>
          <w:p w14:paraId="6E4F9B99" w14:textId="366A9032" w:rsidR="001028B8" w:rsidRPr="001028B8" w:rsidRDefault="001028B8" w:rsidP="001028B8">
            <w:pPr>
              <w:pBdr>
                <w:top w:val="none" w:sz="0" w:space="0" w:color="auto"/>
                <w:left w:val="none" w:sz="0" w:space="0" w:color="auto"/>
                <w:bottom w:val="none" w:sz="0" w:space="0" w:color="auto"/>
                <w:right w:val="none" w:sz="0" w:space="0" w:color="auto"/>
                <w:between w:val="none" w:sz="0" w:space="0" w:color="auto"/>
                <w:bar w:val="none" w:sz="0" w:color="auto"/>
              </w:pBdr>
              <w:jc w:val="center"/>
              <w:outlineLvl w:val="9"/>
              <w:rPr>
                <w:rFonts w:eastAsia="Times New Roman"/>
                <w:b/>
                <w:bCs/>
                <w:sz w:val="17"/>
                <w:szCs w:val="17"/>
                <w:bdr w:val="none" w:sz="0" w:space="0" w:color="auto"/>
                <w:lang w:eastAsia="es-ES"/>
              </w:rPr>
            </w:pPr>
            <w:r w:rsidRPr="001028B8">
              <w:rPr>
                <w:rFonts w:eastAsia="Times New Roman"/>
                <w:b/>
                <w:bCs/>
                <w:sz w:val="17"/>
                <w:szCs w:val="17"/>
                <w:bdr w:val="none" w:sz="0" w:space="0" w:color="auto"/>
                <w:lang w:eastAsia="es-ES"/>
              </w:rPr>
              <w:t>Euros</w:t>
            </w:r>
          </w:p>
        </w:tc>
      </w:tr>
      <w:tr w:rsidR="001028B8" w:rsidRPr="006439D4" w14:paraId="6394C775" w14:textId="77777777" w:rsidTr="00B1370C">
        <w:trPr>
          <w:trHeight w:val="283"/>
        </w:trPr>
        <w:tc>
          <w:tcPr>
            <w:tcW w:w="3516" w:type="pct"/>
            <w:tcBorders>
              <w:left w:val="nil"/>
              <w:bottom w:val="single" w:sz="4" w:space="0" w:color="auto"/>
              <w:right w:val="nil"/>
            </w:tcBorders>
            <w:shd w:val="clear" w:color="auto" w:fill="auto"/>
            <w:noWrap/>
            <w:vAlign w:val="center"/>
          </w:tcPr>
          <w:p w14:paraId="2AE22F7F" w14:textId="77777777" w:rsidR="001028B8" w:rsidRPr="001028B8" w:rsidRDefault="001028B8" w:rsidP="0078666C">
            <w:pPr>
              <w:pBdr>
                <w:top w:val="none" w:sz="0" w:space="0" w:color="auto"/>
                <w:left w:val="none" w:sz="0" w:space="0" w:color="auto"/>
                <w:bottom w:val="none" w:sz="0" w:space="0" w:color="auto"/>
                <w:right w:val="none" w:sz="0" w:space="0" w:color="auto"/>
                <w:between w:val="none" w:sz="0" w:space="0" w:color="auto"/>
                <w:bar w:val="none" w:sz="0" w:color="auto"/>
              </w:pBdr>
              <w:outlineLvl w:val="9"/>
              <w:rPr>
                <w:rFonts w:eastAsia="Times New Roman"/>
                <w:sz w:val="17"/>
                <w:szCs w:val="17"/>
                <w:bdr w:val="none" w:sz="0" w:space="0" w:color="auto"/>
                <w:lang w:eastAsia="es-ES"/>
              </w:rPr>
            </w:pPr>
          </w:p>
        </w:tc>
        <w:tc>
          <w:tcPr>
            <w:tcW w:w="703" w:type="pct"/>
            <w:tcBorders>
              <w:top w:val="single" w:sz="4" w:space="0" w:color="auto"/>
              <w:left w:val="nil"/>
              <w:bottom w:val="single" w:sz="4" w:space="0" w:color="auto"/>
              <w:right w:val="nil"/>
            </w:tcBorders>
            <w:shd w:val="clear" w:color="auto" w:fill="auto"/>
            <w:vAlign w:val="bottom"/>
          </w:tcPr>
          <w:p w14:paraId="4244F367" w14:textId="7A65236D" w:rsidR="001028B8" w:rsidRPr="001028B8" w:rsidRDefault="001028B8" w:rsidP="001028B8">
            <w:pPr>
              <w:pBdr>
                <w:top w:val="none" w:sz="0" w:space="0" w:color="auto"/>
                <w:left w:val="none" w:sz="0" w:space="0" w:color="auto"/>
                <w:bottom w:val="none" w:sz="0" w:space="0" w:color="auto"/>
                <w:right w:val="none" w:sz="0" w:space="0" w:color="auto"/>
                <w:between w:val="none" w:sz="0" w:space="0" w:color="auto"/>
                <w:bar w:val="none" w:sz="0" w:color="auto"/>
              </w:pBdr>
              <w:jc w:val="center"/>
              <w:outlineLvl w:val="9"/>
              <w:rPr>
                <w:rFonts w:eastAsia="Times New Roman"/>
                <w:b/>
                <w:bCs/>
                <w:sz w:val="17"/>
                <w:szCs w:val="17"/>
                <w:bdr w:val="none" w:sz="0" w:space="0" w:color="auto"/>
                <w:lang w:eastAsia="es-ES"/>
              </w:rPr>
            </w:pPr>
            <w:r w:rsidRPr="001028B8">
              <w:rPr>
                <w:rFonts w:eastAsia="Times New Roman"/>
                <w:b/>
                <w:bCs/>
                <w:sz w:val="17"/>
                <w:szCs w:val="17"/>
                <w:bdr w:val="none" w:sz="0" w:space="0" w:color="auto"/>
                <w:lang w:eastAsia="es-ES"/>
              </w:rPr>
              <w:t>31/12/202</w:t>
            </w:r>
            <w:r w:rsidR="00623AD4">
              <w:rPr>
                <w:rFonts w:eastAsia="Times New Roman"/>
                <w:b/>
                <w:bCs/>
                <w:sz w:val="17"/>
                <w:szCs w:val="17"/>
                <w:bdr w:val="none" w:sz="0" w:space="0" w:color="auto"/>
                <w:lang w:eastAsia="es-ES"/>
              </w:rPr>
              <w:t>4</w:t>
            </w:r>
          </w:p>
        </w:tc>
        <w:tc>
          <w:tcPr>
            <w:tcW w:w="781" w:type="pct"/>
            <w:tcBorders>
              <w:top w:val="single" w:sz="4" w:space="0" w:color="auto"/>
              <w:left w:val="nil"/>
              <w:bottom w:val="single" w:sz="4" w:space="0" w:color="auto"/>
              <w:right w:val="nil"/>
            </w:tcBorders>
            <w:vAlign w:val="bottom"/>
          </w:tcPr>
          <w:p w14:paraId="6A3A8F35" w14:textId="31717DA1" w:rsidR="001028B8" w:rsidRPr="001028B8" w:rsidRDefault="001028B8" w:rsidP="001028B8">
            <w:pPr>
              <w:pBdr>
                <w:top w:val="none" w:sz="0" w:space="0" w:color="auto"/>
                <w:left w:val="none" w:sz="0" w:space="0" w:color="auto"/>
                <w:bottom w:val="none" w:sz="0" w:space="0" w:color="auto"/>
                <w:right w:val="none" w:sz="0" w:space="0" w:color="auto"/>
                <w:between w:val="none" w:sz="0" w:space="0" w:color="auto"/>
                <w:bar w:val="none" w:sz="0" w:color="auto"/>
              </w:pBdr>
              <w:jc w:val="center"/>
              <w:outlineLvl w:val="9"/>
              <w:rPr>
                <w:rFonts w:eastAsia="Times New Roman"/>
                <w:b/>
                <w:bCs/>
                <w:sz w:val="17"/>
                <w:szCs w:val="17"/>
                <w:bdr w:val="none" w:sz="0" w:space="0" w:color="auto"/>
                <w:lang w:eastAsia="es-ES"/>
              </w:rPr>
            </w:pPr>
            <w:r w:rsidRPr="001028B8">
              <w:rPr>
                <w:rFonts w:eastAsia="Times New Roman"/>
                <w:b/>
                <w:bCs/>
                <w:sz w:val="17"/>
                <w:szCs w:val="17"/>
                <w:bdr w:val="none" w:sz="0" w:space="0" w:color="auto"/>
                <w:lang w:eastAsia="es-ES"/>
              </w:rPr>
              <w:t>31/12/202</w:t>
            </w:r>
            <w:r w:rsidR="00623AD4">
              <w:rPr>
                <w:rFonts w:eastAsia="Times New Roman"/>
                <w:b/>
                <w:bCs/>
                <w:sz w:val="17"/>
                <w:szCs w:val="17"/>
                <w:bdr w:val="none" w:sz="0" w:space="0" w:color="auto"/>
                <w:lang w:eastAsia="es-ES"/>
              </w:rPr>
              <w:t>3</w:t>
            </w:r>
          </w:p>
        </w:tc>
      </w:tr>
      <w:tr w:rsidR="00715F60" w:rsidRPr="006439D4" w14:paraId="4B7D6DEE" w14:textId="7F111BE3" w:rsidTr="00B1370C">
        <w:trPr>
          <w:trHeight w:val="454"/>
        </w:trPr>
        <w:tc>
          <w:tcPr>
            <w:tcW w:w="3516" w:type="pct"/>
            <w:tcBorders>
              <w:top w:val="single" w:sz="4" w:space="0" w:color="auto"/>
              <w:left w:val="nil"/>
              <w:bottom w:val="single" w:sz="4" w:space="0" w:color="auto"/>
              <w:right w:val="nil"/>
            </w:tcBorders>
            <w:shd w:val="clear" w:color="auto" w:fill="auto"/>
            <w:vAlign w:val="center"/>
            <w:hideMark/>
          </w:tcPr>
          <w:p w14:paraId="30DAE815" w14:textId="77777777" w:rsidR="00715F60" w:rsidRDefault="00715F60" w:rsidP="00715F60">
            <w:pPr>
              <w:pBdr>
                <w:top w:val="none" w:sz="0" w:space="0" w:color="auto"/>
                <w:left w:val="none" w:sz="0" w:space="0" w:color="auto"/>
                <w:bottom w:val="none" w:sz="0" w:space="0" w:color="auto"/>
                <w:right w:val="none" w:sz="0" w:space="0" w:color="auto"/>
                <w:between w:val="none" w:sz="0" w:space="0" w:color="auto"/>
                <w:bar w:val="none" w:sz="0" w:color="auto"/>
              </w:pBdr>
              <w:outlineLvl w:val="9"/>
              <w:rPr>
                <w:sz w:val="17"/>
                <w:szCs w:val="17"/>
              </w:rPr>
            </w:pPr>
            <w:r>
              <w:rPr>
                <w:sz w:val="17"/>
                <w:szCs w:val="17"/>
              </w:rPr>
              <w:t xml:space="preserve">Consejería de Turismo y Empleo: </w:t>
            </w:r>
          </w:p>
          <w:p w14:paraId="7B055C07" w14:textId="1BBCB0E4" w:rsidR="00715F60" w:rsidRPr="001028B8" w:rsidRDefault="00715F60" w:rsidP="00715F60">
            <w:pPr>
              <w:pBdr>
                <w:top w:val="none" w:sz="0" w:space="0" w:color="auto"/>
                <w:left w:val="none" w:sz="0" w:space="0" w:color="auto"/>
                <w:bottom w:val="none" w:sz="0" w:space="0" w:color="auto"/>
                <w:right w:val="none" w:sz="0" w:space="0" w:color="auto"/>
                <w:between w:val="none" w:sz="0" w:space="0" w:color="auto"/>
                <w:bar w:val="none" w:sz="0" w:color="auto"/>
              </w:pBdr>
              <w:outlineLvl w:val="9"/>
              <w:rPr>
                <w:rFonts w:eastAsia="Times New Roman"/>
                <w:color w:val="auto"/>
                <w:sz w:val="17"/>
                <w:szCs w:val="17"/>
                <w:highlight w:val="red"/>
                <w:bdr w:val="none" w:sz="0" w:space="0" w:color="auto"/>
                <w:lang w:eastAsia="es-ES"/>
              </w:rPr>
            </w:pPr>
            <w:r>
              <w:rPr>
                <w:sz w:val="17"/>
                <w:szCs w:val="17"/>
              </w:rPr>
              <w:t>para el desarrollo de actividad promocional (NO FEDER) - anualidad 2022</w:t>
            </w:r>
          </w:p>
        </w:tc>
        <w:tc>
          <w:tcPr>
            <w:tcW w:w="703" w:type="pct"/>
            <w:tcBorders>
              <w:top w:val="single" w:sz="4" w:space="0" w:color="auto"/>
              <w:left w:val="nil"/>
              <w:bottom w:val="single" w:sz="4" w:space="0" w:color="auto"/>
              <w:right w:val="nil"/>
            </w:tcBorders>
            <w:shd w:val="clear" w:color="auto" w:fill="auto"/>
            <w:vAlign w:val="center"/>
          </w:tcPr>
          <w:p w14:paraId="17A866B1" w14:textId="6E68A296" w:rsidR="00715F60" w:rsidRPr="00715F60" w:rsidRDefault="00715F60" w:rsidP="00715F60">
            <w:pPr>
              <w:pBdr>
                <w:top w:val="none" w:sz="0" w:space="0" w:color="auto"/>
                <w:left w:val="none" w:sz="0" w:space="0" w:color="auto"/>
                <w:bottom w:val="none" w:sz="0" w:space="0" w:color="auto"/>
                <w:right w:val="none" w:sz="0" w:space="0" w:color="auto"/>
                <w:between w:val="none" w:sz="0" w:space="0" w:color="auto"/>
                <w:bar w:val="none" w:sz="0" w:color="auto"/>
              </w:pBdr>
              <w:jc w:val="right"/>
              <w:outlineLvl w:val="9"/>
              <w:rPr>
                <w:rFonts w:eastAsia="Times New Roman"/>
                <w:color w:val="auto"/>
                <w:sz w:val="17"/>
                <w:szCs w:val="17"/>
                <w:highlight w:val="red"/>
                <w:bdr w:val="none" w:sz="0" w:space="0" w:color="auto"/>
                <w:lang w:eastAsia="es-ES"/>
              </w:rPr>
            </w:pPr>
            <w:r w:rsidRPr="00715F60">
              <w:rPr>
                <w:sz w:val="17"/>
                <w:szCs w:val="17"/>
              </w:rPr>
              <w:t>1.645.935,64</w:t>
            </w:r>
          </w:p>
        </w:tc>
        <w:tc>
          <w:tcPr>
            <w:tcW w:w="781" w:type="pct"/>
            <w:tcBorders>
              <w:top w:val="single" w:sz="4" w:space="0" w:color="auto"/>
              <w:left w:val="nil"/>
              <w:bottom w:val="single" w:sz="4" w:space="0" w:color="auto"/>
              <w:right w:val="nil"/>
            </w:tcBorders>
            <w:vAlign w:val="center"/>
          </w:tcPr>
          <w:p w14:paraId="4E67E101" w14:textId="26459CF9" w:rsidR="00715F60" w:rsidRPr="00715F60" w:rsidRDefault="00715F60" w:rsidP="00715F60">
            <w:pPr>
              <w:pBdr>
                <w:top w:val="none" w:sz="0" w:space="0" w:color="auto"/>
                <w:left w:val="none" w:sz="0" w:space="0" w:color="auto"/>
                <w:bottom w:val="none" w:sz="0" w:space="0" w:color="auto"/>
                <w:right w:val="none" w:sz="0" w:space="0" w:color="auto"/>
                <w:between w:val="none" w:sz="0" w:space="0" w:color="auto"/>
                <w:bar w:val="none" w:sz="0" w:color="auto"/>
              </w:pBdr>
              <w:jc w:val="right"/>
              <w:outlineLvl w:val="9"/>
              <w:rPr>
                <w:sz w:val="17"/>
                <w:szCs w:val="17"/>
              </w:rPr>
            </w:pPr>
            <w:r w:rsidRPr="00715F60">
              <w:rPr>
                <w:sz w:val="17"/>
                <w:szCs w:val="17"/>
              </w:rPr>
              <w:t>1.645.935,64</w:t>
            </w:r>
          </w:p>
        </w:tc>
      </w:tr>
      <w:tr w:rsidR="00715F60" w:rsidRPr="006439D4" w14:paraId="7EE0A37C" w14:textId="022FC1DA" w:rsidTr="00B1370C">
        <w:trPr>
          <w:trHeight w:val="454"/>
        </w:trPr>
        <w:tc>
          <w:tcPr>
            <w:tcW w:w="3516" w:type="pct"/>
            <w:tcBorders>
              <w:top w:val="nil"/>
              <w:left w:val="nil"/>
              <w:bottom w:val="nil"/>
              <w:right w:val="nil"/>
            </w:tcBorders>
            <w:shd w:val="clear" w:color="auto" w:fill="auto"/>
            <w:vAlign w:val="center"/>
            <w:hideMark/>
          </w:tcPr>
          <w:p w14:paraId="5CC06881" w14:textId="77777777" w:rsidR="00715F60" w:rsidRPr="00715F60" w:rsidRDefault="00715F60" w:rsidP="00715F60">
            <w:pPr>
              <w:pBdr>
                <w:top w:val="none" w:sz="0" w:space="0" w:color="auto"/>
                <w:left w:val="none" w:sz="0" w:space="0" w:color="auto"/>
                <w:bottom w:val="none" w:sz="0" w:space="0" w:color="auto"/>
                <w:right w:val="none" w:sz="0" w:space="0" w:color="auto"/>
                <w:between w:val="none" w:sz="0" w:space="0" w:color="auto"/>
                <w:bar w:val="none" w:sz="0" w:color="auto"/>
              </w:pBdr>
              <w:outlineLvl w:val="9"/>
              <w:rPr>
                <w:sz w:val="17"/>
                <w:szCs w:val="17"/>
              </w:rPr>
            </w:pPr>
            <w:r w:rsidRPr="00715F60">
              <w:rPr>
                <w:sz w:val="17"/>
                <w:szCs w:val="17"/>
              </w:rPr>
              <w:t xml:space="preserve">Consejería de Turismo y Empleo: </w:t>
            </w:r>
          </w:p>
          <w:p w14:paraId="25EF223F" w14:textId="59062B85" w:rsidR="00715F60" w:rsidRPr="00715F60" w:rsidRDefault="00715F60" w:rsidP="00715F60">
            <w:pPr>
              <w:pBdr>
                <w:top w:val="none" w:sz="0" w:space="0" w:color="auto"/>
                <w:left w:val="none" w:sz="0" w:space="0" w:color="auto"/>
                <w:bottom w:val="none" w:sz="0" w:space="0" w:color="auto"/>
                <w:right w:val="none" w:sz="0" w:space="0" w:color="auto"/>
                <w:between w:val="none" w:sz="0" w:space="0" w:color="auto"/>
                <w:bar w:val="none" w:sz="0" w:color="auto"/>
              </w:pBdr>
              <w:outlineLvl w:val="9"/>
              <w:rPr>
                <w:rFonts w:eastAsia="Times New Roman"/>
                <w:color w:val="auto"/>
                <w:sz w:val="17"/>
                <w:szCs w:val="17"/>
                <w:highlight w:val="red"/>
                <w:bdr w:val="none" w:sz="0" w:space="0" w:color="auto"/>
                <w:lang w:eastAsia="es-ES"/>
              </w:rPr>
            </w:pPr>
            <w:r w:rsidRPr="00715F60">
              <w:rPr>
                <w:sz w:val="17"/>
                <w:szCs w:val="17"/>
              </w:rPr>
              <w:t>para el desarrollo de actividad promocional (FEDER)</w:t>
            </w:r>
          </w:p>
        </w:tc>
        <w:tc>
          <w:tcPr>
            <w:tcW w:w="703" w:type="pct"/>
            <w:tcBorders>
              <w:top w:val="nil"/>
              <w:left w:val="nil"/>
              <w:bottom w:val="nil"/>
              <w:right w:val="nil"/>
            </w:tcBorders>
            <w:shd w:val="clear" w:color="auto" w:fill="auto"/>
            <w:vAlign w:val="center"/>
          </w:tcPr>
          <w:p w14:paraId="62019C1B" w14:textId="3F324BEE" w:rsidR="00715F60" w:rsidRPr="00715F60" w:rsidRDefault="00715F60" w:rsidP="00715F60">
            <w:pPr>
              <w:pBdr>
                <w:top w:val="none" w:sz="0" w:space="0" w:color="auto"/>
                <w:left w:val="none" w:sz="0" w:space="0" w:color="auto"/>
                <w:bottom w:val="none" w:sz="0" w:space="0" w:color="auto"/>
                <w:right w:val="none" w:sz="0" w:space="0" w:color="auto"/>
                <w:between w:val="none" w:sz="0" w:space="0" w:color="auto"/>
                <w:bar w:val="none" w:sz="0" w:color="auto"/>
              </w:pBdr>
              <w:jc w:val="right"/>
              <w:outlineLvl w:val="9"/>
              <w:rPr>
                <w:rFonts w:eastAsia="Times New Roman"/>
                <w:color w:val="auto"/>
                <w:sz w:val="17"/>
                <w:szCs w:val="17"/>
                <w:highlight w:val="red"/>
                <w:bdr w:val="none" w:sz="0" w:space="0" w:color="auto"/>
                <w:lang w:eastAsia="es-ES"/>
              </w:rPr>
            </w:pPr>
            <w:r w:rsidRPr="00715F60">
              <w:rPr>
                <w:sz w:val="17"/>
                <w:szCs w:val="17"/>
              </w:rPr>
              <w:t xml:space="preserve"> -</w:t>
            </w:r>
          </w:p>
        </w:tc>
        <w:tc>
          <w:tcPr>
            <w:tcW w:w="781" w:type="pct"/>
            <w:tcBorders>
              <w:top w:val="nil"/>
              <w:left w:val="nil"/>
              <w:bottom w:val="nil"/>
              <w:right w:val="nil"/>
            </w:tcBorders>
            <w:vAlign w:val="center"/>
          </w:tcPr>
          <w:p w14:paraId="7D2C7D8A" w14:textId="3E7BABAB" w:rsidR="00715F60" w:rsidRPr="00715F60" w:rsidRDefault="00715F60" w:rsidP="00715F60">
            <w:pPr>
              <w:pBdr>
                <w:top w:val="none" w:sz="0" w:space="0" w:color="auto"/>
                <w:left w:val="none" w:sz="0" w:space="0" w:color="auto"/>
                <w:bottom w:val="none" w:sz="0" w:space="0" w:color="auto"/>
                <w:right w:val="none" w:sz="0" w:space="0" w:color="auto"/>
                <w:between w:val="none" w:sz="0" w:space="0" w:color="auto"/>
                <w:bar w:val="none" w:sz="0" w:color="auto"/>
              </w:pBdr>
              <w:jc w:val="right"/>
              <w:outlineLvl w:val="9"/>
              <w:rPr>
                <w:sz w:val="17"/>
                <w:szCs w:val="17"/>
              </w:rPr>
            </w:pPr>
            <w:r w:rsidRPr="00715F60">
              <w:rPr>
                <w:sz w:val="17"/>
                <w:szCs w:val="17"/>
              </w:rPr>
              <w:t>470.826,27</w:t>
            </w:r>
          </w:p>
        </w:tc>
      </w:tr>
      <w:tr w:rsidR="00715F60" w:rsidRPr="006439D4" w14:paraId="0B01F6F2" w14:textId="2ED923ED" w:rsidTr="00B1370C">
        <w:trPr>
          <w:trHeight w:val="680"/>
        </w:trPr>
        <w:tc>
          <w:tcPr>
            <w:tcW w:w="3516" w:type="pct"/>
            <w:tcBorders>
              <w:top w:val="single" w:sz="4" w:space="0" w:color="auto"/>
              <w:left w:val="nil"/>
              <w:bottom w:val="single" w:sz="4" w:space="0" w:color="auto"/>
              <w:right w:val="nil"/>
            </w:tcBorders>
            <w:shd w:val="clear" w:color="auto" w:fill="auto"/>
            <w:vAlign w:val="center"/>
            <w:hideMark/>
          </w:tcPr>
          <w:p w14:paraId="34D98550" w14:textId="77777777" w:rsidR="00715F60" w:rsidRPr="00715F60" w:rsidRDefault="00715F60" w:rsidP="00715F60">
            <w:pPr>
              <w:pBdr>
                <w:top w:val="none" w:sz="0" w:space="0" w:color="auto"/>
                <w:left w:val="none" w:sz="0" w:space="0" w:color="auto"/>
                <w:bottom w:val="none" w:sz="0" w:space="0" w:color="auto"/>
                <w:right w:val="none" w:sz="0" w:space="0" w:color="auto"/>
                <w:between w:val="none" w:sz="0" w:space="0" w:color="auto"/>
                <w:bar w:val="none" w:sz="0" w:color="auto"/>
              </w:pBdr>
              <w:outlineLvl w:val="9"/>
              <w:rPr>
                <w:sz w:val="17"/>
                <w:szCs w:val="17"/>
              </w:rPr>
            </w:pPr>
            <w:r w:rsidRPr="00715F60">
              <w:rPr>
                <w:sz w:val="17"/>
                <w:szCs w:val="17"/>
              </w:rPr>
              <w:t xml:space="preserve">Consejería de Turismo y Empleo: </w:t>
            </w:r>
          </w:p>
          <w:p w14:paraId="0AECBC11" w14:textId="5C75F8E0" w:rsidR="00715F60" w:rsidRPr="00715F60" w:rsidRDefault="00715F60" w:rsidP="00715F60">
            <w:pPr>
              <w:pBdr>
                <w:top w:val="none" w:sz="0" w:space="0" w:color="auto"/>
                <w:left w:val="none" w:sz="0" w:space="0" w:color="auto"/>
                <w:bottom w:val="none" w:sz="0" w:space="0" w:color="auto"/>
                <w:right w:val="none" w:sz="0" w:space="0" w:color="auto"/>
                <w:between w:val="none" w:sz="0" w:space="0" w:color="auto"/>
                <w:bar w:val="none" w:sz="0" w:color="auto"/>
              </w:pBdr>
              <w:outlineLvl w:val="9"/>
              <w:rPr>
                <w:rFonts w:eastAsia="Times New Roman"/>
                <w:color w:val="auto"/>
                <w:sz w:val="17"/>
                <w:szCs w:val="17"/>
                <w:highlight w:val="red"/>
                <w:bdr w:val="none" w:sz="0" w:space="0" w:color="auto"/>
                <w:lang w:eastAsia="es-ES"/>
              </w:rPr>
            </w:pPr>
            <w:r w:rsidRPr="00715F60">
              <w:rPr>
                <w:sz w:val="17"/>
                <w:szCs w:val="17"/>
              </w:rPr>
              <w:t>para el desarrollo de la actividad promocional para la Cohesión, y los Territorios de Europa (REACT-EU)</w:t>
            </w:r>
          </w:p>
        </w:tc>
        <w:tc>
          <w:tcPr>
            <w:tcW w:w="703" w:type="pct"/>
            <w:tcBorders>
              <w:top w:val="single" w:sz="4" w:space="0" w:color="auto"/>
              <w:left w:val="nil"/>
              <w:bottom w:val="single" w:sz="4" w:space="0" w:color="auto"/>
              <w:right w:val="nil"/>
            </w:tcBorders>
            <w:shd w:val="clear" w:color="auto" w:fill="auto"/>
            <w:vAlign w:val="center"/>
          </w:tcPr>
          <w:p w14:paraId="36F7A0EF" w14:textId="0797B19F" w:rsidR="00715F60" w:rsidRPr="00715F60" w:rsidRDefault="00715F60" w:rsidP="00715F60">
            <w:pPr>
              <w:pBdr>
                <w:top w:val="none" w:sz="0" w:space="0" w:color="auto"/>
                <w:left w:val="none" w:sz="0" w:space="0" w:color="auto"/>
                <w:bottom w:val="none" w:sz="0" w:space="0" w:color="auto"/>
                <w:right w:val="none" w:sz="0" w:space="0" w:color="auto"/>
                <w:between w:val="none" w:sz="0" w:space="0" w:color="auto"/>
                <w:bar w:val="none" w:sz="0" w:color="auto"/>
              </w:pBdr>
              <w:jc w:val="right"/>
              <w:outlineLvl w:val="9"/>
              <w:rPr>
                <w:rFonts w:eastAsia="Times New Roman"/>
                <w:color w:val="auto"/>
                <w:sz w:val="17"/>
                <w:szCs w:val="17"/>
                <w:highlight w:val="red"/>
                <w:bdr w:val="none" w:sz="0" w:space="0" w:color="auto"/>
                <w:lang w:eastAsia="es-ES"/>
              </w:rPr>
            </w:pPr>
            <w:r w:rsidRPr="00715F60">
              <w:rPr>
                <w:sz w:val="17"/>
                <w:szCs w:val="17"/>
              </w:rPr>
              <w:t xml:space="preserve"> -</w:t>
            </w:r>
          </w:p>
        </w:tc>
        <w:tc>
          <w:tcPr>
            <w:tcW w:w="781" w:type="pct"/>
            <w:tcBorders>
              <w:top w:val="single" w:sz="4" w:space="0" w:color="auto"/>
              <w:left w:val="nil"/>
              <w:bottom w:val="single" w:sz="4" w:space="0" w:color="auto"/>
              <w:right w:val="nil"/>
            </w:tcBorders>
            <w:vAlign w:val="center"/>
          </w:tcPr>
          <w:p w14:paraId="5B441130" w14:textId="1E7732AE" w:rsidR="00715F60" w:rsidRPr="00715F60" w:rsidRDefault="00715F60" w:rsidP="00715F60">
            <w:pPr>
              <w:pBdr>
                <w:top w:val="none" w:sz="0" w:space="0" w:color="auto"/>
                <w:left w:val="none" w:sz="0" w:space="0" w:color="auto"/>
                <w:bottom w:val="none" w:sz="0" w:space="0" w:color="auto"/>
                <w:right w:val="none" w:sz="0" w:space="0" w:color="auto"/>
                <w:between w:val="none" w:sz="0" w:space="0" w:color="auto"/>
                <w:bar w:val="none" w:sz="0" w:color="auto"/>
              </w:pBdr>
              <w:jc w:val="right"/>
              <w:outlineLvl w:val="9"/>
              <w:rPr>
                <w:sz w:val="17"/>
                <w:szCs w:val="17"/>
              </w:rPr>
            </w:pPr>
            <w:r w:rsidRPr="00715F60">
              <w:rPr>
                <w:sz w:val="17"/>
                <w:szCs w:val="17"/>
              </w:rPr>
              <w:t>1.369.202,01</w:t>
            </w:r>
          </w:p>
        </w:tc>
      </w:tr>
      <w:tr w:rsidR="00715F60" w:rsidRPr="006439D4" w14:paraId="583F876B" w14:textId="5D545353" w:rsidTr="00B1370C">
        <w:trPr>
          <w:trHeight w:val="680"/>
        </w:trPr>
        <w:tc>
          <w:tcPr>
            <w:tcW w:w="3516" w:type="pct"/>
            <w:tcBorders>
              <w:top w:val="nil"/>
              <w:left w:val="nil"/>
              <w:bottom w:val="nil"/>
              <w:right w:val="nil"/>
            </w:tcBorders>
            <w:shd w:val="clear" w:color="auto" w:fill="auto"/>
            <w:vAlign w:val="center"/>
            <w:hideMark/>
          </w:tcPr>
          <w:p w14:paraId="7338C2FE" w14:textId="77777777" w:rsidR="00715F60" w:rsidRPr="00715F60" w:rsidRDefault="00715F60" w:rsidP="00715F60">
            <w:pPr>
              <w:pBdr>
                <w:top w:val="none" w:sz="0" w:space="0" w:color="auto"/>
                <w:left w:val="none" w:sz="0" w:space="0" w:color="auto"/>
                <w:bottom w:val="none" w:sz="0" w:space="0" w:color="auto"/>
                <w:right w:val="none" w:sz="0" w:space="0" w:color="auto"/>
                <w:between w:val="none" w:sz="0" w:space="0" w:color="auto"/>
                <w:bar w:val="none" w:sz="0" w:color="auto"/>
              </w:pBdr>
              <w:outlineLvl w:val="9"/>
              <w:rPr>
                <w:sz w:val="17"/>
                <w:szCs w:val="17"/>
              </w:rPr>
            </w:pPr>
            <w:r w:rsidRPr="00715F60">
              <w:rPr>
                <w:sz w:val="17"/>
                <w:szCs w:val="17"/>
              </w:rPr>
              <w:t xml:space="preserve">Consejería de Turismo y Empleo: </w:t>
            </w:r>
          </w:p>
          <w:p w14:paraId="656B6772" w14:textId="17DC2309" w:rsidR="00715F60" w:rsidRPr="00715F60" w:rsidRDefault="00715F60" w:rsidP="00715F60">
            <w:pPr>
              <w:pBdr>
                <w:top w:val="none" w:sz="0" w:space="0" w:color="auto"/>
                <w:left w:val="none" w:sz="0" w:space="0" w:color="auto"/>
                <w:bottom w:val="none" w:sz="0" w:space="0" w:color="auto"/>
                <w:right w:val="none" w:sz="0" w:space="0" w:color="auto"/>
                <w:between w:val="none" w:sz="0" w:space="0" w:color="auto"/>
                <w:bar w:val="none" w:sz="0" w:color="auto"/>
              </w:pBdr>
              <w:outlineLvl w:val="9"/>
              <w:rPr>
                <w:rFonts w:eastAsia="Times New Roman"/>
                <w:color w:val="auto"/>
                <w:sz w:val="17"/>
                <w:szCs w:val="17"/>
                <w:highlight w:val="red"/>
                <w:bdr w:val="none" w:sz="0" w:space="0" w:color="auto"/>
                <w:lang w:eastAsia="es-ES"/>
              </w:rPr>
            </w:pPr>
            <w:r w:rsidRPr="00715F60">
              <w:rPr>
                <w:sz w:val="17"/>
                <w:szCs w:val="17"/>
              </w:rPr>
              <w:t>Gestión estructural del fondo de ayuda a la recuperación para la cohesión y los territorios de Europa (REACT-EU)</w:t>
            </w:r>
          </w:p>
        </w:tc>
        <w:tc>
          <w:tcPr>
            <w:tcW w:w="703" w:type="pct"/>
            <w:tcBorders>
              <w:top w:val="nil"/>
              <w:left w:val="nil"/>
              <w:bottom w:val="nil"/>
              <w:right w:val="nil"/>
            </w:tcBorders>
            <w:shd w:val="clear" w:color="auto" w:fill="auto"/>
            <w:vAlign w:val="center"/>
          </w:tcPr>
          <w:p w14:paraId="646C6FD5" w14:textId="6185D12A" w:rsidR="00715F60" w:rsidRPr="00715F60" w:rsidRDefault="00715F60" w:rsidP="00715F60">
            <w:pPr>
              <w:pBdr>
                <w:top w:val="none" w:sz="0" w:space="0" w:color="auto"/>
                <w:left w:val="none" w:sz="0" w:space="0" w:color="auto"/>
                <w:bottom w:val="none" w:sz="0" w:space="0" w:color="auto"/>
                <w:right w:val="none" w:sz="0" w:space="0" w:color="auto"/>
                <w:between w:val="none" w:sz="0" w:space="0" w:color="auto"/>
                <w:bar w:val="none" w:sz="0" w:color="auto"/>
              </w:pBdr>
              <w:jc w:val="right"/>
              <w:outlineLvl w:val="9"/>
              <w:rPr>
                <w:rFonts w:eastAsia="Times New Roman"/>
                <w:color w:val="auto"/>
                <w:sz w:val="17"/>
                <w:szCs w:val="17"/>
                <w:highlight w:val="red"/>
                <w:bdr w:val="none" w:sz="0" w:space="0" w:color="auto"/>
                <w:lang w:eastAsia="es-ES"/>
              </w:rPr>
            </w:pPr>
            <w:r w:rsidRPr="00715F60">
              <w:rPr>
                <w:sz w:val="17"/>
                <w:szCs w:val="17"/>
              </w:rPr>
              <w:t xml:space="preserve"> -</w:t>
            </w:r>
          </w:p>
        </w:tc>
        <w:tc>
          <w:tcPr>
            <w:tcW w:w="781" w:type="pct"/>
            <w:tcBorders>
              <w:top w:val="nil"/>
              <w:left w:val="nil"/>
              <w:bottom w:val="nil"/>
              <w:right w:val="nil"/>
            </w:tcBorders>
            <w:vAlign w:val="center"/>
          </w:tcPr>
          <w:p w14:paraId="070D7EC8" w14:textId="76E73627" w:rsidR="00715F60" w:rsidRPr="00715F60" w:rsidRDefault="00715F60" w:rsidP="00715F60">
            <w:pPr>
              <w:pBdr>
                <w:top w:val="none" w:sz="0" w:space="0" w:color="auto"/>
                <w:left w:val="none" w:sz="0" w:space="0" w:color="auto"/>
                <w:bottom w:val="none" w:sz="0" w:space="0" w:color="auto"/>
                <w:right w:val="none" w:sz="0" w:space="0" w:color="auto"/>
                <w:between w:val="none" w:sz="0" w:space="0" w:color="auto"/>
                <w:bar w:val="none" w:sz="0" w:color="auto"/>
              </w:pBdr>
              <w:jc w:val="right"/>
              <w:outlineLvl w:val="9"/>
              <w:rPr>
                <w:sz w:val="17"/>
                <w:szCs w:val="17"/>
              </w:rPr>
            </w:pPr>
            <w:r w:rsidRPr="00715F60">
              <w:rPr>
                <w:sz w:val="17"/>
                <w:szCs w:val="17"/>
              </w:rPr>
              <w:t>56.567,83</w:t>
            </w:r>
          </w:p>
        </w:tc>
      </w:tr>
      <w:tr w:rsidR="00715F60" w:rsidRPr="006439D4" w14:paraId="2AD9D514" w14:textId="2BC57A27" w:rsidTr="00B1370C">
        <w:trPr>
          <w:trHeight w:val="454"/>
        </w:trPr>
        <w:tc>
          <w:tcPr>
            <w:tcW w:w="3516" w:type="pct"/>
            <w:tcBorders>
              <w:top w:val="single" w:sz="4" w:space="0" w:color="auto"/>
              <w:left w:val="nil"/>
              <w:bottom w:val="single" w:sz="4" w:space="0" w:color="auto"/>
              <w:right w:val="nil"/>
            </w:tcBorders>
            <w:shd w:val="clear" w:color="auto" w:fill="auto"/>
            <w:vAlign w:val="center"/>
            <w:hideMark/>
          </w:tcPr>
          <w:p w14:paraId="152AD4C2" w14:textId="77777777" w:rsidR="00715F60" w:rsidRDefault="00715F60" w:rsidP="00715F60">
            <w:pPr>
              <w:pBdr>
                <w:top w:val="none" w:sz="0" w:space="0" w:color="auto"/>
                <w:left w:val="none" w:sz="0" w:space="0" w:color="auto"/>
                <w:bottom w:val="none" w:sz="0" w:space="0" w:color="auto"/>
                <w:right w:val="none" w:sz="0" w:space="0" w:color="auto"/>
                <w:between w:val="none" w:sz="0" w:space="0" w:color="auto"/>
                <w:bar w:val="none" w:sz="0" w:color="auto"/>
              </w:pBdr>
              <w:outlineLvl w:val="9"/>
              <w:rPr>
                <w:sz w:val="17"/>
                <w:szCs w:val="17"/>
              </w:rPr>
            </w:pPr>
            <w:r w:rsidRPr="00715F60">
              <w:rPr>
                <w:sz w:val="17"/>
                <w:szCs w:val="17"/>
              </w:rPr>
              <w:t>Consejería de Turismo  y Empleo:</w:t>
            </w:r>
          </w:p>
          <w:p w14:paraId="183B0145" w14:textId="28C47E37" w:rsidR="00715F60" w:rsidRPr="00715F60" w:rsidRDefault="00715F60" w:rsidP="00715F60">
            <w:pPr>
              <w:pBdr>
                <w:top w:val="none" w:sz="0" w:space="0" w:color="auto"/>
                <w:left w:val="none" w:sz="0" w:space="0" w:color="auto"/>
                <w:bottom w:val="none" w:sz="0" w:space="0" w:color="auto"/>
                <w:right w:val="none" w:sz="0" w:space="0" w:color="auto"/>
                <w:between w:val="none" w:sz="0" w:space="0" w:color="auto"/>
                <w:bar w:val="none" w:sz="0" w:color="auto"/>
              </w:pBdr>
              <w:outlineLvl w:val="9"/>
              <w:rPr>
                <w:rFonts w:eastAsia="Times New Roman"/>
                <w:color w:val="auto"/>
                <w:sz w:val="17"/>
                <w:szCs w:val="17"/>
                <w:highlight w:val="red"/>
                <w:bdr w:val="none" w:sz="0" w:space="0" w:color="auto"/>
                <w:lang w:eastAsia="es-ES"/>
              </w:rPr>
            </w:pPr>
            <w:r w:rsidRPr="00715F60">
              <w:rPr>
                <w:sz w:val="17"/>
                <w:szCs w:val="17"/>
              </w:rPr>
              <w:t xml:space="preserve">Sistema de información en destino - Remote </w:t>
            </w:r>
            <w:proofErr w:type="spellStart"/>
            <w:r w:rsidRPr="00715F60">
              <w:rPr>
                <w:sz w:val="17"/>
                <w:szCs w:val="17"/>
              </w:rPr>
              <w:t>Worters</w:t>
            </w:r>
            <w:proofErr w:type="spellEnd"/>
          </w:p>
        </w:tc>
        <w:tc>
          <w:tcPr>
            <w:tcW w:w="703" w:type="pct"/>
            <w:tcBorders>
              <w:top w:val="single" w:sz="4" w:space="0" w:color="auto"/>
              <w:left w:val="nil"/>
              <w:bottom w:val="single" w:sz="4" w:space="0" w:color="auto"/>
              <w:right w:val="nil"/>
            </w:tcBorders>
            <w:shd w:val="clear" w:color="auto" w:fill="auto"/>
            <w:vAlign w:val="center"/>
          </w:tcPr>
          <w:p w14:paraId="2AAC6F09" w14:textId="65B61F22" w:rsidR="00715F60" w:rsidRPr="00715F60" w:rsidRDefault="00715F60" w:rsidP="00715F60">
            <w:pPr>
              <w:pBdr>
                <w:top w:val="none" w:sz="0" w:space="0" w:color="auto"/>
                <w:left w:val="none" w:sz="0" w:space="0" w:color="auto"/>
                <w:bottom w:val="none" w:sz="0" w:space="0" w:color="auto"/>
                <w:right w:val="none" w:sz="0" w:space="0" w:color="auto"/>
                <w:between w:val="none" w:sz="0" w:space="0" w:color="auto"/>
                <w:bar w:val="none" w:sz="0" w:color="auto"/>
              </w:pBdr>
              <w:jc w:val="right"/>
              <w:outlineLvl w:val="9"/>
              <w:rPr>
                <w:rFonts w:eastAsia="Times New Roman"/>
                <w:color w:val="auto"/>
                <w:sz w:val="17"/>
                <w:szCs w:val="17"/>
                <w:highlight w:val="red"/>
                <w:bdr w:val="none" w:sz="0" w:space="0" w:color="auto"/>
                <w:lang w:eastAsia="es-ES"/>
              </w:rPr>
            </w:pPr>
            <w:r w:rsidRPr="00715F60">
              <w:rPr>
                <w:sz w:val="17"/>
                <w:szCs w:val="17"/>
              </w:rPr>
              <w:t>352.086,20</w:t>
            </w:r>
          </w:p>
        </w:tc>
        <w:tc>
          <w:tcPr>
            <w:tcW w:w="781" w:type="pct"/>
            <w:tcBorders>
              <w:top w:val="single" w:sz="4" w:space="0" w:color="auto"/>
              <w:left w:val="nil"/>
              <w:bottom w:val="single" w:sz="4" w:space="0" w:color="auto"/>
              <w:right w:val="nil"/>
            </w:tcBorders>
            <w:vAlign w:val="center"/>
          </w:tcPr>
          <w:p w14:paraId="51EBE62F" w14:textId="14CFB33F" w:rsidR="00715F60" w:rsidRPr="00715F60" w:rsidRDefault="00715F60" w:rsidP="00715F60">
            <w:pPr>
              <w:pBdr>
                <w:top w:val="none" w:sz="0" w:space="0" w:color="auto"/>
                <w:left w:val="none" w:sz="0" w:space="0" w:color="auto"/>
                <w:bottom w:val="none" w:sz="0" w:space="0" w:color="auto"/>
                <w:right w:val="none" w:sz="0" w:space="0" w:color="auto"/>
                <w:between w:val="none" w:sz="0" w:space="0" w:color="auto"/>
                <w:bar w:val="none" w:sz="0" w:color="auto"/>
              </w:pBdr>
              <w:jc w:val="right"/>
              <w:outlineLvl w:val="9"/>
              <w:rPr>
                <w:sz w:val="17"/>
                <w:szCs w:val="17"/>
              </w:rPr>
            </w:pPr>
            <w:r w:rsidRPr="00715F60">
              <w:rPr>
                <w:sz w:val="17"/>
                <w:szCs w:val="17"/>
              </w:rPr>
              <w:t xml:space="preserve"> -</w:t>
            </w:r>
          </w:p>
        </w:tc>
      </w:tr>
      <w:tr w:rsidR="00715F60" w:rsidRPr="006439D4" w14:paraId="0E1C3B46" w14:textId="61EA85DE" w:rsidTr="00B1370C">
        <w:trPr>
          <w:trHeight w:val="454"/>
        </w:trPr>
        <w:tc>
          <w:tcPr>
            <w:tcW w:w="3516" w:type="pct"/>
            <w:tcBorders>
              <w:top w:val="nil"/>
              <w:left w:val="nil"/>
              <w:bottom w:val="nil"/>
              <w:right w:val="nil"/>
            </w:tcBorders>
            <w:shd w:val="clear" w:color="auto" w:fill="auto"/>
            <w:vAlign w:val="center"/>
            <w:hideMark/>
          </w:tcPr>
          <w:p w14:paraId="5A53B82A" w14:textId="77777777" w:rsidR="00715F60" w:rsidRDefault="00715F60" w:rsidP="00715F60">
            <w:pPr>
              <w:pBdr>
                <w:top w:val="none" w:sz="0" w:space="0" w:color="auto"/>
                <w:left w:val="none" w:sz="0" w:space="0" w:color="auto"/>
                <w:bottom w:val="none" w:sz="0" w:space="0" w:color="auto"/>
                <w:right w:val="none" w:sz="0" w:space="0" w:color="auto"/>
                <w:between w:val="none" w:sz="0" w:space="0" w:color="auto"/>
                <w:bar w:val="none" w:sz="0" w:color="auto"/>
              </w:pBdr>
              <w:outlineLvl w:val="9"/>
              <w:rPr>
                <w:sz w:val="17"/>
                <w:szCs w:val="17"/>
              </w:rPr>
            </w:pPr>
            <w:r w:rsidRPr="00715F60">
              <w:rPr>
                <w:sz w:val="17"/>
                <w:szCs w:val="17"/>
              </w:rPr>
              <w:t>Consejería de Turismo y Empleo:</w:t>
            </w:r>
          </w:p>
          <w:p w14:paraId="01D02D99" w14:textId="14A6B3FD" w:rsidR="00715F60" w:rsidRPr="00715F60" w:rsidRDefault="00715F60" w:rsidP="00715F60">
            <w:pPr>
              <w:pBdr>
                <w:top w:val="none" w:sz="0" w:space="0" w:color="auto"/>
                <w:left w:val="none" w:sz="0" w:space="0" w:color="auto"/>
                <w:bottom w:val="none" w:sz="0" w:space="0" w:color="auto"/>
                <w:right w:val="none" w:sz="0" w:space="0" w:color="auto"/>
                <w:between w:val="none" w:sz="0" w:space="0" w:color="auto"/>
                <w:bar w:val="none" w:sz="0" w:color="auto"/>
              </w:pBdr>
              <w:outlineLvl w:val="9"/>
              <w:rPr>
                <w:rFonts w:eastAsia="Times New Roman"/>
                <w:color w:val="auto"/>
                <w:sz w:val="17"/>
                <w:szCs w:val="17"/>
                <w:highlight w:val="red"/>
                <w:bdr w:val="none" w:sz="0" w:space="0" w:color="auto"/>
                <w:lang w:eastAsia="es-ES"/>
              </w:rPr>
            </w:pPr>
            <w:r w:rsidRPr="00715F60">
              <w:rPr>
                <w:sz w:val="17"/>
                <w:szCs w:val="17"/>
              </w:rPr>
              <w:t>Sistema de información en destino</w:t>
            </w:r>
          </w:p>
        </w:tc>
        <w:tc>
          <w:tcPr>
            <w:tcW w:w="703" w:type="pct"/>
            <w:tcBorders>
              <w:top w:val="nil"/>
              <w:left w:val="nil"/>
              <w:bottom w:val="nil"/>
              <w:right w:val="nil"/>
            </w:tcBorders>
            <w:shd w:val="clear" w:color="auto" w:fill="auto"/>
            <w:vAlign w:val="center"/>
          </w:tcPr>
          <w:p w14:paraId="2A71E514" w14:textId="16D54441" w:rsidR="00715F60" w:rsidRPr="00715F60" w:rsidRDefault="00715F60" w:rsidP="00715F60">
            <w:pPr>
              <w:pBdr>
                <w:top w:val="none" w:sz="0" w:space="0" w:color="auto"/>
                <w:left w:val="none" w:sz="0" w:space="0" w:color="auto"/>
                <w:bottom w:val="none" w:sz="0" w:space="0" w:color="auto"/>
                <w:right w:val="none" w:sz="0" w:space="0" w:color="auto"/>
                <w:between w:val="none" w:sz="0" w:space="0" w:color="auto"/>
                <w:bar w:val="none" w:sz="0" w:color="auto"/>
              </w:pBdr>
              <w:jc w:val="right"/>
              <w:outlineLvl w:val="9"/>
              <w:rPr>
                <w:rFonts w:eastAsia="Times New Roman"/>
                <w:color w:val="auto"/>
                <w:sz w:val="17"/>
                <w:szCs w:val="17"/>
                <w:highlight w:val="red"/>
                <w:bdr w:val="none" w:sz="0" w:space="0" w:color="auto"/>
                <w:lang w:eastAsia="es-ES"/>
              </w:rPr>
            </w:pPr>
            <w:r w:rsidRPr="00715F60">
              <w:rPr>
                <w:sz w:val="17"/>
                <w:szCs w:val="17"/>
              </w:rPr>
              <w:t>231.696,94</w:t>
            </w:r>
          </w:p>
        </w:tc>
        <w:tc>
          <w:tcPr>
            <w:tcW w:w="781" w:type="pct"/>
            <w:tcBorders>
              <w:top w:val="nil"/>
              <w:left w:val="nil"/>
              <w:bottom w:val="nil"/>
              <w:right w:val="nil"/>
            </w:tcBorders>
            <w:vAlign w:val="center"/>
          </w:tcPr>
          <w:p w14:paraId="7D1E8BF5" w14:textId="768D4265" w:rsidR="00715F60" w:rsidRPr="00715F60" w:rsidRDefault="00715F60" w:rsidP="00715F60">
            <w:pPr>
              <w:pBdr>
                <w:top w:val="none" w:sz="0" w:space="0" w:color="auto"/>
                <w:left w:val="none" w:sz="0" w:space="0" w:color="auto"/>
                <w:bottom w:val="none" w:sz="0" w:space="0" w:color="auto"/>
                <w:right w:val="none" w:sz="0" w:space="0" w:color="auto"/>
                <w:between w:val="none" w:sz="0" w:space="0" w:color="auto"/>
                <w:bar w:val="none" w:sz="0" w:color="auto"/>
              </w:pBdr>
              <w:jc w:val="right"/>
              <w:outlineLvl w:val="9"/>
              <w:rPr>
                <w:sz w:val="17"/>
                <w:szCs w:val="17"/>
              </w:rPr>
            </w:pPr>
            <w:r w:rsidRPr="00715F60">
              <w:rPr>
                <w:sz w:val="17"/>
                <w:szCs w:val="17"/>
              </w:rPr>
              <w:t xml:space="preserve"> -</w:t>
            </w:r>
          </w:p>
        </w:tc>
      </w:tr>
      <w:tr w:rsidR="00715F60" w:rsidRPr="006439D4" w14:paraId="44211EF6" w14:textId="12757D63" w:rsidTr="00B1370C">
        <w:trPr>
          <w:trHeight w:val="283"/>
        </w:trPr>
        <w:tc>
          <w:tcPr>
            <w:tcW w:w="3516" w:type="pct"/>
            <w:tcBorders>
              <w:top w:val="single" w:sz="4" w:space="0" w:color="auto"/>
              <w:left w:val="nil"/>
              <w:bottom w:val="single" w:sz="4" w:space="0" w:color="auto"/>
              <w:right w:val="nil"/>
            </w:tcBorders>
            <w:shd w:val="clear" w:color="auto" w:fill="auto"/>
            <w:noWrap/>
            <w:vAlign w:val="center"/>
            <w:hideMark/>
          </w:tcPr>
          <w:p w14:paraId="4868DE62" w14:textId="34788DDB" w:rsidR="00715F60" w:rsidRPr="006439D4" w:rsidRDefault="00715F60" w:rsidP="00715F60">
            <w:pPr>
              <w:pBdr>
                <w:top w:val="none" w:sz="0" w:space="0" w:color="auto"/>
                <w:left w:val="none" w:sz="0" w:space="0" w:color="auto"/>
                <w:bottom w:val="none" w:sz="0" w:space="0" w:color="auto"/>
                <w:right w:val="none" w:sz="0" w:space="0" w:color="auto"/>
                <w:between w:val="none" w:sz="0" w:space="0" w:color="auto"/>
                <w:bar w:val="none" w:sz="0" w:color="auto"/>
              </w:pBdr>
              <w:outlineLvl w:val="9"/>
              <w:rPr>
                <w:rFonts w:eastAsia="Times New Roman"/>
                <w:b/>
                <w:bCs/>
                <w:sz w:val="17"/>
                <w:szCs w:val="17"/>
                <w:highlight w:val="red"/>
                <w:bdr w:val="none" w:sz="0" w:space="0" w:color="auto"/>
                <w:lang w:eastAsia="es-ES"/>
              </w:rPr>
            </w:pPr>
            <w:r>
              <w:rPr>
                <w:b/>
                <w:bCs/>
                <w:sz w:val="17"/>
                <w:szCs w:val="17"/>
              </w:rPr>
              <w:t>Total</w:t>
            </w:r>
          </w:p>
        </w:tc>
        <w:tc>
          <w:tcPr>
            <w:tcW w:w="703" w:type="pct"/>
            <w:tcBorders>
              <w:top w:val="single" w:sz="4" w:space="0" w:color="auto"/>
              <w:left w:val="nil"/>
              <w:bottom w:val="single" w:sz="4" w:space="0" w:color="auto"/>
              <w:right w:val="nil"/>
            </w:tcBorders>
            <w:shd w:val="clear" w:color="auto" w:fill="auto"/>
            <w:vAlign w:val="center"/>
          </w:tcPr>
          <w:p w14:paraId="7A281F7A" w14:textId="0EA8307B" w:rsidR="00715F60" w:rsidRPr="00715F60" w:rsidRDefault="00715F60" w:rsidP="00715F60">
            <w:pPr>
              <w:pBdr>
                <w:top w:val="none" w:sz="0" w:space="0" w:color="auto"/>
                <w:left w:val="none" w:sz="0" w:space="0" w:color="auto"/>
                <w:bottom w:val="none" w:sz="0" w:space="0" w:color="auto"/>
                <w:right w:val="none" w:sz="0" w:space="0" w:color="auto"/>
                <w:between w:val="none" w:sz="0" w:space="0" w:color="auto"/>
                <w:bar w:val="none" w:sz="0" w:color="auto"/>
              </w:pBdr>
              <w:jc w:val="right"/>
              <w:outlineLvl w:val="9"/>
              <w:rPr>
                <w:rFonts w:eastAsia="Times New Roman"/>
                <w:b/>
                <w:bCs/>
                <w:color w:val="auto"/>
                <w:sz w:val="17"/>
                <w:szCs w:val="17"/>
                <w:highlight w:val="red"/>
                <w:bdr w:val="none" w:sz="0" w:space="0" w:color="auto"/>
                <w:lang w:eastAsia="es-ES"/>
              </w:rPr>
            </w:pPr>
            <w:r w:rsidRPr="00715F60">
              <w:rPr>
                <w:b/>
                <w:bCs/>
                <w:sz w:val="17"/>
                <w:szCs w:val="17"/>
              </w:rPr>
              <w:t>2.229.718,78</w:t>
            </w:r>
          </w:p>
        </w:tc>
        <w:tc>
          <w:tcPr>
            <w:tcW w:w="781" w:type="pct"/>
            <w:tcBorders>
              <w:top w:val="single" w:sz="4" w:space="0" w:color="auto"/>
              <w:left w:val="nil"/>
              <w:bottom w:val="single" w:sz="4" w:space="0" w:color="auto"/>
              <w:right w:val="nil"/>
            </w:tcBorders>
            <w:vAlign w:val="center"/>
          </w:tcPr>
          <w:p w14:paraId="4057F716" w14:textId="77AA1C1A" w:rsidR="00715F60" w:rsidRPr="00715F60" w:rsidRDefault="00715F60" w:rsidP="00715F60">
            <w:pPr>
              <w:pBdr>
                <w:top w:val="none" w:sz="0" w:space="0" w:color="auto"/>
                <w:left w:val="none" w:sz="0" w:space="0" w:color="auto"/>
                <w:bottom w:val="none" w:sz="0" w:space="0" w:color="auto"/>
                <w:right w:val="none" w:sz="0" w:space="0" w:color="auto"/>
                <w:between w:val="none" w:sz="0" w:space="0" w:color="auto"/>
                <w:bar w:val="none" w:sz="0" w:color="auto"/>
              </w:pBdr>
              <w:jc w:val="right"/>
              <w:outlineLvl w:val="9"/>
              <w:rPr>
                <w:b/>
                <w:bCs/>
                <w:sz w:val="17"/>
                <w:szCs w:val="17"/>
              </w:rPr>
            </w:pPr>
            <w:r w:rsidRPr="00715F60">
              <w:rPr>
                <w:b/>
                <w:bCs/>
                <w:sz w:val="17"/>
                <w:szCs w:val="17"/>
              </w:rPr>
              <w:t>3.542.531,75</w:t>
            </w:r>
          </w:p>
        </w:tc>
      </w:tr>
    </w:tbl>
    <w:p w14:paraId="311FD9E4" w14:textId="01F87FCD" w:rsidR="003D4867" w:rsidRPr="00125C20" w:rsidRDefault="003D4867" w:rsidP="00EE7F26">
      <w:pPr>
        <w:widowControl w:val="0"/>
        <w:spacing w:before="240" w:after="120" w:line="260" w:lineRule="exact"/>
        <w:jc w:val="both"/>
        <w:outlineLvl w:val="9"/>
        <w:rPr>
          <w:snapToGrid w:val="0"/>
          <w:sz w:val="20"/>
          <w:szCs w:val="22"/>
        </w:rPr>
      </w:pPr>
      <w:r w:rsidRPr="00125C20">
        <w:rPr>
          <w:snapToGrid w:val="0"/>
          <w:sz w:val="20"/>
          <w:szCs w:val="22"/>
        </w:rPr>
        <w:t>La parte no ejecutada por la Sociedad en 202</w:t>
      </w:r>
      <w:r w:rsidR="00623AD4">
        <w:rPr>
          <w:snapToGrid w:val="0"/>
          <w:sz w:val="20"/>
          <w:szCs w:val="22"/>
        </w:rPr>
        <w:t>4</w:t>
      </w:r>
      <w:r w:rsidRPr="00125C20">
        <w:rPr>
          <w:snapToGrid w:val="0"/>
          <w:sz w:val="20"/>
          <w:szCs w:val="22"/>
        </w:rPr>
        <w:t xml:space="preserve"> ha sido registrada como ingresos anticipados por importe de </w:t>
      </w:r>
      <w:r w:rsidR="00715F60">
        <w:rPr>
          <w:snapToGrid w:val="0"/>
          <w:sz w:val="20"/>
          <w:szCs w:val="22"/>
        </w:rPr>
        <w:t>13.074.191,79 euros</w:t>
      </w:r>
      <w:r w:rsidR="00125C20" w:rsidRPr="00125C20">
        <w:rPr>
          <w:snapToGrid w:val="0"/>
          <w:sz w:val="20"/>
          <w:szCs w:val="22"/>
        </w:rPr>
        <w:t xml:space="preserve"> </w:t>
      </w:r>
      <w:r w:rsidR="00907E84" w:rsidRPr="00125C20">
        <w:rPr>
          <w:snapToGrid w:val="0"/>
          <w:sz w:val="20"/>
          <w:szCs w:val="22"/>
        </w:rPr>
        <w:t>(</w:t>
      </w:r>
      <w:r w:rsidR="00623AD4" w:rsidRPr="00125C20">
        <w:rPr>
          <w:snapToGrid w:val="0"/>
          <w:sz w:val="20"/>
          <w:szCs w:val="22"/>
        </w:rPr>
        <w:t xml:space="preserve">38.985.647,69 </w:t>
      </w:r>
      <w:r w:rsidR="00907E84" w:rsidRPr="00125C20">
        <w:rPr>
          <w:snapToGrid w:val="0"/>
          <w:sz w:val="20"/>
          <w:szCs w:val="22"/>
        </w:rPr>
        <w:t xml:space="preserve">euros en el ejercicio anterior) </w:t>
      </w:r>
      <w:r w:rsidRPr="00125C20">
        <w:rPr>
          <w:snapToGrid w:val="0"/>
          <w:sz w:val="20"/>
          <w:szCs w:val="22"/>
        </w:rPr>
        <w:t>(Nota 8.3.c).</w:t>
      </w:r>
    </w:p>
    <w:p w14:paraId="6462613B" w14:textId="77777777" w:rsidR="00125C20" w:rsidRPr="006439D4" w:rsidRDefault="00125C20" w:rsidP="00064105">
      <w:pPr>
        <w:widowControl w:val="0"/>
        <w:spacing w:before="120" w:after="120" w:line="260" w:lineRule="exact"/>
        <w:jc w:val="both"/>
        <w:outlineLvl w:val="9"/>
        <w:rPr>
          <w:snapToGrid w:val="0"/>
          <w:sz w:val="20"/>
          <w:szCs w:val="22"/>
          <w:highlight w:val="red"/>
        </w:rPr>
      </w:pPr>
    </w:p>
    <w:p w14:paraId="25EBD574" w14:textId="77777777" w:rsidR="001C58A9" w:rsidRPr="006439D4" w:rsidRDefault="001C58A9" w:rsidP="009C7621">
      <w:pPr>
        <w:widowControl w:val="0"/>
        <w:spacing w:before="120" w:line="276" w:lineRule="auto"/>
        <w:jc w:val="both"/>
        <w:rPr>
          <w:sz w:val="20"/>
          <w:szCs w:val="20"/>
          <w:highlight w:val="red"/>
        </w:rPr>
      </w:pPr>
    </w:p>
    <w:p w14:paraId="3B366A94" w14:textId="7EB87DEE" w:rsidR="001C58A9" w:rsidRPr="006439D4" w:rsidRDefault="001C58A9" w:rsidP="0045288C">
      <w:pPr>
        <w:keepNext/>
        <w:keepLines/>
        <w:widowControl w:val="0"/>
        <w:spacing w:before="120" w:after="120" w:line="276" w:lineRule="auto"/>
        <w:jc w:val="both"/>
        <w:rPr>
          <w:sz w:val="20"/>
          <w:szCs w:val="20"/>
          <w:highlight w:val="red"/>
        </w:rPr>
        <w:sectPr w:rsidR="001C58A9" w:rsidRPr="006439D4" w:rsidSect="004A41D6">
          <w:pgSz w:w="11900" w:h="16840" w:code="9"/>
          <w:pgMar w:top="1701" w:right="1418" w:bottom="1418" w:left="1701" w:header="1020" w:footer="680" w:gutter="0"/>
          <w:cols w:space="708"/>
          <w:docGrid w:linePitch="360"/>
        </w:sectPr>
      </w:pPr>
    </w:p>
    <w:p w14:paraId="461FA6A3" w14:textId="577591CB" w:rsidR="000778A8" w:rsidRPr="00125C20" w:rsidRDefault="001C58A9" w:rsidP="00C003BB">
      <w:pPr>
        <w:keepNext/>
        <w:keepLines/>
        <w:widowControl w:val="0"/>
        <w:spacing w:before="120" w:after="120" w:line="276" w:lineRule="auto"/>
        <w:jc w:val="both"/>
        <w:rPr>
          <w:sz w:val="20"/>
          <w:szCs w:val="20"/>
        </w:rPr>
      </w:pPr>
      <w:r w:rsidRPr="00125C20">
        <w:rPr>
          <w:sz w:val="20"/>
          <w:szCs w:val="20"/>
        </w:rPr>
        <w:lastRenderedPageBreak/>
        <w:t>Las subvenciones de explota</w:t>
      </w:r>
      <w:r w:rsidR="00646619" w:rsidRPr="00125C20">
        <w:rPr>
          <w:sz w:val="20"/>
          <w:szCs w:val="20"/>
        </w:rPr>
        <w:t>ción concedidas en 202</w:t>
      </w:r>
      <w:r w:rsidR="00715F60">
        <w:rPr>
          <w:sz w:val="20"/>
          <w:szCs w:val="20"/>
        </w:rPr>
        <w:t>4</w:t>
      </w:r>
      <w:r w:rsidR="00646619" w:rsidRPr="00125C20">
        <w:rPr>
          <w:sz w:val="20"/>
          <w:szCs w:val="20"/>
        </w:rPr>
        <w:t xml:space="preserve"> y </w:t>
      </w:r>
      <w:r w:rsidR="000778A8" w:rsidRPr="00125C20">
        <w:rPr>
          <w:sz w:val="20"/>
          <w:szCs w:val="20"/>
        </w:rPr>
        <w:t>prorrogadas al ejercicio 20</w:t>
      </w:r>
      <w:r w:rsidR="00125C20" w:rsidRPr="00125C20">
        <w:rPr>
          <w:sz w:val="20"/>
          <w:szCs w:val="20"/>
        </w:rPr>
        <w:t>2</w:t>
      </w:r>
      <w:r w:rsidR="00715F60">
        <w:rPr>
          <w:sz w:val="20"/>
          <w:szCs w:val="20"/>
        </w:rPr>
        <w:t>5</w:t>
      </w:r>
      <w:r w:rsidR="000778A8" w:rsidRPr="00125C20">
        <w:rPr>
          <w:sz w:val="20"/>
          <w:szCs w:val="20"/>
        </w:rPr>
        <w:t xml:space="preserve"> son las siguientes:</w:t>
      </w:r>
    </w:p>
    <w:tbl>
      <w:tblPr>
        <w:tblW w:w="5000" w:type="pct"/>
        <w:tblCellMar>
          <w:left w:w="70" w:type="dxa"/>
          <w:right w:w="70" w:type="dxa"/>
        </w:tblCellMar>
        <w:tblLook w:val="04A0" w:firstRow="1" w:lastRow="0" w:firstColumn="1" w:lastColumn="0" w:noHBand="0" w:noVBand="1"/>
      </w:tblPr>
      <w:tblGrid>
        <w:gridCol w:w="4800"/>
        <w:gridCol w:w="1336"/>
        <w:gridCol w:w="88"/>
        <w:gridCol w:w="1424"/>
        <w:gridCol w:w="110"/>
        <w:gridCol w:w="1314"/>
        <w:gridCol w:w="1408"/>
        <w:gridCol w:w="1622"/>
        <w:gridCol w:w="1413"/>
        <w:gridCol w:w="206"/>
      </w:tblGrid>
      <w:tr w:rsidR="00DB1E0F" w:rsidRPr="00B30455" w14:paraId="382D13A1" w14:textId="77777777" w:rsidTr="00452BC9">
        <w:trPr>
          <w:gridAfter w:val="1"/>
          <w:wAfter w:w="75" w:type="pct"/>
          <w:trHeight w:val="227"/>
          <w:tblHeader/>
        </w:trPr>
        <w:tc>
          <w:tcPr>
            <w:tcW w:w="1749" w:type="pct"/>
            <w:tcBorders>
              <w:top w:val="single" w:sz="4" w:space="0" w:color="auto"/>
              <w:left w:val="nil"/>
              <w:bottom w:val="nil"/>
              <w:right w:val="nil"/>
            </w:tcBorders>
            <w:shd w:val="clear" w:color="auto" w:fill="auto"/>
            <w:noWrap/>
            <w:vAlign w:val="center"/>
            <w:hideMark/>
          </w:tcPr>
          <w:p w14:paraId="47488AF0" w14:textId="77777777" w:rsidR="00DB1E0F" w:rsidRPr="00B30455" w:rsidRDefault="00DB1E0F" w:rsidP="0045288C">
            <w:pPr>
              <w:keepNext/>
              <w:keepLines/>
              <w:widowControl w:val="0"/>
              <w:pBdr>
                <w:top w:val="none" w:sz="0" w:space="0" w:color="auto"/>
                <w:left w:val="none" w:sz="0" w:space="0" w:color="auto"/>
                <w:bottom w:val="none" w:sz="0" w:space="0" w:color="auto"/>
                <w:right w:val="none" w:sz="0" w:space="0" w:color="auto"/>
                <w:between w:val="none" w:sz="0" w:space="0" w:color="auto"/>
                <w:bar w:val="none" w:sz="0" w:color="auto"/>
              </w:pBdr>
              <w:outlineLvl w:val="9"/>
              <w:rPr>
                <w:rFonts w:eastAsia="Times New Roman"/>
                <w:color w:val="auto"/>
                <w:sz w:val="16"/>
                <w:szCs w:val="16"/>
                <w:bdr w:val="none" w:sz="0" w:space="0" w:color="auto"/>
                <w:lang w:eastAsia="es-ES"/>
              </w:rPr>
            </w:pPr>
          </w:p>
        </w:tc>
        <w:tc>
          <w:tcPr>
            <w:tcW w:w="487" w:type="pct"/>
            <w:tcBorders>
              <w:top w:val="single" w:sz="4" w:space="0" w:color="auto"/>
              <w:left w:val="nil"/>
              <w:bottom w:val="nil"/>
              <w:right w:val="nil"/>
            </w:tcBorders>
          </w:tcPr>
          <w:p w14:paraId="333EBA3E" w14:textId="77777777" w:rsidR="00DB1E0F" w:rsidRPr="00B30455" w:rsidRDefault="00DB1E0F" w:rsidP="0045288C">
            <w:pPr>
              <w:keepNext/>
              <w:keepLines/>
              <w:widowControl w:val="0"/>
              <w:pBdr>
                <w:top w:val="none" w:sz="0" w:space="0" w:color="auto"/>
                <w:left w:val="none" w:sz="0" w:space="0" w:color="auto"/>
                <w:bottom w:val="none" w:sz="0" w:space="0" w:color="auto"/>
                <w:right w:val="none" w:sz="0" w:space="0" w:color="auto"/>
                <w:between w:val="none" w:sz="0" w:space="0" w:color="auto"/>
                <w:bar w:val="none" w:sz="0" w:color="auto"/>
              </w:pBdr>
              <w:jc w:val="center"/>
              <w:outlineLvl w:val="9"/>
              <w:rPr>
                <w:rFonts w:eastAsia="Times New Roman"/>
                <w:b/>
                <w:bCs/>
                <w:sz w:val="16"/>
                <w:szCs w:val="16"/>
                <w:bdr w:val="none" w:sz="0" w:space="0" w:color="auto"/>
                <w:lang w:eastAsia="es-ES"/>
              </w:rPr>
            </w:pPr>
          </w:p>
        </w:tc>
        <w:tc>
          <w:tcPr>
            <w:tcW w:w="591" w:type="pct"/>
            <w:gridSpan w:val="3"/>
            <w:tcBorders>
              <w:top w:val="single" w:sz="4" w:space="0" w:color="auto"/>
              <w:left w:val="nil"/>
              <w:bottom w:val="nil"/>
              <w:right w:val="nil"/>
            </w:tcBorders>
          </w:tcPr>
          <w:p w14:paraId="2FF35F54" w14:textId="77777777" w:rsidR="00DB1E0F" w:rsidRPr="00B30455" w:rsidRDefault="00DB1E0F" w:rsidP="0045288C">
            <w:pPr>
              <w:keepNext/>
              <w:keepLines/>
              <w:widowControl w:val="0"/>
              <w:pBdr>
                <w:top w:val="none" w:sz="0" w:space="0" w:color="auto"/>
                <w:left w:val="none" w:sz="0" w:space="0" w:color="auto"/>
                <w:bottom w:val="none" w:sz="0" w:space="0" w:color="auto"/>
                <w:right w:val="none" w:sz="0" w:space="0" w:color="auto"/>
                <w:between w:val="none" w:sz="0" w:space="0" w:color="auto"/>
                <w:bar w:val="none" w:sz="0" w:color="auto"/>
              </w:pBdr>
              <w:jc w:val="center"/>
              <w:outlineLvl w:val="9"/>
              <w:rPr>
                <w:rFonts w:eastAsia="Times New Roman"/>
                <w:b/>
                <w:bCs/>
                <w:sz w:val="16"/>
                <w:szCs w:val="16"/>
                <w:bdr w:val="none" w:sz="0" w:space="0" w:color="auto"/>
                <w:lang w:eastAsia="es-ES"/>
              </w:rPr>
            </w:pPr>
          </w:p>
        </w:tc>
        <w:tc>
          <w:tcPr>
            <w:tcW w:w="2098" w:type="pct"/>
            <w:gridSpan w:val="4"/>
            <w:tcBorders>
              <w:top w:val="single" w:sz="4" w:space="0" w:color="auto"/>
              <w:left w:val="nil"/>
              <w:bottom w:val="nil"/>
              <w:right w:val="nil"/>
            </w:tcBorders>
            <w:shd w:val="clear" w:color="auto" w:fill="auto"/>
            <w:vAlign w:val="bottom"/>
            <w:hideMark/>
          </w:tcPr>
          <w:p w14:paraId="4506FD37" w14:textId="1DE3319F" w:rsidR="00DB1E0F" w:rsidRPr="00B30455" w:rsidRDefault="00DB1E0F" w:rsidP="0045288C">
            <w:pPr>
              <w:keepNext/>
              <w:keepLines/>
              <w:widowControl w:val="0"/>
              <w:pBdr>
                <w:top w:val="none" w:sz="0" w:space="0" w:color="auto"/>
                <w:left w:val="none" w:sz="0" w:space="0" w:color="auto"/>
                <w:bottom w:val="none" w:sz="0" w:space="0" w:color="auto"/>
                <w:right w:val="none" w:sz="0" w:space="0" w:color="auto"/>
                <w:between w:val="none" w:sz="0" w:space="0" w:color="auto"/>
                <w:bar w:val="none" w:sz="0" w:color="auto"/>
              </w:pBdr>
              <w:jc w:val="center"/>
              <w:outlineLvl w:val="9"/>
              <w:rPr>
                <w:rFonts w:eastAsia="Times New Roman"/>
                <w:b/>
                <w:bCs/>
                <w:sz w:val="16"/>
                <w:szCs w:val="16"/>
                <w:bdr w:val="none" w:sz="0" w:space="0" w:color="auto"/>
                <w:lang w:eastAsia="es-ES"/>
              </w:rPr>
            </w:pPr>
            <w:r w:rsidRPr="00B30455">
              <w:rPr>
                <w:rFonts w:eastAsia="Times New Roman"/>
                <w:b/>
                <w:bCs/>
                <w:sz w:val="16"/>
                <w:szCs w:val="16"/>
                <w:bdr w:val="none" w:sz="0" w:space="0" w:color="auto"/>
                <w:lang w:eastAsia="es-ES"/>
              </w:rPr>
              <w:t>Euros</w:t>
            </w:r>
          </w:p>
        </w:tc>
      </w:tr>
      <w:tr w:rsidR="00DB1E0F" w:rsidRPr="00B30455" w14:paraId="2D0CEFBD" w14:textId="77777777" w:rsidTr="00452BC9">
        <w:trPr>
          <w:trHeight w:val="227"/>
          <w:tblHeader/>
        </w:trPr>
        <w:tc>
          <w:tcPr>
            <w:tcW w:w="1749" w:type="pct"/>
            <w:tcBorders>
              <w:top w:val="nil"/>
              <w:left w:val="nil"/>
              <w:bottom w:val="single" w:sz="4" w:space="0" w:color="auto"/>
              <w:right w:val="nil"/>
            </w:tcBorders>
            <w:shd w:val="clear" w:color="auto" w:fill="auto"/>
            <w:noWrap/>
            <w:vAlign w:val="bottom"/>
            <w:hideMark/>
          </w:tcPr>
          <w:p w14:paraId="3456C980" w14:textId="2868DB80" w:rsidR="00DB1E0F" w:rsidRPr="00B30455" w:rsidRDefault="00DB1E0F" w:rsidP="001C58A9">
            <w:pPr>
              <w:keepNext/>
              <w:keepLines/>
              <w:widowControl w:val="0"/>
              <w:pBdr>
                <w:top w:val="none" w:sz="0" w:space="0" w:color="auto"/>
                <w:left w:val="none" w:sz="0" w:space="0" w:color="auto"/>
                <w:bottom w:val="none" w:sz="0" w:space="0" w:color="auto"/>
                <w:right w:val="none" w:sz="0" w:space="0" w:color="auto"/>
                <w:between w:val="none" w:sz="0" w:space="0" w:color="auto"/>
                <w:bar w:val="none" w:sz="0" w:color="auto"/>
              </w:pBdr>
              <w:outlineLvl w:val="9"/>
              <w:rPr>
                <w:rFonts w:eastAsia="Times New Roman"/>
                <w:b/>
                <w:bCs/>
                <w:sz w:val="16"/>
                <w:szCs w:val="16"/>
                <w:bdr w:val="none" w:sz="0" w:space="0" w:color="auto"/>
                <w:lang w:eastAsia="es-ES"/>
              </w:rPr>
            </w:pPr>
            <w:r w:rsidRPr="00B30455">
              <w:rPr>
                <w:rFonts w:eastAsia="Times New Roman"/>
                <w:b/>
                <w:bCs/>
                <w:sz w:val="16"/>
                <w:szCs w:val="16"/>
                <w:bdr w:val="none" w:sz="0" w:space="0" w:color="auto"/>
                <w:lang w:eastAsia="es-ES"/>
              </w:rPr>
              <w:t>Subvención</w:t>
            </w:r>
          </w:p>
        </w:tc>
        <w:tc>
          <w:tcPr>
            <w:tcW w:w="519" w:type="pct"/>
            <w:gridSpan w:val="2"/>
            <w:tcBorders>
              <w:top w:val="single" w:sz="4" w:space="0" w:color="auto"/>
              <w:left w:val="nil"/>
              <w:bottom w:val="single" w:sz="4" w:space="0" w:color="auto"/>
              <w:right w:val="nil"/>
            </w:tcBorders>
            <w:shd w:val="clear" w:color="auto" w:fill="auto"/>
            <w:vAlign w:val="bottom"/>
            <w:hideMark/>
          </w:tcPr>
          <w:p w14:paraId="007D0E51" w14:textId="1CBA07D7" w:rsidR="00DB1E0F" w:rsidRPr="00B30455" w:rsidRDefault="00DB1E0F" w:rsidP="00DB1E0F">
            <w:pPr>
              <w:keepNext/>
              <w:keepLines/>
              <w:widowControl w:val="0"/>
              <w:pBdr>
                <w:top w:val="none" w:sz="0" w:space="0" w:color="auto"/>
                <w:left w:val="none" w:sz="0" w:space="0" w:color="auto"/>
                <w:bottom w:val="none" w:sz="0" w:space="0" w:color="auto"/>
                <w:right w:val="none" w:sz="0" w:space="0" w:color="auto"/>
                <w:between w:val="none" w:sz="0" w:space="0" w:color="auto"/>
                <w:bar w:val="none" w:sz="0" w:color="auto"/>
              </w:pBdr>
              <w:jc w:val="center"/>
              <w:outlineLvl w:val="9"/>
              <w:rPr>
                <w:rFonts w:eastAsia="Times New Roman"/>
                <w:b/>
                <w:bCs/>
                <w:sz w:val="16"/>
                <w:szCs w:val="16"/>
                <w:bdr w:val="none" w:sz="0" w:space="0" w:color="auto"/>
                <w:lang w:eastAsia="es-ES"/>
              </w:rPr>
            </w:pPr>
            <w:r w:rsidRPr="00B30455">
              <w:rPr>
                <w:rFonts w:eastAsia="Times New Roman"/>
                <w:b/>
                <w:bCs/>
                <w:sz w:val="16"/>
                <w:szCs w:val="16"/>
                <w:bdr w:val="none" w:sz="0" w:space="0" w:color="auto"/>
                <w:lang w:eastAsia="es-ES"/>
              </w:rPr>
              <w:t>Importe concedido en 202</w:t>
            </w:r>
            <w:r w:rsidR="00B30455">
              <w:rPr>
                <w:rFonts w:eastAsia="Times New Roman"/>
                <w:b/>
                <w:bCs/>
                <w:sz w:val="16"/>
                <w:szCs w:val="16"/>
                <w:bdr w:val="none" w:sz="0" w:space="0" w:color="auto"/>
                <w:lang w:eastAsia="es-ES"/>
              </w:rPr>
              <w:t>4</w:t>
            </w:r>
          </w:p>
        </w:tc>
        <w:tc>
          <w:tcPr>
            <w:tcW w:w="519" w:type="pct"/>
            <w:tcBorders>
              <w:top w:val="single" w:sz="4" w:space="0" w:color="auto"/>
              <w:left w:val="nil"/>
              <w:bottom w:val="single" w:sz="4" w:space="0" w:color="auto"/>
              <w:right w:val="nil"/>
            </w:tcBorders>
            <w:vAlign w:val="bottom"/>
          </w:tcPr>
          <w:p w14:paraId="0CF600A0" w14:textId="2D9F9139" w:rsidR="00DB1E0F" w:rsidRPr="00B30455" w:rsidRDefault="00DB1E0F" w:rsidP="00DB1E0F">
            <w:pPr>
              <w:keepNext/>
              <w:keepLines/>
              <w:widowControl w:val="0"/>
              <w:pBdr>
                <w:top w:val="none" w:sz="0" w:space="0" w:color="auto"/>
                <w:left w:val="none" w:sz="0" w:space="0" w:color="auto"/>
                <w:bottom w:val="none" w:sz="0" w:space="0" w:color="auto"/>
                <w:right w:val="none" w:sz="0" w:space="0" w:color="auto"/>
                <w:between w:val="none" w:sz="0" w:space="0" w:color="auto"/>
                <w:bar w:val="none" w:sz="0" w:color="auto"/>
              </w:pBdr>
              <w:jc w:val="center"/>
              <w:outlineLvl w:val="9"/>
              <w:rPr>
                <w:rFonts w:eastAsia="Times New Roman"/>
                <w:b/>
                <w:bCs/>
                <w:sz w:val="16"/>
                <w:szCs w:val="16"/>
                <w:bdr w:val="none" w:sz="0" w:space="0" w:color="auto"/>
                <w:lang w:eastAsia="es-ES"/>
              </w:rPr>
            </w:pPr>
            <w:r w:rsidRPr="00B30455">
              <w:rPr>
                <w:rFonts w:eastAsia="Times New Roman"/>
                <w:b/>
                <w:bCs/>
                <w:sz w:val="16"/>
                <w:szCs w:val="16"/>
                <w:bdr w:val="none" w:sz="0" w:space="0" w:color="auto"/>
                <w:lang w:eastAsia="es-ES"/>
              </w:rPr>
              <w:t xml:space="preserve">Importe concedido en </w:t>
            </w:r>
            <w:proofErr w:type="spellStart"/>
            <w:r w:rsidR="00B30455">
              <w:rPr>
                <w:rFonts w:eastAsia="Times New Roman"/>
                <w:b/>
                <w:bCs/>
                <w:sz w:val="16"/>
                <w:szCs w:val="16"/>
                <w:bdr w:val="none" w:sz="0" w:space="0" w:color="auto"/>
                <w:lang w:eastAsia="es-ES"/>
              </w:rPr>
              <w:t>ejer</w:t>
            </w:r>
            <w:proofErr w:type="spellEnd"/>
            <w:r w:rsidR="00B30455">
              <w:rPr>
                <w:rFonts w:eastAsia="Times New Roman"/>
                <w:b/>
                <w:bCs/>
                <w:sz w:val="16"/>
                <w:szCs w:val="16"/>
                <w:bdr w:val="none" w:sz="0" w:space="0" w:color="auto"/>
                <w:lang w:eastAsia="es-ES"/>
              </w:rPr>
              <w:t>. Anteriores</w:t>
            </w:r>
          </w:p>
        </w:tc>
        <w:tc>
          <w:tcPr>
            <w:tcW w:w="519" w:type="pct"/>
            <w:gridSpan w:val="2"/>
            <w:tcBorders>
              <w:top w:val="single" w:sz="4" w:space="0" w:color="auto"/>
              <w:left w:val="nil"/>
              <w:bottom w:val="single" w:sz="4" w:space="0" w:color="auto"/>
              <w:right w:val="nil"/>
            </w:tcBorders>
            <w:shd w:val="clear" w:color="auto" w:fill="auto"/>
            <w:vAlign w:val="bottom"/>
            <w:hideMark/>
          </w:tcPr>
          <w:p w14:paraId="589AF298" w14:textId="6B299B27" w:rsidR="00DB1E0F" w:rsidRPr="00B30455" w:rsidRDefault="00DB1E0F" w:rsidP="00DB1E0F">
            <w:pPr>
              <w:keepNext/>
              <w:keepLines/>
              <w:widowControl w:val="0"/>
              <w:pBdr>
                <w:top w:val="none" w:sz="0" w:space="0" w:color="auto"/>
                <w:left w:val="none" w:sz="0" w:space="0" w:color="auto"/>
                <w:bottom w:val="none" w:sz="0" w:space="0" w:color="auto"/>
                <w:right w:val="none" w:sz="0" w:space="0" w:color="auto"/>
                <w:between w:val="none" w:sz="0" w:space="0" w:color="auto"/>
                <w:bar w:val="none" w:sz="0" w:color="auto"/>
              </w:pBdr>
              <w:jc w:val="center"/>
              <w:outlineLvl w:val="9"/>
              <w:rPr>
                <w:rFonts w:eastAsia="Times New Roman"/>
                <w:b/>
                <w:bCs/>
                <w:sz w:val="16"/>
                <w:szCs w:val="16"/>
                <w:bdr w:val="none" w:sz="0" w:space="0" w:color="auto"/>
                <w:lang w:eastAsia="es-ES"/>
              </w:rPr>
            </w:pPr>
            <w:r w:rsidRPr="00B30455">
              <w:rPr>
                <w:rFonts w:eastAsia="Times New Roman"/>
                <w:b/>
                <w:bCs/>
                <w:sz w:val="16"/>
                <w:szCs w:val="16"/>
                <w:bdr w:val="none" w:sz="0" w:space="0" w:color="auto"/>
                <w:lang w:eastAsia="es-ES"/>
              </w:rPr>
              <w:t>Importe ejecutado en 202</w:t>
            </w:r>
            <w:r w:rsidR="00B30455">
              <w:rPr>
                <w:rFonts w:eastAsia="Times New Roman"/>
                <w:b/>
                <w:bCs/>
                <w:sz w:val="16"/>
                <w:szCs w:val="16"/>
                <w:bdr w:val="none" w:sz="0" w:space="0" w:color="auto"/>
                <w:lang w:eastAsia="es-ES"/>
              </w:rPr>
              <w:t>4</w:t>
            </w:r>
          </w:p>
        </w:tc>
        <w:tc>
          <w:tcPr>
            <w:tcW w:w="513" w:type="pct"/>
            <w:tcBorders>
              <w:top w:val="single" w:sz="4" w:space="0" w:color="auto"/>
              <w:left w:val="nil"/>
              <w:bottom w:val="single" w:sz="4" w:space="0" w:color="auto"/>
              <w:right w:val="nil"/>
            </w:tcBorders>
            <w:shd w:val="clear" w:color="auto" w:fill="auto"/>
            <w:vAlign w:val="bottom"/>
            <w:hideMark/>
          </w:tcPr>
          <w:p w14:paraId="4B59A1C3" w14:textId="37E4B5DE" w:rsidR="00DB1E0F" w:rsidRPr="00B30455" w:rsidRDefault="00DB1E0F" w:rsidP="00DB1E0F">
            <w:pPr>
              <w:keepNext/>
              <w:keepLines/>
              <w:widowControl w:val="0"/>
              <w:pBdr>
                <w:top w:val="none" w:sz="0" w:space="0" w:color="auto"/>
                <w:left w:val="none" w:sz="0" w:space="0" w:color="auto"/>
                <w:bottom w:val="none" w:sz="0" w:space="0" w:color="auto"/>
                <w:right w:val="none" w:sz="0" w:space="0" w:color="auto"/>
                <w:between w:val="none" w:sz="0" w:space="0" w:color="auto"/>
                <w:bar w:val="none" w:sz="0" w:color="auto"/>
              </w:pBdr>
              <w:jc w:val="center"/>
              <w:outlineLvl w:val="9"/>
              <w:rPr>
                <w:rFonts w:eastAsia="Times New Roman"/>
                <w:b/>
                <w:bCs/>
                <w:sz w:val="16"/>
                <w:szCs w:val="16"/>
                <w:bdr w:val="none" w:sz="0" w:space="0" w:color="auto"/>
                <w:lang w:eastAsia="es-ES"/>
              </w:rPr>
            </w:pPr>
            <w:r w:rsidRPr="00B30455">
              <w:rPr>
                <w:rFonts w:eastAsia="Times New Roman"/>
                <w:b/>
                <w:bCs/>
                <w:sz w:val="16"/>
                <w:szCs w:val="16"/>
                <w:bdr w:val="none" w:sz="0" w:space="0" w:color="auto"/>
                <w:lang w:eastAsia="es-ES"/>
              </w:rPr>
              <w:t>Importe a reintegrar</w:t>
            </w:r>
          </w:p>
        </w:tc>
        <w:tc>
          <w:tcPr>
            <w:tcW w:w="591" w:type="pct"/>
            <w:tcBorders>
              <w:top w:val="single" w:sz="4" w:space="0" w:color="auto"/>
              <w:left w:val="nil"/>
              <w:bottom w:val="single" w:sz="4" w:space="0" w:color="auto"/>
              <w:right w:val="nil"/>
            </w:tcBorders>
            <w:vAlign w:val="bottom"/>
          </w:tcPr>
          <w:p w14:paraId="6C4AF196" w14:textId="36DA46F0" w:rsidR="00DB1E0F" w:rsidRPr="00B30455" w:rsidRDefault="00DB1E0F" w:rsidP="00DB1E0F">
            <w:pPr>
              <w:keepNext/>
              <w:keepLines/>
              <w:widowControl w:val="0"/>
              <w:pBdr>
                <w:top w:val="none" w:sz="0" w:space="0" w:color="auto"/>
                <w:left w:val="none" w:sz="0" w:space="0" w:color="auto"/>
                <w:bottom w:val="none" w:sz="0" w:space="0" w:color="auto"/>
                <w:right w:val="none" w:sz="0" w:space="0" w:color="auto"/>
                <w:between w:val="none" w:sz="0" w:space="0" w:color="auto"/>
                <w:bar w:val="none" w:sz="0" w:color="auto"/>
              </w:pBdr>
              <w:jc w:val="center"/>
              <w:outlineLvl w:val="9"/>
              <w:rPr>
                <w:rFonts w:eastAsia="Times New Roman"/>
                <w:b/>
                <w:bCs/>
                <w:sz w:val="16"/>
                <w:szCs w:val="16"/>
                <w:bdr w:val="none" w:sz="0" w:space="0" w:color="auto"/>
                <w:lang w:eastAsia="es-ES"/>
              </w:rPr>
            </w:pPr>
            <w:r w:rsidRPr="00B30455">
              <w:rPr>
                <w:rFonts w:eastAsia="Times New Roman"/>
                <w:b/>
                <w:bCs/>
                <w:sz w:val="16"/>
                <w:szCs w:val="16"/>
                <w:bdr w:val="none" w:sz="0" w:space="0" w:color="auto"/>
                <w:lang w:eastAsia="es-ES"/>
              </w:rPr>
              <w:t>Importe no ejecutado y no cobrado</w:t>
            </w:r>
          </w:p>
        </w:tc>
        <w:tc>
          <w:tcPr>
            <w:tcW w:w="590" w:type="pct"/>
            <w:gridSpan w:val="2"/>
            <w:tcBorders>
              <w:top w:val="single" w:sz="4" w:space="0" w:color="auto"/>
              <w:left w:val="nil"/>
              <w:bottom w:val="single" w:sz="4" w:space="0" w:color="auto"/>
              <w:right w:val="nil"/>
            </w:tcBorders>
            <w:shd w:val="clear" w:color="auto" w:fill="auto"/>
            <w:vAlign w:val="bottom"/>
            <w:hideMark/>
          </w:tcPr>
          <w:p w14:paraId="375BC122" w14:textId="77777777" w:rsidR="00064105" w:rsidRPr="00B30455" w:rsidRDefault="00DB1E0F" w:rsidP="00DB1E0F">
            <w:pPr>
              <w:keepNext/>
              <w:keepLines/>
              <w:widowControl w:val="0"/>
              <w:pBdr>
                <w:top w:val="none" w:sz="0" w:space="0" w:color="auto"/>
                <w:left w:val="none" w:sz="0" w:space="0" w:color="auto"/>
                <w:bottom w:val="none" w:sz="0" w:space="0" w:color="auto"/>
                <w:right w:val="none" w:sz="0" w:space="0" w:color="auto"/>
                <w:between w:val="none" w:sz="0" w:space="0" w:color="auto"/>
                <w:bar w:val="none" w:sz="0" w:color="auto"/>
              </w:pBdr>
              <w:jc w:val="center"/>
              <w:outlineLvl w:val="9"/>
              <w:rPr>
                <w:rFonts w:eastAsia="Times New Roman"/>
                <w:b/>
                <w:bCs/>
                <w:sz w:val="16"/>
                <w:szCs w:val="16"/>
                <w:bdr w:val="none" w:sz="0" w:space="0" w:color="auto"/>
                <w:lang w:eastAsia="es-ES"/>
              </w:rPr>
            </w:pPr>
            <w:r w:rsidRPr="00B30455">
              <w:rPr>
                <w:rFonts w:eastAsia="Times New Roman"/>
                <w:b/>
                <w:bCs/>
                <w:sz w:val="16"/>
                <w:szCs w:val="16"/>
                <w:bdr w:val="none" w:sz="0" w:space="0" w:color="auto"/>
                <w:lang w:eastAsia="es-ES"/>
              </w:rPr>
              <w:t xml:space="preserve">Importe </w:t>
            </w:r>
          </w:p>
          <w:p w14:paraId="489F9466" w14:textId="3CA47EB1" w:rsidR="00DB1E0F" w:rsidRPr="00B30455" w:rsidRDefault="00DB1E0F" w:rsidP="00DB1E0F">
            <w:pPr>
              <w:keepNext/>
              <w:keepLines/>
              <w:widowControl w:val="0"/>
              <w:pBdr>
                <w:top w:val="none" w:sz="0" w:space="0" w:color="auto"/>
                <w:left w:val="none" w:sz="0" w:space="0" w:color="auto"/>
                <w:bottom w:val="none" w:sz="0" w:space="0" w:color="auto"/>
                <w:right w:val="none" w:sz="0" w:space="0" w:color="auto"/>
                <w:between w:val="none" w:sz="0" w:space="0" w:color="auto"/>
                <w:bar w:val="none" w:sz="0" w:color="auto"/>
              </w:pBdr>
              <w:jc w:val="center"/>
              <w:outlineLvl w:val="9"/>
              <w:rPr>
                <w:rFonts w:eastAsia="Times New Roman"/>
                <w:b/>
                <w:bCs/>
                <w:sz w:val="16"/>
                <w:szCs w:val="16"/>
                <w:bdr w:val="none" w:sz="0" w:space="0" w:color="auto"/>
                <w:lang w:eastAsia="es-ES"/>
              </w:rPr>
            </w:pPr>
            <w:r w:rsidRPr="00B30455">
              <w:rPr>
                <w:rFonts w:eastAsia="Times New Roman"/>
                <w:b/>
                <w:bCs/>
                <w:sz w:val="16"/>
                <w:szCs w:val="16"/>
                <w:bdr w:val="none" w:sz="0" w:space="0" w:color="auto"/>
                <w:lang w:eastAsia="es-ES"/>
              </w:rPr>
              <w:t xml:space="preserve">pendiente de ejecutar </w:t>
            </w:r>
            <w:r w:rsidR="00C060F2" w:rsidRPr="00B30455">
              <w:rPr>
                <w:rFonts w:eastAsia="Times New Roman"/>
                <w:b/>
                <w:bCs/>
                <w:sz w:val="16"/>
                <w:szCs w:val="16"/>
                <w:bdr w:val="none" w:sz="0" w:space="0" w:color="auto"/>
                <w:lang w:eastAsia="es-ES"/>
              </w:rPr>
              <w:t>en</w:t>
            </w:r>
            <w:r w:rsidRPr="00B30455">
              <w:rPr>
                <w:rFonts w:eastAsia="Times New Roman"/>
                <w:b/>
                <w:bCs/>
                <w:sz w:val="16"/>
                <w:szCs w:val="16"/>
                <w:bdr w:val="none" w:sz="0" w:space="0" w:color="auto"/>
                <w:lang w:eastAsia="es-ES"/>
              </w:rPr>
              <w:t xml:space="preserve"> 202</w:t>
            </w:r>
            <w:r w:rsidR="00B30455">
              <w:rPr>
                <w:rFonts w:eastAsia="Times New Roman"/>
                <w:b/>
                <w:bCs/>
                <w:sz w:val="16"/>
                <w:szCs w:val="16"/>
                <w:bdr w:val="none" w:sz="0" w:space="0" w:color="auto"/>
                <w:lang w:eastAsia="es-ES"/>
              </w:rPr>
              <w:t>5</w:t>
            </w:r>
          </w:p>
        </w:tc>
      </w:tr>
      <w:tr w:rsidR="00B30455" w:rsidRPr="00B30455" w14:paraId="3A3936D6" w14:textId="77777777" w:rsidTr="00452BC9">
        <w:trPr>
          <w:trHeight w:val="454"/>
        </w:trPr>
        <w:tc>
          <w:tcPr>
            <w:tcW w:w="1749" w:type="pct"/>
            <w:tcBorders>
              <w:top w:val="single" w:sz="4" w:space="0" w:color="auto"/>
              <w:left w:val="nil"/>
              <w:bottom w:val="single" w:sz="4" w:space="0" w:color="auto"/>
              <w:right w:val="nil"/>
            </w:tcBorders>
            <w:shd w:val="clear" w:color="auto" w:fill="auto"/>
            <w:vAlign w:val="center"/>
          </w:tcPr>
          <w:p w14:paraId="6455E19A" w14:textId="316A9910" w:rsidR="00B30455" w:rsidRPr="00B30455" w:rsidRDefault="00B30455" w:rsidP="00B30455">
            <w:pPr>
              <w:keepNext/>
              <w:keepLines/>
              <w:widowControl w:val="0"/>
              <w:pBdr>
                <w:top w:val="none" w:sz="0" w:space="0" w:color="auto"/>
                <w:left w:val="none" w:sz="0" w:space="0" w:color="auto"/>
                <w:bottom w:val="none" w:sz="0" w:space="0" w:color="auto"/>
                <w:right w:val="none" w:sz="0" w:space="0" w:color="auto"/>
                <w:between w:val="none" w:sz="0" w:space="0" w:color="auto"/>
                <w:bar w:val="none" w:sz="0" w:color="auto"/>
              </w:pBdr>
              <w:outlineLvl w:val="9"/>
              <w:rPr>
                <w:rFonts w:eastAsia="Times New Roman"/>
                <w:sz w:val="16"/>
                <w:szCs w:val="16"/>
                <w:bdr w:val="none" w:sz="0" w:space="0" w:color="auto"/>
                <w:lang w:eastAsia="es-ES"/>
              </w:rPr>
            </w:pPr>
            <w:r w:rsidRPr="00B30455">
              <w:rPr>
                <w:sz w:val="16"/>
                <w:szCs w:val="16"/>
              </w:rPr>
              <w:t>Consejería de Turismo, Cultura y Deportes: para el desarrollo de actividad promocional (FEDER)</w:t>
            </w:r>
          </w:p>
        </w:tc>
        <w:tc>
          <w:tcPr>
            <w:tcW w:w="519" w:type="pct"/>
            <w:gridSpan w:val="2"/>
            <w:tcBorders>
              <w:top w:val="single" w:sz="4" w:space="0" w:color="auto"/>
              <w:left w:val="nil"/>
              <w:bottom w:val="single" w:sz="4" w:space="0" w:color="auto"/>
              <w:right w:val="nil"/>
            </w:tcBorders>
            <w:shd w:val="clear" w:color="auto" w:fill="auto"/>
            <w:vAlign w:val="center"/>
          </w:tcPr>
          <w:p w14:paraId="4DBCB6C6" w14:textId="45C6EA70" w:rsidR="00B30455" w:rsidRPr="00B30455" w:rsidRDefault="00B30455" w:rsidP="00B30455">
            <w:pPr>
              <w:keepNext/>
              <w:keepLines/>
              <w:widowControl w:val="0"/>
              <w:pBdr>
                <w:top w:val="none" w:sz="0" w:space="0" w:color="auto"/>
                <w:left w:val="none" w:sz="0" w:space="0" w:color="auto"/>
                <w:bottom w:val="none" w:sz="0" w:space="0" w:color="auto"/>
                <w:right w:val="none" w:sz="0" w:space="0" w:color="auto"/>
                <w:between w:val="none" w:sz="0" w:space="0" w:color="auto"/>
                <w:bar w:val="none" w:sz="0" w:color="auto"/>
              </w:pBdr>
              <w:jc w:val="right"/>
              <w:outlineLvl w:val="9"/>
              <w:rPr>
                <w:rFonts w:eastAsia="Times New Roman"/>
                <w:sz w:val="16"/>
                <w:szCs w:val="16"/>
                <w:bdr w:val="none" w:sz="0" w:space="0" w:color="auto"/>
                <w:lang w:eastAsia="es-ES"/>
              </w:rPr>
            </w:pPr>
            <w:r w:rsidRPr="00B30455">
              <w:rPr>
                <w:sz w:val="16"/>
                <w:szCs w:val="16"/>
              </w:rPr>
              <w:t>12.575.000,00</w:t>
            </w:r>
          </w:p>
        </w:tc>
        <w:tc>
          <w:tcPr>
            <w:tcW w:w="519" w:type="pct"/>
            <w:tcBorders>
              <w:top w:val="single" w:sz="4" w:space="0" w:color="auto"/>
              <w:left w:val="nil"/>
              <w:bottom w:val="single" w:sz="4" w:space="0" w:color="auto"/>
              <w:right w:val="nil"/>
            </w:tcBorders>
            <w:vAlign w:val="center"/>
          </w:tcPr>
          <w:p w14:paraId="3408A198" w14:textId="131D5506" w:rsidR="00B30455" w:rsidRPr="00B30455" w:rsidRDefault="00B30455" w:rsidP="00B30455">
            <w:pPr>
              <w:keepNext/>
              <w:keepLines/>
              <w:widowControl w:val="0"/>
              <w:pBdr>
                <w:top w:val="none" w:sz="0" w:space="0" w:color="auto"/>
                <w:left w:val="none" w:sz="0" w:space="0" w:color="auto"/>
                <w:bottom w:val="none" w:sz="0" w:space="0" w:color="auto"/>
                <w:right w:val="none" w:sz="0" w:space="0" w:color="auto"/>
                <w:between w:val="none" w:sz="0" w:space="0" w:color="auto"/>
                <w:bar w:val="none" w:sz="0" w:color="auto"/>
              </w:pBdr>
              <w:jc w:val="right"/>
              <w:outlineLvl w:val="9"/>
              <w:rPr>
                <w:rFonts w:eastAsia="Times New Roman"/>
                <w:sz w:val="16"/>
                <w:szCs w:val="16"/>
                <w:bdr w:val="none" w:sz="0" w:space="0" w:color="auto"/>
                <w:lang w:eastAsia="es-ES"/>
              </w:rPr>
            </w:pPr>
            <w:r w:rsidRPr="00B30455">
              <w:rPr>
                <w:sz w:val="16"/>
                <w:szCs w:val="16"/>
              </w:rPr>
              <w:t xml:space="preserve"> -</w:t>
            </w:r>
          </w:p>
        </w:tc>
        <w:tc>
          <w:tcPr>
            <w:tcW w:w="519" w:type="pct"/>
            <w:gridSpan w:val="2"/>
            <w:tcBorders>
              <w:top w:val="single" w:sz="4" w:space="0" w:color="auto"/>
              <w:left w:val="nil"/>
              <w:bottom w:val="single" w:sz="4" w:space="0" w:color="auto"/>
              <w:right w:val="nil"/>
            </w:tcBorders>
            <w:shd w:val="clear" w:color="auto" w:fill="auto"/>
            <w:vAlign w:val="center"/>
          </w:tcPr>
          <w:p w14:paraId="5BBC9DFF" w14:textId="07C09A47" w:rsidR="00B30455" w:rsidRPr="00B30455" w:rsidRDefault="00B30455" w:rsidP="00B30455">
            <w:pPr>
              <w:keepNext/>
              <w:keepLines/>
              <w:widowControl w:val="0"/>
              <w:pBdr>
                <w:top w:val="none" w:sz="0" w:space="0" w:color="auto"/>
                <w:left w:val="none" w:sz="0" w:space="0" w:color="auto"/>
                <w:bottom w:val="none" w:sz="0" w:space="0" w:color="auto"/>
                <w:right w:val="none" w:sz="0" w:space="0" w:color="auto"/>
                <w:between w:val="none" w:sz="0" w:space="0" w:color="auto"/>
                <w:bar w:val="none" w:sz="0" w:color="auto"/>
              </w:pBdr>
              <w:jc w:val="right"/>
              <w:outlineLvl w:val="9"/>
              <w:rPr>
                <w:rFonts w:eastAsia="Times New Roman"/>
                <w:sz w:val="16"/>
                <w:szCs w:val="16"/>
                <w:bdr w:val="none" w:sz="0" w:space="0" w:color="auto"/>
                <w:lang w:eastAsia="es-ES"/>
              </w:rPr>
            </w:pPr>
            <w:r w:rsidRPr="00B30455">
              <w:rPr>
                <w:sz w:val="16"/>
                <w:szCs w:val="16"/>
              </w:rPr>
              <w:t>11.799.033,66</w:t>
            </w:r>
          </w:p>
        </w:tc>
        <w:tc>
          <w:tcPr>
            <w:tcW w:w="513" w:type="pct"/>
            <w:tcBorders>
              <w:top w:val="single" w:sz="4" w:space="0" w:color="auto"/>
              <w:left w:val="nil"/>
              <w:bottom w:val="single" w:sz="4" w:space="0" w:color="auto"/>
              <w:right w:val="nil"/>
            </w:tcBorders>
            <w:shd w:val="clear" w:color="auto" w:fill="auto"/>
            <w:vAlign w:val="center"/>
          </w:tcPr>
          <w:p w14:paraId="6E063832" w14:textId="170AB1E1" w:rsidR="00B30455" w:rsidRPr="00B30455" w:rsidRDefault="00B30455" w:rsidP="00B30455">
            <w:pPr>
              <w:keepNext/>
              <w:keepLines/>
              <w:widowControl w:val="0"/>
              <w:pBdr>
                <w:top w:val="none" w:sz="0" w:space="0" w:color="auto"/>
                <w:left w:val="none" w:sz="0" w:space="0" w:color="auto"/>
                <w:bottom w:val="none" w:sz="0" w:space="0" w:color="auto"/>
                <w:right w:val="none" w:sz="0" w:space="0" w:color="auto"/>
                <w:between w:val="none" w:sz="0" w:space="0" w:color="auto"/>
                <w:bar w:val="none" w:sz="0" w:color="auto"/>
              </w:pBdr>
              <w:jc w:val="right"/>
              <w:outlineLvl w:val="9"/>
              <w:rPr>
                <w:rFonts w:eastAsia="Times New Roman"/>
                <w:sz w:val="16"/>
                <w:szCs w:val="16"/>
                <w:bdr w:val="none" w:sz="0" w:space="0" w:color="auto"/>
                <w:lang w:eastAsia="es-ES"/>
              </w:rPr>
            </w:pPr>
            <w:r w:rsidRPr="00B30455">
              <w:rPr>
                <w:sz w:val="16"/>
                <w:szCs w:val="16"/>
              </w:rPr>
              <w:t xml:space="preserve"> -</w:t>
            </w:r>
          </w:p>
        </w:tc>
        <w:tc>
          <w:tcPr>
            <w:tcW w:w="591" w:type="pct"/>
            <w:tcBorders>
              <w:top w:val="single" w:sz="4" w:space="0" w:color="auto"/>
              <w:left w:val="nil"/>
              <w:bottom w:val="single" w:sz="4" w:space="0" w:color="auto"/>
              <w:right w:val="nil"/>
            </w:tcBorders>
            <w:vAlign w:val="center"/>
          </w:tcPr>
          <w:p w14:paraId="5FFD221C" w14:textId="6C58A276" w:rsidR="00B30455" w:rsidRPr="00B30455" w:rsidRDefault="00B30455" w:rsidP="00B30455">
            <w:pPr>
              <w:keepNext/>
              <w:keepLines/>
              <w:widowControl w:val="0"/>
              <w:pBdr>
                <w:top w:val="none" w:sz="0" w:space="0" w:color="auto"/>
                <w:left w:val="none" w:sz="0" w:space="0" w:color="auto"/>
                <w:bottom w:val="none" w:sz="0" w:space="0" w:color="auto"/>
                <w:right w:val="none" w:sz="0" w:space="0" w:color="auto"/>
                <w:between w:val="none" w:sz="0" w:space="0" w:color="auto"/>
                <w:bar w:val="none" w:sz="0" w:color="auto"/>
              </w:pBdr>
              <w:jc w:val="right"/>
              <w:outlineLvl w:val="9"/>
              <w:rPr>
                <w:rFonts w:eastAsia="Times New Roman"/>
                <w:sz w:val="16"/>
                <w:szCs w:val="16"/>
                <w:bdr w:val="none" w:sz="0" w:space="0" w:color="auto"/>
                <w:lang w:eastAsia="es-ES"/>
              </w:rPr>
            </w:pPr>
            <w:r w:rsidRPr="00B30455">
              <w:rPr>
                <w:sz w:val="16"/>
                <w:szCs w:val="16"/>
              </w:rPr>
              <w:t>(775.966,34)</w:t>
            </w:r>
          </w:p>
        </w:tc>
        <w:tc>
          <w:tcPr>
            <w:tcW w:w="590" w:type="pct"/>
            <w:gridSpan w:val="2"/>
            <w:tcBorders>
              <w:top w:val="single" w:sz="4" w:space="0" w:color="auto"/>
              <w:left w:val="nil"/>
              <w:bottom w:val="single" w:sz="4" w:space="0" w:color="auto"/>
              <w:right w:val="nil"/>
            </w:tcBorders>
            <w:shd w:val="clear" w:color="auto" w:fill="auto"/>
            <w:vAlign w:val="center"/>
          </w:tcPr>
          <w:p w14:paraId="7FA6B9F7" w14:textId="5E8C1576" w:rsidR="00B30455" w:rsidRPr="00B30455" w:rsidRDefault="00B30455" w:rsidP="00B30455">
            <w:pPr>
              <w:keepNext/>
              <w:keepLines/>
              <w:widowControl w:val="0"/>
              <w:pBdr>
                <w:top w:val="none" w:sz="0" w:space="0" w:color="auto"/>
                <w:left w:val="none" w:sz="0" w:space="0" w:color="auto"/>
                <w:bottom w:val="none" w:sz="0" w:space="0" w:color="auto"/>
                <w:right w:val="none" w:sz="0" w:space="0" w:color="auto"/>
                <w:between w:val="none" w:sz="0" w:space="0" w:color="auto"/>
                <w:bar w:val="none" w:sz="0" w:color="auto"/>
              </w:pBdr>
              <w:jc w:val="right"/>
              <w:outlineLvl w:val="9"/>
              <w:rPr>
                <w:rFonts w:eastAsia="Times New Roman"/>
                <w:sz w:val="16"/>
                <w:szCs w:val="16"/>
                <w:bdr w:val="none" w:sz="0" w:space="0" w:color="auto"/>
                <w:lang w:eastAsia="es-ES"/>
              </w:rPr>
            </w:pPr>
            <w:r w:rsidRPr="00B30455">
              <w:rPr>
                <w:sz w:val="16"/>
                <w:szCs w:val="16"/>
              </w:rPr>
              <w:t xml:space="preserve"> -</w:t>
            </w:r>
          </w:p>
        </w:tc>
      </w:tr>
      <w:tr w:rsidR="00B30455" w:rsidRPr="00B30455" w14:paraId="33F8063E" w14:textId="77777777" w:rsidTr="00452BC9">
        <w:trPr>
          <w:trHeight w:val="454"/>
        </w:trPr>
        <w:tc>
          <w:tcPr>
            <w:tcW w:w="1749" w:type="pct"/>
            <w:tcBorders>
              <w:top w:val="single" w:sz="4" w:space="0" w:color="auto"/>
              <w:left w:val="nil"/>
              <w:bottom w:val="single" w:sz="4" w:space="0" w:color="auto"/>
              <w:right w:val="nil"/>
            </w:tcBorders>
            <w:shd w:val="clear" w:color="auto" w:fill="auto"/>
            <w:vAlign w:val="center"/>
          </w:tcPr>
          <w:p w14:paraId="3FF97E31" w14:textId="590743F8" w:rsidR="00B30455" w:rsidRPr="00B30455" w:rsidRDefault="00B30455" w:rsidP="00B30455">
            <w:pPr>
              <w:keepNext/>
              <w:keepLines/>
              <w:widowControl w:val="0"/>
              <w:pBdr>
                <w:top w:val="none" w:sz="0" w:space="0" w:color="auto"/>
                <w:left w:val="none" w:sz="0" w:space="0" w:color="auto"/>
                <w:bottom w:val="none" w:sz="0" w:space="0" w:color="auto"/>
                <w:right w:val="none" w:sz="0" w:space="0" w:color="auto"/>
                <w:between w:val="none" w:sz="0" w:space="0" w:color="auto"/>
                <w:bar w:val="none" w:sz="0" w:color="auto"/>
              </w:pBdr>
              <w:outlineLvl w:val="9"/>
              <w:rPr>
                <w:rFonts w:eastAsia="Times New Roman"/>
                <w:sz w:val="16"/>
                <w:szCs w:val="16"/>
                <w:bdr w:val="none" w:sz="0" w:space="0" w:color="auto"/>
                <w:lang w:eastAsia="es-ES"/>
              </w:rPr>
            </w:pPr>
            <w:r w:rsidRPr="00B30455">
              <w:rPr>
                <w:sz w:val="16"/>
                <w:szCs w:val="16"/>
              </w:rPr>
              <w:t>Consejería de Turismo, Cultura y Deportes: para el desarrollo de actividad promocional (NO FEDER) - 2024</w:t>
            </w:r>
          </w:p>
        </w:tc>
        <w:tc>
          <w:tcPr>
            <w:tcW w:w="519" w:type="pct"/>
            <w:gridSpan w:val="2"/>
            <w:tcBorders>
              <w:top w:val="single" w:sz="4" w:space="0" w:color="auto"/>
              <w:left w:val="nil"/>
              <w:bottom w:val="single" w:sz="4" w:space="0" w:color="auto"/>
              <w:right w:val="nil"/>
            </w:tcBorders>
            <w:shd w:val="clear" w:color="auto" w:fill="auto"/>
            <w:vAlign w:val="center"/>
          </w:tcPr>
          <w:p w14:paraId="616AFE75" w14:textId="4FD2F797" w:rsidR="00B30455" w:rsidRPr="00B30455" w:rsidRDefault="00B30455" w:rsidP="00B30455">
            <w:pPr>
              <w:keepNext/>
              <w:keepLines/>
              <w:widowControl w:val="0"/>
              <w:pBdr>
                <w:top w:val="none" w:sz="0" w:space="0" w:color="auto"/>
                <w:left w:val="none" w:sz="0" w:space="0" w:color="auto"/>
                <w:bottom w:val="none" w:sz="0" w:space="0" w:color="auto"/>
                <w:right w:val="none" w:sz="0" w:space="0" w:color="auto"/>
                <w:between w:val="none" w:sz="0" w:space="0" w:color="auto"/>
                <w:bar w:val="none" w:sz="0" w:color="auto"/>
              </w:pBdr>
              <w:jc w:val="right"/>
              <w:outlineLvl w:val="9"/>
              <w:rPr>
                <w:rFonts w:eastAsia="Times New Roman"/>
                <w:sz w:val="16"/>
                <w:szCs w:val="16"/>
                <w:bdr w:val="none" w:sz="0" w:space="0" w:color="auto"/>
                <w:lang w:eastAsia="es-ES"/>
              </w:rPr>
            </w:pPr>
            <w:r w:rsidRPr="00B30455">
              <w:rPr>
                <w:sz w:val="16"/>
                <w:szCs w:val="16"/>
              </w:rPr>
              <w:t>10.442.610,00</w:t>
            </w:r>
          </w:p>
        </w:tc>
        <w:tc>
          <w:tcPr>
            <w:tcW w:w="519" w:type="pct"/>
            <w:tcBorders>
              <w:top w:val="single" w:sz="4" w:space="0" w:color="auto"/>
              <w:left w:val="nil"/>
              <w:bottom w:val="single" w:sz="4" w:space="0" w:color="auto"/>
              <w:right w:val="nil"/>
            </w:tcBorders>
            <w:vAlign w:val="center"/>
          </w:tcPr>
          <w:p w14:paraId="166DBAF2" w14:textId="70E3A24F" w:rsidR="00B30455" w:rsidRPr="00B30455" w:rsidRDefault="00B30455" w:rsidP="00B30455">
            <w:pPr>
              <w:keepNext/>
              <w:keepLines/>
              <w:widowControl w:val="0"/>
              <w:pBdr>
                <w:top w:val="none" w:sz="0" w:space="0" w:color="auto"/>
                <w:left w:val="none" w:sz="0" w:space="0" w:color="auto"/>
                <w:bottom w:val="none" w:sz="0" w:space="0" w:color="auto"/>
                <w:right w:val="none" w:sz="0" w:space="0" w:color="auto"/>
                <w:between w:val="none" w:sz="0" w:space="0" w:color="auto"/>
                <w:bar w:val="none" w:sz="0" w:color="auto"/>
              </w:pBdr>
              <w:jc w:val="right"/>
              <w:outlineLvl w:val="9"/>
              <w:rPr>
                <w:rFonts w:eastAsia="Times New Roman"/>
                <w:sz w:val="16"/>
                <w:szCs w:val="16"/>
                <w:bdr w:val="none" w:sz="0" w:space="0" w:color="auto"/>
                <w:lang w:eastAsia="es-ES"/>
              </w:rPr>
            </w:pPr>
            <w:r w:rsidRPr="00B30455">
              <w:rPr>
                <w:sz w:val="16"/>
                <w:szCs w:val="16"/>
              </w:rPr>
              <w:t xml:space="preserve"> -</w:t>
            </w:r>
          </w:p>
        </w:tc>
        <w:tc>
          <w:tcPr>
            <w:tcW w:w="519" w:type="pct"/>
            <w:gridSpan w:val="2"/>
            <w:tcBorders>
              <w:top w:val="single" w:sz="4" w:space="0" w:color="auto"/>
              <w:left w:val="nil"/>
              <w:bottom w:val="single" w:sz="4" w:space="0" w:color="auto"/>
              <w:right w:val="nil"/>
            </w:tcBorders>
            <w:shd w:val="clear" w:color="auto" w:fill="auto"/>
            <w:vAlign w:val="center"/>
          </w:tcPr>
          <w:p w14:paraId="60B0B47B" w14:textId="2F34035C" w:rsidR="00B30455" w:rsidRPr="00B30455" w:rsidRDefault="00B30455" w:rsidP="00B30455">
            <w:pPr>
              <w:keepNext/>
              <w:keepLines/>
              <w:widowControl w:val="0"/>
              <w:pBdr>
                <w:top w:val="none" w:sz="0" w:space="0" w:color="auto"/>
                <w:left w:val="none" w:sz="0" w:space="0" w:color="auto"/>
                <w:bottom w:val="none" w:sz="0" w:space="0" w:color="auto"/>
                <w:right w:val="none" w:sz="0" w:space="0" w:color="auto"/>
                <w:between w:val="none" w:sz="0" w:space="0" w:color="auto"/>
                <w:bar w:val="none" w:sz="0" w:color="auto"/>
              </w:pBdr>
              <w:jc w:val="right"/>
              <w:outlineLvl w:val="9"/>
              <w:rPr>
                <w:rFonts w:eastAsia="Times New Roman"/>
                <w:sz w:val="16"/>
                <w:szCs w:val="16"/>
                <w:bdr w:val="none" w:sz="0" w:space="0" w:color="auto"/>
                <w:lang w:eastAsia="es-ES"/>
              </w:rPr>
            </w:pPr>
            <w:r w:rsidRPr="00B30455">
              <w:rPr>
                <w:sz w:val="16"/>
                <w:szCs w:val="16"/>
              </w:rPr>
              <w:t>10.442.610,00</w:t>
            </w:r>
          </w:p>
        </w:tc>
        <w:tc>
          <w:tcPr>
            <w:tcW w:w="513" w:type="pct"/>
            <w:tcBorders>
              <w:top w:val="single" w:sz="4" w:space="0" w:color="auto"/>
              <w:left w:val="nil"/>
              <w:bottom w:val="single" w:sz="4" w:space="0" w:color="auto"/>
              <w:right w:val="nil"/>
            </w:tcBorders>
            <w:shd w:val="clear" w:color="auto" w:fill="auto"/>
            <w:vAlign w:val="center"/>
          </w:tcPr>
          <w:p w14:paraId="7608B4B0" w14:textId="19F81A0B" w:rsidR="00B30455" w:rsidRPr="00B30455" w:rsidRDefault="00B30455" w:rsidP="00B30455">
            <w:pPr>
              <w:keepNext/>
              <w:keepLines/>
              <w:widowControl w:val="0"/>
              <w:pBdr>
                <w:top w:val="none" w:sz="0" w:space="0" w:color="auto"/>
                <w:left w:val="none" w:sz="0" w:space="0" w:color="auto"/>
                <w:bottom w:val="none" w:sz="0" w:space="0" w:color="auto"/>
                <w:right w:val="none" w:sz="0" w:space="0" w:color="auto"/>
                <w:between w:val="none" w:sz="0" w:space="0" w:color="auto"/>
                <w:bar w:val="none" w:sz="0" w:color="auto"/>
              </w:pBdr>
              <w:jc w:val="right"/>
              <w:outlineLvl w:val="9"/>
              <w:rPr>
                <w:rFonts w:eastAsia="Times New Roman"/>
                <w:sz w:val="16"/>
                <w:szCs w:val="16"/>
                <w:bdr w:val="none" w:sz="0" w:space="0" w:color="auto"/>
                <w:lang w:eastAsia="es-ES"/>
              </w:rPr>
            </w:pPr>
            <w:r w:rsidRPr="00B30455">
              <w:rPr>
                <w:sz w:val="16"/>
                <w:szCs w:val="16"/>
              </w:rPr>
              <w:t xml:space="preserve"> -</w:t>
            </w:r>
          </w:p>
        </w:tc>
        <w:tc>
          <w:tcPr>
            <w:tcW w:w="591" w:type="pct"/>
            <w:tcBorders>
              <w:top w:val="single" w:sz="4" w:space="0" w:color="auto"/>
              <w:left w:val="nil"/>
              <w:bottom w:val="single" w:sz="4" w:space="0" w:color="auto"/>
              <w:right w:val="nil"/>
            </w:tcBorders>
            <w:vAlign w:val="center"/>
          </w:tcPr>
          <w:p w14:paraId="16B7E911" w14:textId="056CF3ED" w:rsidR="00B30455" w:rsidRPr="00B30455" w:rsidRDefault="00B30455" w:rsidP="00B30455">
            <w:pPr>
              <w:keepNext/>
              <w:keepLines/>
              <w:widowControl w:val="0"/>
              <w:pBdr>
                <w:top w:val="none" w:sz="0" w:space="0" w:color="auto"/>
                <w:left w:val="none" w:sz="0" w:space="0" w:color="auto"/>
                <w:bottom w:val="none" w:sz="0" w:space="0" w:color="auto"/>
                <w:right w:val="none" w:sz="0" w:space="0" w:color="auto"/>
                <w:between w:val="none" w:sz="0" w:space="0" w:color="auto"/>
                <w:bar w:val="none" w:sz="0" w:color="auto"/>
              </w:pBdr>
              <w:jc w:val="right"/>
              <w:outlineLvl w:val="9"/>
              <w:rPr>
                <w:rFonts w:eastAsia="Times New Roman"/>
                <w:sz w:val="16"/>
                <w:szCs w:val="16"/>
                <w:bdr w:val="none" w:sz="0" w:space="0" w:color="auto"/>
                <w:lang w:eastAsia="es-ES"/>
              </w:rPr>
            </w:pPr>
            <w:r w:rsidRPr="00B30455">
              <w:rPr>
                <w:sz w:val="16"/>
                <w:szCs w:val="16"/>
              </w:rPr>
              <w:t xml:space="preserve"> -</w:t>
            </w:r>
          </w:p>
        </w:tc>
        <w:tc>
          <w:tcPr>
            <w:tcW w:w="590" w:type="pct"/>
            <w:gridSpan w:val="2"/>
            <w:tcBorders>
              <w:top w:val="single" w:sz="4" w:space="0" w:color="auto"/>
              <w:left w:val="nil"/>
              <w:bottom w:val="single" w:sz="4" w:space="0" w:color="auto"/>
              <w:right w:val="nil"/>
            </w:tcBorders>
            <w:shd w:val="clear" w:color="auto" w:fill="auto"/>
            <w:vAlign w:val="center"/>
          </w:tcPr>
          <w:p w14:paraId="4708B441" w14:textId="231E9AF0" w:rsidR="00B30455" w:rsidRPr="00B30455" w:rsidRDefault="00B30455" w:rsidP="00B30455">
            <w:pPr>
              <w:keepNext/>
              <w:keepLines/>
              <w:widowControl w:val="0"/>
              <w:pBdr>
                <w:top w:val="none" w:sz="0" w:space="0" w:color="auto"/>
                <w:left w:val="none" w:sz="0" w:space="0" w:color="auto"/>
                <w:bottom w:val="none" w:sz="0" w:space="0" w:color="auto"/>
                <w:right w:val="none" w:sz="0" w:space="0" w:color="auto"/>
                <w:between w:val="none" w:sz="0" w:space="0" w:color="auto"/>
                <w:bar w:val="none" w:sz="0" w:color="auto"/>
              </w:pBdr>
              <w:jc w:val="right"/>
              <w:outlineLvl w:val="9"/>
              <w:rPr>
                <w:rFonts w:eastAsia="Times New Roman"/>
                <w:sz w:val="16"/>
                <w:szCs w:val="16"/>
                <w:bdr w:val="none" w:sz="0" w:space="0" w:color="auto"/>
                <w:lang w:eastAsia="es-ES"/>
              </w:rPr>
            </w:pPr>
            <w:r w:rsidRPr="00B30455">
              <w:rPr>
                <w:sz w:val="16"/>
                <w:szCs w:val="16"/>
              </w:rPr>
              <w:t xml:space="preserve"> -</w:t>
            </w:r>
          </w:p>
        </w:tc>
      </w:tr>
      <w:tr w:rsidR="00B30455" w:rsidRPr="00B30455" w14:paraId="2DF25B98" w14:textId="77777777" w:rsidTr="00452BC9">
        <w:trPr>
          <w:trHeight w:val="454"/>
        </w:trPr>
        <w:tc>
          <w:tcPr>
            <w:tcW w:w="1749" w:type="pct"/>
            <w:tcBorders>
              <w:top w:val="single" w:sz="4" w:space="0" w:color="auto"/>
              <w:left w:val="nil"/>
              <w:bottom w:val="single" w:sz="4" w:space="0" w:color="auto"/>
              <w:right w:val="nil"/>
            </w:tcBorders>
            <w:shd w:val="clear" w:color="auto" w:fill="auto"/>
            <w:vAlign w:val="center"/>
          </w:tcPr>
          <w:p w14:paraId="2AB1DEDA" w14:textId="2AD85EE6" w:rsidR="00B30455" w:rsidRPr="00B30455" w:rsidRDefault="00B30455" w:rsidP="00B30455">
            <w:pPr>
              <w:keepNext/>
              <w:keepLines/>
              <w:widowControl w:val="0"/>
              <w:pBdr>
                <w:top w:val="none" w:sz="0" w:space="0" w:color="auto"/>
                <w:left w:val="none" w:sz="0" w:space="0" w:color="auto"/>
                <w:bottom w:val="none" w:sz="0" w:space="0" w:color="auto"/>
                <w:right w:val="none" w:sz="0" w:space="0" w:color="auto"/>
                <w:between w:val="none" w:sz="0" w:space="0" w:color="auto"/>
                <w:bar w:val="none" w:sz="0" w:color="auto"/>
              </w:pBdr>
              <w:outlineLvl w:val="9"/>
              <w:rPr>
                <w:rFonts w:eastAsia="Times New Roman"/>
                <w:sz w:val="16"/>
                <w:szCs w:val="16"/>
                <w:bdr w:val="none" w:sz="0" w:space="0" w:color="auto"/>
                <w:lang w:eastAsia="es-ES"/>
              </w:rPr>
            </w:pPr>
            <w:r w:rsidRPr="00B30455">
              <w:rPr>
                <w:sz w:val="16"/>
                <w:szCs w:val="16"/>
              </w:rPr>
              <w:t>Consejería de Turismo, Cultura y Deportes: para el desarrollo de actividad promocional (NO FEDER) - 2022</w:t>
            </w:r>
          </w:p>
        </w:tc>
        <w:tc>
          <w:tcPr>
            <w:tcW w:w="519" w:type="pct"/>
            <w:gridSpan w:val="2"/>
            <w:tcBorders>
              <w:top w:val="single" w:sz="4" w:space="0" w:color="auto"/>
              <w:left w:val="nil"/>
              <w:bottom w:val="single" w:sz="4" w:space="0" w:color="auto"/>
              <w:right w:val="nil"/>
            </w:tcBorders>
            <w:shd w:val="clear" w:color="auto" w:fill="auto"/>
            <w:vAlign w:val="center"/>
          </w:tcPr>
          <w:p w14:paraId="04BF0B45" w14:textId="48F392F6" w:rsidR="00B30455" w:rsidRPr="00B30455" w:rsidRDefault="00B30455" w:rsidP="00B30455">
            <w:pPr>
              <w:keepNext/>
              <w:keepLines/>
              <w:widowControl w:val="0"/>
              <w:pBdr>
                <w:top w:val="none" w:sz="0" w:space="0" w:color="auto"/>
                <w:left w:val="none" w:sz="0" w:space="0" w:color="auto"/>
                <w:bottom w:val="none" w:sz="0" w:space="0" w:color="auto"/>
                <w:right w:val="none" w:sz="0" w:space="0" w:color="auto"/>
                <w:between w:val="none" w:sz="0" w:space="0" w:color="auto"/>
                <w:bar w:val="none" w:sz="0" w:color="auto"/>
              </w:pBdr>
              <w:jc w:val="right"/>
              <w:outlineLvl w:val="9"/>
              <w:rPr>
                <w:rFonts w:eastAsia="Times New Roman"/>
                <w:sz w:val="16"/>
                <w:szCs w:val="16"/>
                <w:bdr w:val="none" w:sz="0" w:space="0" w:color="auto"/>
                <w:lang w:eastAsia="es-ES"/>
              </w:rPr>
            </w:pPr>
            <w:r w:rsidRPr="00B30455">
              <w:rPr>
                <w:sz w:val="16"/>
                <w:szCs w:val="16"/>
              </w:rPr>
              <w:t xml:space="preserve"> -</w:t>
            </w:r>
          </w:p>
        </w:tc>
        <w:tc>
          <w:tcPr>
            <w:tcW w:w="519" w:type="pct"/>
            <w:tcBorders>
              <w:top w:val="single" w:sz="4" w:space="0" w:color="auto"/>
              <w:left w:val="nil"/>
              <w:bottom w:val="single" w:sz="4" w:space="0" w:color="auto"/>
              <w:right w:val="nil"/>
            </w:tcBorders>
            <w:vAlign w:val="center"/>
          </w:tcPr>
          <w:p w14:paraId="54D267CE" w14:textId="63957419" w:rsidR="00B30455" w:rsidRPr="00B30455" w:rsidRDefault="00B30455" w:rsidP="00B30455">
            <w:pPr>
              <w:keepNext/>
              <w:keepLines/>
              <w:widowControl w:val="0"/>
              <w:pBdr>
                <w:top w:val="none" w:sz="0" w:space="0" w:color="auto"/>
                <w:left w:val="none" w:sz="0" w:space="0" w:color="auto"/>
                <w:bottom w:val="none" w:sz="0" w:space="0" w:color="auto"/>
                <w:right w:val="none" w:sz="0" w:space="0" w:color="auto"/>
                <w:between w:val="none" w:sz="0" w:space="0" w:color="auto"/>
                <w:bar w:val="none" w:sz="0" w:color="auto"/>
              </w:pBdr>
              <w:jc w:val="right"/>
              <w:outlineLvl w:val="9"/>
              <w:rPr>
                <w:rFonts w:eastAsia="Times New Roman"/>
                <w:sz w:val="16"/>
                <w:szCs w:val="16"/>
                <w:bdr w:val="none" w:sz="0" w:space="0" w:color="auto"/>
                <w:lang w:eastAsia="es-ES"/>
              </w:rPr>
            </w:pPr>
            <w:r w:rsidRPr="00B30455">
              <w:rPr>
                <w:sz w:val="16"/>
                <w:szCs w:val="16"/>
              </w:rPr>
              <w:t xml:space="preserve"> -</w:t>
            </w:r>
          </w:p>
        </w:tc>
        <w:tc>
          <w:tcPr>
            <w:tcW w:w="519" w:type="pct"/>
            <w:gridSpan w:val="2"/>
            <w:tcBorders>
              <w:top w:val="single" w:sz="4" w:space="0" w:color="auto"/>
              <w:left w:val="nil"/>
              <w:bottom w:val="single" w:sz="4" w:space="0" w:color="auto"/>
              <w:right w:val="nil"/>
            </w:tcBorders>
            <w:shd w:val="clear" w:color="auto" w:fill="auto"/>
            <w:vAlign w:val="center"/>
          </w:tcPr>
          <w:p w14:paraId="302000C7" w14:textId="7E0D8A00" w:rsidR="00B30455" w:rsidRPr="00B30455" w:rsidRDefault="00B30455" w:rsidP="00B30455">
            <w:pPr>
              <w:keepNext/>
              <w:keepLines/>
              <w:widowControl w:val="0"/>
              <w:pBdr>
                <w:top w:val="none" w:sz="0" w:space="0" w:color="auto"/>
                <w:left w:val="none" w:sz="0" w:space="0" w:color="auto"/>
                <w:bottom w:val="none" w:sz="0" w:space="0" w:color="auto"/>
                <w:right w:val="none" w:sz="0" w:space="0" w:color="auto"/>
                <w:between w:val="none" w:sz="0" w:space="0" w:color="auto"/>
                <w:bar w:val="none" w:sz="0" w:color="auto"/>
              </w:pBdr>
              <w:jc w:val="right"/>
              <w:outlineLvl w:val="9"/>
              <w:rPr>
                <w:rFonts w:eastAsia="Times New Roman"/>
                <w:sz w:val="16"/>
                <w:szCs w:val="16"/>
                <w:bdr w:val="none" w:sz="0" w:space="0" w:color="auto"/>
                <w:lang w:eastAsia="es-ES"/>
              </w:rPr>
            </w:pPr>
            <w:r w:rsidRPr="00B30455">
              <w:rPr>
                <w:sz w:val="16"/>
                <w:szCs w:val="16"/>
              </w:rPr>
              <w:t xml:space="preserve"> -</w:t>
            </w:r>
          </w:p>
        </w:tc>
        <w:tc>
          <w:tcPr>
            <w:tcW w:w="513" w:type="pct"/>
            <w:tcBorders>
              <w:top w:val="single" w:sz="4" w:space="0" w:color="auto"/>
              <w:left w:val="nil"/>
              <w:bottom w:val="single" w:sz="4" w:space="0" w:color="auto"/>
              <w:right w:val="nil"/>
            </w:tcBorders>
            <w:shd w:val="clear" w:color="auto" w:fill="auto"/>
            <w:vAlign w:val="center"/>
          </w:tcPr>
          <w:p w14:paraId="56CA9A4C" w14:textId="4A0BF9BE" w:rsidR="00B30455" w:rsidRPr="00B30455" w:rsidRDefault="00B30455" w:rsidP="00B30455">
            <w:pPr>
              <w:keepNext/>
              <w:keepLines/>
              <w:widowControl w:val="0"/>
              <w:pBdr>
                <w:top w:val="none" w:sz="0" w:space="0" w:color="auto"/>
                <w:left w:val="none" w:sz="0" w:space="0" w:color="auto"/>
                <w:bottom w:val="none" w:sz="0" w:space="0" w:color="auto"/>
                <w:right w:val="none" w:sz="0" w:space="0" w:color="auto"/>
                <w:between w:val="none" w:sz="0" w:space="0" w:color="auto"/>
                <w:bar w:val="none" w:sz="0" w:color="auto"/>
              </w:pBdr>
              <w:jc w:val="right"/>
              <w:outlineLvl w:val="9"/>
              <w:rPr>
                <w:rFonts w:eastAsia="Times New Roman"/>
                <w:sz w:val="16"/>
                <w:szCs w:val="16"/>
                <w:bdr w:val="none" w:sz="0" w:space="0" w:color="auto"/>
                <w:lang w:eastAsia="es-ES"/>
              </w:rPr>
            </w:pPr>
            <w:r w:rsidRPr="00B30455">
              <w:rPr>
                <w:sz w:val="16"/>
                <w:szCs w:val="16"/>
              </w:rPr>
              <w:t>(1.645.935,64)</w:t>
            </w:r>
          </w:p>
        </w:tc>
        <w:tc>
          <w:tcPr>
            <w:tcW w:w="591" w:type="pct"/>
            <w:tcBorders>
              <w:top w:val="single" w:sz="4" w:space="0" w:color="auto"/>
              <w:left w:val="nil"/>
              <w:bottom w:val="single" w:sz="4" w:space="0" w:color="auto"/>
              <w:right w:val="nil"/>
            </w:tcBorders>
            <w:vAlign w:val="center"/>
          </w:tcPr>
          <w:p w14:paraId="271010DE" w14:textId="5B256BA4" w:rsidR="00B30455" w:rsidRPr="00B30455" w:rsidRDefault="00B30455" w:rsidP="00B30455">
            <w:pPr>
              <w:keepNext/>
              <w:keepLines/>
              <w:widowControl w:val="0"/>
              <w:pBdr>
                <w:top w:val="none" w:sz="0" w:space="0" w:color="auto"/>
                <w:left w:val="none" w:sz="0" w:space="0" w:color="auto"/>
                <w:bottom w:val="none" w:sz="0" w:space="0" w:color="auto"/>
                <w:right w:val="none" w:sz="0" w:space="0" w:color="auto"/>
                <w:between w:val="none" w:sz="0" w:space="0" w:color="auto"/>
                <w:bar w:val="none" w:sz="0" w:color="auto"/>
              </w:pBdr>
              <w:jc w:val="right"/>
              <w:outlineLvl w:val="9"/>
              <w:rPr>
                <w:rFonts w:eastAsia="Times New Roman"/>
                <w:sz w:val="16"/>
                <w:szCs w:val="16"/>
                <w:bdr w:val="none" w:sz="0" w:space="0" w:color="auto"/>
                <w:lang w:eastAsia="es-ES"/>
              </w:rPr>
            </w:pPr>
            <w:r w:rsidRPr="00B30455">
              <w:rPr>
                <w:sz w:val="16"/>
                <w:szCs w:val="16"/>
              </w:rPr>
              <w:t xml:space="preserve"> -</w:t>
            </w:r>
          </w:p>
        </w:tc>
        <w:tc>
          <w:tcPr>
            <w:tcW w:w="590" w:type="pct"/>
            <w:gridSpan w:val="2"/>
            <w:tcBorders>
              <w:top w:val="single" w:sz="4" w:space="0" w:color="auto"/>
              <w:left w:val="nil"/>
              <w:bottom w:val="single" w:sz="4" w:space="0" w:color="auto"/>
              <w:right w:val="nil"/>
            </w:tcBorders>
            <w:shd w:val="clear" w:color="auto" w:fill="auto"/>
            <w:vAlign w:val="center"/>
          </w:tcPr>
          <w:p w14:paraId="358E44CE" w14:textId="0A6060C3" w:rsidR="00B30455" w:rsidRPr="00B30455" w:rsidRDefault="00B30455" w:rsidP="00B30455">
            <w:pPr>
              <w:keepNext/>
              <w:keepLines/>
              <w:widowControl w:val="0"/>
              <w:pBdr>
                <w:top w:val="none" w:sz="0" w:space="0" w:color="auto"/>
                <w:left w:val="none" w:sz="0" w:space="0" w:color="auto"/>
                <w:bottom w:val="none" w:sz="0" w:space="0" w:color="auto"/>
                <w:right w:val="none" w:sz="0" w:space="0" w:color="auto"/>
                <w:between w:val="none" w:sz="0" w:space="0" w:color="auto"/>
                <w:bar w:val="none" w:sz="0" w:color="auto"/>
              </w:pBdr>
              <w:jc w:val="right"/>
              <w:outlineLvl w:val="9"/>
              <w:rPr>
                <w:rFonts w:eastAsia="Times New Roman"/>
                <w:sz w:val="16"/>
                <w:szCs w:val="16"/>
                <w:bdr w:val="none" w:sz="0" w:space="0" w:color="auto"/>
                <w:lang w:eastAsia="es-ES"/>
              </w:rPr>
            </w:pPr>
            <w:r w:rsidRPr="00B30455">
              <w:rPr>
                <w:sz w:val="16"/>
                <w:szCs w:val="16"/>
              </w:rPr>
              <w:t xml:space="preserve"> -</w:t>
            </w:r>
          </w:p>
        </w:tc>
      </w:tr>
      <w:tr w:rsidR="00B30455" w:rsidRPr="00B30455" w14:paraId="7D131D45" w14:textId="77777777" w:rsidTr="00452BC9">
        <w:trPr>
          <w:trHeight w:val="454"/>
        </w:trPr>
        <w:tc>
          <w:tcPr>
            <w:tcW w:w="1749" w:type="pct"/>
            <w:tcBorders>
              <w:top w:val="single" w:sz="4" w:space="0" w:color="auto"/>
              <w:left w:val="nil"/>
              <w:bottom w:val="single" w:sz="4" w:space="0" w:color="auto"/>
              <w:right w:val="nil"/>
            </w:tcBorders>
            <w:shd w:val="clear" w:color="auto" w:fill="auto"/>
            <w:vAlign w:val="center"/>
          </w:tcPr>
          <w:p w14:paraId="5B9132EA" w14:textId="04E20C22" w:rsidR="00B30455" w:rsidRPr="00B30455" w:rsidRDefault="00B30455" w:rsidP="00B30455">
            <w:pPr>
              <w:keepNext/>
              <w:keepLines/>
              <w:widowControl w:val="0"/>
              <w:pBdr>
                <w:top w:val="none" w:sz="0" w:space="0" w:color="auto"/>
                <w:left w:val="none" w:sz="0" w:space="0" w:color="auto"/>
                <w:bottom w:val="none" w:sz="0" w:space="0" w:color="auto"/>
                <w:right w:val="none" w:sz="0" w:space="0" w:color="auto"/>
                <w:between w:val="none" w:sz="0" w:space="0" w:color="auto"/>
                <w:bar w:val="none" w:sz="0" w:color="auto"/>
              </w:pBdr>
              <w:outlineLvl w:val="9"/>
              <w:rPr>
                <w:rFonts w:eastAsia="Times New Roman"/>
                <w:sz w:val="16"/>
                <w:szCs w:val="16"/>
                <w:bdr w:val="none" w:sz="0" w:space="0" w:color="auto"/>
                <w:lang w:eastAsia="es-ES"/>
              </w:rPr>
            </w:pPr>
            <w:r w:rsidRPr="00B30455">
              <w:rPr>
                <w:sz w:val="16"/>
                <w:szCs w:val="16"/>
              </w:rPr>
              <w:t xml:space="preserve">Consejería de Turismo, Cultura y Deportes: para un plan de dinamización turística del norte de La Gomera </w:t>
            </w:r>
          </w:p>
        </w:tc>
        <w:tc>
          <w:tcPr>
            <w:tcW w:w="519" w:type="pct"/>
            <w:gridSpan w:val="2"/>
            <w:tcBorders>
              <w:top w:val="single" w:sz="4" w:space="0" w:color="auto"/>
              <w:left w:val="nil"/>
              <w:bottom w:val="single" w:sz="4" w:space="0" w:color="auto"/>
              <w:right w:val="nil"/>
            </w:tcBorders>
            <w:shd w:val="clear" w:color="auto" w:fill="auto"/>
            <w:vAlign w:val="center"/>
          </w:tcPr>
          <w:p w14:paraId="6C5B1764" w14:textId="21A191AC" w:rsidR="00B30455" w:rsidRPr="00B30455" w:rsidRDefault="00B30455" w:rsidP="00B30455">
            <w:pPr>
              <w:keepNext/>
              <w:keepLines/>
              <w:widowControl w:val="0"/>
              <w:pBdr>
                <w:top w:val="none" w:sz="0" w:space="0" w:color="auto"/>
                <w:left w:val="none" w:sz="0" w:space="0" w:color="auto"/>
                <w:bottom w:val="none" w:sz="0" w:space="0" w:color="auto"/>
                <w:right w:val="none" w:sz="0" w:space="0" w:color="auto"/>
                <w:between w:val="none" w:sz="0" w:space="0" w:color="auto"/>
                <w:bar w:val="none" w:sz="0" w:color="auto"/>
              </w:pBdr>
              <w:jc w:val="right"/>
              <w:outlineLvl w:val="9"/>
              <w:rPr>
                <w:rFonts w:eastAsia="Times New Roman"/>
                <w:sz w:val="16"/>
                <w:szCs w:val="16"/>
                <w:bdr w:val="none" w:sz="0" w:space="0" w:color="auto"/>
                <w:lang w:eastAsia="es-ES"/>
              </w:rPr>
            </w:pPr>
            <w:r w:rsidRPr="00B30455">
              <w:rPr>
                <w:sz w:val="16"/>
                <w:szCs w:val="16"/>
              </w:rPr>
              <w:t xml:space="preserve"> -</w:t>
            </w:r>
          </w:p>
        </w:tc>
        <w:tc>
          <w:tcPr>
            <w:tcW w:w="519" w:type="pct"/>
            <w:tcBorders>
              <w:top w:val="single" w:sz="4" w:space="0" w:color="auto"/>
              <w:left w:val="nil"/>
              <w:bottom w:val="single" w:sz="4" w:space="0" w:color="auto"/>
              <w:right w:val="nil"/>
            </w:tcBorders>
            <w:vAlign w:val="center"/>
          </w:tcPr>
          <w:p w14:paraId="694B5E9D" w14:textId="121FA275" w:rsidR="00B30455" w:rsidRPr="00B30455" w:rsidRDefault="00B30455" w:rsidP="00B30455">
            <w:pPr>
              <w:keepNext/>
              <w:keepLines/>
              <w:widowControl w:val="0"/>
              <w:pBdr>
                <w:top w:val="none" w:sz="0" w:space="0" w:color="auto"/>
                <w:left w:val="none" w:sz="0" w:space="0" w:color="auto"/>
                <w:bottom w:val="none" w:sz="0" w:space="0" w:color="auto"/>
                <w:right w:val="none" w:sz="0" w:space="0" w:color="auto"/>
                <w:between w:val="none" w:sz="0" w:space="0" w:color="auto"/>
                <w:bar w:val="none" w:sz="0" w:color="auto"/>
              </w:pBdr>
              <w:jc w:val="right"/>
              <w:outlineLvl w:val="9"/>
              <w:rPr>
                <w:rFonts w:eastAsia="Times New Roman"/>
                <w:sz w:val="16"/>
                <w:szCs w:val="16"/>
                <w:bdr w:val="none" w:sz="0" w:space="0" w:color="auto"/>
                <w:lang w:eastAsia="es-ES"/>
              </w:rPr>
            </w:pPr>
            <w:r w:rsidRPr="00B30455">
              <w:rPr>
                <w:sz w:val="16"/>
                <w:szCs w:val="16"/>
              </w:rPr>
              <w:t>176.430,68</w:t>
            </w:r>
          </w:p>
        </w:tc>
        <w:tc>
          <w:tcPr>
            <w:tcW w:w="519" w:type="pct"/>
            <w:gridSpan w:val="2"/>
            <w:tcBorders>
              <w:top w:val="single" w:sz="4" w:space="0" w:color="auto"/>
              <w:left w:val="nil"/>
              <w:bottom w:val="single" w:sz="4" w:space="0" w:color="auto"/>
              <w:right w:val="nil"/>
            </w:tcBorders>
            <w:shd w:val="clear" w:color="auto" w:fill="auto"/>
            <w:vAlign w:val="center"/>
          </w:tcPr>
          <w:p w14:paraId="7D9D561A" w14:textId="67401A42" w:rsidR="00B30455" w:rsidRPr="00B30455" w:rsidRDefault="00B30455" w:rsidP="00B30455">
            <w:pPr>
              <w:keepNext/>
              <w:keepLines/>
              <w:widowControl w:val="0"/>
              <w:pBdr>
                <w:top w:val="none" w:sz="0" w:space="0" w:color="auto"/>
                <w:left w:val="none" w:sz="0" w:space="0" w:color="auto"/>
                <w:bottom w:val="none" w:sz="0" w:space="0" w:color="auto"/>
                <w:right w:val="none" w:sz="0" w:space="0" w:color="auto"/>
                <w:between w:val="none" w:sz="0" w:space="0" w:color="auto"/>
                <w:bar w:val="none" w:sz="0" w:color="auto"/>
              </w:pBdr>
              <w:jc w:val="right"/>
              <w:outlineLvl w:val="9"/>
              <w:rPr>
                <w:rFonts w:eastAsia="Times New Roman"/>
                <w:sz w:val="16"/>
                <w:szCs w:val="16"/>
                <w:bdr w:val="none" w:sz="0" w:space="0" w:color="auto"/>
                <w:lang w:eastAsia="es-ES"/>
              </w:rPr>
            </w:pPr>
            <w:r w:rsidRPr="00B30455">
              <w:rPr>
                <w:sz w:val="16"/>
                <w:szCs w:val="16"/>
              </w:rPr>
              <w:t>176.430,68</w:t>
            </w:r>
          </w:p>
        </w:tc>
        <w:tc>
          <w:tcPr>
            <w:tcW w:w="513" w:type="pct"/>
            <w:tcBorders>
              <w:top w:val="single" w:sz="4" w:space="0" w:color="auto"/>
              <w:left w:val="nil"/>
              <w:bottom w:val="single" w:sz="4" w:space="0" w:color="auto"/>
              <w:right w:val="nil"/>
            </w:tcBorders>
            <w:shd w:val="clear" w:color="auto" w:fill="auto"/>
            <w:vAlign w:val="center"/>
          </w:tcPr>
          <w:p w14:paraId="17FD308A" w14:textId="1D4B135E" w:rsidR="00B30455" w:rsidRPr="00B30455" w:rsidRDefault="00B30455" w:rsidP="00B30455">
            <w:pPr>
              <w:keepNext/>
              <w:keepLines/>
              <w:widowControl w:val="0"/>
              <w:pBdr>
                <w:top w:val="none" w:sz="0" w:space="0" w:color="auto"/>
                <w:left w:val="none" w:sz="0" w:space="0" w:color="auto"/>
                <w:bottom w:val="none" w:sz="0" w:space="0" w:color="auto"/>
                <w:right w:val="none" w:sz="0" w:space="0" w:color="auto"/>
                <w:between w:val="none" w:sz="0" w:space="0" w:color="auto"/>
                <w:bar w:val="none" w:sz="0" w:color="auto"/>
              </w:pBdr>
              <w:jc w:val="right"/>
              <w:outlineLvl w:val="9"/>
              <w:rPr>
                <w:rFonts w:eastAsia="Times New Roman"/>
                <w:sz w:val="16"/>
                <w:szCs w:val="16"/>
                <w:bdr w:val="none" w:sz="0" w:space="0" w:color="auto"/>
                <w:lang w:eastAsia="es-ES"/>
              </w:rPr>
            </w:pPr>
            <w:r w:rsidRPr="00B30455">
              <w:rPr>
                <w:sz w:val="16"/>
                <w:szCs w:val="16"/>
              </w:rPr>
              <w:t xml:space="preserve"> -</w:t>
            </w:r>
          </w:p>
        </w:tc>
        <w:tc>
          <w:tcPr>
            <w:tcW w:w="591" w:type="pct"/>
            <w:tcBorders>
              <w:top w:val="single" w:sz="4" w:space="0" w:color="auto"/>
              <w:left w:val="nil"/>
              <w:bottom w:val="single" w:sz="4" w:space="0" w:color="auto"/>
              <w:right w:val="nil"/>
            </w:tcBorders>
            <w:vAlign w:val="center"/>
          </w:tcPr>
          <w:p w14:paraId="494E33C4" w14:textId="096C47C1" w:rsidR="00B30455" w:rsidRPr="00B30455" w:rsidRDefault="00B30455" w:rsidP="00B30455">
            <w:pPr>
              <w:keepNext/>
              <w:keepLines/>
              <w:widowControl w:val="0"/>
              <w:pBdr>
                <w:top w:val="none" w:sz="0" w:space="0" w:color="auto"/>
                <w:left w:val="none" w:sz="0" w:space="0" w:color="auto"/>
                <w:bottom w:val="none" w:sz="0" w:space="0" w:color="auto"/>
                <w:right w:val="none" w:sz="0" w:space="0" w:color="auto"/>
                <w:between w:val="none" w:sz="0" w:space="0" w:color="auto"/>
                <w:bar w:val="none" w:sz="0" w:color="auto"/>
              </w:pBdr>
              <w:jc w:val="right"/>
              <w:outlineLvl w:val="9"/>
              <w:rPr>
                <w:rFonts w:eastAsia="Times New Roman"/>
                <w:sz w:val="16"/>
                <w:szCs w:val="16"/>
                <w:bdr w:val="none" w:sz="0" w:space="0" w:color="auto"/>
                <w:lang w:eastAsia="es-ES"/>
              </w:rPr>
            </w:pPr>
            <w:r w:rsidRPr="00B30455">
              <w:rPr>
                <w:sz w:val="16"/>
                <w:szCs w:val="16"/>
              </w:rPr>
              <w:t xml:space="preserve"> -</w:t>
            </w:r>
          </w:p>
        </w:tc>
        <w:tc>
          <w:tcPr>
            <w:tcW w:w="590" w:type="pct"/>
            <w:gridSpan w:val="2"/>
            <w:tcBorders>
              <w:top w:val="single" w:sz="4" w:space="0" w:color="auto"/>
              <w:left w:val="nil"/>
              <w:bottom w:val="single" w:sz="4" w:space="0" w:color="auto"/>
              <w:right w:val="nil"/>
            </w:tcBorders>
            <w:shd w:val="clear" w:color="auto" w:fill="auto"/>
            <w:vAlign w:val="center"/>
          </w:tcPr>
          <w:p w14:paraId="673BD2CE" w14:textId="783C3E27" w:rsidR="00B30455" w:rsidRPr="00B30455" w:rsidRDefault="00B30455" w:rsidP="00B30455">
            <w:pPr>
              <w:keepNext/>
              <w:keepLines/>
              <w:widowControl w:val="0"/>
              <w:pBdr>
                <w:top w:val="none" w:sz="0" w:space="0" w:color="auto"/>
                <w:left w:val="none" w:sz="0" w:space="0" w:color="auto"/>
                <w:bottom w:val="none" w:sz="0" w:space="0" w:color="auto"/>
                <w:right w:val="none" w:sz="0" w:space="0" w:color="auto"/>
                <w:between w:val="none" w:sz="0" w:space="0" w:color="auto"/>
                <w:bar w:val="none" w:sz="0" w:color="auto"/>
              </w:pBdr>
              <w:jc w:val="right"/>
              <w:outlineLvl w:val="9"/>
              <w:rPr>
                <w:rFonts w:eastAsia="Times New Roman"/>
                <w:sz w:val="16"/>
                <w:szCs w:val="16"/>
                <w:bdr w:val="none" w:sz="0" w:space="0" w:color="auto"/>
                <w:lang w:eastAsia="es-ES"/>
              </w:rPr>
            </w:pPr>
            <w:r w:rsidRPr="00B30455">
              <w:rPr>
                <w:sz w:val="16"/>
                <w:szCs w:val="16"/>
              </w:rPr>
              <w:t xml:space="preserve"> -</w:t>
            </w:r>
          </w:p>
        </w:tc>
      </w:tr>
      <w:tr w:rsidR="00B30455" w:rsidRPr="00B30455" w14:paraId="49232957" w14:textId="77777777" w:rsidTr="00B1370C">
        <w:trPr>
          <w:trHeight w:val="454"/>
        </w:trPr>
        <w:tc>
          <w:tcPr>
            <w:tcW w:w="1749" w:type="pct"/>
            <w:tcBorders>
              <w:top w:val="single" w:sz="4" w:space="0" w:color="auto"/>
              <w:left w:val="nil"/>
              <w:bottom w:val="single" w:sz="4" w:space="0" w:color="auto"/>
              <w:right w:val="nil"/>
            </w:tcBorders>
            <w:shd w:val="clear" w:color="auto" w:fill="auto"/>
            <w:vAlign w:val="center"/>
          </w:tcPr>
          <w:p w14:paraId="6156EA9B" w14:textId="42DA4DA4" w:rsidR="00B30455" w:rsidRPr="00B30455" w:rsidRDefault="00B30455" w:rsidP="00B30455">
            <w:pPr>
              <w:keepNext/>
              <w:keepLines/>
              <w:widowControl w:val="0"/>
              <w:pBdr>
                <w:top w:val="none" w:sz="0" w:space="0" w:color="auto"/>
                <w:left w:val="none" w:sz="0" w:space="0" w:color="auto"/>
                <w:bottom w:val="none" w:sz="0" w:space="0" w:color="auto"/>
                <w:right w:val="none" w:sz="0" w:space="0" w:color="auto"/>
                <w:between w:val="none" w:sz="0" w:space="0" w:color="auto"/>
                <w:bar w:val="none" w:sz="0" w:color="auto"/>
              </w:pBdr>
              <w:outlineLvl w:val="9"/>
              <w:rPr>
                <w:rFonts w:eastAsia="Times New Roman"/>
                <w:sz w:val="16"/>
                <w:szCs w:val="16"/>
                <w:bdr w:val="none" w:sz="0" w:space="0" w:color="auto"/>
                <w:lang w:eastAsia="es-ES"/>
              </w:rPr>
            </w:pPr>
            <w:r w:rsidRPr="00B30455">
              <w:rPr>
                <w:sz w:val="16"/>
                <w:szCs w:val="16"/>
              </w:rPr>
              <w:t xml:space="preserve">Consejería de Turismo  y Empleo: Sistema de información en destino - Remote </w:t>
            </w:r>
            <w:proofErr w:type="spellStart"/>
            <w:r w:rsidRPr="00B30455">
              <w:rPr>
                <w:sz w:val="16"/>
                <w:szCs w:val="16"/>
              </w:rPr>
              <w:t>Worters</w:t>
            </w:r>
            <w:proofErr w:type="spellEnd"/>
          </w:p>
        </w:tc>
        <w:tc>
          <w:tcPr>
            <w:tcW w:w="519" w:type="pct"/>
            <w:gridSpan w:val="2"/>
            <w:tcBorders>
              <w:top w:val="single" w:sz="4" w:space="0" w:color="auto"/>
              <w:left w:val="nil"/>
              <w:bottom w:val="single" w:sz="4" w:space="0" w:color="auto"/>
              <w:right w:val="nil"/>
            </w:tcBorders>
            <w:shd w:val="clear" w:color="auto" w:fill="auto"/>
            <w:vAlign w:val="center"/>
          </w:tcPr>
          <w:p w14:paraId="5E7336F7" w14:textId="5CA97BC7" w:rsidR="00B30455" w:rsidRPr="00B30455" w:rsidRDefault="00B30455" w:rsidP="00B30455">
            <w:pPr>
              <w:keepNext/>
              <w:keepLines/>
              <w:widowControl w:val="0"/>
              <w:pBdr>
                <w:top w:val="none" w:sz="0" w:space="0" w:color="auto"/>
                <w:left w:val="none" w:sz="0" w:space="0" w:color="auto"/>
                <w:bottom w:val="none" w:sz="0" w:space="0" w:color="auto"/>
                <w:right w:val="none" w:sz="0" w:space="0" w:color="auto"/>
                <w:between w:val="none" w:sz="0" w:space="0" w:color="auto"/>
                <w:bar w:val="none" w:sz="0" w:color="auto"/>
              </w:pBdr>
              <w:jc w:val="right"/>
              <w:outlineLvl w:val="9"/>
              <w:rPr>
                <w:rFonts w:eastAsia="Times New Roman"/>
                <w:sz w:val="16"/>
                <w:szCs w:val="16"/>
                <w:bdr w:val="none" w:sz="0" w:space="0" w:color="auto"/>
                <w:lang w:eastAsia="es-ES"/>
              </w:rPr>
            </w:pPr>
            <w:r w:rsidRPr="00B30455">
              <w:rPr>
                <w:sz w:val="16"/>
                <w:szCs w:val="16"/>
              </w:rPr>
              <w:t xml:space="preserve"> -</w:t>
            </w:r>
          </w:p>
        </w:tc>
        <w:tc>
          <w:tcPr>
            <w:tcW w:w="519" w:type="pct"/>
            <w:tcBorders>
              <w:top w:val="single" w:sz="4" w:space="0" w:color="auto"/>
              <w:left w:val="nil"/>
              <w:bottom w:val="single" w:sz="4" w:space="0" w:color="auto"/>
              <w:right w:val="nil"/>
            </w:tcBorders>
            <w:vAlign w:val="center"/>
          </w:tcPr>
          <w:p w14:paraId="5537377F" w14:textId="75A49164" w:rsidR="00B30455" w:rsidRPr="00B30455" w:rsidRDefault="00B30455" w:rsidP="00B30455">
            <w:pPr>
              <w:keepNext/>
              <w:keepLines/>
              <w:widowControl w:val="0"/>
              <w:pBdr>
                <w:top w:val="none" w:sz="0" w:space="0" w:color="auto"/>
                <w:left w:val="none" w:sz="0" w:space="0" w:color="auto"/>
                <w:bottom w:val="none" w:sz="0" w:space="0" w:color="auto"/>
                <w:right w:val="none" w:sz="0" w:space="0" w:color="auto"/>
                <w:between w:val="none" w:sz="0" w:space="0" w:color="auto"/>
                <w:bar w:val="none" w:sz="0" w:color="auto"/>
              </w:pBdr>
              <w:jc w:val="right"/>
              <w:outlineLvl w:val="9"/>
              <w:rPr>
                <w:rFonts w:eastAsia="Times New Roman"/>
                <w:sz w:val="16"/>
                <w:szCs w:val="16"/>
                <w:bdr w:val="none" w:sz="0" w:space="0" w:color="auto"/>
                <w:lang w:eastAsia="es-ES"/>
              </w:rPr>
            </w:pPr>
            <w:r w:rsidRPr="00B30455">
              <w:rPr>
                <w:sz w:val="16"/>
                <w:szCs w:val="16"/>
              </w:rPr>
              <w:t>373.465,78</w:t>
            </w:r>
          </w:p>
        </w:tc>
        <w:tc>
          <w:tcPr>
            <w:tcW w:w="519" w:type="pct"/>
            <w:gridSpan w:val="2"/>
            <w:tcBorders>
              <w:top w:val="single" w:sz="4" w:space="0" w:color="auto"/>
              <w:left w:val="nil"/>
              <w:bottom w:val="single" w:sz="4" w:space="0" w:color="auto"/>
              <w:right w:val="nil"/>
            </w:tcBorders>
            <w:shd w:val="clear" w:color="auto" w:fill="auto"/>
            <w:vAlign w:val="center"/>
          </w:tcPr>
          <w:p w14:paraId="051088D6" w14:textId="25F6EF2D" w:rsidR="00B30455" w:rsidRPr="00B30455" w:rsidRDefault="00B30455" w:rsidP="00B30455">
            <w:pPr>
              <w:keepNext/>
              <w:keepLines/>
              <w:widowControl w:val="0"/>
              <w:pBdr>
                <w:top w:val="none" w:sz="0" w:space="0" w:color="auto"/>
                <w:left w:val="none" w:sz="0" w:space="0" w:color="auto"/>
                <w:bottom w:val="none" w:sz="0" w:space="0" w:color="auto"/>
                <w:right w:val="none" w:sz="0" w:space="0" w:color="auto"/>
                <w:between w:val="none" w:sz="0" w:space="0" w:color="auto"/>
                <w:bar w:val="none" w:sz="0" w:color="auto"/>
              </w:pBdr>
              <w:jc w:val="right"/>
              <w:outlineLvl w:val="9"/>
              <w:rPr>
                <w:rFonts w:eastAsia="Times New Roman"/>
                <w:sz w:val="16"/>
                <w:szCs w:val="16"/>
                <w:bdr w:val="none" w:sz="0" w:space="0" w:color="auto"/>
                <w:lang w:eastAsia="es-ES"/>
              </w:rPr>
            </w:pPr>
            <w:r w:rsidRPr="00B30455">
              <w:rPr>
                <w:sz w:val="16"/>
                <w:szCs w:val="16"/>
              </w:rPr>
              <w:t>21.379,58</w:t>
            </w:r>
          </w:p>
        </w:tc>
        <w:tc>
          <w:tcPr>
            <w:tcW w:w="513" w:type="pct"/>
            <w:tcBorders>
              <w:top w:val="single" w:sz="4" w:space="0" w:color="auto"/>
              <w:left w:val="nil"/>
              <w:bottom w:val="single" w:sz="4" w:space="0" w:color="auto"/>
              <w:right w:val="nil"/>
            </w:tcBorders>
            <w:shd w:val="clear" w:color="auto" w:fill="auto"/>
            <w:vAlign w:val="center"/>
          </w:tcPr>
          <w:p w14:paraId="665E2AD1" w14:textId="4403710E" w:rsidR="00B30455" w:rsidRPr="00B30455" w:rsidRDefault="00B30455" w:rsidP="00B30455">
            <w:pPr>
              <w:keepNext/>
              <w:keepLines/>
              <w:widowControl w:val="0"/>
              <w:pBdr>
                <w:top w:val="none" w:sz="0" w:space="0" w:color="auto"/>
                <w:left w:val="none" w:sz="0" w:space="0" w:color="auto"/>
                <w:bottom w:val="none" w:sz="0" w:space="0" w:color="auto"/>
                <w:right w:val="none" w:sz="0" w:space="0" w:color="auto"/>
                <w:between w:val="none" w:sz="0" w:space="0" w:color="auto"/>
                <w:bar w:val="none" w:sz="0" w:color="auto"/>
              </w:pBdr>
              <w:jc w:val="right"/>
              <w:outlineLvl w:val="9"/>
              <w:rPr>
                <w:rFonts w:eastAsia="Times New Roman"/>
                <w:sz w:val="16"/>
                <w:szCs w:val="16"/>
                <w:bdr w:val="none" w:sz="0" w:space="0" w:color="auto"/>
                <w:lang w:eastAsia="es-ES"/>
              </w:rPr>
            </w:pPr>
            <w:r w:rsidRPr="00B30455">
              <w:rPr>
                <w:sz w:val="16"/>
                <w:szCs w:val="16"/>
              </w:rPr>
              <w:t>(352.086,20)</w:t>
            </w:r>
          </w:p>
        </w:tc>
        <w:tc>
          <w:tcPr>
            <w:tcW w:w="591" w:type="pct"/>
            <w:tcBorders>
              <w:top w:val="single" w:sz="4" w:space="0" w:color="auto"/>
              <w:left w:val="nil"/>
              <w:bottom w:val="single" w:sz="4" w:space="0" w:color="auto"/>
              <w:right w:val="nil"/>
            </w:tcBorders>
            <w:vAlign w:val="center"/>
          </w:tcPr>
          <w:p w14:paraId="140521E3" w14:textId="679119EE" w:rsidR="00B30455" w:rsidRPr="00B30455" w:rsidRDefault="00B30455" w:rsidP="00B30455">
            <w:pPr>
              <w:keepNext/>
              <w:keepLines/>
              <w:widowControl w:val="0"/>
              <w:pBdr>
                <w:top w:val="none" w:sz="0" w:space="0" w:color="auto"/>
                <w:left w:val="none" w:sz="0" w:space="0" w:color="auto"/>
                <w:bottom w:val="none" w:sz="0" w:space="0" w:color="auto"/>
                <w:right w:val="none" w:sz="0" w:space="0" w:color="auto"/>
                <w:between w:val="none" w:sz="0" w:space="0" w:color="auto"/>
                <w:bar w:val="none" w:sz="0" w:color="auto"/>
              </w:pBdr>
              <w:jc w:val="right"/>
              <w:outlineLvl w:val="9"/>
              <w:rPr>
                <w:rFonts w:eastAsia="Times New Roman"/>
                <w:sz w:val="16"/>
                <w:szCs w:val="16"/>
                <w:bdr w:val="none" w:sz="0" w:space="0" w:color="auto"/>
                <w:lang w:eastAsia="es-ES"/>
              </w:rPr>
            </w:pPr>
            <w:r w:rsidRPr="00B30455">
              <w:rPr>
                <w:sz w:val="16"/>
                <w:szCs w:val="16"/>
              </w:rPr>
              <w:t xml:space="preserve"> -</w:t>
            </w:r>
          </w:p>
        </w:tc>
        <w:tc>
          <w:tcPr>
            <w:tcW w:w="590" w:type="pct"/>
            <w:gridSpan w:val="2"/>
            <w:tcBorders>
              <w:top w:val="single" w:sz="4" w:space="0" w:color="auto"/>
              <w:left w:val="nil"/>
              <w:bottom w:val="single" w:sz="4" w:space="0" w:color="auto"/>
              <w:right w:val="nil"/>
            </w:tcBorders>
            <w:shd w:val="clear" w:color="auto" w:fill="auto"/>
            <w:vAlign w:val="center"/>
          </w:tcPr>
          <w:p w14:paraId="459D9327" w14:textId="4C2F9167" w:rsidR="00B30455" w:rsidRPr="00B30455" w:rsidRDefault="00B30455" w:rsidP="00B30455">
            <w:pPr>
              <w:keepNext/>
              <w:keepLines/>
              <w:widowControl w:val="0"/>
              <w:pBdr>
                <w:top w:val="none" w:sz="0" w:space="0" w:color="auto"/>
                <w:left w:val="none" w:sz="0" w:space="0" w:color="auto"/>
                <w:bottom w:val="none" w:sz="0" w:space="0" w:color="auto"/>
                <w:right w:val="none" w:sz="0" w:space="0" w:color="auto"/>
                <w:between w:val="none" w:sz="0" w:space="0" w:color="auto"/>
                <w:bar w:val="none" w:sz="0" w:color="auto"/>
              </w:pBdr>
              <w:jc w:val="right"/>
              <w:outlineLvl w:val="9"/>
              <w:rPr>
                <w:rFonts w:eastAsia="Times New Roman"/>
                <w:sz w:val="16"/>
                <w:szCs w:val="16"/>
                <w:bdr w:val="none" w:sz="0" w:space="0" w:color="auto"/>
                <w:lang w:eastAsia="es-ES"/>
              </w:rPr>
            </w:pPr>
            <w:r w:rsidRPr="00B30455">
              <w:rPr>
                <w:sz w:val="16"/>
                <w:szCs w:val="16"/>
              </w:rPr>
              <w:t xml:space="preserve"> -</w:t>
            </w:r>
          </w:p>
        </w:tc>
      </w:tr>
      <w:tr w:rsidR="00B30455" w:rsidRPr="00B30455" w14:paraId="1D3CE9F4" w14:textId="77777777" w:rsidTr="00452BC9">
        <w:trPr>
          <w:trHeight w:val="454"/>
        </w:trPr>
        <w:tc>
          <w:tcPr>
            <w:tcW w:w="1749" w:type="pct"/>
            <w:tcBorders>
              <w:top w:val="single" w:sz="4" w:space="0" w:color="auto"/>
              <w:left w:val="nil"/>
              <w:bottom w:val="single" w:sz="4" w:space="0" w:color="auto"/>
              <w:right w:val="nil"/>
            </w:tcBorders>
            <w:shd w:val="clear" w:color="auto" w:fill="auto"/>
            <w:vAlign w:val="center"/>
          </w:tcPr>
          <w:p w14:paraId="01AD7357" w14:textId="2317120B" w:rsidR="00B30455" w:rsidRPr="00B30455" w:rsidRDefault="00B30455" w:rsidP="00B30455">
            <w:pPr>
              <w:keepNext/>
              <w:keepLines/>
              <w:widowControl w:val="0"/>
              <w:pBdr>
                <w:top w:val="none" w:sz="0" w:space="0" w:color="auto"/>
                <w:left w:val="none" w:sz="0" w:space="0" w:color="auto"/>
                <w:bottom w:val="none" w:sz="0" w:space="0" w:color="auto"/>
                <w:right w:val="none" w:sz="0" w:space="0" w:color="auto"/>
                <w:between w:val="none" w:sz="0" w:space="0" w:color="auto"/>
                <w:bar w:val="none" w:sz="0" w:color="auto"/>
              </w:pBdr>
              <w:outlineLvl w:val="9"/>
              <w:rPr>
                <w:rFonts w:eastAsia="Times New Roman"/>
                <w:sz w:val="16"/>
                <w:szCs w:val="16"/>
                <w:bdr w:val="none" w:sz="0" w:space="0" w:color="auto"/>
                <w:lang w:eastAsia="es-ES"/>
              </w:rPr>
            </w:pPr>
            <w:r w:rsidRPr="00B30455">
              <w:rPr>
                <w:sz w:val="16"/>
                <w:szCs w:val="16"/>
              </w:rPr>
              <w:t xml:space="preserve">Consejería de Turismo y Empleo: MRR </w:t>
            </w:r>
            <w:proofErr w:type="spellStart"/>
            <w:r w:rsidRPr="00B30455">
              <w:rPr>
                <w:sz w:val="16"/>
                <w:szCs w:val="16"/>
              </w:rPr>
              <w:t>Extrapeninsular</w:t>
            </w:r>
            <w:proofErr w:type="spellEnd"/>
            <w:r w:rsidRPr="00B30455">
              <w:rPr>
                <w:sz w:val="16"/>
                <w:szCs w:val="16"/>
              </w:rPr>
              <w:t xml:space="preserve"> (Estrategia de </w:t>
            </w:r>
            <w:proofErr w:type="spellStart"/>
            <w:r w:rsidRPr="00B30455">
              <w:rPr>
                <w:sz w:val="16"/>
                <w:szCs w:val="16"/>
              </w:rPr>
              <w:t>Resilencia</w:t>
            </w:r>
            <w:proofErr w:type="spellEnd"/>
            <w:r w:rsidRPr="00B30455">
              <w:rPr>
                <w:sz w:val="16"/>
                <w:szCs w:val="16"/>
              </w:rPr>
              <w:t xml:space="preserve"> Turística) REACT-EU</w:t>
            </w:r>
          </w:p>
        </w:tc>
        <w:tc>
          <w:tcPr>
            <w:tcW w:w="519" w:type="pct"/>
            <w:gridSpan w:val="2"/>
            <w:tcBorders>
              <w:top w:val="single" w:sz="4" w:space="0" w:color="auto"/>
              <w:left w:val="nil"/>
              <w:bottom w:val="single" w:sz="4" w:space="0" w:color="auto"/>
              <w:right w:val="nil"/>
            </w:tcBorders>
            <w:shd w:val="clear" w:color="auto" w:fill="auto"/>
            <w:vAlign w:val="center"/>
          </w:tcPr>
          <w:p w14:paraId="762E7086" w14:textId="483C9542" w:rsidR="00B30455" w:rsidRPr="00B30455" w:rsidRDefault="00B30455" w:rsidP="00B30455">
            <w:pPr>
              <w:keepNext/>
              <w:keepLines/>
              <w:widowControl w:val="0"/>
              <w:pBdr>
                <w:top w:val="none" w:sz="0" w:space="0" w:color="auto"/>
                <w:left w:val="none" w:sz="0" w:space="0" w:color="auto"/>
                <w:bottom w:val="none" w:sz="0" w:space="0" w:color="auto"/>
                <w:right w:val="none" w:sz="0" w:space="0" w:color="auto"/>
                <w:between w:val="none" w:sz="0" w:space="0" w:color="auto"/>
                <w:bar w:val="none" w:sz="0" w:color="auto"/>
              </w:pBdr>
              <w:jc w:val="right"/>
              <w:outlineLvl w:val="9"/>
              <w:rPr>
                <w:rFonts w:eastAsia="Times New Roman"/>
                <w:sz w:val="16"/>
                <w:szCs w:val="16"/>
                <w:bdr w:val="none" w:sz="0" w:space="0" w:color="auto"/>
                <w:lang w:eastAsia="es-ES"/>
              </w:rPr>
            </w:pPr>
            <w:r w:rsidRPr="00B30455">
              <w:rPr>
                <w:sz w:val="16"/>
                <w:szCs w:val="16"/>
              </w:rPr>
              <w:t xml:space="preserve"> -</w:t>
            </w:r>
          </w:p>
        </w:tc>
        <w:tc>
          <w:tcPr>
            <w:tcW w:w="519" w:type="pct"/>
            <w:tcBorders>
              <w:top w:val="single" w:sz="4" w:space="0" w:color="auto"/>
              <w:left w:val="nil"/>
              <w:bottom w:val="single" w:sz="4" w:space="0" w:color="auto"/>
              <w:right w:val="nil"/>
            </w:tcBorders>
            <w:vAlign w:val="center"/>
          </w:tcPr>
          <w:p w14:paraId="6E9FAD0E" w14:textId="6D963A89" w:rsidR="00B30455" w:rsidRPr="00B30455" w:rsidRDefault="00B30455" w:rsidP="00B30455">
            <w:pPr>
              <w:keepNext/>
              <w:keepLines/>
              <w:widowControl w:val="0"/>
              <w:pBdr>
                <w:top w:val="none" w:sz="0" w:space="0" w:color="auto"/>
                <w:left w:val="none" w:sz="0" w:space="0" w:color="auto"/>
                <w:bottom w:val="none" w:sz="0" w:space="0" w:color="auto"/>
                <w:right w:val="none" w:sz="0" w:space="0" w:color="auto"/>
                <w:between w:val="none" w:sz="0" w:space="0" w:color="auto"/>
                <w:bar w:val="none" w:sz="0" w:color="auto"/>
              </w:pBdr>
              <w:jc w:val="right"/>
              <w:outlineLvl w:val="9"/>
              <w:rPr>
                <w:rFonts w:eastAsia="Times New Roman"/>
                <w:sz w:val="16"/>
                <w:szCs w:val="16"/>
                <w:bdr w:val="none" w:sz="0" w:space="0" w:color="auto"/>
                <w:lang w:eastAsia="es-ES"/>
              </w:rPr>
            </w:pPr>
            <w:r w:rsidRPr="00B30455">
              <w:rPr>
                <w:sz w:val="16"/>
                <w:szCs w:val="16"/>
              </w:rPr>
              <w:t>31.051.605,64</w:t>
            </w:r>
          </w:p>
        </w:tc>
        <w:tc>
          <w:tcPr>
            <w:tcW w:w="519" w:type="pct"/>
            <w:gridSpan w:val="2"/>
            <w:tcBorders>
              <w:top w:val="single" w:sz="4" w:space="0" w:color="auto"/>
              <w:left w:val="nil"/>
              <w:bottom w:val="single" w:sz="4" w:space="0" w:color="auto"/>
              <w:right w:val="nil"/>
            </w:tcBorders>
            <w:shd w:val="clear" w:color="auto" w:fill="auto"/>
            <w:vAlign w:val="center"/>
          </w:tcPr>
          <w:p w14:paraId="7EBEE3E6" w14:textId="2A88D345" w:rsidR="00B30455" w:rsidRPr="00B30455" w:rsidRDefault="00B30455" w:rsidP="00B30455">
            <w:pPr>
              <w:keepNext/>
              <w:keepLines/>
              <w:widowControl w:val="0"/>
              <w:pBdr>
                <w:top w:val="none" w:sz="0" w:space="0" w:color="auto"/>
                <w:left w:val="none" w:sz="0" w:space="0" w:color="auto"/>
                <w:bottom w:val="none" w:sz="0" w:space="0" w:color="auto"/>
                <w:right w:val="none" w:sz="0" w:space="0" w:color="auto"/>
                <w:between w:val="none" w:sz="0" w:space="0" w:color="auto"/>
                <w:bar w:val="none" w:sz="0" w:color="auto"/>
              </w:pBdr>
              <w:jc w:val="right"/>
              <w:outlineLvl w:val="9"/>
              <w:rPr>
                <w:rFonts w:eastAsia="Times New Roman"/>
                <w:sz w:val="16"/>
                <w:szCs w:val="16"/>
                <w:bdr w:val="none" w:sz="0" w:space="0" w:color="auto"/>
                <w:lang w:eastAsia="es-ES"/>
              </w:rPr>
            </w:pPr>
            <w:r w:rsidRPr="00B30455">
              <w:rPr>
                <w:sz w:val="16"/>
                <w:szCs w:val="16"/>
              </w:rPr>
              <w:t>22.515.957,74</w:t>
            </w:r>
          </w:p>
        </w:tc>
        <w:tc>
          <w:tcPr>
            <w:tcW w:w="513" w:type="pct"/>
            <w:tcBorders>
              <w:top w:val="single" w:sz="4" w:space="0" w:color="auto"/>
              <w:left w:val="nil"/>
              <w:bottom w:val="single" w:sz="4" w:space="0" w:color="auto"/>
              <w:right w:val="nil"/>
            </w:tcBorders>
            <w:shd w:val="clear" w:color="auto" w:fill="auto"/>
            <w:vAlign w:val="center"/>
          </w:tcPr>
          <w:p w14:paraId="7C39EB75" w14:textId="3A104F88" w:rsidR="00B30455" w:rsidRPr="00B30455" w:rsidRDefault="00B30455" w:rsidP="00B30455">
            <w:pPr>
              <w:keepNext/>
              <w:keepLines/>
              <w:widowControl w:val="0"/>
              <w:pBdr>
                <w:top w:val="none" w:sz="0" w:space="0" w:color="auto"/>
                <w:left w:val="none" w:sz="0" w:space="0" w:color="auto"/>
                <w:bottom w:val="none" w:sz="0" w:space="0" w:color="auto"/>
                <w:right w:val="none" w:sz="0" w:space="0" w:color="auto"/>
                <w:between w:val="none" w:sz="0" w:space="0" w:color="auto"/>
                <w:bar w:val="none" w:sz="0" w:color="auto"/>
              </w:pBdr>
              <w:jc w:val="right"/>
              <w:outlineLvl w:val="9"/>
              <w:rPr>
                <w:rFonts w:eastAsia="Times New Roman"/>
                <w:sz w:val="16"/>
                <w:szCs w:val="16"/>
                <w:bdr w:val="none" w:sz="0" w:space="0" w:color="auto"/>
                <w:lang w:eastAsia="es-ES"/>
              </w:rPr>
            </w:pPr>
            <w:r w:rsidRPr="00B30455">
              <w:rPr>
                <w:sz w:val="16"/>
                <w:szCs w:val="16"/>
              </w:rPr>
              <w:t xml:space="preserve"> -</w:t>
            </w:r>
          </w:p>
        </w:tc>
        <w:tc>
          <w:tcPr>
            <w:tcW w:w="591" w:type="pct"/>
            <w:tcBorders>
              <w:top w:val="single" w:sz="4" w:space="0" w:color="auto"/>
              <w:left w:val="nil"/>
              <w:bottom w:val="single" w:sz="4" w:space="0" w:color="auto"/>
              <w:right w:val="nil"/>
            </w:tcBorders>
            <w:vAlign w:val="center"/>
          </w:tcPr>
          <w:p w14:paraId="0D71D3CD" w14:textId="7A33D829" w:rsidR="00B30455" w:rsidRPr="00B30455" w:rsidRDefault="0082201D" w:rsidP="00B30455">
            <w:pPr>
              <w:keepNext/>
              <w:keepLines/>
              <w:widowControl w:val="0"/>
              <w:pBdr>
                <w:top w:val="none" w:sz="0" w:space="0" w:color="auto"/>
                <w:left w:val="none" w:sz="0" w:space="0" w:color="auto"/>
                <w:bottom w:val="none" w:sz="0" w:space="0" w:color="auto"/>
                <w:right w:val="none" w:sz="0" w:space="0" w:color="auto"/>
                <w:between w:val="none" w:sz="0" w:space="0" w:color="auto"/>
                <w:bar w:val="none" w:sz="0" w:color="auto"/>
              </w:pBdr>
              <w:jc w:val="right"/>
              <w:outlineLvl w:val="9"/>
              <w:rPr>
                <w:rFonts w:eastAsia="Times New Roman"/>
                <w:sz w:val="16"/>
                <w:szCs w:val="16"/>
                <w:bdr w:val="none" w:sz="0" w:space="0" w:color="auto"/>
                <w:lang w:eastAsia="es-ES"/>
              </w:rPr>
            </w:pPr>
            <w:r>
              <w:rPr>
                <w:rFonts w:eastAsia="Times New Roman"/>
                <w:sz w:val="16"/>
                <w:szCs w:val="16"/>
                <w:bdr w:val="none" w:sz="0" w:space="0" w:color="auto"/>
                <w:lang w:eastAsia="es-ES"/>
              </w:rPr>
              <w:t>-</w:t>
            </w:r>
          </w:p>
        </w:tc>
        <w:tc>
          <w:tcPr>
            <w:tcW w:w="590" w:type="pct"/>
            <w:gridSpan w:val="2"/>
            <w:tcBorders>
              <w:top w:val="single" w:sz="4" w:space="0" w:color="auto"/>
              <w:left w:val="nil"/>
              <w:bottom w:val="single" w:sz="4" w:space="0" w:color="auto"/>
              <w:right w:val="nil"/>
            </w:tcBorders>
            <w:shd w:val="clear" w:color="auto" w:fill="auto"/>
            <w:vAlign w:val="center"/>
          </w:tcPr>
          <w:p w14:paraId="550ADFEA" w14:textId="72792C29" w:rsidR="00B30455" w:rsidRPr="00B30455" w:rsidRDefault="00B30455" w:rsidP="00B30455">
            <w:pPr>
              <w:keepNext/>
              <w:keepLines/>
              <w:widowControl w:val="0"/>
              <w:pBdr>
                <w:top w:val="none" w:sz="0" w:space="0" w:color="auto"/>
                <w:left w:val="none" w:sz="0" w:space="0" w:color="auto"/>
                <w:bottom w:val="none" w:sz="0" w:space="0" w:color="auto"/>
                <w:right w:val="none" w:sz="0" w:space="0" w:color="auto"/>
                <w:between w:val="none" w:sz="0" w:space="0" w:color="auto"/>
                <w:bar w:val="none" w:sz="0" w:color="auto"/>
              </w:pBdr>
              <w:jc w:val="right"/>
              <w:outlineLvl w:val="9"/>
              <w:rPr>
                <w:rFonts w:eastAsia="Times New Roman"/>
                <w:sz w:val="16"/>
                <w:szCs w:val="16"/>
                <w:bdr w:val="none" w:sz="0" w:space="0" w:color="auto"/>
                <w:lang w:eastAsia="es-ES"/>
              </w:rPr>
            </w:pPr>
            <w:r w:rsidRPr="00B30455">
              <w:rPr>
                <w:sz w:val="16"/>
                <w:szCs w:val="16"/>
              </w:rPr>
              <w:t>8.535.647,90</w:t>
            </w:r>
          </w:p>
        </w:tc>
      </w:tr>
      <w:tr w:rsidR="00B30455" w:rsidRPr="00B30455" w14:paraId="3A47BB1D" w14:textId="77777777" w:rsidTr="00B1370C">
        <w:trPr>
          <w:trHeight w:val="454"/>
        </w:trPr>
        <w:tc>
          <w:tcPr>
            <w:tcW w:w="1749" w:type="pct"/>
            <w:tcBorders>
              <w:top w:val="single" w:sz="4" w:space="0" w:color="auto"/>
              <w:left w:val="nil"/>
              <w:bottom w:val="single" w:sz="4" w:space="0" w:color="auto"/>
              <w:right w:val="nil"/>
            </w:tcBorders>
            <w:shd w:val="clear" w:color="auto" w:fill="auto"/>
            <w:vAlign w:val="center"/>
          </w:tcPr>
          <w:p w14:paraId="64F5D734" w14:textId="15A756F9" w:rsidR="00B30455" w:rsidRPr="00B30455" w:rsidRDefault="00B30455" w:rsidP="00B30455">
            <w:pPr>
              <w:keepNext/>
              <w:keepLines/>
              <w:widowControl w:val="0"/>
              <w:pBdr>
                <w:top w:val="none" w:sz="0" w:space="0" w:color="auto"/>
                <w:left w:val="none" w:sz="0" w:space="0" w:color="auto"/>
                <w:bottom w:val="none" w:sz="0" w:space="0" w:color="auto"/>
                <w:right w:val="none" w:sz="0" w:space="0" w:color="auto"/>
                <w:between w:val="none" w:sz="0" w:space="0" w:color="auto"/>
                <w:bar w:val="none" w:sz="0" w:color="auto"/>
              </w:pBdr>
              <w:outlineLvl w:val="9"/>
              <w:rPr>
                <w:rFonts w:eastAsia="Times New Roman"/>
                <w:sz w:val="16"/>
                <w:szCs w:val="16"/>
                <w:bdr w:val="none" w:sz="0" w:space="0" w:color="auto"/>
                <w:lang w:eastAsia="es-ES"/>
              </w:rPr>
            </w:pPr>
            <w:r w:rsidRPr="00B30455">
              <w:rPr>
                <w:sz w:val="16"/>
                <w:szCs w:val="16"/>
              </w:rPr>
              <w:t>Consejería de Turismo y Empleo: Cohesión en destino convocatoria 2021</w:t>
            </w:r>
          </w:p>
        </w:tc>
        <w:tc>
          <w:tcPr>
            <w:tcW w:w="519" w:type="pct"/>
            <w:gridSpan w:val="2"/>
            <w:tcBorders>
              <w:top w:val="single" w:sz="4" w:space="0" w:color="auto"/>
              <w:left w:val="nil"/>
              <w:bottom w:val="single" w:sz="4" w:space="0" w:color="auto"/>
              <w:right w:val="nil"/>
            </w:tcBorders>
            <w:shd w:val="clear" w:color="auto" w:fill="auto"/>
            <w:vAlign w:val="center"/>
          </w:tcPr>
          <w:p w14:paraId="464DD59C" w14:textId="719B9F6A" w:rsidR="00B30455" w:rsidRPr="00B30455" w:rsidRDefault="00B30455" w:rsidP="00B30455">
            <w:pPr>
              <w:keepNext/>
              <w:keepLines/>
              <w:widowControl w:val="0"/>
              <w:pBdr>
                <w:top w:val="none" w:sz="0" w:space="0" w:color="auto"/>
                <w:left w:val="none" w:sz="0" w:space="0" w:color="auto"/>
                <w:bottom w:val="none" w:sz="0" w:space="0" w:color="auto"/>
                <w:right w:val="none" w:sz="0" w:space="0" w:color="auto"/>
                <w:between w:val="none" w:sz="0" w:space="0" w:color="auto"/>
                <w:bar w:val="none" w:sz="0" w:color="auto"/>
              </w:pBdr>
              <w:jc w:val="right"/>
              <w:outlineLvl w:val="9"/>
              <w:rPr>
                <w:rFonts w:eastAsia="Times New Roman"/>
                <w:sz w:val="16"/>
                <w:szCs w:val="16"/>
                <w:bdr w:val="none" w:sz="0" w:space="0" w:color="auto"/>
                <w:lang w:eastAsia="es-ES"/>
              </w:rPr>
            </w:pPr>
            <w:r w:rsidRPr="00B30455">
              <w:rPr>
                <w:sz w:val="16"/>
                <w:szCs w:val="16"/>
              </w:rPr>
              <w:t xml:space="preserve"> -</w:t>
            </w:r>
          </w:p>
        </w:tc>
        <w:tc>
          <w:tcPr>
            <w:tcW w:w="519" w:type="pct"/>
            <w:tcBorders>
              <w:top w:val="single" w:sz="4" w:space="0" w:color="auto"/>
              <w:left w:val="nil"/>
              <w:bottom w:val="single" w:sz="4" w:space="0" w:color="auto"/>
              <w:right w:val="nil"/>
            </w:tcBorders>
            <w:vAlign w:val="center"/>
          </w:tcPr>
          <w:p w14:paraId="67334834" w14:textId="7580378D" w:rsidR="00B30455" w:rsidRPr="00B30455" w:rsidRDefault="00B30455" w:rsidP="00B30455">
            <w:pPr>
              <w:keepNext/>
              <w:keepLines/>
              <w:widowControl w:val="0"/>
              <w:pBdr>
                <w:top w:val="none" w:sz="0" w:space="0" w:color="auto"/>
                <w:left w:val="none" w:sz="0" w:space="0" w:color="auto"/>
                <w:bottom w:val="none" w:sz="0" w:space="0" w:color="auto"/>
                <w:right w:val="none" w:sz="0" w:space="0" w:color="auto"/>
                <w:between w:val="none" w:sz="0" w:space="0" w:color="auto"/>
                <w:bar w:val="none" w:sz="0" w:color="auto"/>
              </w:pBdr>
              <w:jc w:val="right"/>
              <w:outlineLvl w:val="9"/>
              <w:rPr>
                <w:rFonts w:eastAsia="Times New Roman"/>
                <w:sz w:val="16"/>
                <w:szCs w:val="16"/>
                <w:bdr w:val="none" w:sz="0" w:space="0" w:color="auto"/>
                <w:lang w:eastAsia="es-ES"/>
              </w:rPr>
            </w:pPr>
            <w:r w:rsidRPr="00B30455">
              <w:rPr>
                <w:sz w:val="16"/>
                <w:szCs w:val="16"/>
              </w:rPr>
              <w:t>1.829.028,00</w:t>
            </w:r>
          </w:p>
        </w:tc>
        <w:tc>
          <w:tcPr>
            <w:tcW w:w="519" w:type="pct"/>
            <w:gridSpan w:val="2"/>
            <w:tcBorders>
              <w:top w:val="single" w:sz="4" w:space="0" w:color="auto"/>
              <w:left w:val="nil"/>
              <w:bottom w:val="single" w:sz="4" w:space="0" w:color="auto"/>
              <w:right w:val="nil"/>
            </w:tcBorders>
            <w:shd w:val="clear" w:color="auto" w:fill="auto"/>
            <w:vAlign w:val="center"/>
          </w:tcPr>
          <w:p w14:paraId="330894D8" w14:textId="77C3F4F7" w:rsidR="00B30455" w:rsidRPr="00B30455" w:rsidRDefault="00B30455" w:rsidP="00B30455">
            <w:pPr>
              <w:keepNext/>
              <w:keepLines/>
              <w:widowControl w:val="0"/>
              <w:pBdr>
                <w:top w:val="none" w:sz="0" w:space="0" w:color="auto"/>
                <w:left w:val="none" w:sz="0" w:space="0" w:color="auto"/>
                <w:bottom w:val="none" w:sz="0" w:space="0" w:color="auto"/>
                <w:right w:val="none" w:sz="0" w:space="0" w:color="auto"/>
                <w:between w:val="none" w:sz="0" w:space="0" w:color="auto"/>
                <w:bar w:val="none" w:sz="0" w:color="auto"/>
              </w:pBdr>
              <w:jc w:val="right"/>
              <w:outlineLvl w:val="9"/>
              <w:rPr>
                <w:rFonts w:eastAsia="Times New Roman"/>
                <w:sz w:val="16"/>
                <w:szCs w:val="16"/>
                <w:bdr w:val="none" w:sz="0" w:space="0" w:color="auto"/>
                <w:lang w:eastAsia="es-ES"/>
              </w:rPr>
            </w:pPr>
            <w:r w:rsidRPr="00B30455">
              <w:rPr>
                <w:sz w:val="16"/>
                <w:szCs w:val="16"/>
              </w:rPr>
              <w:t>524.491,75</w:t>
            </w:r>
          </w:p>
        </w:tc>
        <w:tc>
          <w:tcPr>
            <w:tcW w:w="513" w:type="pct"/>
            <w:tcBorders>
              <w:top w:val="single" w:sz="4" w:space="0" w:color="auto"/>
              <w:left w:val="nil"/>
              <w:bottom w:val="single" w:sz="4" w:space="0" w:color="auto"/>
              <w:right w:val="nil"/>
            </w:tcBorders>
            <w:shd w:val="clear" w:color="auto" w:fill="auto"/>
            <w:vAlign w:val="center"/>
          </w:tcPr>
          <w:p w14:paraId="6B42EDC5" w14:textId="261AF459" w:rsidR="00B30455" w:rsidRPr="00B30455" w:rsidRDefault="0082201D" w:rsidP="00B30455">
            <w:pPr>
              <w:keepNext/>
              <w:keepLines/>
              <w:widowControl w:val="0"/>
              <w:pBdr>
                <w:top w:val="none" w:sz="0" w:space="0" w:color="auto"/>
                <w:left w:val="none" w:sz="0" w:space="0" w:color="auto"/>
                <w:bottom w:val="none" w:sz="0" w:space="0" w:color="auto"/>
                <w:right w:val="none" w:sz="0" w:space="0" w:color="auto"/>
                <w:between w:val="none" w:sz="0" w:space="0" w:color="auto"/>
                <w:bar w:val="none" w:sz="0" w:color="auto"/>
              </w:pBdr>
              <w:jc w:val="right"/>
              <w:outlineLvl w:val="9"/>
              <w:rPr>
                <w:rFonts w:eastAsia="Times New Roman"/>
                <w:sz w:val="16"/>
                <w:szCs w:val="16"/>
                <w:bdr w:val="none" w:sz="0" w:space="0" w:color="auto"/>
                <w:lang w:eastAsia="es-ES"/>
              </w:rPr>
            </w:pPr>
            <w:r>
              <w:rPr>
                <w:rFonts w:eastAsia="Times New Roman"/>
                <w:sz w:val="16"/>
                <w:szCs w:val="16"/>
                <w:bdr w:val="none" w:sz="0" w:space="0" w:color="auto"/>
                <w:lang w:eastAsia="es-ES"/>
              </w:rPr>
              <w:t>-</w:t>
            </w:r>
          </w:p>
        </w:tc>
        <w:tc>
          <w:tcPr>
            <w:tcW w:w="591" w:type="pct"/>
            <w:tcBorders>
              <w:top w:val="single" w:sz="4" w:space="0" w:color="auto"/>
              <w:left w:val="nil"/>
              <w:bottom w:val="single" w:sz="4" w:space="0" w:color="auto"/>
              <w:right w:val="nil"/>
            </w:tcBorders>
            <w:vAlign w:val="center"/>
          </w:tcPr>
          <w:p w14:paraId="6F552D94" w14:textId="31F89B4D" w:rsidR="00B30455" w:rsidRPr="00B30455" w:rsidRDefault="0082201D" w:rsidP="00B30455">
            <w:pPr>
              <w:keepNext/>
              <w:keepLines/>
              <w:widowControl w:val="0"/>
              <w:pBdr>
                <w:top w:val="none" w:sz="0" w:space="0" w:color="auto"/>
                <w:left w:val="none" w:sz="0" w:space="0" w:color="auto"/>
                <w:bottom w:val="none" w:sz="0" w:space="0" w:color="auto"/>
                <w:right w:val="none" w:sz="0" w:space="0" w:color="auto"/>
                <w:between w:val="none" w:sz="0" w:space="0" w:color="auto"/>
                <w:bar w:val="none" w:sz="0" w:color="auto"/>
              </w:pBdr>
              <w:jc w:val="right"/>
              <w:outlineLvl w:val="9"/>
              <w:rPr>
                <w:rFonts w:eastAsia="Times New Roman"/>
                <w:sz w:val="16"/>
                <w:szCs w:val="16"/>
                <w:bdr w:val="none" w:sz="0" w:space="0" w:color="auto"/>
                <w:lang w:eastAsia="es-ES"/>
              </w:rPr>
            </w:pPr>
            <w:r>
              <w:rPr>
                <w:rFonts w:eastAsia="Times New Roman"/>
                <w:sz w:val="16"/>
                <w:szCs w:val="16"/>
                <w:bdr w:val="none" w:sz="0" w:space="0" w:color="auto"/>
                <w:lang w:eastAsia="es-ES"/>
              </w:rPr>
              <w:t>-</w:t>
            </w:r>
          </w:p>
        </w:tc>
        <w:tc>
          <w:tcPr>
            <w:tcW w:w="590" w:type="pct"/>
            <w:gridSpan w:val="2"/>
            <w:tcBorders>
              <w:top w:val="single" w:sz="4" w:space="0" w:color="auto"/>
              <w:left w:val="nil"/>
              <w:bottom w:val="single" w:sz="4" w:space="0" w:color="auto"/>
              <w:right w:val="nil"/>
            </w:tcBorders>
            <w:shd w:val="clear" w:color="auto" w:fill="auto"/>
            <w:vAlign w:val="center"/>
          </w:tcPr>
          <w:p w14:paraId="01A88D77" w14:textId="061E0965" w:rsidR="00B30455" w:rsidRPr="00B30455" w:rsidRDefault="00B30455" w:rsidP="00B30455">
            <w:pPr>
              <w:keepNext/>
              <w:keepLines/>
              <w:widowControl w:val="0"/>
              <w:pBdr>
                <w:top w:val="none" w:sz="0" w:space="0" w:color="auto"/>
                <w:left w:val="none" w:sz="0" w:space="0" w:color="auto"/>
                <w:bottom w:val="none" w:sz="0" w:space="0" w:color="auto"/>
                <w:right w:val="none" w:sz="0" w:space="0" w:color="auto"/>
                <w:between w:val="none" w:sz="0" w:space="0" w:color="auto"/>
                <w:bar w:val="none" w:sz="0" w:color="auto"/>
              </w:pBdr>
              <w:jc w:val="right"/>
              <w:outlineLvl w:val="9"/>
              <w:rPr>
                <w:rFonts w:eastAsia="Times New Roman"/>
                <w:sz w:val="16"/>
                <w:szCs w:val="16"/>
                <w:bdr w:val="none" w:sz="0" w:space="0" w:color="auto"/>
                <w:lang w:eastAsia="es-ES"/>
              </w:rPr>
            </w:pPr>
            <w:r w:rsidRPr="00B30455">
              <w:rPr>
                <w:sz w:val="16"/>
                <w:szCs w:val="16"/>
              </w:rPr>
              <w:t>1.304.536,25</w:t>
            </w:r>
          </w:p>
        </w:tc>
      </w:tr>
      <w:tr w:rsidR="00B30455" w:rsidRPr="00B30455" w14:paraId="36D84D31" w14:textId="77777777" w:rsidTr="00B1370C">
        <w:trPr>
          <w:trHeight w:val="454"/>
        </w:trPr>
        <w:tc>
          <w:tcPr>
            <w:tcW w:w="1749" w:type="pct"/>
            <w:tcBorders>
              <w:top w:val="single" w:sz="4" w:space="0" w:color="auto"/>
              <w:left w:val="nil"/>
              <w:bottom w:val="single" w:sz="4" w:space="0" w:color="auto"/>
              <w:right w:val="nil"/>
            </w:tcBorders>
            <w:shd w:val="clear" w:color="auto" w:fill="auto"/>
            <w:vAlign w:val="center"/>
          </w:tcPr>
          <w:p w14:paraId="6CE219CE" w14:textId="2179D3C9" w:rsidR="00B30455" w:rsidRPr="00B30455" w:rsidRDefault="00B30455" w:rsidP="00B30455">
            <w:pPr>
              <w:keepNext/>
              <w:keepLines/>
              <w:widowControl w:val="0"/>
              <w:pBdr>
                <w:top w:val="none" w:sz="0" w:space="0" w:color="auto"/>
                <w:left w:val="none" w:sz="0" w:space="0" w:color="auto"/>
                <w:bottom w:val="none" w:sz="0" w:space="0" w:color="auto"/>
                <w:right w:val="none" w:sz="0" w:space="0" w:color="auto"/>
                <w:between w:val="none" w:sz="0" w:space="0" w:color="auto"/>
                <w:bar w:val="none" w:sz="0" w:color="auto"/>
              </w:pBdr>
              <w:outlineLvl w:val="9"/>
              <w:rPr>
                <w:rFonts w:eastAsia="Times New Roman"/>
                <w:sz w:val="16"/>
                <w:szCs w:val="16"/>
                <w:bdr w:val="none" w:sz="0" w:space="0" w:color="auto"/>
                <w:lang w:eastAsia="es-ES"/>
              </w:rPr>
            </w:pPr>
            <w:r w:rsidRPr="00B30455">
              <w:rPr>
                <w:sz w:val="16"/>
                <w:szCs w:val="16"/>
              </w:rPr>
              <w:t>Consejería de Turismo y Empleo: Cohesión en destino convocatoria 2022</w:t>
            </w:r>
          </w:p>
        </w:tc>
        <w:tc>
          <w:tcPr>
            <w:tcW w:w="519" w:type="pct"/>
            <w:gridSpan w:val="2"/>
            <w:tcBorders>
              <w:top w:val="single" w:sz="4" w:space="0" w:color="auto"/>
              <w:left w:val="nil"/>
              <w:bottom w:val="single" w:sz="4" w:space="0" w:color="auto"/>
              <w:right w:val="nil"/>
            </w:tcBorders>
            <w:shd w:val="clear" w:color="auto" w:fill="auto"/>
            <w:vAlign w:val="center"/>
          </w:tcPr>
          <w:p w14:paraId="3904EA13" w14:textId="4702F43C" w:rsidR="00B30455" w:rsidRPr="00B30455" w:rsidRDefault="00B30455" w:rsidP="00B30455">
            <w:pPr>
              <w:keepNext/>
              <w:keepLines/>
              <w:widowControl w:val="0"/>
              <w:pBdr>
                <w:top w:val="none" w:sz="0" w:space="0" w:color="auto"/>
                <w:left w:val="none" w:sz="0" w:space="0" w:color="auto"/>
                <w:bottom w:val="none" w:sz="0" w:space="0" w:color="auto"/>
                <w:right w:val="none" w:sz="0" w:space="0" w:color="auto"/>
                <w:between w:val="none" w:sz="0" w:space="0" w:color="auto"/>
                <w:bar w:val="none" w:sz="0" w:color="auto"/>
              </w:pBdr>
              <w:jc w:val="right"/>
              <w:outlineLvl w:val="9"/>
              <w:rPr>
                <w:rFonts w:eastAsia="Times New Roman"/>
                <w:sz w:val="16"/>
                <w:szCs w:val="16"/>
                <w:bdr w:val="none" w:sz="0" w:space="0" w:color="auto"/>
                <w:lang w:eastAsia="es-ES"/>
              </w:rPr>
            </w:pPr>
            <w:r w:rsidRPr="00B30455">
              <w:rPr>
                <w:sz w:val="16"/>
                <w:szCs w:val="16"/>
              </w:rPr>
              <w:t xml:space="preserve"> -</w:t>
            </w:r>
          </w:p>
        </w:tc>
        <w:tc>
          <w:tcPr>
            <w:tcW w:w="519" w:type="pct"/>
            <w:tcBorders>
              <w:top w:val="single" w:sz="4" w:space="0" w:color="auto"/>
              <w:left w:val="nil"/>
              <w:bottom w:val="single" w:sz="4" w:space="0" w:color="auto"/>
              <w:right w:val="nil"/>
            </w:tcBorders>
            <w:vAlign w:val="center"/>
          </w:tcPr>
          <w:p w14:paraId="21EC9FBF" w14:textId="2926A866" w:rsidR="00B30455" w:rsidRPr="00B30455" w:rsidRDefault="00B30455" w:rsidP="00B30455">
            <w:pPr>
              <w:keepNext/>
              <w:keepLines/>
              <w:widowControl w:val="0"/>
              <w:pBdr>
                <w:top w:val="none" w:sz="0" w:space="0" w:color="auto"/>
                <w:left w:val="none" w:sz="0" w:space="0" w:color="auto"/>
                <w:bottom w:val="none" w:sz="0" w:space="0" w:color="auto"/>
                <w:right w:val="none" w:sz="0" w:space="0" w:color="auto"/>
                <w:between w:val="none" w:sz="0" w:space="0" w:color="auto"/>
                <w:bar w:val="none" w:sz="0" w:color="auto"/>
              </w:pBdr>
              <w:jc w:val="right"/>
              <w:outlineLvl w:val="9"/>
              <w:rPr>
                <w:rFonts w:eastAsia="Times New Roman"/>
                <w:sz w:val="16"/>
                <w:szCs w:val="16"/>
                <w:bdr w:val="none" w:sz="0" w:space="0" w:color="auto"/>
                <w:lang w:eastAsia="es-ES"/>
              </w:rPr>
            </w:pPr>
            <w:r w:rsidRPr="00B30455">
              <w:rPr>
                <w:sz w:val="16"/>
                <w:szCs w:val="16"/>
              </w:rPr>
              <w:t>4.123.117,59</w:t>
            </w:r>
          </w:p>
        </w:tc>
        <w:tc>
          <w:tcPr>
            <w:tcW w:w="519" w:type="pct"/>
            <w:gridSpan w:val="2"/>
            <w:tcBorders>
              <w:top w:val="single" w:sz="4" w:space="0" w:color="auto"/>
              <w:left w:val="nil"/>
              <w:bottom w:val="single" w:sz="4" w:space="0" w:color="auto"/>
              <w:right w:val="nil"/>
            </w:tcBorders>
            <w:shd w:val="clear" w:color="auto" w:fill="auto"/>
            <w:vAlign w:val="center"/>
          </w:tcPr>
          <w:p w14:paraId="0C94A6A9" w14:textId="52E3C437" w:rsidR="00B30455" w:rsidRPr="00B30455" w:rsidRDefault="00B30455" w:rsidP="00B30455">
            <w:pPr>
              <w:keepNext/>
              <w:keepLines/>
              <w:widowControl w:val="0"/>
              <w:pBdr>
                <w:top w:val="none" w:sz="0" w:space="0" w:color="auto"/>
                <w:left w:val="none" w:sz="0" w:space="0" w:color="auto"/>
                <w:bottom w:val="none" w:sz="0" w:space="0" w:color="auto"/>
                <w:right w:val="none" w:sz="0" w:space="0" w:color="auto"/>
                <w:between w:val="none" w:sz="0" w:space="0" w:color="auto"/>
                <w:bar w:val="none" w:sz="0" w:color="auto"/>
              </w:pBdr>
              <w:jc w:val="right"/>
              <w:outlineLvl w:val="9"/>
              <w:rPr>
                <w:rFonts w:eastAsia="Times New Roman"/>
                <w:sz w:val="16"/>
                <w:szCs w:val="16"/>
                <w:bdr w:val="none" w:sz="0" w:space="0" w:color="auto"/>
                <w:lang w:eastAsia="es-ES"/>
              </w:rPr>
            </w:pPr>
            <w:r w:rsidRPr="00B30455">
              <w:rPr>
                <w:sz w:val="16"/>
                <w:szCs w:val="16"/>
              </w:rPr>
              <w:t>1.574.249,42</w:t>
            </w:r>
          </w:p>
        </w:tc>
        <w:tc>
          <w:tcPr>
            <w:tcW w:w="513" w:type="pct"/>
            <w:tcBorders>
              <w:top w:val="single" w:sz="4" w:space="0" w:color="auto"/>
              <w:left w:val="nil"/>
              <w:bottom w:val="single" w:sz="4" w:space="0" w:color="auto"/>
              <w:right w:val="nil"/>
            </w:tcBorders>
            <w:shd w:val="clear" w:color="auto" w:fill="auto"/>
            <w:vAlign w:val="center"/>
          </w:tcPr>
          <w:p w14:paraId="3DCA4702" w14:textId="0E608B17" w:rsidR="00B30455" w:rsidRPr="00B30455" w:rsidRDefault="00B30455" w:rsidP="00B30455">
            <w:pPr>
              <w:keepNext/>
              <w:keepLines/>
              <w:widowControl w:val="0"/>
              <w:pBdr>
                <w:top w:val="none" w:sz="0" w:space="0" w:color="auto"/>
                <w:left w:val="none" w:sz="0" w:space="0" w:color="auto"/>
                <w:bottom w:val="none" w:sz="0" w:space="0" w:color="auto"/>
                <w:right w:val="none" w:sz="0" w:space="0" w:color="auto"/>
                <w:between w:val="none" w:sz="0" w:space="0" w:color="auto"/>
                <w:bar w:val="none" w:sz="0" w:color="auto"/>
              </w:pBdr>
              <w:jc w:val="right"/>
              <w:outlineLvl w:val="9"/>
              <w:rPr>
                <w:rFonts w:eastAsia="Times New Roman"/>
                <w:sz w:val="16"/>
                <w:szCs w:val="16"/>
                <w:bdr w:val="none" w:sz="0" w:space="0" w:color="auto"/>
                <w:lang w:eastAsia="es-ES"/>
              </w:rPr>
            </w:pPr>
            <w:r w:rsidRPr="00B30455">
              <w:rPr>
                <w:sz w:val="16"/>
                <w:szCs w:val="16"/>
              </w:rPr>
              <w:t xml:space="preserve"> -</w:t>
            </w:r>
          </w:p>
        </w:tc>
        <w:tc>
          <w:tcPr>
            <w:tcW w:w="591" w:type="pct"/>
            <w:tcBorders>
              <w:top w:val="single" w:sz="4" w:space="0" w:color="auto"/>
              <w:left w:val="nil"/>
              <w:bottom w:val="single" w:sz="4" w:space="0" w:color="auto"/>
              <w:right w:val="nil"/>
            </w:tcBorders>
            <w:vAlign w:val="center"/>
          </w:tcPr>
          <w:p w14:paraId="0AE0F689" w14:textId="296A9CEF" w:rsidR="00B30455" w:rsidRPr="00B30455" w:rsidRDefault="0082201D" w:rsidP="00B30455">
            <w:pPr>
              <w:keepNext/>
              <w:keepLines/>
              <w:widowControl w:val="0"/>
              <w:pBdr>
                <w:top w:val="none" w:sz="0" w:space="0" w:color="auto"/>
                <w:left w:val="none" w:sz="0" w:space="0" w:color="auto"/>
                <w:bottom w:val="none" w:sz="0" w:space="0" w:color="auto"/>
                <w:right w:val="none" w:sz="0" w:space="0" w:color="auto"/>
                <w:between w:val="none" w:sz="0" w:space="0" w:color="auto"/>
                <w:bar w:val="none" w:sz="0" w:color="auto"/>
              </w:pBdr>
              <w:jc w:val="right"/>
              <w:outlineLvl w:val="9"/>
              <w:rPr>
                <w:rFonts w:eastAsia="Times New Roman"/>
                <w:sz w:val="16"/>
                <w:szCs w:val="16"/>
                <w:bdr w:val="none" w:sz="0" w:space="0" w:color="auto"/>
                <w:lang w:eastAsia="es-ES"/>
              </w:rPr>
            </w:pPr>
            <w:r>
              <w:rPr>
                <w:rFonts w:eastAsia="Times New Roman"/>
                <w:sz w:val="16"/>
                <w:szCs w:val="16"/>
                <w:bdr w:val="none" w:sz="0" w:space="0" w:color="auto"/>
                <w:lang w:eastAsia="es-ES"/>
              </w:rPr>
              <w:t>-</w:t>
            </w:r>
          </w:p>
        </w:tc>
        <w:tc>
          <w:tcPr>
            <w:tcW w:w="590" w:type="pct"/>
            <w:gridSpan w:val="2"/>
            <w:tcBorders>
              <w:top w:val="single" w:sz="4" w:space="0" w:color="auto"/>
              <w:left w:val="nil"/>
              <w:bottom w:val="single" w:sz="4" w:space="0" w:color="auto"/>
              <w:right w:val="nil"/>
            </w:tcBorders>
            <w:shd w:val="clear" w:color="auto" w:fill="auto"/>
            <w:vAlign w:val="center"/>
          </w:tcPr>
          <w:p w14:paraId="1412F89D" w14:textId="00510963" w:rsidR="00B30455" w:rsidRPr="00B30455" w:rsidRDefault="00B30455" w:rsidP="00B30455">
            <w:pPr>
              <w:keepNext/>
              <w:keepLines/>
              <w:widowControl w:val="0"/>
              <w:pBdr>
                <w:top w:val="none" w:sz="0" w:space="0" w:color="auto"/>
                <w:left w:val="none" w:sz="0" w:space="0" w:color="auto"/>
                <w:bottom w:val="none" w:sz="0" w:space="0" w:color="auto"/>
                <w:right w:val="none" w:sz="0" w:space="0" w:color="auto"/>
                <w:between w:val="none" w:sz="0" w:space="0" w:color="auto"/>
                <w:bar w:val="none" w:sz="0" w:color="auto"/>
              </w:pBdr>
              <w:jc w:val="right"/>
              <w:outlineLvl w:val="9"/>
              <w:rPr>
                <w:rFonts w:eastAsia="Times New Roman"/>
                <w:sz w:val="16"/>
                <w:szCs w:val="16"/>
                <w:bdr w:val="none" w:sz="0" w:space="0" w:color="auto"/>
                <w:lang w:eastAsia="es-ES"/>
              </w:rPr>
            </w:pPr>
            <w:r w:rsidRPr="00B30455">
              <w:rPr>
                <w:sz w:val="16"/>
                <w:szCs w:val="16"/>
              </w:rPr>
              <w:t>2.548.868,17</w:t>
            </w:r>
          </w:p>
        </w:tc>
      </w:tr>
      <w:tr w:rsidR="00B30455" w:rsidRPr="00B30455" w14:paraId="694B3C25" w14:textId="77777777" w:rsidTr="00B1370C">
        <w:trPr>
          <w:trHeight w:val="454"/>
        </w:trPr>
        <w:tc>
          <w:tcPr>
            <w:tcW w:w="1749" w:type="pct"/>
            <w:tcBorders>
              <w:top w:val="single" w:sz="4" w:space="0" w:color="auto"/>
              <w:left w:val="nil"/>
              <w:bottom w:val="single" w:sz="4" w:space="0" w:color="auto"/>
              <w:right w:val="nil"/>
            </w:tcBorders>
            <w:shd w:val="clear" w:color="auto" w:fill="auto"/>
            <w:vAlign w:val="center"/>
          </w:tcPr>
          <w:p w14:paraId="23162672" w14:textId="7F3021CD" w:rsidR="00B30455" w:rsidRPr="00B30455" w:rsidRDefault="00B30455" w:rsidP="00B30455">
            <w:pPr>
              <w:keepNext/>
              <w:keepLines/>
              <w:widowControl w:val="0"/>
              <w:pBdr>
                <w:top w:val="none" w:sz="0" w:space="0" w:color="auto"/>
                <w:left w:val="none" w:sz="0" w:space="0" w:color="auto"/>
                <w:bottom w:val="none" w:sz="0" w:space="0" w:color="auto"/>
                <w:right w:val="none" w:sz="0" w:space="0" w:color="auto"/>
                <w:between w:val="none" w:sz="0" w:space="0" w:color="auto"/>
                <w:bar w:val="none" w:sz="0" w:color="auto"/>
              </w:pBdr>
              <w:outlineLvl w:val="9"/>
              <w:rPr>
                <w:rFonts w:eastAsia="Times New Roman"/>
                <w:sz w:val="16"/>
                <w:szCs w:val="16"/>
                <w:bdr w:val="none" w:sz="0" w:space="0" w:color="auto"/>
                <w:lang w:eastAsia="es-ES"/>
              </w:rPr>
            </w:pPr>
            <w:r w:rsidRPr="00B30455">
              <w:rPr>
                <w:sz w:val="16"/>
                <w:szCs w:val="16"/>
              </w:rPr>
              <w:t>Consejería de Turismo y Empleo: Cohesión en destino convocatoria 2023</w:t>
            </w:r>
          </w:p>
        </w:tc>
        <w:tc>
          <w:tcPr>
            <w:tcW w:w="519" w:type="pct"/>
            <w:gridSpan w:val="2"/>
            <w:tcBorders>
              <w:top w:val="single" w:sz="4" w:space="0" w:color="auto"/>
              <w:left w:val="nil"/>
              <w:bottom w:val="single" w:sz="4" w:space="0" w:color="auto"/>
              <w:right w:val="nil"/>
            </w:tcBorders>
            <w:shd w:val="clear" w:color="auto" w:fill="auto"/>
            <w:vAlign w:val="center"/>
          </w:tcPr>
          <w:p w14:paraId="23CDAE7F" w14:textId="523B736F" w:rsidR="00B30455" w:rsidRPr="00B30455" w:rsidRDefault="00B30455" w:rsidP="00B30455">
            <w:pPr>
              <w:keepNext/>
              <w:keepLines/>
              <w:widowControl w:val="0"/>
              <w:pBdr>
                <w:top w:val="none" w:sz="0" w:space="0" w:color="auto"/>
                <w:left w:val="none" w:sz="0" w:space="0" w:color="auto"/>
                <w:bottom w:val="none" w:sz="0" w:space="0" w:color="auto"/>
                <w:right w:val="none" w:sz="0" w:space="0" w:color="auto"/>
                <w:between w:val="none" w:sz="0" w:space="0" w:color="auto"/>
                <w:bar w:val="none" w:sz="0" w:color="auto"/>
              </w:pBdr>
              <w:jc w:val="right"/>
              <w:outlineLvl w:val="9"/>
              <w:rPr>
                <w:rFonts w:eastAsia="Times New Roman"/>
                <w:sz w:val="16"/>
                <w:szCs w:val="16"/>
                <w:bdr w:val="none" w:sz="0" w:space="0" w:color="auto"/>
                <w:lang w:eastAsia="es-ES"/>
              </w:rPr>
            </w:pPr>
            <w:r w:rsidRPr="00B30455">
              <w:rPr>
                <w:sz w:val="16"/>
                <w:szCs w:val="16"/>
              </w:rPr>
              <w:t xml:space="preserve"> -</w:t>
            </w:r>
          </w:p>
        </w:tc>
        <w:tc>
          <w:tcPr>
            <w:tcW w:w="519" w:type="pct"/>
            <w:tcBorders>
              <w:top w:val="single" w:sz="4" w:space="0" w:color="auto"/>
              <w:left w:val="nil"/>
              <w:bottom w:val="single" w:sz="4" w:space="0" w:color="auto"/>
              <w:right w:val="nil"/>
            </w:tcBorders>
            <w:vAlign w:val="center"/>
          </w:tcPr>
          <w:p w14:paraId="15C6F491" w14:textId="17FBE5F7" w:rsidR="00B30455" w:rsidRPr="00B30455" w:rsidRDefault="00B30455" w:rsidP="00B30455">
            <w:pPr>
              <w:keepNext/>
              <w:keepLines/>
              <w:widowControl w:val="0"/>
              <w:pBdr>
                <w:top w:val="none" w:sz="0" w:space="0" w:color="auto"/>
                <w:left w:val="none" w:sz="0" w:space="0" w:color="auto"/>
                <w:bottom w:val="none" w:sz="0" w:space="0" w:color="auto"/>
                <w:right w:val="none" w:sz="0" w:space="0" w:color="auto"/>
                <w:between w:val="none" w:sz="0" w:space="0" w:color="auto"/>
                <w:bar w:val="none" w:sz="0" w:color="auto"/>
              </w:pBdr>
              <w:jc w:val="right"/>
              <w:outlineLvl w:val="9"/>
              <w:rPr>
                <w:rFonts w:eastAsia="Times New Roman"/>
                <w:sz w:val="16"/>
                <w:szCs w:val="16"/>
                <w:bdr w:val="none" w:sz="0" w:space="0" w:color="auto"/>
                <w:lang w:eastAsia="es-ES"/>
              </w:rPr>
            </w:pPr>
            <w:r w:rsidRPr="00B30455">
              <w:rPr>
                <w:sz w:val="16"/>
                <w:szCs w:val="16"/>
              </w:rPr>
              <w:t>909.000,00</w:t>
            </w:r>
          </w:p>
        </w:tc>
        <w:tc>
          <w:tcPr>
            <w:tcW w:w="519" w:type="pct"/>
            <w:gridSpan w:val="2"/>
            <w:tcBorders>
              <w:top w:val="single" w:sz="4" w:space="0" w:color="auto"/>
              <w:left w:val="nil"/>
              <w:bottom w:val="single" w:sz="4" w:space="0" w:color="auto"/>
              <w:right w:val="nil"/>
            </w:tcBorders>
            <w:shd w:val="clear" w:color="auto" w:fill="auto"/>
            <w:vAlign w:val="center"/>
          </w:tcPr>
          <w:p w14:paraId="24ABF1C4" w14:textId="075F3153" w:rsidR="00B30455" w:rsidRPr="00B30455" w:rsidRDefault="00B30455" w:rsidP="00B30455">
            <w:pPr>
              <w:keepNext/>
              <w:keepLines/>
              <w:widowControl w:val="0"/>
              <w:pBdr>
                <w:top w:val="none" w:sz="0" w:space="0" w:color="auto"/>
                <w:left w:val="none" w:sz="0" w:space="0" w:color="auto"/>
                <w:bottom w:val="none" w:sz="0" w:space="0" w:color="auto"/>
                <w:right w:val="none" w:sz="0" w:space="0" w:color="auto"/>
                <w:between w:val="none" w:sz="0" w:space="0" w:color="auto"/>
                <w:bar w:val="none" w:sz="0" w:color="auto"/>
              </w:pBdr>
              <w:jc w:val="right"/>
              <w:outlineLvl w:val="9"/>
              <w:rPr>
                <w:rFonts w:eastAsia="Times New Roman"/>
                <w:sz w:val="16"/>
                <w:szCs w:val="16"/>
                <w:bdr w:val="none" w:sz="0" w:space="0" w:color="auto"/>
                <w:lang w:eastAsia="es-ES"/>
              </w:rPr>
            </w:pPr>
            <w:r w:rsidRPr="00B30455">
              <w:rPr>
                <w:sz w:val="16"/>
                <w:szCs w:val="16"/>
              </w:rPr>
              <w:t>223.860,53</w:t>
            </w:r>
          </w:p>
        </w:tc>
        <w:tc>
          <w:tcPr>
            <w:tcW w:w="513" w:type="pct"/>
            <w:tcBorders>
              <w:top w:val="single" w:sz="4" w:space="0" w:color="auto"/>
              <w:left w:val="nil"/>
              <w:bottom w:val="single" w:sz="4" w:space="0" w:color="auto"/>
              <w:right w:val="nil"/>
            </w:tcBorders>
            <w:shd w:val="clear" w:color="auto" w:fill="auto"/>
            <w:vAlign w:val="center"/>
          </w:tcPr>
          <w:p w14:paraId="7366A572" w14:textId="731CBF6A" w:rsidR="00B30455" w:rsidRPr="00B30455" w:rsidRDefault="0082201D" w:rsidP="00B30455">
            <w:pPr>
              <w:keepNext/>
              <w:keepLines/>
              <w:widowControl w:val="0"/>
              <w:pBdr>
                <w:top w:val="none" w:sz="0" w:space="0" w:color="auto"/>
                <w:left w:val="none" w:sz="0" w:space="0" w:color="auto"/>
                <w:bottom w:val="none" w:sz="0" w:space="0" w:color="auto"/>
                <w:right w:val="none" w:sz="0" w:space="0" w:color="auto"/>
                <w:between w:val="none" w:sz="0" w:space="0" w:color="auto"/>
                <w:bar w:val="none" w:sz="0" w:color="auto"/>
              </w:pBdr>
              <w:jc w:val="right"/>
              <w:outlineLvl w:val="9"/>
              <w:rPr>
                <w:rFonts w:eastAsia="Times New Roman"/>
                <w:sz w:val="16"/>
                <w:szCs w:val="16"/>
                <w:bdr w:val="none" w:sz="0" w:space="0" w:color="auto"/>
                <w:lang w:eastAsia="es-ES"/>
              </w:rPr>
            </w:pPr>
            <w:r>
              <w:rPr>
                <w:rFonts w:eastAsia="Times New Roman"/>
                <w:sz w:val="16"/>
                <w:szCs w:val="16"/>
                <w:bdr w:val="none" w:sz="0" w:space="0" w:color="auto"/>
                <w:lang w:eastAsia="es-ES"/>
              </w:rPr>
              <w:t>-</w:t>
            </w:r>
          </w:p>
        </w:tc>
        <w:tc>
          <w:tcPr>
            <w:tcW w:w="591" w:type="pct"/>
            <w:tcBorders>
              <w:top w:val="single" w:sz="4" w:space="0" w:color="auto"/>
              <w:left w:val="nil"/>
              <w:bottom w:val="single" w:sz="4" w:space="0" w:color="auto"/>
              <w:right w:val="nil"/>
            </w:tcBorders>
            <w:vAlign w:val="center"/>
          </w:tcPr>
          <w:p w14:paraId="11885C46" w14:textId="7A134CFF" w:rsidR="00B30455" w:rsidRPr="00B30455" w:rsidRDefault="0082201D" w:rsidP="00B30455">
            <w:pPr>
              <w:keepNext/>
              <w:keepLines/>
              <w:widowControl w:val="0"/>
              <w:pBdr>
                <w:top w:val="none" w:sz="0" w:space="0" w:color="auto"/>
                <w:left w:val="none" w:sz="0" w:space="0" w:color="auto"/>
                <w:bottom w:val="none" w:sz="0" w:space="0" w:color="auto"/>
                <w:right w:val="none" w:sz="0" w:space="0" w:color="auto"/>
                <w:between w:val="none" w:sz="0" w:space="0" w:color="auto"/>
                <w:bar w:val="none" w:sz="0" w:color="auto"/>
              </w:pBdr>
              <w:jc w:val="right"/>
              <w:outlineLvl w:val="9"/>
              <w:rPr>
                <w:rFonts w:eastAsia="Times New Roman"/>
                <w:sz w:val="16"/>
                <w:szCs w:val="16"/>
                <w:bdr w:val="none" w:sz="0" w:space="0" w:color="auto"/>
                <w:lang w:eastAsia="es-ES"/>
              </w:rPr>
            </w:pPr>
            <w:r>
              <w:rPr>
                <w:rFonts w:eastAsia="Times New Roman"/>
                <w:sz w:val="16"/>
                <w:szCs w:val="16"/>
                <w:bdr w:val="none" w:sz="0" w:space="0" w:color="auto"/>
                <w:lang w:eastAsia="es-ES"/>
              </w:rPr>
              <w:t>-</w:t>
            </w:r>
          </w:p>
        </w:tc>
        <w:tc>
          <w:tcPr>
            <w:tcW w:w="590" w:type="pct"/>
            <w:gridSpan w:val="2"/>
            <w:tcBorders>
              <w:top w:val="single" w:sz="4" w:space="0" w:color="auto"/>
              <w:left w:val="nil"/>
              <w:bottom w:val="single" w:sz="4" w:space="0" w:color="auto"/>
              <w:right w:val="nil"/>
            </w:tcBorders>
            <w:shd w:val="clear" w:color="auto" w:fill="auto"/>
            <w:vAlign w:val="center"/>
          </w:tcPr>
          <w:p w14:paraId="43E5FDED" w14:textId="01B4998D" w:rsidR="00B30455" w:rsidRPr="00B30455" w:rsidRDefault="00B30455" w:rsidP="00B30455">
            <w:pPr>
              <w:keepNext/>
              <w:keepLines/>
              <w:widowControl w:val="0"/>
              <w:pBdr>
                <w:top w:val="none" w:sz="0" w:space="0" w:color="auto"/>
                <w:left w:val="none" w:sz="0" w:space="0" w:color="auto"/>
                <w:bottom w:val="none" w:sz="0" w:space="0" w:color="auto"/>
                <w:right w:val="none" w:sz="0" w:space="0" w:color="auto"/>
                <w:between w:val="none" w:sz="0" w:space="0" w:color="auto"/>
                <w:bar w:val="none" w:sz="0" w:color="auto"/>
              </w:pBdr>
              <w:jc w:val="right"/>
              <w:outlineLvl w:val="9"/>
              <w:rPr>
                <w:rFonts w:eastAsia="Times New Roman"/>
                <w:sz w:val="16"/>
                <w:szCs w:val="16"/>
                <w:bdr w:val="none" w:sz="0" w:space="0" w:color="auto"/>
                <w:lang w:eastAsia="es-ES"/>
              </w:rPr>
            </w:pPr>
            <w:r w:rsidRPr="00B30455">
              <w:rPr>
                <w:sz w:val="16"/>
                <w:szCs w:val="16"/>
              </w:rPr>
              <w:t>685.139,47</w:t>
            </w:r>
          </w:p>
        </w:tc>
      </w:tr>
      <w:tr w:rsidR="00B30455" w:rsidRPr="00B30455" w14:paraId="7CD3DF96" w14:textId="77777777" w:rsidTr="00B1370C">
        <w:trPr>
          <w:trHeight w:val="454"/>
        </w:trPr>
        <w:tc>
          <w:tcPr>
            <w:tcW w:w="1749" w:type="pct"/>
            <w:tcBorders>
              <w:top w:val="single" w:sz="4" w:space="0" w:color="auto"/>
              <w:left w:val="nil"/>
              <w:bottom w:val="single" w:sz="4" w:space="0" w:color="auto"/>
              <w:right w:val="nil"/>
            </w:tcBorders>
            <w:shd w:val="clear" w:color="auto" w:fill="auto"/>
            <w:vAlign w:val="center"/>
          </w:tcPr>
          <w:p w14:paraId="064F497C" w14:textId="793AD9B7" w:rsidR="00B30455" w:rsidRPr="00B30455" w:rsidRDefault="00B30455" w:rsidP="00B30455">
            <w:pPr>
              <w:keepNext/>
              <w:keepLines/>
              <w:widowControl w:val="0"/>
              <w:pBdr>
                <w:top w:val="none" w:sz="0" w:space="0" w:color="auto"/>
                <w:left w:val="none" w:sz="0" w:space="0" w:color="auto"/>
                <w:bottom w:val="none" w:sz="0" w:space="0" w:color="auto"/>
                <w:right w:val="none" w:sz="0" w:space="0" w:color="auto"/>
                <w:between w:val="none" w:sz="0" w:space="0" w:color="auto"/>
                <w:bar w:val="none" w:sz="0" w:color="auto"/>
              </w:pBdr>
              <w:outlineLvl w:val="9"/>
              <w:rPr>
                <w:rFonts w:eastAsia="Times New Roman"/>
                <w:sz w:val="16"/>
                <w:szCs w:val="16"/>
                <w:bdr w:val="none" w:sz="0" w:space="0" w:color="auto"/>
                <w:lang w:eastAsia="es-ES"/>
              </w:rPr>
            </w:pPr>
            <w:r w:rsidRPr="00B30455">
              <w:rPr>
                <w:sz w:val="16"/>
                <w:szCs w:val="16"/>
              </w:rPr>
              <w:t>Consejería de Turismo y Empleo: Sistemas de información en destino</w:t>
            </w:r>
          </w:p>
        </w:tc>
        <w:tc>
          <w:tcPr>
            <w:tcW w:w="519" w:type="pct"/>
            <w:gridSpan w:val="2"/>
            <w:tcBorders>
              <w:top w:val="single" w:sz="4" w:space="0" w:color="auto"/>
              <w:left w:val="nil"/>
              <w:bottom w:val="single" w:sz="4" w:space="0" w:color="auto"/>
              <w:right w:val="nil"/>
            </w:tcBorders>
            <w:shd w:val="clear" w:color="auto" w:fill="auto"/>
            <w:vAlign w:val="center"/>
          </w:tcPr>
          <w:p w14:paraId="2AC2DF0F" w14:textId="4DD05388" w:rsidR="00B30455" w:rsidRPr="00B30455" w:rsidRDefault="00B30455" w:rsidP="00B30455">
            <w:pPr>
              <w:keepNext/>
              <w:keepLines/>
              <w:widowControl w:val="0"/>
              <w:pBdr>
                <w:top w:val="none" w:sz="0" w:space="0" w:color="auto"/>
                <w:left w:val="none" w:sz="0" w:space="0" w:color="auto"/>
                <w:bottom w:val="none" w:sz="0" w:space="0" w:color="auto"/>
                <w:right w:val="none" w:sz="0" w:space="0" w:color="auto"/>
                <w:between w:val="none" w:sz="0" w:space="0" w:color="auto"/>
                <w:bar w:val="none" w:sz="0" w:color="auto"/>
              </w:pBdr>
              <w:jc w:val="right"/>
              <w:outlineLvl w:val="9"/>
              <w:rPr>
                <w:rFonts w:eastAsia="Times New Roman"/>
                <w:sz w:val="16"/>
                <w:szCs w:val="16"/>
                <w:bdr w:val="none" w:sz="0" w:space="0" w:color="auto"/>
                <w:lang w:eastAsia="es-ES"/>
              </w:rPr>
            </w:pPr>
            <w:r w:rsidRPr="00B30455">
              <w:rPr>
                <w:sz w:val="16"/>
                <w:szCs w:val="16"/>
              </w:rPr>
              <w:t xml:space="preserve"> -</w:t>
            </w:r>
          </w:p>
        </w:tc>
        <w:tc>
          <w:tcPr>
            <w:tcW w:w="519" w:type="pct"/>
            <w:tcBorders>
              <w:top w:val="single" w:sz="4" w:space="0" w:color="auto"/>
              <w:left w:val="nil"/>
              <w:bottom w:val="single" w:sz="4" w:space="0" w:color="auto"/>
              <w:right w:val="nil"/>
            </w:tcBorders>
            <w:vAlign w:val="center"/>
          </w:tcPr>
          <w:p w14:paraId="193C9F9C" w14:textId="365570F9" w:rsidR="00B30455" w:rsidRPr="00B30455" w:rsidRDefault="00B30455" w:rsidP="00B30455">
            <w:pPr>
              <w:keepNext/>
              <w:keepLines/>
              <w:widowControl w:val="0"/>
              <w:pBdr>
                <w:top w:val="none" w:sz="0" w:space="0" w:color="auto"/>
                <w:left w:val="none" w:sz="0" w:space="0" w:color="auto"/>
                <w:bottom w:val="none" w:sz="0" w:space="0" w:color="auto"/>
                <w:right w:val="none" w:sz="0" w:space="0" w:color="auto"/>
                <w:between w:val="none" w:sz="0" w:space="0" w:color="auto"/>
                <w:bar w:val="none" w:sz="0" w:color="auto"/>
              </w:pBdr>
              <w:jc w:val="right"/>
              <w:outlineLvl w:val="9"/>
              <w:rPr>
                <w:rFonts w:eastAsia="Times New Roman"/>
                <w:sz w:val="16"/>
                <w:szCs w:val="16"/>
                <w:bdr w:val="none" w:sz="0" w:space="0" w:color="auto"/>
                <w:lang w:eastAsia="es-ES"/>
              </w:rPr>
            </w:pPr>
            <w:r w:rsidRPr="00B30455">
              <w:rPr>
                <w:sz w:val="16"/>
                <w:szCs w:val="16"/>
              </w:rPr>
              <w:t>1.000.000,00</w:t>
            </w:r>
          </w:p>
        </w:tc>
        <w:tc>
          <w:tcPr>
            <w:tcW w:w="519" w:type="pct"/>
            <w:gridSpan w:val="2"/>
            <w:tcBorders>
              <w:top w:val="single" w:sz="4" w:space="0" w:color="auto"/>
              <w:left w:val="nil"/>
              <w:bottom w:val="single" w:sz="4" w:space="0" w:color="auto"/>
              <w:right w:val="nil"/>
            </w:tcBorders>
            <w:shd w:val="clear" w:color="auto" w:fill="auto"/>
            <w:vAlign w:val="center"/>
          </w:tcPr>
          <w:p w14:paraId="10F40118" w14:textId="38E2A358" w:rsidR="00B30455" w:rsidRPr="00B30455" w:rsidRDefault="00B30455" w:rsidP="00B30455">
            <w:pPr>
              <w:keepNext/>
              <w:keepLines/>
              <w:widowControl w:val="0"/>
              <w:pBdr>
                <w:top w:val="none" w:sz="0" w:space="0" w:color="auto"/>
                <w:left w:val="none" w:sz="0" w:space="0" w:color="auto"/>
                <w:bottom w:val="none" w:sz="0" w:space="0" w:color="auto"/>
                <w:right w:val="none" w:sz="0" w:space="0" w:color="auto"/>
                <w:between w:val="none" w:sz="0" w:space="0" w:color="auto"/>
                <w:bar w:val="none" w:sz="0" w:color="auto"/>
              </w:pBdr>
              <w:jc w:val="right"/>
              <w:outlineLvl w:val="9"/>
              <w:rPr>
                <w:rFonts w:eastAsia="Times New Roman"/>
                <w:sz w:val="16"/>
                <w:szCs w:val="16"/>
                <w:bdr w:val="none" w:sz="0" w:space="0" w:color="auto"/>
                <w:lang w:eastAsia="es-ES"/>
              </w:rPr>
            </w:pPr>
            <w:r w:rsidRPr="00B30455">
              <w:rPr>
                <w:sz w:val="16"/>
                <w:szCs w:val="16"/>
              </w:rPr>
              <w:t>768.303,06</w:t>
            </w:r>
          </w:p>
        </w:tc>
        <w:tc>
          <w:tcPr>
            <w:tcW w:w="513" w:type="pct"/>
            <w:tcBorders>
              <w:top w:val="single" w:sz="4" w:space="0" w:color="auto"/>
              <w:left w:val="nil"/>
              <w:bottom w:val="single" w:sz="4" w:space="0" w:color="auto"/>
              <w:right w:val="nil"/>
            </w:tcBorders>
            <w:shd w:val="clear" w:color="auto" w:fill="auto"/>
            <w:vAlign w:val="center"/>
          </w:tcPr>
          <w:p w14:paraId="7BDAA37F" w14:textId="6BF7E315" w:rsidR="00B30455" w:rsidRPr="00B30455" w:rsidRDefault="00B30455" w:rsidP="00B30455">
            <w:pPr>
              <w:keepNext/>
              <w:keepLines/>
              <w:widowControl w:val="0"/>
              <w:pBdr>
                <w:top w:val="none" w:sz="0" w:space="0" w:color="auto"/>
                <w:left w:val="none" w:sz="0" w:space="0" w:color="auto"/>
                <w:bottom w:val="none" w:sz="0" w:space="0" w:color="auto"/>
                <w:right w:val="none" w:sz="0" w:space="0" w:color="auto"/>
                <w:between w:val="none" w:sz="0" w:space="0" w:color="auto"/>
                <w:bar w:val="none" w:sz="0" w:color="auto"/>
              </w:pBdr>
              <w:jc w:val="right"/>
              <w:outlineLvl w:val="9"/>
              <w:rPr>
                <w:rFonts w:eastAsia="Times New Roman"/>
                <w:sz w:val="16"/>
                <w:szCs w:val="16"/>
                <w:bdr w:val="none" w:sz="0" w:space="0" w:color="auto"/>
                <w:lang w:eastAsia="es-ES"/>
              </w:rPr>
            </w:pPr>
            <w:r w:rsidRPr="00B30455">
              <w:rPr>
                <w:sz w:val="16"/>
                <w:szCs w:val="16"/>
              </w:rPr>
              <w:t>(231.696,94)</w:t>
            </w:r>
          </w:p>
        </w:tc>
        <w:tc>
          <w:tcPr>
            <w:tcW w:w="591" w:type="pct"/>
            <w:tcBorders>
              <w:top w:val="single" w:sz="4" w:space="0" w:color="auto"/>
              <w:left w:val="nil"/>
              <w:bottom w:val="single" w:sz="4" w:space="0" w:color="auto"/>
              <w:right w:val="nil"/>
            </w:tcBorders>
            <w:vAlign w:val="center"/>
          </w:tcPr>
          <w:p w14:paraId="79956C7B" w14:textId="517DBA1D" w:rsidR="00B30455" w:rsidRPr="00B30455" w:rsidRDefault="0082201D" w:rsidP="00B30455">
            <w:pPr>
              <w:keepNext/>
              <w:keepLines/>
              <w:widowControl w:val="0"/>
              <w:pBdr>
                <w:top w:val="none" w:sz="0" w:space="0" w:color="auto"/>
                <w:left w:val="none" w:sz="0" w:space="0" w:color="auto"/>
                <w:bottom w:val="none" w:sz="0" w:space="0" w:color="auto"/>
                <w:right w:val="none" w:sz="0" w:space="0" w:color="auto"/>
                <w:between w:val="none" w:sz="0" w:space="0" w:color="auto"/>
                <w:bar w:val="none" w:sz="0" w:color="auto"/>
              </w:pBdr>
              <w:jc w:val="right"/>
              <w:outlineLvl w:val="9"/>
              <w:rPr>
                <w:rFonts w:eastAsia="Times New Roman"/>
                <w:sz w:val="16"/>
                <w:szCs w:val="16"/>
                <w:bdr w:val="none" w:sz="0" w:space="0" w:color="auto"/>
                <w:lang w:eastAsia="es-ES"/>
              </w:rPr>
            </w:pPr>
            <w:r>
              <w:rPr>
                <w:rFonts w:eastAsia="Times New Roman"/>
                <w:sz w:val="16"/>
                <w:szCs w:val="16"/>
                <w:bdr w:val="none" w:sz="0" w:space="0" w:color="auto"/>
                <w:lang w:eastAsia="es-ES"/>
              </w:rPr>
              <w:t>-</w:t>
            </w:r>
          </w:p>
        </w:tc>
        <w:tc>
          <w:tcPr>
            <w:tcW w:w="590" w:type="pct"/>
            <w:gridSpan w:val="2"/>
            <w:tcBorders>
              <w:top w:val="single" w:sz="4" w:space="0" w:color="auto"/>
              <w:left w:val="nil"/>
              <w:bottom w:val="single" w:sz="4" w:space="0" w:color="auto"/>
              <w:right w:val="nil"/>
            </w:tcBorders>
            <w:shd w:val="clear" w:color="auto" w:fill="auto"/>
            <w:vAlign w:val="center"/>
          </w:tcPr>
          <w:p w14:paraId="0DBF3EAB" w14:textId="1D93F7E5" w:rsidR="00B30455" w:rsidRPr="00B30455" w:rsidRDefault="00B30455" w:rsidP="00B30455">
            <w:pPr>
              <w:keepNext/>
              <w:keepLines/>
              <w:widowControl w:val="0"/>
              <w:pBdr>
                <w:top w:val="none" w:sz="0" w:space="0" w:color="auto"/>
                <w:left w:val="none" w:sz="0" w:space="0" w:color="auto"/>
                <w:bottom w:val="none" w:sz="0" w:space="0" w:color="auto"/>
                <w:right w:val="none" w:sz="0" w:space="0" w:color="auto"/>
                <w:between w:val="none" w:sz="0" w:space="0" w:color="auto"/>
                <w:bar w:val="none" w:sz="0" w:color="auto"/>
              </w:pBdr>
              <w:jc w:val="right"/>
              <w:outlineLvl w:val="9"/>
              <w:rPr>
                <w:rFonts w:eastAsia="Times New Roman"/>
                <w:sz w:val="16"/>
                <w:szCs w:val="16"/>
                <w:bdr w:val="none" w:sz="0" w:space="0" w:color="auto"/>
                <w:lang w:eastAsia="es-ES"/>
              </w:rPr>
            </w:pPr>
            <w:r w:rsidRPr="00B30455">
              <w:rPr>
                <w:sz w:val="16"/>
                <w:szCs w:val="16"/>
              </w:rPr>
              <w:t xml:space="preserve"> -</w:t>
            </w:r>
          </w:p>
        </w:tc>
      </w:tr>
      <w:tr w:rsidR="00B30455" w:rsidRPr="00B30455" w14:paraId="35BBCF53" w14:textId="77777777" w:rsidTr="00B1370C">
        <w:trPr>
          <w:trHeight w:val="454"/>
        </w:trPr>
        <w:tc>
          <w:tcPr>
            <w:tcW w:w="1749" w:type="pct"/>
            <w:tcBorders>
              <w:top w:val="single" w:sz="4" w:space="0" w:color="auto"/>
              <w:left w:val="nil"/>
              <w:bottom w:val="single" w:sz="4" w:space="0" w:color="auto"/>
              <w:right w:val="nil"/>
            </w:tcBorders>
            <w:shd w:val="clear" w:color="auto" w:fill="auto"/>
            <w:vAlign w:val="center"/>
          </w:tcPr>
          <w:p w14:paraId="4AA9CD9E" w14:textId="0089F0DC" w:rsidR="00B30455" w:rsidRPr="00B30455" w:rsidRDefault="00B30455" w:rsidP="00B30455">
            <w:pPr>
              <w:keepNext/>
              <w:keepLines/>
              <w:widowControl w:val="0"/>
              <w:pBdr>
                <w:top w:val="none" w:sz="0" w:space="0" w:color="auto"/>
                <w:left w:val="none" w:sz="0" w:space="0" w:color="auto"/>
                <w:bottom w:val="none" w:sz="0" w:space="0" w:color="auto"/>
                <w:right w:val="none" w:sz="0" w:space="0" w:color="auto"/>
                <w:between w:val="none" w:sz="0" w:space="0" w:color="auto"/>
                <w:bar w:val="none" w:sz="0" w:color="auto"/>
              </w:pBdr>
              <w:outlineLvl w:val="9"/>
              <w:rPr>
                <w:rFonts w:eastAsia="Times New Roman"/>
                <w:sz w:val="16"/>
                <w:szCs w:val="16"/>
                <w:bdr w:val="none" w:sz="0" w:space="0" w:color="auto"/>
                <w:lang w:eastAsia="es-ES"/>
              </w:rPr>
            </w:pPr>
            <w:r w:rsidRPr="00B30455">
              <w:rPr>
                <w:sz w:val="16"/>
                <w:szCs w:val="16"/>
              </w:rPr>
              <w:t>Consejería de Turismo y Empleo: Fomento del turismo de cruceros en la provincia de Santa Cruz de Tenerife</w:t>
            </w:r>
          </w:p>
        </w:tc>
        <w:tc>
          <w:tcPr>
            <w:tcW w:w="519" w:type="pct"/>
            <w:gridSpan w:val="2"/>
            <w:tcBorders>
              <w:top w:val="single" w:sz="4" w:space="0" w:color="auto"/>
              <w:left w:val="nil"/>
              <w:bottom w:val="single" w:sz="4" w:space="0" w:color="auto"/>
              <w:right w:val="nil"/>
            </w:tcBorders>
            <w:shd w:val="clear" w:color="auto" w:fill="auto"/>
            <w:vAlign w:val="center"/>
          </w:tcPr>
          <w:p w14:paraId="6F4205EE" w14:textId="36CAC43D" w:rsidR="00B30455" w:rsidRPr="00B30455" w:rsidRDefault="00B30455" w:rsidP="00B30455">
            <w:pPr>
              <w:keepNext/>
              <w:keepLines/>
              <w:widowControl w:val="0"/>
              <w:pBdr>
                <w:top w:val="none" w:sz="0" w:space="0" w:color="auto"/>
                <w:left w:val="none" w:sz="0" w:space="0" w:color="auto"/>
                <w:bottom w:val="none" w:sz="0" w:space="0" w:color="auto"/>
                <w:right w:val="none" w:sz="0" w:space="0" w:color="auto"/>
                <w:between w:val="none" w:sz="0" w:space="0" w:color="auto"/>
                <w:bar w:val="none" w:sz="0" w:color="auto"/>
              </w:pBdr>
              <w:jc w:val="right"/>
              <w:outlineLvl w:val="9"/>
              <w:rPr>
                <w:rFonts w:eastAsia="Times New Roman"/>
                <w:sz w:val="16"/>
                <w:szCs w:val="16"/>
                <w:bdr w:val="none" w:sz="0" w:space="0" w:color="auto"/>
                <w:lang w:eastAsia="es-ES"/>
              </w:rPr>
            </w:pPr>
            <w:r w:rsidRPr="00B30455">
              <w:rPr>
                <w:sz w:val="16"/>
                <w:szCs w:val="16"/>
              </w:rPr>
              <w:t xml:space="preserve"> -</w:t>
            </w:r>
          </w:p>
        </w:tc>
        <w:tc>
          <w:tcPr>
            <w:tcW w:w="519" w:type="pct"/>
            <w:tcBorders>
              <w:top w:val="single" w:sz="4" w:space="0" w:color="auto"/>
              <w:left w:val="nil"/>
              <w:bottom w:val="single" w:sz="4" w:space="0" w:color="auto"/>
              <w:right w:val="nil"/>
            </w:tcBorders>
            <w:vAlign w:val="center"/>
          </w:tcPr>
          <w:p w14:paraId="58F69E9F" w14:textId="2B04ABE5" w:rsidR="00B30455" w:rsidRPr="00B30455" w:rsidRDefault="00B30455" w:rsidP="00B30455">
            <w:pPr>
              <w:keepNext/>
              <w:keepLines/>
              <w:widowControl w:val="0"/>
              <w:pBdr>
                <w:top w:val="none" w:sz="0" w:space="0" w:color="auto"/>
                <w:left w:val="none" w:sz="0" w:space="0" w:color="auto"/>
                <w:bottom w:val="none" w:sz="0" w:space="0" w:color="auto"/>
                <w:right w:val="none" w:sz="0" w:space="0" w:color="auto"/>
                <w:between w:val="none" w:sz="0" w:space="0" w:color="auto"/>
                <w:bar w:val="none" w:sz="0" w:color="auto"/>
              </w:pBdr>
              <w:jc w:val="right"/>
              <w:outlineLvl w:val="9"/>
              <w:rPr>
                <w:rFonts w:eastAsia="Times New Roman"/>
                <w:sz w:val="16"/>
                <w:szCs w:val="16"/>
                <w:bdr w:val="none" w:sz="0" w:space="0" w:color="auto"/>
                <w:lang w:eastAsia="es-ES"/>
              </w:rPr>
            </w:pPr>
            <w:r w:rsidRPr="00B30455">
              <w:rPr>
                <w:sz w:val="16"/>
                <w:szCs w:val="16"/>
              </w:rPr>
              <w:t>25.000,00</w:t>
            </w:r>
          </w:p>
        </w:tc>
        <w:tc>
          <w:tcPr>
            <w:tcW w:w="519" w:type="pct"/>
            <w:gridSpan w:val="2"/>
            <w:tcBorders>
              <w:top w:val="single" w:sz="4" w:space="0" w:color="auto"/>
              <w:left w:val="nil"/>
              <w:bottom w:val="single" w:sz="4" w:space="0" w:color="auto"/>
              <w:right w:val="nil"/>
            </w:tcBorders>
            <w:shd w:val="clear" w:color="auto" w:fill="auto"/>
            <w:vAlign w:val="center"/>
          </w:tcPr>
          <w:p w14:paraId="52EA6C01" w14:textId="48CF6E56" w:rsidR="00B30455" w:rsidRPr="00B30455" w:rsidRDefault="00B30455" w:rsidP="00B30455">
            <w:pPr>
              <w:keepNext/>
              <w:keepLines/>
              <w:widowControl w:val="0"/>
              <w:pBdr>
                <w:top w:val="none" w:sz="0" w:space="0" w:color="auto"/>
                <w:left w:val="none" w:sz="0" w:space="0" w:color="auto"/>
                <w:bottom w:val="none" w:sz="0" w:space="0" w:color="auto"/>
                <w:right w:val="none" w:sz="0" w:space="0" w:color="auto"/>
                <w:between w:val="none" w:sz="0" w:space="0" w:color="auto"/>
                <w:bar w:val="none" w:sz="0" w:color="auto"/>
              </w:pBdr>
              <w:jc w:val="right"/>
              <w:outlineLvl w:val="9"/>
              <w:rPr>
                <w:rFonts w:eastAsia="Times New Roman"/>
                <w:sz w:val="16"/>
                <w:szCs w:val="16"/>
                <w:bdr w:val="none" w:sz="0" w:space="0" w:color="auto"/>
                <w:lang w:eastAsia="es-ES"/>
              </w:rPr>
            </w:pPr>
            <w:r w:rsidRPr="00B30455">
              <w:rPr>
                <w:sz w:val="16"/>
                <w:szCs w:val="16"/>
              </w:rPr>
              <w:t>25.000,00</w:t>
            </w:r>
          </w:p>
        </w:tc>
        <w:tc>
          <w:tcPr>
            <w:tcW w:w="513" w:type="pct"/>
            <w:tcBorders>
              <w:top w:val="single" w:sz="4" w:space="0" w:color="auto"/>
              <w:left w:val="nil"/>
              <w:bottom w:val="single" w:sz="4" w:space="0" w:color="auto"/>
              <w:right w:val="nil"/>
            </w:tcBorders>
            <w:shd w:val="clear" w:color="auto" w:fill="auto"/>
            <w:vAlign w:val="center"/>
          </w:tcPr>
          <w:p w14:paraId="063E359D" w14:textId="30E8317B" w:rsidR="00B30455" w:rsidRPr="00B30455" w:rsidRDefault="0082201D" w:rsidP="00B30455">
            <w:pPr>
              <w:keepNext/>
              <w:keepLines/>
              <w:widowControl w:val="0"/>
              <w:pBdr>
                <w:top w:val="none" w:sz="0" w:space="0" w:color="auto"/>
                <w:left w:val="none" w:sz="0" w:space="0" w:color="auto"/>
                <w:bottom w:val="none" w:sz="0" w:space="0" w:color="auto"/>
                <w:right w:val="none" w:sz="0" w:space="0" w:color="auto"/>
                <w:between w:val="none" w:sz="0" w:space="0" w:color="auto"/>
                <w:bar w:val="none" w:sz="0" w:color="auto"/>
              </w:pBdr>
              <w:jc w:val="right"/>
              <w:outlineLvl w:val="9"/>
              <w:rPr>
                <w:rFonts w:eastAsia="Times New Roman"/>
                <w:sz w:val="16"/>
                <w:szCs w:val="16"/>
                <w:bdr w:val="none" w:sz="0" w:space="0" w:color="auto"/>
                <w:lang w:eastAsia="es-ES"/>
              </w:rPr>
            </w:pPr>
            <w:r>
              <w:rPr>
                <w:rFonts w:eastAsia="Times New Roman"/>
                <w:sz w:val="16"/>
                <w:szCs w:val="16"/>
                <w:bdr w:val="none" w:sz="0" w:space="0" w:color="auto"/>
                <w:lang w:eastAsia="es-ES"/>
              </w:rPr>
              <w:t>-</w:t>
            </w:r>
          </w:p>
        </w:tc>
        <w:tc>
          <w:tcPr>
            <w:tcW w:w="591" w:type="pct"/>
            <w:tcBorders>
              <w:top w:val="single" w:sz="4" w:space="0" w:color="auto"/>
              <w:left w:val="nil"/>
              <w:bottom w:val="single" w:sz="4" w:space="0" w:color="auto"/>
              <w:right w:val="nil"/>
            </w:tcBorders>
            <w:vAlign w:val="center"/>
          </w:tcPr>
          <w:p w14:paraId="7BE18DDD" w14:textId="5F59BE87" w:rsidR="00B30455" w:rsidRPr="00B30455" w:rsidRDefault="0082201D" w:rsidP="00B30455">
            <w:pPr>
              <w:keepNext/>
              <w:keepLines/>
              <w:widowControl w:val="0"/>
              <w:pBdr>
                <w:top w:val="none" w:sz="0" w:space="0" w:color="auto"/>
                <w:left w:val="none" w:sz="0" w:space="0" w:color="auto"/>
                <w:bottom w:val="none" w:sz="0" w:space="0" w:color="auto"/>
                <w:right w:val="none" w:sz="0" w:space="0" w:color="auto"/>
                <w:between w:val="none" w:sz="0" w:space="0" w:color="auto"/>
                <w:bar w:val="none" w:sz="0" w:color="auto"/>
              </w:pBdr>
              <w:jc w:val="right"/>
              <w:outlineLvl w:val="9"/>
              <w:rPr>
                <w:rFonts w:eastAsia="Times New Roman"/>
                <w:sz w:val="16"/>
                <w:szCs w:val="16"/>
                <w:bdr w:val="none" w:sz="0" w:space="0" w:color="auto"/>
                <w:lang w:eastAsia="es-ES"/>
              </w:rPr>
            </w:pPr>
            <w:r>
              <w:rPr>
                <w:rFonts w:eastAsia="Times New Roman"/>
                <w:sz w:val="16"/>
                <w:szCs w:val="16"/>
                <w:bdr w:val="none" w:sz="0" w:space="0" w:color="auto"/>
                <w:lang w:eastAsia="es-ES"/>
              </w:rPr>
              <w:t>-</w:t>
            </w:r>
          </w:p>
        </w:tc>
        <w:tc>
          <w:tcPr>
            <w:tcW w:w="590" w:type="pct"/>
            <w:gridSpan w:val="2"/>
            <w:tcBorders>
              <w:top w:val="single" w:sz="4" w:space="0" w:color="auto"/>
              <w:left w:val="nil"/>
              <w:bottom w:val="single" w:sz="4" w:space="0" w:color="auto"/>
              <w:right w:val="nil"/>
            </w:tcBorders>
            <w:shd w:val="clear" w:color="auto" w:fill="auto"/>
            <w:vAlign w:val="center"/>
          </w:tcPr>
          <w:p w14:paraId="1B9B73F2" w14:textId="5716506E" w:rsidR="00B30455" w:rsidRPr="00B30455" w:rsidRDefault="00B30455" w:rsidP="00B30455">
            <w:pPr>
              <w:keepNext/>
              <w:keepLines/>
              <w:widowControl w:val="0"/>
              <w:pBdr>
                <w:top w:val="none" w:sz="0" w:space="0" w:color="auto"/>
                <w:left w:val="none" w:sz="0" w:space="0" w:color="auto"/>
                <w:bottom w:val="none" w:sz="0" w:space="0" w:color="auto"/>
                <w:right w:val="none" w:sz="0" w:space="0" w:color="auto"/>
                <w:between w:val="none" w:sz="0" w:space="0" w:color="auto"/>
                <w:bar w:val="none" w:sz="0" w:color="auto"/>
              </w:pBdr>
              <w:jc w:val="right"/>
              <w:outlineLvl w:val="9"/>
              <w:rPr>
                <w:rFonts w:eastAsia="Times New Roman"/>
                <w:sz w:val="16"/>
                <w:szCs w:val="16"/>
                <w:bdr w:val="none" w:sz="0" w:space="0" w:color="auto"/>
                <w:lang w:eastAsia="es-ES"/>
              </w:rPr>
            </w:pPr>
            <w:r w:rsidRPr="00B30455">
              <w:rPr>
                <w:sz w:val="16"/>
                <w:szCs w:val="16"/>
              </w:rPr>
              <w:t xml:space="preserve"> -</w:t>
            </w:r>
          </w:p>
        </w:tc>
      </w:tr>
      <w:tr w:rsidR="00B30455" w:rsidRPr="00B30455" w14:paraId="610E8DAB" w14:textId="77777777" w:rsidTr="00B1370C">
        <w:trPr>
          <w:trHeight w:val="454"/>
        </w:trPr>
        <w:tc>
          <w:tcPr>
            <w:tcW w:w="1749" w:type="pct"/>
            <w:tcBorders>
              <w:top w:val="single" w:sz="4" w:space="0" w:color="auto"/>
              <w:left w:val="nil"/>
              <w:bottom w:val="single" w:sz="4" w:space="0" w:color="auto"/>
              <w:right w:val="nil"/>
            </w:tcBorders>
            <w:shd w:val="clear" w:color="auto" w:fill="auto"/>
            <w:vAlign w:val="center"/>
          </w:tcPr>
          <w:p w14:paraId="40CBD816" w14:textId="1610F888" w:rsidR="00B30455" w:rsidRPr="00B30455" w:rsidRDefault="00B30455" w:rsidP="00B30455">
            <w:pPr>
              <w:keepNext/>
              <w:keepLines/>
              <w:widowControl w:val="0"/>
              <w:pBdr>
                <w:top w:val="none" w:sz="0" w:space="0" w:color="auto"/>
                <w:left w:val="none" w:sz="0" w:space="0" w:color="auto"/>
                <w:bottom w:val="none" w:sz="0" w:space="0" w:color="auto"/>
                <w:right w:val="none" w:sz="0" w:space="0" w:color="auto"/>
                <w:between w:val="none" w:sz="0" w:space="0" w:color="auto"/>
                <w:bar w:val="none" w:sz="0" w:color="auto"/>
              </w:pBdr>
              <w:outlineLvl w:val="9"/>
              <w:rPr>
                <w:rFonts w:eastAsia="Times New Roman"/>
                <w:sz w:val="16"/>
                <w:szCs w:val="16"/>
                <w:bdr w:val="none" w:sz="0" w:space="0" w:color="auto"/>
                <w:lang w:eastAsia="es-ES"/>
              </w:rPr>
            </w:pPr>
            <w:r w:rsidRPr="00B30455">
              <w:rPr>
                <w:sz w:val="16"/>
                <w:szCs w:val="16"/>
              </w:rPr>
              <w:t>Consejería de Turismo y Empleo: Fomento del turismo de cruceros en la provincia de Las Palmas</w:t>
            </w:r>
          </w:p>
        </w:tc>
        <w:tc>
          <w:tcPr>
            <w:tcW w:w="519" w:type="pct"/>
            <w:gridSpan w:val="2"/>
            <w:tcBorders>
              <w:top w:val="single" w:sz="4" w:space="0" w:color="auto"/>
              <w:left w:val="nil"/>
              <w:bottom w:val="single" w:sz="4" w:space="0" w:color="auto"/>
              <w:right w:val="nil"/>
            </w:tcBorders>
            <w:shd w:val="clear" w:color="auto" w:fill="auto"/>
            <w:vAlign w:val="center"/>
          </w:tcPr>
          <w:p w14:paraId="672D9FDA" w14:textId="596DB67D" w:rsidR="00B30455" w:rsidRPr="00B30455" w:rsidRDefault="00B30455" w:rsidP="00B30455">
            <w:pPr>
              <w:keepNext/>
              <w:keepLines/>
              <w:widowControl w:val="0"/>
              <w:pBdr>
                <w:top w:val="none" w:sz="0" w:space="0" w:color="auto"/>
                <w:left w:val="none" w:sz="0" w:space="0" w:color="auto"/>
                <w:bottom w:val="none" w:sz="0" w:space="0" w:color="auto"/>
                <w:right w:val="none" w:sz="0" w:space="0" w:color="auto"/>
                <w:between w:val="none" w:sz="0" w:space="0" w:color="auto"/>
                <w:bar w:val="none" w:sz="0" w:color="auto"/>
              </w:pBdr>
              <w:jc w:val="right"/>
              <w:outlineLvl w:val="9"/>
              <w:rPr>
                <w:sz w:val="16"/>
                <w:szCs w:val="16"/>
              </w:rPr>
            </w:pPr>
            <w:r w:rsidRPr="00B30455">
              <w:rPr>
                <w:sz w:val="16"/>
                <w:szCs w:val="16"/>
              </w:rPr>
              <w:t xml:space="preserve"> -</w:t>
            </w:r>
          </w:p>
        </w:tc>
        <w:tc>
          <w:tcPr>
            <w:tcW w:w="519" w:type="pct"/>
            <w:tcBorders>
              <w:top w:val="single" w:sz="4" w:space="0" w:color="auto"/>
              <w:left w:val="nil"/>
              <w:bottom w:val="single" w:sz="4" w:space="0" w:color="auto"/>
              <w:right w:val="nil"/>
            </w:tcBorders>
            <w:vAlign w:val="center"/>
          </w:tcPr>
          <w:p w14:paraId="5C5A628F" w14:textId="26E1A7E8" w:rsidR="00B30455" w:rsidRPr="00B30455" w:rsidRDefault="00B30455" w:rsidP="00B30455">
            <w:pPr>
              <w:keepNext/>
              <w:keepLines/>
              <w:widowControl w:val="0"/>
              <w:pBdr>
                <w:top w:val="none" w:sz="0" w:space="0" w:color="auto"/>
                <w:left w:val="none" w:sz="0" w:space="0" w:color="auto"/>
                <w:bottom w:val="none" w:sz="0" w:space="0" w:color="auto"/>
                <w:right w:val="none" w:sz="0" w:space="0" w:color="auto"/>
                <w:between w:val="none" w:sz="0" w:space="0" w:color="auto"/>
                <w:bar w:val="none" w:sz="0" w:color="auto"/>
              </w:pBdr>
              <w:jc w:val="right"/>
              <w:outlineLvl w:val="9"/>
              <w:rPr>
                <w:sz w:val="16"/>
                <w:szCs w:val="16"/>
              </w:rPr>
            </w:pPr>
            <w:r w:rsidRPr="00B30455">
              <w:rPr>
                <w:sz w:val="16"/>
                <w:szCs w:val="16"/>
              </w:rPr>
              <w:t>25.000,00</w:t>
            </w:r>
          </w:p>
        </w:tc>
        <w:tc>
          <w:tcPr>
            <w:tcW w:w="519" w:type="pct"/>
            <w:gridSpan w:val="2"/>
            <w:tcBorders>
              <w:top w:val="single" w:sz="4" w:space="0" w:color="auto"/>
              <w:left w:val="nil"/>
              <w:bottom w:val="single" w:sz="4" w:space="0" w:color="auto"/>
              <w:right w:val="nil"/>
            </w:tcBorders>
            <w:shd w:val="clear" w:color="auto" w:fill="auto"/>
            <w:vAlign w:val="center"/>
          </w:tcPr>
          <w:p w14:paraId="1283E52A" w14:textId="416C286C" w:rsidR="00B30455" w:rsidRPr="00B30455" w:rsidRDefault="00B30455" w:rsidP="00B30455">
            <w:pPr>
              <w:keepNext/>
              <w:keepLines/>
              <w:widowControl w:val="0"/>
              <w:pBdr>
                <w:top w:val="none" w:sz="0" w:space="0" w:color="auto"/>
                <w:left w:val="none" w:sz="0" w:space="0" w:color="auto"/>
                <w:bottom w:val="none" w:sz="0" w:space="0" w:color="auto"/>
                <w:right w:val="none" w:sz="0" w:space="0" w:color="auto"/>
                <w:between w:val="none" w:sz="0" w:space="0" w:color="auto"/>
                <w:bar w:val="none" w:sz="0" w:color="auto"/>
              </w:pBdr>
              <w:jc w:val="right"/>
              <w:outlineLvl w:val="9"/>
              <w:rPr>
                <w:sz w:val="16"/>
                <w:szCs w:val="16"/>
              </w:rPr>
            </w:pPr>
            <w:r w:rsidRPr="00B30455">
              <w:rPr>
                <w:sz w:val="16"/>
                <w:szCs w:val="16"/>
              </w:rPr>
              <w:t>25.000,00</w:t>
            </w:r>
          </w:p>
        </w:tc>
        <w:tc>
          <w:tcPr>
            <w:tcW w:w="513" w:type="pct"/>
            <w:tcBorders>
              <w:top w:val="single" w:sz="4" w:space="0" w:color="auto"/>
              <w:left w:val="nil"/>
              <w:bottom w:val="single" w:sz="4" w:space="0" w:color="auto"/>
              <w:right w:val="nil"/>
            </w:tcBorders>
            <w:shd w:val="clear" w:color="auto" w:fill="auto"/>
            <w:vAlign w:val="center"/>
          </w:tcPr>
          <w:p w14:paraId="68FB2E3C" w14:textId="56BF0BC8" w:rsidR="00B30455" w:rsidRPr="00B30455" w:rsidRDefault="0082201D" w:rsidP="00B30455">
            <w:pPr>
              <w:keepNext/>
              <w:keepLines/>
              <w:widowControl w:val="0"/>
              <w:pBdr>
                <w:top w:val="none" w:sz="0" w:space="0" w:color="auto"/>
                <w:left w:val="none" w:sz="0" w:space="0" w:color="auto"/>
                <w:bottom w:val="none" w:sz="0" w:space="0" w:color="auto"/>
                <w:right w:val="none" w:sz="0" w:space="0" w:color="auto"/>
                <w:between w:val="none" w:sz="0" w:space="0" w:color="auto"/>
                <w:bar w:val="none" w:sz="0" w:color="auto"/>
              </w:pBdr>
              <w:jc w:val="right"/>
              <w:outlineLvl w:val="9"/>
              <w:rPr>
                <w:sz w:val="16"/>
                <w:szCs w:val="16"/>
              </w:rPr>
            </w:pPr>
            <w:r>
              <w:rPr>
                <w:sz w:val="16"/>
                <w:szCs w:val="16"/>
              </w:rPr>
              <w:t>-</w:t>
            </w:r>
          </w:p>
        </w:tc>
        <w:tc>
          <w:tcPr>
            <w:tcW w:w="591" w:type="pct"/>
            <w:tcBorders>
              <w:top w:val="single" w:sz="4" w:space="0" w:color="auto"/>
              <w:left w:val="nil"/>
              <w:bottom w:val="single" w:sz="4" w:space="0" w:color="auto"/>
              <w:right w:val="nil"/>
            </w:tcBorders>
            <w:vAlign w:val="center"/>
          </w:tcPr>
          <w:p w14:paraId="4D184417" w14:textId="10EF32A3" w:rsidR="00B30455" w:rsidRPr="00B30455" w:rsidRDefault="0082201D" w:rsidP="00B30455">
            <w:pPr>
              <w:keepNext/>
              <w:keepLines/>
              <w:widowControl w:val="0"/>
              <w:pBdr>
                <w:top w:val="none" w:sz="0" w:space="0" w:color="auto"/>
                <w:left w:val="none" w:sz="0" w:space="0" w:color="auto"/>
                <w:bottom w:val="none" w:sz="0" w:space="0" w:color="auto"/>
                <w:right w:val="none" w:sz="0" w:space="0" w:color="auto"/>
                <w:between w:val="none" w:sz="0" w:space="0" w:color="auto"/>
                <w:bar w:val="none" w:sz="0" w:color="auto"/>
              </w:pBdr>
              <w:jc w:val="right"/>
              <w:outlineLvl w:val="9"/>
              <w:rPr>
                <w:sz w:val="16"/>
                <w:szCs w:val="16"/>
              </w:rPr>
            </w:pPr>
            <w:r>
              <w:rPr>
                <w:sz w:val="16"/>
                <w:szCs w:val="16"/>
              </w:rPr>
              <w:t>-</w:t>
            </w:r>
          </w:p>
        </w:tc>
        <w:tc>
          <w:tcPr>
            <w:tcW w:w="590" w:type="pct"/>
            <w:gridSpan w:val="2"/>
            <w:tcBorders>
              <w:top w:val="single" w:sz="4" w:space="0" w:color="auto"/>
              <w:left w:val="nil"/>
              <w:bottom w:val="single" w:sz="4" w:space="0" w:color="auto"/>
              <w:right w:val="nil"/>
            </w:tcBorders>
            <w:shd w:val="clear" w:color="auto" w:fill="auto"/>
            <w:vAlign w:val="center"/>
          </w:tcPr>
          <w:p w14:paraId="0729938F" w14:textId="75F182E3" w:rsidR="00B30455" w:rsidRPr="00B30455" w:rsidRDefault="00B30455" w:rsidP="00B30455">
            <w:pPr>
              <w:keepNext/>
              <w:keepLines/>
              <w:widowControl w:val="0"/>
              <w:pBdr>
                <w:top w:val="none" w:sz="0" w:space="0" w:color="auto"/>
                <w:left w:val="none" w:sz="0" w:space="0" w:color="auto"/>
                <w:bottom w:val="none" w:sz="0" w:space="0" w:color="auto"/>
                <w:right w:val="none" w:sz="0" w:space="0" w:color="auto"/>
                <w:between w:val="none" w:sz="0" w:space="0" w:color="auto"/>
                <w:bar w:val="none" w:sz="0" w:color="auto"/>
              </w:pBdr>
              <w:jc w:val="right"/>
              <w:outlineLvl w:val="9"/>
              <w:rPr>
                <w:sz w:val="16"/>
                <w:szCs w:val="16"/>
              </w:rPr>
            </w:pPr>
            <w:r w:rsidRPr="00B30455">
              <w:rPr>
                <w:sz w:val="16"/>
                <w:szCs w:val="16"/>
              </w:rPr>
              <w:t xml:space="preserve"> -</w:t>
            </w:r>
          </w:p>
        </w:tc>
      </w:tr>
      <w:tr w:rsidR="00B30455" w:rsidRPr="00B30455" w14:paraId="0E7B3615" w14:textId="77777777" w:rsidTr="00B1370C">
        <w:trPr>
          <w:trHeight w:val="454"/>
        </w:trPr>
        <w:tc>
          <w:tcPr>
            <w:tcW w:w="1749" w:type="pct"/>
            <w:tcBorders>
              <w:top w:val="single" w:sz="4" w:space="0" w:color="auto"/>
              <w:left w:val="nil"/>
              <w:bottom w:val="single" w:sz="4" w:space="0" w:color="auto"/>
              <w:right w:val="nil"/>
            </w:tcBorders>
            <w:shd w:val="clear" w:color="auto" w:fill="auto"/>
            <w:vAlign w:val="center"/>
          </w:tcPr>
          <w:p w14:paraId="010D76C7" w14:textId="4195ABC6" w:rsidR="00B30455" w:rsidRPr="00B30455" w:rsidRDefault="00B30455" w:rsidP="00B30455">
            <w:pPr>
              <w:pBdr>
                <w:top w:val="none" w:sz="0" w:space="0" w:color="auto"/>
                <w:left w:val="none" w:sz="0" w:space="0" w:color="auto"/>
                <w:bottom w:val="none" w:sz="0" w:space="0" w:color="auto"/>
                <w:right w:val="none" w:sz="0" w:space="0" w:color="auto"/>
                <w:between w:val="none" w:sz="0" w:space="0" w:color="auto"/>
                <w:bar w:val="none" w:sz="0" w:color="auto"/>
              </w:pBdr>
              <w:outlineLvl w:val="9"/>
              <w:rPr>
                <w:rFonts w:eastAsia="Times New Roman"/>
                <w:sz w:val="16"/>
                <w:szCs w:val="16"/>
                <w:bdr w:val="none" w:sz="0" w:space="0" w:color="auto"/>
                <w:lang w:eastAsia="es-ES"/>
              </w:rPr>
            </w:pPr>
            <w:r w:rsidRPr="00B30455">
              <w:rPr>
                <w:sz w:val="16"/>
                <w:szCs w:val="16"/>
              </w:rPr>
              <w:t>Consejería de Turismo  y Empleo: Conectividad aérea</w:t>
            </w:r>
          </w:p>
        </w:tc>
        <w:tc>
          <w:tcPr>
            <w:tcW w:w="519" w:type="pct"/>
            <w:gridSpan w:val="2"/>
            <w:tcBorders>
              <w:top w:val="single" w:sz="4" w:space="0" w:color="auto"/>
              <w:left w:val="nil"/>
              <w:bottom w:val="single" w:sz="4" w:space="0" w:color="auto"/>
              <w:right w:val="nil"/>
            </w:tcBorders>
            <w:shd w:val="clear" w:color="auto" w:fill="auto"/>
            <w:vAlign w:val="center"/>
          </w:tcPr>
          <w:p w14:paraId="7C9258AD" w14:textId="57E5607A" w:rsidR="00B30455" w:rsidRPr="00B30455" w:rsidRDefault="00B30455" w:rsidP="00B30455">
            <w:pPr>
              <w:pBdr>
                <w:top w:val="none" w:sz="0" w:space="0" w:color="auto"/>
                <w:left w:val="none" w:sz="0" w:space="0" w:color="auto"/>
                <w:bottom w:val="none" w:sz="0" w:space="0" w:color="auto"/>
                <w:right w:val="none" w:sz="0" w:space="0" w:color="auto"/>
                <w:between w:val="none" w:sz="0" w:space="0" w:color="auto"/>
                <w:bar w:val="none" w:sz="0" w:color="auto"/>
              </w:pBdr>
              <w:jc w:val="right"/>
              <w:outlineLvl w:val="9"/>
              <w:rPr>
                <w:rFonts w:eastAsia="Times New Roman"/>
                <w:sz w:val="16"/>
                <w:szCs w:val="16"/>
                <w:bdr w:val="none" w:sz="0" w:space="0" w:color="auto"/>
                <w:lang w:eastAsia="es-ES"/>
              </w:rPr>
            </w:pPr>
            <w:r w:rsidRPr="00B30455">
              <w:rPr>
                <w:sz w:val="16"/>
                <w:szCs w:val="16"/>
              </w:rPr>
              <w:t>150.000,00</w:t>
            </w:r>
          </w:p>
        </w:tc>
        <w:tc>
          <w:tcPr>
            <w:tcW w:w="519" w:type="pct"/>
            <w:tcBorders>
              <w:top w:val="single" w:sz="4" w:space="0" w:color="auto"/>
              <w:left w:val="nil"/>
              <w:bottom w:val="single" w:sz="4" w:space="0" w:color="auto"/>
              <w:right w:val="nil"/>
            </w:tcBorders>
            <w:vAlign w:val="center"/>
          </w:tcPr>
          <w:p w14:paraId="3BAE3B9A" w14:textId="0ED4172A" w:rsidR="00B30455" w:rsidRPr="00B30455" w:rsidRDefault="00B30455" w:rsidP="00B30455">
            <w:pPr>
              <w:pBdr>
                <w:top w:val="none" w:sz="0" w:space="0" w:color="auto"/>
                <w:left w:val="none" w:sz="0" w:space="0" w:color="auto"/>
                <w:bottom w:val="none" w:sz="0" w:space="0" w:color="auto"/>
                <w:right w:val="none" w:sz="0" w:space="0" w:color="auto"/>
                <w:between w:val="none" w:sz="0" w:space="0" w:color="auto"/>
                <w:bar w:val="none" w:sz="0" w:color="auto"/>
              </w:pBdr>
              <w:jc w:val="right"/>
              <w:outlineLvl w:val="9"/>
              <w:rPr>
                <w:rFonts w:eastAsia="Times New Roman"/>
                <w:sz w:val="16"/>
                <w:szCs w:val="16"/>
                <w:bdr w:val="none" w:sz="0" w:space="0" w:color="auto"/>
                <w:lang w:eastAsia="es-ES"/>
              </w:rPr>
            </w:pPr>
            <w:r w:rsidRPr="00B30455">
              <w:rPr>
                <w:sz w:val="16"/>
                <w:szCs w:val="16"/>
              </w:rPr>
              <w:t xml:space="preserve"> -</w:t>
            </w:r>
          </w:p>
        </w:tc>
        <w:tc>
          <w:tcPr>
            <w:tcW w:w="519" w:type="pct"/>
            <w:gridSpan w:val="2"/>
            <w:tcBorders>
              <w:top w:val="single" w:sz="4" w:space="0" w:color="auto"/>
              <w:left w:val="nil"/>
              <w:bottom w:val="single" w:sz="4" w:space="0" w:color="auto"/>
              <w:right w:val="nil"/>
            </w:tcBorders>
            <w:shd w:val="clear" w:color="auto" w:fill="auto"/>
            <w:vAlign w:val="center"/>
          </w:tcPr>
          <w:p w14:paraId="1560E162" w14:textId="27F35410" w:rsidR="00B30455" w:rsidRPr="00B30455" w:rsidRDefault="00B30455" w:rsidP="00B30455">
            <w:pPr>
              <w:pBdr>
                <w:top w:val="none" w:sz="0" w:space="0" w:color="auto"/>
                <w:left w:val="none" w:sz="0" w:space="0" w:color="auto"/>
                <w:bottom w:val="none" w:sz="0" w:space="0" w:color="auto"/>
                <w:right w:val="none" w:sz="0" w:space="0" w:color="auto"/>
                <w:between w:val="none" w:sz="0" w:space="0" w:color="auto"/>
                <w:bar w:val="none" w:sz="0" w:color="auto"/>
              </w:pBdr>
              <w:jc w:val="right"/>
              <w:outlineLvl w:val="9"/>
              <w:rPr>
                <w:rFonts w:eastAsia="Times New Roman"/>
                <w:sz w:val="16"/>
                <w:szCs w:val="16"/>
                <w:bdr w:val="none" w:sz="0" w:space="0" w:color="auto"/>
                <w:lang w:eastAsia="es-ES"/>
              </w:rPr>
            </w:pPr>
            <w:r w:rsidRPr="00B30455">
              <w:rPr>
                <w:sz w:val="16"/>
                <w:szCs w:val="16"/>
              </w:rPr>
              <w:t>150.000,00</w:t>
            </w:r>
          </w:p>
        </w:tc>
        <w:tc>
          <w:tcPr>
            <w:tcW w:w="513" w:type="pct"/>
            <w:tcBorders>
              <w:top w:val="single" w:sz="4" w:space="0" w:color="auto"/>
              <w:left w:val="nil"/>
              <w:bottom w:val="single" w:sz="4" w:space="0" w:color="auto"/>
              <w:right w:val="nil"/>
            </w:tcBorders>
            <w:shd w:val="clear" w:color="auto" w:fill="auto"/>
            <w:vAlign w:val="center"/>
          </w:tcPr>
          <w:p w14:paraId="40B32745" w14:textId="5E2C9C9A" w:rsidR="00B30455" w:rsidRPr="00B30455" w:rsidRDefault="00B30455" w:rsidP="00B30455">
            <w:pPr>
              <w:pBdr>
                <w:top w:val="none" w:sz="0" w:space="0" w:color="auto"/>
                <w:left w:val="none" w:sz="0" w:space="0" w:color="auto"/>
                <w:bottom w:val="none" w:sz="0" w:space="0" w:color="auto"/>
                <w:right w:val="none" w:sz="0" w:space="0" w:color="auto"/>
                <w:between w:val="none" w:sz="0" w:space="0" w:color="auto"/>
                <w:bar w:val="none" w:sz="0" w:color="auto"/>
              </w:pBdr>
              <w:jc w:val="right"/>
              <w:outlineLvl w:val="9"/>
              <w:rPr>
                <w:rFonts w:eastAsia="Times New Roman"/>
                <w:sz w:val="16"/>
                <w:szCs w:val="16"/>
                <w:bdr w:val="none" w:sz="0" w:space="0" w:color="auto"/>
                <w:lang w:eastAsia="es-ES"/>
              </w:rPr>
            </w:pPr>
            <w:r w:rsidRPr="00B30455">
              <w:rPr>
                <w:sz w:val="16"/>
                <w:szCs w:val="16"/>
              </w:rPr>
              <w:t xml:space="preserve"> -</w:t>
            </w:r>
          </w:p>
        </w:tc>
        <w:tc>
          <w:tcPr>
            <w:tcW w:w="591" w:type="pct"/>
            <w:tcBorders>
              <w:top w:val="single" w:sz="4" w:space="0" w:color="auto"/>
              <w:left w:val="nil"/>
              <w:bottom w:val="single" w:sz="4" w:space="0" w:color="auto"/>
              <w:right w:val="nil"/>
            </w:tcBorders>
            <w:vAlign w:val="center"/>
          </w:tcPr>
          <w:p w14:paraId="0BAE5723" w14:textId="13F6DEE6" w:rsidR="00B30455" w:rsidRPr="00B30455" w:rsidRDefault="00B30455" w:rsidP="00B30455">
            <w:pPr>
              <w:pBdr>
                <w:top w:val="none" w:sz="0" w:space="0" w:color="auto"/>
                <w:left w:val="none" w:sz="0" w:space="0" w:color="auto"/>
                <w:bottom w:val="none" w:sz="0" w:space="0" w:color="auto"/>
                <w:right w:val="none" w:sz="0" w:space="0" w:color="auto"/>
                <w:between w:val="none" w:sz="0" w:space="0" w:color="auto"/>
                <w:bar w:val="none" w:sz="0" w:color="auto"/>
              </w:pBdr>
              <w:jc w:val="right"/>
              <w:outlineLvl w:val="9"/>
              <w:rPr>
                <w:rFonts w:eastAsia="Times New Roman"/>
                <w:sz w:val="16"/>
                <w:szCs w:val="16"/>
                <w:bdr w:val="none" w:sz="0" w:space="0" w:color="auto"/>
                <w:lang w:eastAsia="es-ES"/>
              </w:rPr>
            </w:pPr>
            <w:r w:rsidRPr="00B30455">
              <w:rPr>
                <w:sz w:val="16"/>
                <w:szCs w:val="16"/>
              </w:rPr>
              <w:t xml:space="preserve"> -</w:t>
            </w:r>
          </w:p>
        </w:tc>
        <w:tc>
          <w:tcPr>
            <w:tcW w:w="590" w:type="pct"/>
            <w:gridSpan w:val="2"/>
            <w:tcBorders>
              <w:top w:val="single" w:sz="4" w:space="0" w:color="auto"/>
              <w:left w:val="nil"/>
              <w:bottom w:val="single" w:sz="4" w:space="0" w:color="auto"/>
              <w:right w:val="nil"/>
            </w:tcBorders>
            <w:shd w:val="clear" w:color="auto" w:fill="auto"/>
            <w:vAlign w:val="center"/>
          </w:tcPr>
          <w:p w14:paraId="33F66486" w14:textId="0AF4011A" w:rsidR="00B30455" w:rsidRPr="00B30455" w:rsidRDefault="00B30455" w:rsidP="00B30455">
            <w:pPr>
              <w:pBdr>
                <w:top w:val="none" w:sz="0" w:space="0" w:color="auto"/>
                <w:left w:val="none" w:sz="0" w:space="0" w:color="auto"/>
                <w:bottom w:val="none" w:sz="0" w:space="0" w:color="auto"/>
                <w:right w:val="none" w:sz="0" w:space="0" w:color="auto"/>
                <w:between w:val="none" w:sz="0" w:space="0" w:color="auto"/>
                <w:bar w:val="none" w:sz="0" w:color="auto"/>
              </w:pBdr>
              <w:jc w:val="right"/>
              <w:outlineLvl w:val="9"/>
              <w:rPr>
                <w:rFonts w:eastAsia="Times New Roman"/>
                <w:sz w:val="16"/>
                <w:szCs w:val="16"/>
                <w:bdr w:val="none" w:sz="0" w:space="0" w:color="auto"/>
                <w:lang w:eastAsia="es-ES"/>
              </w:rPr>
            </w:pPr>
            <w:r w:rsidRPr="00B30455">
              <w:rPr>
                <w:sz w:val="16"/>
                <w:szCs w:val="16"/>
              </w:rPr>
              <w:t xml:space="preserve"> -</w:t>
            </w:r>
          </w:p>
        </w:tc>
      </w:tr>
      <w:tr w:rsidR="00B30455" w:rsidRPr="00B30455" w14:paraId="70F4F329" w14:textId="77777777" w:rsidTr="00F62F4D">
        <w:trPr>
          <w:trHeight w:val="340"/>
        </w:trPr>
        <w:tc>
          <w:tcPr>
            <w:tcW w:w="1749" w:type="pct"/>
            <w:tcBorders>
              <w:top w:val="single" w:sz="4" w:space="0" w:color="auto"/>
              <w:left w:val="nil"/>
              <w:bottom w:val="single" w:sz="4" w:space="0" w:color="auto"/>
              <w:right w:val="nil"/>
            </w:tcBorders>
            <w:shd w:val="clear" w:color="auto" w:fill="auto"/>
            <w:noWrap/>
            <w:vAlign w:val="center"/>
            <w:hideMark/>
          </w:tcPr>
          <w:p w14:paraId="7D822C7C" w14:textId="77777777" w:rsidR="00B30455" w:rsidRPr="00B30455" w:rsidRDefault="00B30455" w:rsidP="00B30455">
            <w:pPr>
              <w:pBdr>
                <w:top w:val="none" w:sz="0" w:space="0" w:color="auto"/>
                <w:left w:val="none" w:sz="0" w:space="0" w:color="auto"/>
                <w:bottom w:val="none" w:sz="0" w:space="0" w:color="auto"/>
                <w:right w:val="none" w:sz="0" w:space="0" w:color="auto"/>
                <w:between w:val="none" w:sz="0" w:space="0" w:color="auto"/>
                <w:bar w:val="none" w:sz="0" w:color="auto"/>
              </w:pBdr>
              <w:outlineLvl w:val="9"/>
              <w:rPr>
                <w:rFonts w:eastAsia="Times New Roman"/>
                <w:b/>
                <w:bCs/>
                <w:sz w:val="16"/>
                <w:szCs w:val="16"/>
                <w:bdr w:val="none" w:sz="0" w:space="0" w:color="auto"/>
                <w:lang w:eastAsia="es-ES"/>
              </w:rPr>
            </w:pPr>
            <w:r w:rsidRPr="00B30455">
              <w:rPr>
                <w:rFonts w:eastAsia="Times New Roman"/>
                <w:b/>
                <w:bCs/>
                <w:sz w:val="16"/>
                <w:szCs w:val="16"/>
                <w:bdr w:val="none" w:sz="0" w:space="0" w:color="auto"/>
                <w:lang w:eastAsia="es-ES"/>
              </w:rPr>
              <w:t>Total</w:t>
            </w:r>
          </w:p>
        </w:tc>
        <w:tc>
          <w:tcPr>
            <w:tcW w:w="519" w:type="pct"/>
            <w:gridSpan w:val="2"/>
            <w:tcBorders>
              <w:top w:val="single" w:sz="4" w:space="0" w:color="auto"/>
              <w:left w:val="nil"/>
              <w:bottom w:val="single" w:sz="4" w:space="0" w:color="auto"/>
              <w:right w:val="nil"/>
            </w:tcBorders>
            <w:shd w:val="clear" w:color="auto" w:fill="auto"/>
            <w:noWrap/>
            <w:vAlign w:val="center"/>
          </w:tcPr>
          <w:p w14:paraId="05F17E5F" w14:textId="636703ED" w:rsidR="00B30455" w:rsidRPr="00B30455" w:rsidRDefault="00B30455" w:rsidP="00B30455">
            <w:pPr>
              <w:pBdr>
                <w:top w:val="none" w:sz="0" w:space="0" w:color="auto"/>
                <w:left w:val="none" w:sz="0" w:space="0" w:color="auto"/>
                <w:bottom w:val="none" w:sz="0" w:space="0" w:color="auto"/>
                <w:right w:val="none" w:sz="0" w:space="0" w:color="auto"/>
                <w:between w:val="none" w:sz="0" w:space="0" w:color="auto"/>
                <w:bar w:val="none" w:sz="0" w:color="auto"/>
              </w:pBdr>
              <w:jc w:val="right"/>
              <w:outlineLvl w:val="9"/>
              <w:rPr>
                <w:rFonts w:eastAsia="Times New Roman"/>
                <w:b/>
                <w:bCs/>
                <w:sz w:val="16"/>
                <w:szCs w:val="16"/>
                <w:bdr w:val="none" w:sz="0" w:space="0" w:color="auto"/>
                <w:lang w:eastAsia="es-ES"/>
              </w:rPr>
            </w:pPr>
            <w:r w:rsidRPr="00B30455">
              <w:rPr>
                <w:b/>
                <w:bCs/>
                <w:sz w:val="16"/>
                <w:szCs w:val="16"/>
              </w:rPr>
              <w:t>23.167.610,00</w:t>
            </w:r>
          </w:p>
        </w:tc>
        <w:tc>
          <w:tcPr>
            <w:tcW w:w="519" w:type="pct"/>
            <w:tcBorders>
              <w:top w:val="single" w:sz="4" w:space="0" w:color="auto"/>
              <w:left w:val="nil"/>
              <w:bottom w:val="single" w:sz="4" w:space="0" w:color="auto"/>
              <w:right w:val="nil"/>
            </w:tcBorders>
            <w:vAlign w:val="center"/>
          </w:tcPr>
          <w:p w14:paraId="5C54401D" w14:textId="7FD40AEA" w:rsidR="00B30455" w:rsidRPr="00B30455" w:rsidRDefault="00B30455" w:rsidP="00B30455">
            <w:pPr>
              <w:pBdr>
                <w:top w:val="none" w:sz="0" w:space="0" w:color="auto"/>
                <w:left w:val="none" w:sz="0" w:space="0" w:color="auto"/>
                <w:bottom w:val="none" w:sz="0" w:space="0" w:color="auto"/>
                <w:right w:val="none" w:sz="0" w:space="0" w:color="auto"/>
                <w:between w:val="none" w:sz="0" w:space="0" w:color="auto"/>
                <w:bar w:val="none" w:sz="0" w:color="auto"/>
              </w:pBdr>
              <w:jc w:val="right"/>
              <w:outlineLvl w:val="9"/>
              <w:rPr>
                <w:rFonts w:eastAsia="Times New Roman"/>
                <w:b/>
                <w:bCs/>
                <w:sz w:val="16"/>
                <w:szCs w:val="16"/>
                <w:bdr w:val="none" w:sz="0" w:space="0" w:color="auto"/>
                <w:lang w:eastAsia="es-ES"/>
              </w:rPr>
            </w:pPr>
            <w:r w:rsidRPr="00B30455">
              <w:rPr>
                <w:b/>
                <w:bCs/>
                <w:sz w:val="16"/>
                <w:szCs w:val="16"/>
              </w:rPr>
              <w:t>39.512.647,69</w:t>
            </w:r>
          </w:p>
        </w:tc>
        <w:tc>
          <w:tcPr>
            <w:tcW w:w="519" w:type="pct"/>
            <w:gridSpan w:val="2"/>
            <w:tcBorders>
              <w:top w:val="single" w:sz="4" w:space="0" w:color="auto"/>
              <w:left w:val="nil"/>
              <w:bottom w:val="single" w:sz="4" w:space="0" w:color="auto"/>
              <w:right w:val="nil"/>
            </w:tcBorders>
            <w:shd w:val="clear" w:color="auto" w:fill="auto"/>
            <w:noWrap/>
            <w:vAlign w:val="center"/>
          </w:tcPr>
          <w:p w14:paraId="1C89B697" w14:textId="7F19CE67" w:rsidR="00B30455" w:rsidRPr="00B30455" w:rsidRDefault="00B30455" w:rsidP="00B30455">
            <w:pPr>
              <w:pBdr>
                <w:top w:val="none" w:sz="0" w:space="0" w:color="auto"/>
                <w:left w:val="none" w:sz="0" w:space="0" w:color="auto"/>
                <w:bottom w:val="none" w:sz="0" w:space="0" w:color="auto"/>
                <w:right w:val="none" w:sz="0" w:space="0" w:color="auto"/>
                <w:between w:val="none" w:sz="0" w:space="0" w:color="auto"/>
                <w:bar w:val="none" w:sz="0" w:color="auto"/>
              </w:pBdr>
              <w:jc w:val="right"/>
              <w:outlineLvl w:val="9"/>
              <w:rPr>
                <w:rFonts w:eastAsia="Times New Roman"/>
                <w:b/>
                <w:bCs/>
                <w:sz w:val="16"/>
                <w:szCs w:val="16"/>
                <w:bdr w:val="none" w:sz="0" w:space="0" w:color="auto"/>
                <w:lang w:eastAsia="es-ES"/>
              </w:rPr>
            </w:pPr>
            <w:r w:rsidRPr="00B30455">
              <w:rPr>
                <w:b/>
                <w:bCs/>
                <w:sz w:val="16"/>
                <w:szCs w:val="16"/>
              </w:rPr>
              <w:t>48.246.316,42</w:t>
            </w:r>
          </w:p>
        </w:tc>
        <w:tc>
          <w:tcPr>
            <w:tcW w:w="513" w:type="pct"/>
            <w:tcBorders>
              <w:top w:val="single" w:sz="4" w:space="0" w:color="auto"/>
              <w:left w:val="nil"/>
              <w:bottom w:val="single" w:sz="4" w:space="0" w:color="auto"/>
              <w:right w:val="nil"/>
            </w:tcBorders>
            <w:shd w:val="clear" w:color="auto" w:fill="auto"/>
            <w:noWrap/>
            <w:vAlign w:val="center"/>
          </w:tcPr>
          <w:p w14:paraId="6A2E7B8C" w14:textId="3873C943" w:rsidR="00B30455" w:rsidRPr="00B30455" w:rsidRDefault="00B30455" w:rsidP="00B30455">
            <w:pPr>
              <w:pBdr>
                <w:top w:val="none" w:sz="0" w:space="0" w:color="auto"/>
                <w:left w:val="none" w:sz="0" w:space="0" w:color="auto"/>
                <w:bottom w:val="none" w:sz="0" w:space="0" w:color="auto"/>
                <w:right w:val="none" w:sz="0" w:space="0" w:color="auto"/>
                <w:between w:val="none" w:sz="0" w:space="0" w:color="auto"/>
                <w:bar w:val="none" w:sz="0" w:color="auto"/>
              </w:pBdr>
              <w:jc w:val="right"/>
              <w:outlineLvl w:val="9"/>
              <w:rPr>
                <w:rFonts w:eastAsia="Times New Roman"/>
                <w:b/>
                <w:bCs/>
                <w:sz w:val="16"/>
                <w:szCs w:val="16"/>
                <w:bdr w:val="none" w:sz="0" w:space="0" w:color="auto"/>
                <w:lang w:eastAsia="es-ES"/>
              </w:rPr>
            </w:pPr>
            <w:r w:rsidRPr="00B30455">
              <w:rPr>
                <w:b/>
                <w:bCs/>
                <w:sz w:val="16"/>
                <w:szCs w:val="16"/>
              </w:rPr>
              <w:t>(2.229.718,78)</w:t>
            </w:r>
          </w:p>
        </w:tc>
        <w:tc>
          <w:tcPr>
            <w:tcW w:w="591" w:type="pct"/>
            <w:tcBorders>
              <w:top w:val="single" w:sz="4" w:space="0" w:color="auto"/>
              <w:left w:val="nil"/>
              <w:bottom w:val="single" w:sz="4" w:space="0" w:color="auto"/>
              <w:right w:val="nil"/>
            </w:tcBorders>
            <w:vAlign w:val="center"/>
          </w:tcPr>
          <w:p w14:paraId="1094D43B" w14:textId="1F30E860" w:rsidR="00B30455" w:rsidRPr="00B30455" w:rsidRDefault="00B30455" w:rsidP="00B30455">
            <w:pPr>
              <w:pBdr>
                <w:top w:val="none" w:sz="0" w:space="0" w:color="auto"/>
                <w:left w:val="none" w:sz="0" w:space="0" w:color="auto"/>
                <w:bottom w:val="none" w:sz="0" w:space="0" w:color="auto"/>
                <w:right w:val="none" w:sz="0" w:space="0" w:color="auto"/>
                <w:between w:val="none" w:sz="0" w:space="0" w:color="auto"/>
                <w:bar w:val="none" w:sz="0" w:color="auto"/>
              </w:pBdr>
              <w:jc w:val="right"/>
              <w:outlineLvl w:val="9"/>
              <w:rPr>
                <w:rFonts w:eastAsia="Times New Roman"/>
                <w:b/>
                <w:bCs/>
                <w:sz w:val="16"/>
                <w:szCs w:val="16"/>
                <w:bdr w:val="none" w:sz="0" w:space="0" w:color="auto"/>
                <w:lang w:eastAsia="es-ES"/>
              </w:rPr>
            </w:pPr>
            <w:r w:rsidRPr="00B30455">
              <w:rPr>
                <w:b/>
                <w:bCs/>
                <w:sz w:val="16"/>
                <w:szCs w:val="16"/>
              </w:rPr>
              <w:t>(775.966,34)</w:t>
            </w:r>
          </w:p>
        </w:tc>
        <w:tc>
          <w:tcPr>
            <w:tcW w:w="590" w:type="pct"/>
            <w:gridSpan w:val="2"/>
            <w:tcBorders>
              <w:top w:val="single" w:sz="4" w:space="0" w:color="auto"/>
              <w:left w:val="nil"/>
              <w:bottom w:val="single" w:sz="4" w:space="0" w:color="auto"/>
              <w:right w:val="nil"/>
            </w:tcBorders>
            <w:shd w:val="clear" w:color="auto" w:fill="auto"/>
            <w:noWrap/>
            <w:vAlign w:val="center"/>
          </w:tcPr>
          <w:p w14:paraId="144688A6" w14:textId="2B05C74F" w:rsidR="00B30455" w:rsidRPr="00B30455" w:rsidRDefault="00B30455" w:rsidP="00B30455">
            <w:pPr>
              <w:pBdr>
                <w:top w:val="none" w:sz="0" w:space="0" w:color="auto"/>
                <w:left w:val="none" w:sz="0" w:space="0" w:color="auto"/>
                <w:bottom w:val="none" w:sz="0" w:space="0" w:color="auto"/>
                <w:right w:val="none" w:sz="0" w:space="0" w:color="auto"/>
                <w:between w:val="none" w:sz="0" w:space="0" w:color="auto"/>
                <w:bar w:val="none" w:sz="0" w:color="auto"/>
              </w:pBdr>
              <w:jc w:val="right"/>
              <w:outlineLvl w:val="9"/>
              <w:rPr>
                <w:rFonts w:eastAsia="Times New Roman"/>
                <w:b/>
                <w:bCs/>
                <w:sz w:val="16"/>
                <w:szCs w:val="16"/>
                <w:bdr w:val="none" w:sz="0" w:space="0" w:color="auto"/>
                <w:lang w:eastAsia="es-ES"/>
              </w:rPr>
            </w:pPr>
            <w:r w:rsidRPr="00B30455">
              <w:rPr>
                <w:b/>
                <w:bCs/>
                <w:sz w:val="16"/>
                <w:szCs w:val="16"/>
              </w:rPr>
              <w:t>13.074.191,79</w:t>
            </w:r>
          </w:p>
        </w:tc>
      </w:tr>
    </w:tbl>
    <w:p w14:paraId="00216834" w14:textId="2FE2FB47" w:rsidR="002109C5" w:rsidRPr="006439D4" w:rsidRDefault="002109C5" w:rsidP="006220A2">
      <w:pPr>
        <w:rPr>
          <w:sz w:val="20"/>
          <w:szCs w:val="22"/>
          <w:highlight w:val="red"/>
        </w:rPr>
      </w:pPr>
    </w:p>
    <w:p w14:paraId="54D85C68" w14:textId="55BC8769" w:rsidR="001C58A9" w:rsidRPr="006439D4" w:rsidRDefault="001C58A9" w:rsidP="006220A2">
      <w:pPr>
        <w:rPr>
          <w:sz w:val="20"/>
          <w:szCs w:val="22"/>
          <w:highlight w:val="red"/>
        </w:rPr>
        <w:sectPr w:rsidR="001C58A9" w:rsidRPr="006439D4" w:rsidSect="001C58A9">
          <w:pgSz w:w="16840" w:h="11900" w:orient="landscape" w:code="9"/>
          <w:pgMar w:top="1701" w:right="1701" w:bottom="1418" w:left="1418" w:header="1134" w:footer="680" w:gutter="0"/>
          <w:cols w:space="708"/>
          <w:docGrid w:linePitch="360"/>
        </w:sectPr>
      </w:pPr>
    </w:p>
    <w:p w14:paraId="5A3D3F0F" w14:textId="56ADBD38" w:rsidR="006220A2" w:rsidRPr="0083433F" w:rsidRDefault="006220A2" w:rsidP="00064105">
      <w:pPr>
        <w:widowControl w:val="0"/>
        <w:numPr>
          <w:ilvl w:val="0"/>
          <w:numId w:val="6"/>
        </w:numPr>
        <w:pBdr>
          <w:top w:val="none" w:sz="0" w:space="0" w:color="auto"/>
          <w:left w:val="none" w:sz="0" w:space="0" w:color="auto"/>
          <w:bottom w:val="none" w:sz="0" w:space="0" w:color="auto"/>
          <w:right w:val="none" w:sz="0" w:space="0" w:color="auto"/>
          <w:between w:val="none" w:sz="0" w:space="0" w:color="auto"/>
          <w:bar w:val="none" w:sz="0" w:color="auto"/>
        </w:pBdr>
        <w:spacing w:before="360" w:after="120" w:line="280" w:lineRule="exact"/>
        <w:ind w:left="284" w:hanging="284"/>
        <w:outlineLvl w:val="9"/>
        <w:rPr>
          <w:b/>
          <w:snapToGrid w:val="0"/>
          <w:sz w:val="22"/>
          <w:szCs w:val="22"/>
        </w:rPr>
      </w:pPr>
      <w:r w:rsidRPr="0083433F">
        <w:rPr>
          <w:b/>
          <w:snapToGrid w:val="0"/>
          <w:sz w:val="22"/>
          <w:szCs w:val="22"/>
        </w:rPr>
        <w:lastRenderedPageBreak/>
        <w:t>Hechos posteriores al cierre</w:t>
      </w:r>
    </w:p>
    <w:p w14:paraId="7AA90DD1" w14:textId="120993E6" w:rsidR="000F0BE8" w:rsidRPr="00176BA0" w:rsidRDefault="00646619" w:rsidP="00064105">
      <w:pPr>
        <w:widowControl w:val="0"/>
        <w:spacing w:before="120" w:line="260" w:lineRule="exact"/>
        <w:jc w:val="both"/>
        <w:outlineLvl w:val="9"/>
        <w:rPr>
          <w:snapToGrid w:val="0"/>
          <w:sz w:val="20"/>
          <w:szCs w:val="22"/>
        </w:rPr>
      </w:pPr>
      <w:r w:rsidRPr="00821843">
        <w:rPr>
          <w:snapToGrid w:val="0"/>
          <w:sz w:val="20"/>
          <w:szCs w:val="22"/>
        </w:rPr>
        <w:t>D</w:t>
      </w:r>
      <w:r w:rsidR="000F0BE8" w:rsidRPr="00821843">
        <w:rPr>
          <w:snapToGrid w:val="0"/>
          <w:sz w:val="20"/>
          <w:szCs w:val="22"/>
        </w:rPr>
        <w:t>esde el 31 de diciembre de 20</w:t>
      </w:r>
      <w:r w:rsidRPr="00821843">
        <w:rPr>
          <w:snapToGrid w:val="0"/>
          <w:sz w:val="20"/>
          <w:szCs w:val="22"/>
        </w:rPr>
        <w:t>2</w:t>
      </w:r>
      <w:r w:rsidR="00623AD4" w:rsidRPr="00821843">
        <w:rPr>
          <w:snapToGrid w:val="0"/>
          <w:sz w:val="20"/>
          <w:szCs w:val="22"/>
        </w:rPr>
        <w:t>4</w:t>
      </w:r>
      <w:r w:rsidR="00C669BB" w:rsidRPr="00821843">
        <w:rPr>
          <w:snapToGrid w:val="0"/>
          <w:sz w:val="20"/>
          <w:szCs w:val="22"/>
        </w:rPr>
        <w:t xml:space="preserve"> hasta la fecha de formulación de </w:t>
      </w:r>
      <w:r w:rsidR="00D41577">
        <w:rPr>
          <w:snapToGrid w:val="0"/>
          <w:sz w:val="20"/>
          <w:szCs w:val="22"/>
        </w:rPr>
        <w:t>las presentes</w:t>
      </w:r>
      <w:r w:rsidR="00C669BB" w:rsidRPr="00821843">
        <w:rPr>
          <w:snapToGrid w:val="0"/>
          <w:sz w:val="20"/>
          <w:szCs w:val="22"/>
        </w:rPr>
        <w:t xml:space="preserve"> cuentas anuales, no se han producido otros acontecimientos significativos </w:t>
      </w:r>
      <w:r w:rsidR="000F0BE8" w:rsidRPr="00821843">
        <w:rPr>
          <w:snapToGrid w:val="0"/>
          <w:sz w:val="20"/>
          <w:szCs w:val="22"/>
        </w:rPr>
        <w:t xml:space="preserve">que, afectando a las mismas, no se hubiera incluido en ellas, o cuyo conocimiento pudiera resultar útil a un usuario de </w:t>
      </w:r>
      <w:proofErr w:type="gramStart"/>
      <w:r w:rsidR="000F0BE8" w:rsidRPr="00821843">
        <w:rPr>
          <w:snapToGrid w:val="0"/>
          <w:sz w:val="20"/>
          <w:szCs w:val="22"/>
        </w:rPr>
        <w:t>las mismas</w:t>
      </w:r>
      <w:proofErr w:type="gramEnd"/>
      <w:r w:rsidR="000F0BE8" w:rsidRPr="00821843">
        <w:rPr>
          <w:snapToGrid w:val="0"/>
          <w:sz w:val="20"/>
          <w:szCs w:val="22"/>
        </w:rPr>
        <w:t>.</w:t>
      </w:r>
    </w:p>
    <w:p w14:paraId="60580F64" w14:textId="4C0723C0" w:rsidR="006220A2" w:rsidRPr="00663F02" w:rsidRDefault="00322E9D" w:rsidP="00064105">
      <w:pPr>
        <w:widowControl w:val="0"/>
        <w:numPr>
          <w:ilvl w:val="0"/>
          <w:numId w:val="6"/>
        </w:numPr>
        <w:pBdr>
          <w:top w:val="none" w:sz="0" w:space="0" w:color="auto"/>
          <w:left w:val="none" w:sz="0" w:space="0" w:color="auto"/>
          <w:bottom w:val="none" w:sz="0" w:space="0" w:color="auto"/>
          <w:right w:val="none" w:sz="0" w:space="0" w:color="auto"/>
          <w:between w:val="none" w:sz="0" w:space="0" w:color="auto"/>
          <w:bar w:val="none" w:sz="0" w:color="auto"/>
        </w:pBdr>
        <w:spacing w:before="360" w:after="120" w:line="280" w:lineRule="exact"/>
        <w:ind w:left="284" w:hanging="284"/>
        <w:outlineLvl w:val="9"/>
        <w:rPr>
          <w:b/>
          <w:snapToGrid w:val="0"/>
          <w:sz w:val="22"/>
          <w:szCs w:val="22"/>
        </w:rPr>
      </w:pPr>
      <w:r w:rsidRPr="00663F02">
        <w:rPr>
          <w:b/>
          <w:snapToGrid w:val="0"/>
          <w:sz w:val="22"/>
          <w:szCs w:val="22"/>
        </w:rPr>
        <w:t xml:space="preserve"> </w:t>
      </w:r>
      <w:r w:rsidR="006220A2" w:rsidRPr="00BC7B66">
        <w:rPr>
          <w:b/>
          <w:snapToGrid w:val="0"/>
          <w:sz w:val="22"/>
          <w:szCs w:val="22"/>
        </w:rPr>
        <w:t>Operaciones con partes vinculadas</w:t>
      </w:r>
    </w:p>
    <w:p w14:paraId="2D53487F" w14:textId="2DA2B563" w:rsidR="006220A2" w:rsidRPr="0031018D" w:rsidRDefault="006220A2">
      <w:pPr>
        <w:keepNext/>
        <w:keepLines/>
        <w:widowControl w:val="0"/>
        <w:numPr>
          <w:ilvl w:val="0"/>
          <w:numId w:val="12"/>
        </w:numPr>
        <w:pBdr>
          <w:top w:val="none" w:sz="0" w:space="0" w:color="auto"/>
          <w:left w:val="none" w:sz="0" w:space="0" w:color="auto"/>
          <w:bottom w:val="none" w:sz="0" w:space="0" w:color="auto"/>
          <w:right w:val="none" w:sz="0" w:space="0" w:color="auto"/>
          <w:between w:val="none" w:sz="0" w:space="0" w:color="auto"/>
          <w:bar w:val="none" w:sz="0" w:color="auto"/>
        </w:pBdr>
        <w:tabs>
          <w:tab w:val="clear" w:pos="360"/>
          <w:tab w:val="num" w:pos="284"/>
        </w:tabs>
        <w:spacing w:before="200"/>
        <w:ind w:left="0" w:firstLine="0"/>
        <w:outlineLvl w:val="9"/>
        <w:rPr>
          <w:sz w:val="20"/>
          <w:szCs w:val="22"/>
          <w:u w:val="single"/>
        </w:rPr>
      </w:pPr>
      <w:r w:rsidRPr="00663F02">
        <w:rPr>
          <w:sz w:val="20"/>
          <w:szCs w:val="22"/>
          <w:u w:val="single"/>
        </w:rPr>
        <w:t>Transacciones con la Consejería de T</w:t>
      </w:r>
      <w:r w:rsidRPr="0031018D">
        <w:rPr>
          <w:sz w:val="20"/>
          <w:szCs w:val="22"/>
          <w:u w:val="single"/>
        </w:rPr>
        <w:t>urismo</w:t>
      </w:r>
      <w:r w:rsidR="00D202F6">
        <w:rPr>
          <w:sz w:val="20"/>
          <w:szCs w:val="22"/>
          <w:u w:val="single"/>
        </w:rPr>
        <w:t xml:space="preserve"> y Empleo </w:t>
      </w:r>
      <w:r w:rsidRPr="0031018D">
        <w:rPr>
          <w:sz w:val="20"/>
          <w:szCs w:val="22"/>
          <w:u w:val="single"/>
        </w:rPr>
        <w:t>del Gobierno de Canarias</w:t>
      </w:r>
    </w:p>
    <w:p w14:paraId="6F10E974" w14:textId="262BE29A" w:rsidR="006220A2" w:rsidRPr="00176BA0" w:rsidRDefault="006220A2" w:rsidP="00064105">
      <w:pPr>
        <w:widowControl w:val="0"/>
        <w:spacing w:before="120" w:after="120" w:line="260" w:lineRule="exact"/>
        <w:jc w:val="both"/>
        <w:outlineLvl w:val="9"/>
        <w:rPr>
          <w:snapToGrid w:val="0"/>
          <w:sz w:val="20"/>
          <w:szCs w:val="22"/>
        </w:rPr>
      </w:pPr>
      <w:r w:rsidRPr="00176BA0">
        <w:rPr>
          <w:snapToGrid w:val="0"/>
          <w:sz w:val="20"/>
          <w:szCs w:val="22"/>
        </w:rPr>
        <w:t>Se han recibido</w:t>
      </w:r>
      <w:r w:rsidR="000440E6" w:rsidRPr="00176BA0">
        <w:rPr>
          <w:snapToGrid w:val="0"/>
          <w:sz w:val="20"/>
          <w:szCs w:val="22"/>
        </w:rPr>
        <w:t xml:space="preserve"> en el ejercicio 20</w:t>
      </w:r>
      <w:r w:rsidR="009C7621" w:rsidRPr="00176BA0">
        <w:rPr>
          <w:snapToGrid w:val="0"/>
          <w:sz w:val="20"/>
          <w:szCs w:val="22"/>
        </w:rPr>
        <w:t>2</w:t>
      </w:r>
      <w:r w:rsidR="00623AD4">
        <w:rPr>
          <w:snapToGrid w:val="0"/>
          <w:sz w:val="20"/>
          <w:szCs w:val="22"/>
        </w:rPr>
        <w:t>4</w:t>
      </w:r>
      <w:r w:rsidR="00F62799" w:rsidRPr="00176BA0">
        <w:rPr>
          <w:snapToGrid w:val="0"/>
          <w:sz w:val="20"/>
          <w:szCs w:val="22"/>
        </w:rPr>
        <w:t xml:space="preserve"> y 20</w:t>
      </w:r>
      <w:r w:rsidR="00C2117E" w:rsidRPr="00176BA0">
        <w:rPr>
          <w:snapToGrid w:val="0"/>
          <w:sz w:val="20"/>
          <w:szCs w:val="22"/>
        </w:rPr>
        <w:t>2</w:t>
      </w:r>
      <w:r w:rsidR="00623AD4">
        <w:rPr>
          <w:snapToGrid w:val="0"/>
          <w:sz w:val="20"/>
          <w:szCs w:val="22"/>
        </w:rPr>
        <w:t>3</w:t>
      </w:r>
      <w:r w:rsidRPr="00176BA0">
        <w:rPr>
          <w:snapToGrid w:val="0"/>
          <w:sz w:val="20"/>
          <w:szCs w:val="22"/>
        </w:rPr>
        <w:t xml:space="preserve"> los siguientes importes por parte de la Consejería de Turismo</w:t>
      </w:r>
      <w:r w:rsidR="00D202F6">
        <w:rPr>
          <w:snapToGrid w:val="0"/>
          <w:sz w:val="20"/>
          <w:szCs w:val="22"/>
        </w:rPr>
        <w:t xml:space="preserve"> y Empleo</w:t>
      </w:r>
      <w:r w:rsidRPr="00176BA0">
        <w:rPr>
          <w:snapToGrid w:val="0"/>
          <w:sz w:val="20"/>
          <w:szCs w:val="22"/>
        </w:rPr>
        <w:t xml:space="preserve"> del Gobierno de Canarias:</w:t>
      </w:r>
    </w:p>
    <w:tbl>
      <w:tblPr>
        <w:tblW w:w="5000" w:type="pct"/>
        <w:jc w:val="center"/>
        <w:tblCellMar>
          <w:left w:w="70" w:type="dxa"/>
          <w:right w:w="70" w:type="dxa"/>
        </w:tblCellMar>
        <w:tblLook w:val="04A0" w:firstRow="1" w:lastRow="0" w:firstColumn="1" w:lastColumn="0" w:noHBand="0" w:noVBand="1"/>
      </w:tblPr>
      <w:tblGrid>
        <w:gridCol w:w="4621"/>
        <w:gridCol w:w="2081"/>
        <w:gridCol w:w="2079"/>
      </w:tblGrid>
      <w:tr w:rsidR="006220A2" w:rsidRPr="00954AA6" w14:paraId="2AFBC58F" w14:textId="77777777" w:rsidTr="00840DE8">
        <w:trPr>
          <w:trHeight w:val="227"/>
          <w:jc w:val="center"/>
        </w:trPr>
        <w:tc>
          <w:tcPr>
            <w:tcW w:w="2631" w:type="pct"/>
            <w:tcBorders>
              <w:top w:val="single" w:sz="4" w:space="0" w:color="auto"/>
              <w:left w:val="nil"/>
              <w:bottom w:val="nil"/>
              <w:right w:val="nil"/>
            </w:tcBorders>
            <w:shd w:val="clear" w:color="auto" w:fill="auto"/>
            <w:vAlign w:val="bottom"/>
            <w:hideMark/>
          </w:tcPr>
          <w:p w14:paraId="76D9059E" w14:textId="77777777" w:rsidR="006220A2" w:rsidRPr="00954AA6" w:rsidRDefault="006220A2" w:rsidP="00954AA6">
            <w:pPr>
              <w:keepNext/>
              <w:keepLines/>
              <w:widowControl w:val="0"/>
              <w:ind w:left="219"/>
              <w:jc w:val="center"/>
              <w:rPr>
                <w:rFonts w:ascii="Times New Roman" w:eastAsia="Times New Roman" w:hAnsi="Times New Roman"/>
                <w:sz w:val="18"/>
                <w:szCs w:val="18"/>
              </w:rPr>
            </w:pPr>
          </w:p>
        </w:tc>
        <w:tc>
          <w:tcPr>
            <w:tcW w:w="2369" w:type="pct"/>
            <w:gridSpan w:val="2"/>
            <w:tcBorders>
              <w:top w:val="single" w:sz="4" w:space="0" w:color="auto"/>
              <w:left w:val="nil"/>
              <w:bottom w:val="single" w:sz="4" w:space="0" w:color="auto"/>
              <w:right w:val="nil"/>
            </w:tcBorders>
            <w:shd w:val="clear" w:color="auto" w:fill="auto"/>
            <w:vAlign w:val="bottom"/>
            <w:hideMark/>
          </w:tcPr>
          <w:p w14:paraId="7EB96F9D" w14:textId="77777777" w:rsidR="006220A2" w:rsidRPr="00954AA6" w:rsidRDefault="006220A2" w:rsidP="00663F02">
            <w:pPr>
              <w:keepNext/>
              <w:keepLines/>
              <w:widowControl w:val="0"/>
              <w:jc w:val="center"/>
              <w:rPr>
                <w:rFonts w:eastAsia="Times New Roman"/>
                <w:b/>
                <w:bCs/>
                <w:sz w:val="18"/>
                <w:szCs w:val="18"/>
              </w:rPr>
            </w:pPr>
            <w:r w:rsidRPr="00954AA6">
              <w:rPr>
                <w:rFonts w:eastAsia="Times New Roman"/>
                <w:b/>
                <w:bCs/>
                <w:sz w:val="18"/>
                <w:szCs w:val="18"/>
              </w:rPr>
              <w:t>Euros</w:t>
            </w:r>
          </w:p>
        </w:tc>
      </w:tr>
      <w:tr w:rsidR="005B7238" w:rsidRPr="00954AA6" w14:paraId="08C423DD" w14:textId="77777777" w:rsidTr="00C2117E">
        <w:trPr>
          <w:trHeight w:val="227"/>
          <w:jc w:val="center"/>
        </w:trPr>
        <w:tc>
          <w:tcPr>
            <w:tcW w:w="2631" w:type="pct"/>
            <w:tcBorders>
              <w:top w:val="nil"/>
              <w:left w:val="nil"/>
              <w:bottom w:val="single" w:sz="4" w:space="0" w:color="auto"/>
              <w:right w:val="nil"/>
            </w:tcBorders>
            <w:shd w:val="clear" w:color="auto" w:fill="auto"/>
            <w:vAlign w:val="bottom"/>
            <w:hideMark/>
          </w:tcPr>
          <w:p w14:paraId="17D6CB9B" w14:textId="77777777" w:rsidR="005B7238" w:rsidRPr="00954AA6" w:rsidRDefault="005B7238" w:rsidP="005B7238">
            <w:pPr>
              <w:keepNext/>
              <w:keepLines/>
              <w:widowControl w:val="0"/>
              <w:ind w:left="219"/>
              <w:jc w:val="center"/>
              <w:rPr>
                <w:rFonts w:eastAsia="Times New Roman" w:cs="Times"/>
                <w:sz w:val="18"/>
                <w:szCs w:val="18"/>
              </w:rPr>
            </w:pPr>
          </w:p>
        </w:tc>
        <w:tc>
          <w:tcPr>
            <w:tcW w:w="1185" w:type="pct"/>
            <w:tcBorders>
              <w:top w:val="nil"/>
              <w:left w:val="nil"/>
              <w:bottom w:val="single" w:sz="4" w:space="0" w:color="auto"/>
              <w:right w:val="nil"/>
            </w:tcBorders>
            <w:shd w:val="clear" w:color="auto" w:fill="auto"/>
            <w:vAlign w:val="bottom"/>
            <w:hideMark/>
          </w:tcPr>
          <w:p w14:paraId="264DA5D1" w14:textId="45A3BEFF" w:rsidR="005B7238" w:rsidRPr="00954AA6" w:rsidRDefault="005B7238" w:rsidP="005B7238">
            <w:pPr>
              <w:keepNext/>
              <w:keepLines/>
              <w:widowControl w:val="0"/>
              <w:jc w:val="center"/>
              <w:rPr>
                <w:rFonts w:eastAsia="Times New Roman"/>
                <w:b/>
                <w:bCs/>
                <w:sz w:val="18"/>
                <w:szCs w:val="18"/>
              </w:rPr>
            </w:pPr>
            <w:r w:rsidRPr="00954AA6">
              <w:rPr>
                <w:rFonts w:eastAsia="Times New Roman"/>
                <w:b/>
                <w:bCs/>
                <w:sz w:val="18"/>
                <w:szCs w:val="18"/>
              </w:rPr>
              <w:t>202</w:t>
            </w:r>
            <w:r w:rsidR="00623AD4">
              <w:rPr>
                <w:rFonts w:eastAsia="Times New Roman"/>
                <w:b/>
                <w:bCs/>
                <w:sz w:val="18"/>
                <w:szCs w:val="18"/>
              </w:rPr>
              <w:t>4</w:t>
            </w:r>
          </w:p>
        </w:tc>
        <w:tc>
          <w:tcPr>
            <w:tcW w:w="1184" w:type="pct"/>
            <w:tcBorders>
              <w:top w:val="nil"/>
              <w:left w:val="nil"/>
              <w:bottom w:val="single" w:sz="4" w:space="0" w:color="auto"/>
              <w:right w:val="nil"/>
            </w:tcBorders>
            <w:shd w:val="clear" w:color="auto" w:fill="auto"/>
            <w:vAlign w:val="bottom"/>
            <w:hideMark/>
          </w:tcPr>
          <w:p w14:paraId="0BDF18B9" w14:textId="65B3C30A" w:rsidR="005B7238" w:rsidRPr="00954AA6" w:rsidRDefault="005B7238" w:rsidP="005B7238">
            <w:pPr>
              <w:keepNext/>
              <w:keepLines/>
              <w:widowControl w:val="0"/>
              <w:jc w:val="center"/>
              <w:rPr>
                <w:rFonts w:eastAsia="Times New Roman"/>
                <w:b/>
                <w:bCs/>
                <w:sz w:val="18"/>
                <w:szCs w:val="18"/>
              </w:rPr>
            </w:pPr>
            <w:r w:rsidRPr="00954AA6">
              <w:rPr>
                <w:rFonts w:eastAsia="Times New Roman"/>
                <w:b/>
                <w:bCs/>
                <w:sz w:val="18"/>
                <w:szCs w:val="18"/>
              </w:rPr>
              <w:t>202</w:t>
            </w:r>
            <w:r w:rsidR="00623AD4">
              <w:rPr>
                <w:rFonts w:eastAsia="Times New Roman"/>
                <w:b/>
                <w:bCs/>
                <w:sz w:val="18"/>
                <w:szCs w:val="18"/>
              </w:rPr>
              <w:t>3</w:t>
            </w:r>
          </w:p>
        </w:tc>
      </w:tr>
      <w:tr w:rsidR="007D7E05" w:rsidRPr="00954AA6" w14:paraId="3FAF6983" w14:textId="77777777" w:rsidTr="007A7245">
        <w:trPr>
          <w:trHeight w:val="283"/>
          <w:jc w:val="center"/>
        </w:trPr>
        <w:tc>
          <w:tcPr>
            <w:tcW w:w="2631" w:type="pct"/>
            <w:tcBorders>
              <w:top w:val="nil"/>
              <w:left w:val="nil"/>
              <w:bottom w:val="nil"/>
              <w:right w:val="nil"/>
            </w:tcBorders>
            <w:shd w:val="clear" w:color="auto" w:fill="auto"/>
            <w:vAlign w:val="center"/>
            <w:hideMark/>
          </w:tcPr>
          <w:p w14:paraId="67A080AB" w14:textId="77777777" w:rsidR="007D7E05" w:rsidRPr="00954AA6" w:rsidRDefault="007D7E05" w:rsidP="007D7E05">
            <w:pPr>
              <w:keepNext/>
              <w:keepLines/>
              <w:widowControl w:val="0"/>
              <w:ind w:left="219"/>
              <w:jc w:val="both"/>
              <w:rPr>
                <w:rFonts w:eastAsia="Times New Roman"/>
                <w:sz w:val="18"/>
                <w:szCs w:val="18"/>
              </w:rPr>
            </w:pPr>
            <w:r w:rsidRPr="00954AA6">
              <w:rPr>
                <w:rFonts w:eastAsia="Times New Roman"/>
                <w:sz w:val="18"/>
                <w:szCs w:val="18"/>
              </w:rPr>
              <w:t>Encomiendas</w:t>
            </w:r>
          </w:p>
        </w:tc>
        <w:tc>
          <w:tcPr>
            <w:tcW w:w="1185" w:type="pct"/>
            <w:tcBorders>
              <w:top w:val="nil"/>
              <w:left w:val="nil"/>
              <w:bottom w:val="nil"/>
              <w:right w:val="nil"/>
            </w:tcBorders>
            <w:shd w:val="clear" w:color="auto" w:fill="auto"/>
            <w:vAlign w:val="center"/>
          </w:tcPr>
          <w:p w14:paraId="1375007B" w14:textId="2B351135" w:rsidR="007D7E05" w:rsidRPr="00694C46" w:rsidRDefault="007D7E05" w:rsidP="007D7E05">
            <w:pPr>
              <w:keepNext/>
              <w:keepLines/>
              <w:widowControl w:val="0"/>
              <w:pBdr>
                <w:top w:val="none" w:sz="0" w:space="0" w:color="auto"/>
                <w:left w:val="none" w:sz="0" w:space="0" w:color="auto"/>
                <w:bottom w:val="none" w:sz="0" w:space="0" w:color="auto"/>
                <w:right w:val="none" w:sz="0" w:space="0" w:color="auto"/>
                <w:between w:val="none" w:sz="0" w:space="0" w:color="auto"/>
                <w:bar w:val="none" w:sz="0" w:color="auto"/>
              </w:pBdr>
              <w:jc w:val="right"/>
              <w:outlineLvl w:val="9"/>
              <w:rPr>
                <w:rFonts w:eastAsia="Times New Roman"/>
                <w:sz w:val="18"/>
                <w:szCs w:val="18"/>
                <w:bdr w:val="none" w:sz="0" w:space="0" w:color="auto"/>
                <w:lang w:eastAsia="es-ES"/>
              </w:rPr>
            </w:pPr>
            <w:r>
              <w:rPr>
                <w:sz w:val="18"/>
                <w:szCs w:val="18"/>
              </w:rPr>
              <w:t>811.576,34</w:t>
            </w:r>
          </w:p>
        </w:tc>
        <w:tc>
          <w:tcPr>
            <w:tcW w:w="1184" w:type="pct"/>
            <w:tcBorders>
              <w:top w:val="nil"/>
              <w:left w:val="nil"/>
              <w:bottom w:val="nil"/>
              <w:right w:val="nil"/>
            </w:tcBorders>
            <w:shd w:val="clear" w:color="auto" w:fill="auto"/>
            <w:vAlign w:val="center"/>
          </w:tcPr>
          <w:p w14:paraId="0AA038CB" w14:textId="3B72A423" w:rsidR="007D7E05" w:rsidRPr="00954AA6" w:rsidRDefault="007D7E05" w:rsidP="007D7E05">
            <w:pPr>
              <w:keepNext/>
              <w:keepLines/>
              <w:widowControl w:val="0"/>
              <w:jc w:val="right"/>
              <w:rPr>
                <w:sz w:val="18"/>
                <w:szCs w:val="18"/>
              </w:rPr>
            </w:pPr>
            <w:r w:rsidRPr="00694C46">
              <w:rPr>
                <w:sz w:val="18"/>
                <w:szCs w:val="18"/>
              </w:rPr>
              <w:t>278.650,74</w:t>
            </w:r>
          </w:p>
        </w:tc>
      </w:tr>
      <w:tr w:rsidR="007D7E05" w:rsidRPr="00954AA6" w14:paraId="56329EB5" w14:textId="77777777" w:rsidTr="007A7245">
        <w:trPr>
          <w:trHeight w:val="283"/>
          <w:jc w:val="center"/>
        </w:trPr>
        <w:tc>
          <w:tcPr>
            <w:tcW w:w="2631" w:type="pct"/>
            <w:tcBorders>
              <w:top w:val="nil"/>
              <w:left w:val="nil"/>
              <w:bottom w:val="nil"/>
              <w:right w:val="nil"/>
            </w:tcBorders>
            <w:shd w:val="clear" w:color="auto" w:fill="auto"/>
            <w:vAlign w:val="center"/>
            <w:hideMark/>
          </w:tcPr>
          <w:p w14:paraId="476F8F0C" w14:textId="77777777" w:rsidR="007D7E05" w:rsidRPr="00954AA6" w:rsidRDefault="007D7E05" w:rsidP="007D7E05">
            <w:pPr>
              <w:keepNext/>
              <w:keepLines/>
              <w:widowControl w:val="0"/>
              <w:ind w:left="219"/>
              <w:jc w:val="both"/>
              <w:rPr>
                <w:rFonts w:eastAsia="Times New Roman"/>
                <w:sz w:val="18"/>
                <w:szCs w:val="18"/>
              </w:rPr>
            </w:pPr>
            <w:r w:rsidRPr="00954AA6">
              <w:rPr>
                <w:rFonts w:eastAsia="Times New Roman"/>
                <w:sz w:val="18"/>
                <w:szCs w:val="18"/>
              </w:rPr>
              <w:t>Subvenciones</w:t>
            </w:r>
          </w:p>
        </w:tc>
        <w:tc>
          <w:tcPr>
            <w:tcW w:w="1185" w:type="pct"/>
            <w:tcBorders>
              <w:top w:val="nil"/>
              <w:left w:val="nil"/>
              <w:bottom w:val="nil"/>
              <w:right w:val="nil"/>
            </w:tcBorders>
            <w:shd w:val="clear" w:color="auto" w:fill="auto"/>
            <w:vAlign w:val="center"/>
          </w:tcPr>
          <w:p w14:paraId="1DCF8BA4" w14:textId="2DE1F300" w:rsidR="007D7E05" w:rsidRPr="00694C46" w:rsidRDefault="007D7E05" w:rsidP="007D7E05">
            <w:pPr>
              <w:keepNext/>
              <w:keepLines/>
              <w:widowControl w:val="0"/>
              <w:jc w:val="right"/>
              <w:rPr>
                <w:sz w:val="18"/>
                <w:szCs w:val="18"/>
              </w:rPr>
            </w:pPr>
            <w:r>
              <w:rPr>
                <w:sz w:val="18"/>
                <w:szCs w:val="18"/>
              </w:rPr>
              <w:t>48.246.316,42</w:t>
            </w:r>
          </w:p>
        </w:tc>
        <w:tc>
          <w:tcPr>
            <w:tcW w:w="1184" w:type="pct"/>
            <w:tcBorders>
              <w:top w:val="nil"/>
              <w:left w:val="nil"/>
              <w:bottom w:val="nil"/>
              <w:right w:val="nil"/>
            </w:tcBorders>
            <w:shd w:val="clear" w:color="auto" w:fill="auto"/>
            <w:vAlign w:val="center"/>
          </w:tcPr>
          <w:p w14:paraId="3E2CC29C" w14:textId="4ADD4675" w:rsidR="007D7E05" w:rsidRPr="00954AA6" w:rsidRDefault="007D7E05" w:rsidP="007D7E05">
            <w:pPr>
              <w:keepNext/>
              <w:keepLines/>
              <w:widowControl w:val="0"/>
              <w:jc w:val="right"/>
              <w:rPr>
                <w:sz w:val="18"/>
                <w:szCs w:val="18"/>
              </w:rPr>
            </w:pPr>
            <w:r w:rsidRPr="00694C46">
              <w:rPr>
                <w:sz w:val="18"/>
                <w:szCs w:val="18"/>
              </w:rPr>
              <w:t>46.743.894,28</w:t>
            </w:r>
          </w:p>
        </w:tc>
      </w:tr>
      <w:tr w:rsidR="007D7E05" w:rsidRPr="00954AA6" w14:paraId="776B5202" w14:textId="77777777" w:rsidTr="007A7245">
        <w:trPr>
          <w:trHeight w:val="283"/>
          <w:jc w:val="center"/>
        </w:trPr>
        <w:tc>
          <w:tcPr>
            <w:tcW w:w="2631" w:type="pct"/>
            <w:tcBorders>
              <w:top w:val="nil"/>
              <w:left w:val="nil"/>
              <w:bottom w:val="single" w:sz="4" w:space="0" w:color="auto"/>
              <w:right w:val="nil"/>
            </w:tcBorders>
            <w:shd w:val="clear" w:color="auto" w:fill="auto"/>
            <w:vAlign w:val="center"/>
            <w:hideMark/>
          </w:tcPr>
          <w:p w14:paraId="6EFF5CE5" w14:textId="77777777" w:rsidR="007D7E05" w:rsidRPr="00954AA6" w:rsidRDefault="007D7E05" w:rsidP="007D7E05">
            <w:pPr>
              <w:keepNext/>
              <w:keepLines/>
              <w:widowControl w:val="0"/>
              <w:ind w:left="219"/>
              <w:jc w:val="both"/>
              <w:rPr>
                <w:rFonts w:eastAsia="Times New Roman"/>
                <w:sz w:val="18"/>
                <w:szCs w:val="18"/>
              </w:rPr>
            </w:pPr>
            <w:r w:rsidRPr="00954AA6">
              <w:rPr>
                <w:rFonts w:eastAsia="Times New Roman"/>
                <w:sz w:val="18"/>
                <w:szCs w:val="18"/>
              </w:rPr>
              <w:t>Aportaciones de socios</w:t>
            </w:r>
          </w:p>
        </w:tc>
        <w:tc>
          <w:tcPr>
            <w:tcW w:w="1185" w:type="pct"/>
            <w:tcBorders>
              <w:top w:val="nil"/>
              <w:left w:val="nil"/>
              <w:bottom w:val="single" w:sz="4" w:space="0" w:color="auto"/>
              <w:right w:val="nil"/>
            </w:tcBorders>
            <w:shd w:val="clear" w:color="auto" w:fill="auto"/>
            <w:vAlign w:val="center"/>
          </w:tcPr>
          <w:p w14:paraId="559BA08C" w14:textId="50340B2F" w:rsidR="007D7E05" w:rsidRPr="00694C46" w:rsidRDefault="007D7E05" w:rsidP="007D7E05">
            <w:pPr>
              <w:keepNext/>
              <w:keepLines/>
              <w:widowControl w:val="0"/>
              <w:jc w:val="right"/>
              <w:rPr>
                <w:sz w:val="18"/>
                <w:szCs w:val="18"/>
              </w:rPr>
            </w:pPr>
            <w:r>
              <w:rPr>
                <w:sz w:val="18"/>
                <w:szCs w:val="18"/>
              </w:rPr>
              <w:t>3.590.000,00</w:t>
            </w:r>
          </w:p>
        </w:tc>
        <w:tc>
          <w:tcPr>
            <w:tcW w:w="1184" w:type="pct"/>
            <w:tcBorders>
              <w:top w:val="nil"/>
              <w:left w:val="nil"/>
              <w:bottom w:val="single" w:sz="4" w:space="0" w:color="auto"/>
              <w:right w:val="nil"/>
            </w:tcBorders>
            <w:shd w:val="clear" w:color="auto" w:fill="auto"/>
            <w:vAlign w:val="center"/>
          </w:tcPr>
          <w:p w14:paraId="4E6AEF4E" w14:textId="57AEDF68" w:rsidR="007D7E05" w:rsidRPr="00954AA6" w:rsidRDefault="007D7E05" w:rsidP="007D7E05">
            <w:pPr>
              <w:keepNext/>
              <w:keepLines/>
              <w:widowControl w:val="0"/>
              <w:jc w:val="right"/>
              <w:rPr>
                <w:sz w:val="18"/>
                <w:szCs w:val="18"/>
              </w:rPr>
            </w:pPr>
            <w:r w:rsidRPr="00694C46">
              <w:rPr>
                <w:sz w:val="18"/>
                <w:szCs w:val="18"/>
              </w:rPr>
              <w:t>3.577.139,00</w:t>
            </w:r>
          </w:p>
        </w:tc>
      </w:tr>
      <w:tr w:rsidR="007D7E05" w:rsidRPr="00954AA6" w14:paraId="58446B37" w14:textId="77777777" w:rsidTr="007A7245">
        <w:trPr>
          <w:trHeight w:val="283"/>
          <w:jc w:val="center"/>
        </w:trPr>
        <w:tc>
          <w:tcPr>
            <w:tcW w:w="2631" w:type="pct"/>
            <w:tcBorders>
              <w:top w:val="nil"/>
              <w:left w:val="nil"/>
              <w:bottom w:val="single" w:sz="4" w:space="0" w:color="auto"/>
              <w:right w:val="nil"/>
            </w:tcBorders>
            <w:shd w:val="clear" w:color="auto" w:fill="auto"/>
            <w:vAlign w:val="center"/>
            <w:hideMark/>
          </w:tcPr>
          <w:p w14:paraId="6B360C49" w14:textId="77777777" w:rsidR="007D7E05" w:rsidRPr="00954AA6" w:rsidRDefault="007D7E05" w:rsidP="007D7E05">
            <w:pPr>
              <w:keepNext/>
              <w:keepLines/>
              <w:widowControl w:val="0"/>
              <w:ind w:left="219"/>
              <w:rPr>
                <w:rFonts w:eastAsia="Times New Roman"/>
                <w:b/>
                <w:bCs/>
                <w:sz w:val="18"/>
                <w:szCs w:val="18"/>
              </w:rPr>
            </w:pPr>
            <w:r w:rsidRPr="00954AA6">
              <w:rPr>
                <w:rFonts w:eastAsia="Times New Roman"/>
                <w:b/>
                <w:bCs/>
                <w:sz w:val="18"/>
                <w:szCs w:val="18"/>
              </w:rPr>
              <w:t>Total</w:t>
            </w:r>
          </w:p>
        </w:tc>
        <w:tc>
          <w:tcPr>
            <w:tcW w:w="1185" w:type="pct"/>
            <w:tcBorders>
              <w:top w:val="nil"/>
              <w:left w:val="nil"/>
              <w:bottom w:val="single" w:sz="4" w:space="0" w:color="auto"/>
              <w:right w:val="nil"/>
            </w:tcBorders>
            <w:shd w:val="clear" w:color="auto" w:fill="auto"/>
            <w:vAlign w:val="center"/>
          </w:tcPr>
          <w:p w14:paraId="13824C93" w14:textId="779DEF26" w:rsidR="007D7E05" w:rsidRPr="00694C46" w:rsidRDefault="007D7E05" w:rsidP="007D7E05">
            <w:pPr>
              <w:keepNext/>
              <w:keepLines/>
              <w:widowControl w:val="0"/>
              <w:jc w:val="right"/>
              <w:rPr>
                <w:b/>
                <w:bCs/>
                <w:sz w:val="18"/>
                <w:szCs w:val="18"/>
              </w:rPr>
            </w:pPr>
            <w:r>
              <w:rPr>
                <w:b/>
                <w:bCs/>
                <w:sz w:val="18"/>
                <w:szCs w:val="18"/>
              </w:rPr>
              <w:t>52.647.892,76</w:t>
            </w:r>
          </w:p>
        </w:tc>
        <w:tc>
          <w:tcPr>
            <w:tcW w:w="1184" w:type="pct"/>
            <w:tcBorders>
              <w:top w:val="nil"/>
              <w:left w:val="nil"/>
              <w:bottom w:val="single" w:sz="4" w:space="0" w:color="auto"/>
              <w:right w:val="nil"/>
            </w:tcBorders>
            <w:shd w:val="clear" w:color="auto" w:fill="auto"/>
            <w:vAlign w:val="center"/>
          </w:tcPr>
          <w:p w14:paraId="08C06737" w14:textId="7FFA39E8" w:rsidR="007D7E05" w:rsidRPr="00954AA6" w:rsidRDefault="007D7E05" w:rsidP="007D7E05">
            <w:pPr>
              <w:keepNext/>
              <w:keepLines/>
              <w:widowControl w:val="0"/>
              <w:jc w:val="right"/>
              <w:rPr>
                <w:b/>
                <w:bCs/>
                <w:sz w:val="18"/>
                <w:szCs w:val="18"/>
              </w:rPr>
            </w:pPr>
            <w:r w:rsidRPr="00694C46">
              <w:rPr>
                <w:b/>
                <w:bCs/>
                <w:sz w:val="18"/>
                <w:szCs w:val="18"/>
              </w:rPr>
              <w:t>50.599.684,02</w:t>
            </w:r>
          </w:p>
        </w:tc>
      </w:tr>
    </w:tbl>
    <w:p w14:paraId="53D20CB3" w14:textId="77777777" w:rsidR="006220A2" w:rsidRPr="0083433F" w:rsidRDefault="006220A2">
      <w:pPr>
        <w:keepNext/>
        <w:keepLines/>
        <w:widowControl w:val="0"/>
        <w:numPr>
          <w:ilvl w:val="0"/>
          <w:numId w:val="12"/>
        </w:numPr>
        <w:pBdr>
          <w:top w:val="none" w:sz="0" w:space="0" w:color="auto"/>
          <w:left w:val="none" w:sz="0" w:space="0" w:color="auto"/>
          <w:bottom w:val="none" w:sz="0" w:space="0" w:color="auto"/>
          <w:right w:val="none" w:sz="0" w:space="0" w:color="auto"/>
          <w:between w:val="none" w:sz="0" w:space="0" w:color="auto"/>
          <w:bar w:val="none" w:sz="0" w:color="auto"/>
        </w:pBdr>
        <w:tabs>
          <w:tab w:val="clear" w:pos="360"/>
          <w:tab w:val="num" w:pos="284"/>
        </w:tabs>
        <w:spacing w:before="240"/>
        <w:ind w:left="0" w:firstLine="0"/>
        <w:outlineLvl w:val="9"/>
        <w:rPr>
          <w:sz w:val="20"/>
          <w:szCs w:val="22"/>
          <w:u w:val="single"/>
        </w:rPr>
      </w:pPr>
      <w:r w:rsidRPr="0083433F">
        <w:rPr>
          <w:sz w:val="20"/>
          <w:szCs w:val="22"/>
          <w:u w:val="single"/>
        </w:rPr>
        <w:t>Otras transacciones con partes vinculadas</w:t>
      </w:r>
    </w:p>
    <w:p w14:paraId="3C3E0233" w14:textId="3E835202" w:rsidR="006220A2" w:rsidRPr="00176BA0" w:rsidRDefault="006220A2" w:rsidP="00064105">
      <w:pPr>
        <w:widowControl w:val="0"/>
        <w:spacing w:before="120" w:after="120" w:line="260" w:lineRule="exact"/>
        <w:jc w:val="both"/>
        <w:outlineLvl w:val="9"/>
        <w:rPr>
          <w:snapToGrid w:val="0"/>
          <w:sz w:val="20"/>
          <w:szCs w:val="22"/>
        </w:rPr>
      </w:pPr>
      <w:r w:rsidRPr="00176BA0">
        <w:rPr>
          <w:snapToGrid w:val="0"/>
          <w:sz w:val="20"/>
          <w:szCs w:val="22"/>
        </w:rPr>
        <w:t>Otras transacciones con partes vinculadas en los ejercicios 20</w:t>
      </w:r>
      <w:r w:rsidR="009C7621" w:rsidRPr="00176BA0">
        <w:rPr>
          <w:snapToGrid w:val="0"/>
          <w:sz w:val="20"/>
          <w:szCs w:val="22"/>
        </w:rPr>
        <w:t>2</w:t>
      </w:r>
      <w:r w:rsidR="00623AD4">
        <w:rPr>
          <w:snapToGrid w:val="0"/>
          <w:sz w:val="20"/>
          <w:szCs w:val="22"/>
        </w:rPr>
        <w:t>4</w:t>
      </w:r>
      <w:r w:rsidRPr="00176BA0">
        <w:rPr>
          <w:snapToGrid w:val="0"/>
          <w:sz w:val="20"/>
          <w:szCs w:val="22"/>
        </w:rPr>
        <w:t xml:space="preserve"> y 20</w:t>
      </w:r>
      <w:r w:rsidR="008B1A55" w:rsidRPr="00176BA0">
        <w:rPr>
          <w:snapToGrid w:val="0"/>
          <w:sz w:val="20"/>
          <w:szCs w:val="22"/>
        </w:rPr>
        <w:t>2</w:t>
      </w:r>
      <w:r w:rsidR="00623AD4">
        <w:rPr>
          <w:snapToGrid w:val="0"/>
          <w:sz w:val="20"/>
          <w:szCs w:val="22"/>
        </w:rPr>
        <w:t>3</w:t>
      </w:r>
      <w:r w:rsidRPr="00176BA0">
        <w:rPr>
          <w:snapToGrid w:val="0"/>
          <w:sz w:val="20"/>
          <w:szCs w:val="22"/>
        </w:rPr>
        <w:t>:</w:t>
      </w:r>
    </w:p>
    <w:tbl>
      <w:tblPr>
        <w:tblW w:w="5000" w:type="pct"/>
        <w:jc w:val="center"/>
        <w:tblCellMar>
          <w:left w:w="70" w:type="dxa"/>
          <w:right w:w="70" w:type="dxa"/>
        </w:tblCellMar>
        <w:tblLook w:val="04A0" w:firstRow="1" w:lastRow="0" w:firstColumn="1" w:lastColumn="0" w:noHBand="0" w:noVBand="1"/>
      </w:tblPr>
      <w:tblGrid>
        <w:gridCol w:w="4096"/>
        <w:gridCol w:w="1171"/>
        <w:gridCol w:w="1173"/>
        <w:gridCol w:w="1171"/>
        <w:gridCol w:w="1170"/>
      </w:tblGrid>
      <w:tr w:rsidR="00E90EEA" w:rsidRPr="00954AA6" w14:paraId="0BC2F5E5" w14:textId="77777777" w:rsidTr="00623AD4">
        <w:trPr>
          <w:trHeight w:val="227"/>
          <w:jc w:val="center"/>
        </w:trPr>
        <w:tc>
          <w:tcPr>
            <w:tcW w:w="2332" w:type="pct"/>
            <w:tcBorders>
              <w:top w:val="single" w:sz="4" w:space="0" w:color="auto"/>
              <w:left w:val="nil"/>
              <w:bottom w:val="nil"/>
              <w:right w:val="nil"/>
            </w:tcBorders>
            <w:shd w:val="clear" w:color="auto" w:fill="auto"/>
            <w:vAlign w:val="center"/>
            <w:hideMark/>
          </w:tcPr>
          <w:p w14:paraId="31E729D5" w14:textId="77777777" w:rsidR="00E90EEA" w:rsidRPr="00954AA6" w:rsidRDefault="00E90EEA" w:rsidP="00954AA6">
            <w:pPr>
              <w:keepNext/>
              <w:keepLines/>
              <w:widowControl w:val="0"/>
              <w:pBdr>
                <w:top w:val="none" w:sz="0" w:space="0" w:color="auto"/>
                <w:left w:val="none" w:sz="0" w:space="0" w:color="auto"/>
                <w:bottom w:val="none" w:sz="0" w:space="0" w:color="auto"/>
                <w:right w:val="none" w:sz="0" w:space="0" w:color="auto"/>
                <w:between w:val="none" w:sz="0" w:space="0" w:color="auto"/>
                <w:bar w:val="none" w:sz="0" w:color="auto"/>
              </w:pBdr>
              <w:ind w:left="219"/>
              <w:outlineLvl w:val="9"/>
              <w:rPr>
                <w:rFonts w:eastAsia="Times New Roman"/>
                <w:color w:val="auto"/>
                <w:sz w:val="18"/>
                <w:szCs w:val="18"/>
                <w:bdr w:val="none" w:sz="0" w:space="0" w:color="auto"/>
                <w:lang w:eastAsia="es-ES"/>
              </w:rPr>
            </w:pPr>
          </w:p>
        </w:tc>
        <w:tc>
          <w:tcPr>
            <w:tcW w:w="2668" w:type="pct"/>
            <w:gridSpan w:val="4"/>
            <w:tcBorders>
              <w:top w:val="single" w:sz="4" w:space="0" w:color="auto"/>
              <w:left w:val="nil"/>
              <w:bottom w:val="single" w:sz="4" w:space="0" w:color="auto"/>
              <w:right w:val="nil"/>
            </w:tcBorders>
            <w:shd w:val="clear" w:color="auto" w:fill="auto"/>
            <w:vAlign w:val="bottom"/>
            <w:hideMark/>
          </w:tcPr>
          <w:p w14:paraId="0C3C98EA" w14:textId="77777777" w:rsidR="00E90EEA" w:rsidRPr="00954AA6" w:rsidRDefault="00E90EEA" w:rsidP="005A444E">
            <w:pPr>
              <w:keepNext/>
              <w:keepLines/>
              <w:widowControl w:val="0"/>
              <w:pBdr>
                <w:top w:val="none" w:sz="0" w:space="0" w:color="auto"/>
                <w:left w:val="none" w:sz="0" w:space="0" w:color="auto"/>
                <w:bottom w:val="none" w:sz="0" w:space="0" w:color="auto"/>
                <w:right w:val="none" w:sz="0" w:space="0" w:color="auto"/>
                <w:between w:val="none" w:sz="0" w:space="0" w:color="auto"/>
                <w:bar w:val="none" w:sz="0" w:color="auto"/>
              </w:pBdr>
              <w:jc w:val="center"/>
              <w:outlineLvl w:val="9"/>
              <w:rPr>
                <w:rFonts w:eastAsia="Times New Roman"/>
                <w:b/>
                <w:bCs/>
                <w:sz w:val="18"/>
                <w:szCs w:val="18"/>
                <w:bdr w:val="none" w:sz="0" w:space="0" w:color="auto"/>
                <w:lang w:eastAsia="es-ES"/>
              </w:rPr>
            </w:pPr>
            <w:r w:rsidRPr="00954AA6">
              <w:rPr>
                <w:rFonts w:eastAsia="Times New Roman"/>
                <w:b/>
                <w:bCs/>
                <w:sz w:val="18"/>
                <w:szCs w:val="18"/>
                <w:bdr w:val="none" w:sz="0" w:space="0" w:color="auto"/>
                <w:lang w:eastAsia="es-ES"/>
              </w:rPr>
              <w:t>Euros</w:t>
            </w:r>
          </w:p>
        </w:tc>
      </w:tr>
      <w:tr w:rsidR="00136A7F" w:rsidRPr="00954AA6" w14:paraId="54504B76" w14:textId="77777777" w:rsidTr="00603ECD">
        <w:trPr>
          <w:trHeight w:val="227"/>
          <w:jc w:val="center"/>
        </w:trPr>
        <w:tc>
          <w:tcPr>
            <w:tcW w:w="2332" w:type="pct"/>
            <w:tcBorders>
              <w:top w:val="nil"/>
              <w:left w:val="nil"/>
              <w:bottom w:val="nil"/>
              <w:right w:val="nil"/>
            </w:tcBorders>
            <w:shd w:val="clear" w:color="auto" w:fill="auto"/>
            <w:vAlign w:val="center"/>
            <w:hideMark/>
          </w:tcPr>
          <w:p w14:paraId="515FFE19" w14:textId="77777777" w:rsidR="00136A7F" w:rsidRPr="00954AA6" w:rsidRDefault="00136A7F" w:rsidP="00954AA6">
            <w:pPr>
              <w:keepNext/>
              <w:keepLines/>
              <w:widowControl w:val="0"/>
              <w:pBdr>
                <w:top w:val="none" w:sz="0" w:space="0" w:color="auto"/>
                <w:left w:val="none" w:sz="0" w:space="0" w:color="auto"/>
                <w:bottom w:val="none" w:sz="0" w:space="0" w:color="auto"/>
                <w:right w:val="none" w:sz="0" w:space="0" w:color="auto"/>
                <w:between w:val="none" w:sz="0" w:space="0" w:color="auto"/>
                <w:bar w:val="none" w:sz="0" w:color="auto"/>
              </w:pBdr>
              <w:ind w:left="219"/>
              <w:outlineLvl w:val="9"/>
              <w:rPr>
                <w:rFonts w:eastAsia="Times New Roman"/>
                <w:b/>
                <w:bCs/>
                <w:sz w:val="18"/>
                <w:szCs w:val="18"/>
                <w:bdr w:val="none" w:sz="0" w:space="0" w:color="auto"/>
                <w:lang w:eastAsia="es-ES"/>
              </w:rPr>
            </w:pPr>
          </w:p>
        </w:tc>
        <w:tc>
          <w:tcPr>
            <w:tcW w:w="1335" w:type="pct"/>
            <w:gridSpan w:val="2"/>
            <w:tcBorders>
              <w:top w:val="single" w:sz="4" w:space="0" w:color="auto"/>
              <w:left w:val="nil"/>
              <w:bottom w:val="single" w:sz="4" w:space="0" w:color="auto"/>
              <w:right w:val="nil"/>
            </w:tcBorders>
            <w:shd w:val="clear" w:color="auto" w:fill="auto"/>
            <w:vAlign w:val="bottom"/>
            <w:hideMark/>
          </w:tcPr>
          <w:p w14:paraId="6AA3EFDA" w14:textId="0A4825F9" w:rsidR="00136A7F" w:rsidRPr="00954AA6" w:rsidRDefault="00663F02" w:rsidP="005A444E">
            <w:pPr>
              <w:keepNext/>
              <w:keepLines/>
              <w:widowControl w:val="0"/>
              <w:pBdr>
                <w:top w:val="none" w:sz="0" w:space="0" w:color="auto"/>
                <w:left w:val="none" w:sz="0" w:space="0" w:color="auto"/>
                <w:bottom w:val="none" w:sz="0" w:space="0" w:color="auto"/>
                <w:right w:val="none" w:sz="0" w:space="0" w:color="auto"/>
                <w:between w:val="none" w:sz="0" w:space="0" w:color="auto"/>
                <w:bar w:val="none" w:sz="0" w:color="auto"/>
              </w:pBdr>
              <w:jc w:val="center"/>
              <w:outlineLvl w:val="9"/>
              <w:rPr>
                <w:rFonts w:eastAsia="Times New Roman"/>
                <w:b/>
                <w:bCs/>
                <w:sz w:val="18"/>
                <w:szCs w:val="18"/>
                <w:bdr w:val="none" w:sz="0" w:space="0" w:color="auto"/>
                <w:lang w:eastAsia="es-ES"/>
              </w:rPr>
            </w:pPr>
            <w:r w:rsidRPr="00954AA6">
              <w:rPr>
                <w:rFonts w:eastAsia="Times New Roman"/>
                <w:b/>
                <w:bCs/>
                <w:sz w:val="18"/>
                <w:szCs w:val="18"/>
                <w:bdr w:val="none" w:sz="0" w:space="0" w:color="auto"/>
                <w:lang w:eastAsia="es-ES"/>
              </w:rPr>
              <w:t>202</w:t>
            </w:r>
            <w:r w:rsidR="00623AD4">
              <w:rPr>
                <w:rFonts w:eastAsia="Times New Roman"/>
                <w:b/>
                <w:bCs/>
                <w:sz w:val="18"/>
                <w:szCs w:val="18"/>
                <w:bdr w:val="none" w:sz="0" w:space="0" w:color="auto"/>
                <w:lang w:eastAsia="es-ES"/>
              </w:rPr>
              <w:t>4</w:t>
            </w:r>
          </w:p>
        </w:tc>
        <w:tc>
          <w:tcPr>
            <w:tcW w:w="1333" w:type="pct"/>
            <w:gridSpan w:val="2"/>
            <w:tcBorders>
              <w:top w:val="single" w:sz="4" w:space="0" w:color="auto"/>
              <w:left w:val="nil"/>
              <w:bottom w:val="single" w:sz="4" w:space="0" w:color="auto"/>
              <w:right w:val="nil"/>
            </w:tcBorders>
            <w:shd w:val="clear" w:color="auto" w:fill="auto"/>
            <w:vAlign w:val="bottom"/>
            <w:hideMark/>
          </w:tcPr>
          <w:p w14:paraId="2E35782E" w14:textId="5CF141E5" w:rsidR="00136A7F" w:rsidRPr="00954AA6" w:rsidRDefault="00663F02" w:rsidP="005A444E">
            <w:pPr>
              <w:keepNext/>
              <w:keepLines/>
              <w:widowControl w:val="0"/>
              <w:pBdr>
                <w:top w:val="none" w:sz="0" w:space="0" w:color="auto"/>
                <w:left w:val="none" w:sz="0" w:space="0" w:color="auto"/>
                <w:bottom w:val="none" w:sz="0" w:space="0" w:color="auto"/>
                <w:right w:val="none" w:sz="0" w:space="0" w:color="auto"/>
                <w:between w:val="none" w:sz="0" w:space="0" w:color="auto"/>
                <w:bar w:val="none" w:sz="0" w:color="auto"/>
              </w:pBdr>
              <w:jc w:val="center"/>
              <w:outlineLvl w:val="9"/>
              <w:rPr>
                <w:rFonts w:eastAsia="Times New Roman"/>
                <w:b/>
                <w:bCs/>
                <w:sz w:val="18"/>
                <w:szCs w:val="18"/>
                <w:bdr w:val="none" w:sz="0" w:space="0" w:color="auto"/>
                <w:lang w:eastAsia="es-ES"/>
              </w:rPr>
            </w:pPr>
            <w:r w:rsidRPr="00954AA6">
              <w:rPr>
                <w:rFonts w:eastAsia="Times New Roman"/>
                <w:b/>
                <w:bCs/>
                <w:sz w:val="18"/>
                <w:szCs w:val="18"/>
                <w:bdr w:val="none" w:sz="0" w:space="0" w:color="auto"/>
                <w:lang w:eastAsia="es-ES"/>
              </w:rPr>
              <w:t>20</w:t>
            </w:r>
            <w:r w:rsidR="008B1A55" w:rsidRPr="00954AA6">
              <w:rPr>
                <w:rFonts w:eastAsia="Times New Roman"/>
                <w:b/>
                <w:bCs/>
                <w:sz w:val="18"/>
                <w:szCs w:val="18"/>
                <w:bdr w:val="none" w:sz="0" w:space="0" w:color="auto"/>
                <w:lang w:eastAsia="es-ES"/>
              </w:rPr>
              <w:t>2</w:t>
            </w:r>
            <w:r w:rsidR="00623AD4">
              <w:rPr>
                <w:rFonts w:eastAsia="Times New Roman"/>
                <w:b/>
                <w:bCs/>
                <w:sz w:val="18"/>
                <w:szCs w:val="18"/>
                <w:bdr w:val="none" w:sz="0" w:space="0" w:color="auto"/>
                <w:lang w:eastAsia="es-ES"/>
              </w:rPr>
              <w:t>3</w:t>
            </w:r>
          </w:p>
        </w:tc>
      </w:tr>
      <w:tr w:rsidR="005A444E" w:rsidRPr="00954AA6" w14:paraId="593FF527" w14:textId="77777777" w:rsidTr="00603ECD">
        <w:trPr>
          <w:trHeight w:val="227"/>
          <w:jc w:val="center"/>
        </w:trPr>
        <w:tc>
          <w:tcPr>
            <w:tcW w:w="2332" w:type="pct"/>
            <w:tcBorders>
              <w:top w:val="nil"/>
              <w:left w:val="nil"/>
              <w:bottom w:val="single" w:sz="4" w:space="0" w:color="auto"/>
              <w:right w:val="nil"/>
            </w:tcBorders>
            <w:shd w:val="clear" w:color="auto" w:fill="auto"/>
            <w:vAlign w:val="center"/>
            <w:hideMark/>
          </w:tcPr>
          <w:p w14:paraId="276BC409" w14:textId="77777777" w:rsidR="00136A7F" w:rsidRPr="00954AA6" w:rsidRDefault="00136A7F" w:rsidP="00954AA6">
            <w:pPr>
              <w:keepNext/>
              <w:keepLines/>
              <w:widowControl w:val="0"/>
              <w:pBdr>
                <w:top w:val="none" w:sz="0" w:space="0" w:color="auto"/>
                <w:left w:val="none" w:sz="0" w:space="0" w:color="auto"/>
                <w:bottom w:val="none" w:sz="0" w:space="0" w:color="auto"/>
                <w:right w:val="none" w:sz="0" w:space="0" w:color="auto"/>
                <w:between w:val="none" w:sz="0" w:space="0" w:color="auto"/>
                <w:bar w:val="none" w:sz="0" w:color="auto"/>
              </w:pBdr>
              <w:ind w:left="219"/>
              <w:outlineLvl w:val="9"/>
              <w:rPr>
                <w:rFonts w:eastAsia="Times New Roman"/>
                <w:sz w:val="18"/>
                <w:szCs w:val="18"/>
                <w:bdr w:val="none" w:sz="0" w:space="0" w:color="auto"/>
                <w:lang w:eastAsia="es-ES"/>
              </w:rPr>
            </w:pPr>
            <w:r w:rsidRPr="00954AA6">
              <w:rPr>
                <w:rFonts w:eastAsia="Times New Roman"/>
                <w:sz w:val="18"/>
                <w:szCs w:val="18"/>
                <w:bdr w:val="none" w:sz="0" w:space="0" w:color="auto"/>
                <w:lang w:eastAsia="es-ES"/>
              </w:rPr>
              <w:t> </w:t>
            </w:r>
          </w:p>
        </w:tc>
        <w:tc>
          <w:tcPr>
            <w:tcW w:w="667" w:type="pct"/>
            <w:tcBorders>
              <w:top w:val="nil"/>
              <w:left w:val="nil"/>
              <w:bottom w:val="single" w:sz="4" w:space="0" w:color="auto"/>
              <w:right w:val="nil"/>
            </w:tcBorders>
            <w:shd w:val="clear" w:color="auto" w:fill="auto"/>
            <w:vAlign w:val="bottom"/>
            <w:hideMark/>
          </w:tcPr>
          <w:p w14:paraId="6C4C62C3" w14:textId="77777777" w:rsidR="00136A7F" w:rsidRPr="00954AA6" w:rsidRDefault="00136A7F" w:rsidP="005A444E">
            <w:pPr>
              <w:keepNext/>
              <w:keepLines/>
              <w:widowControl w:val="0"/>
              <w:pBdr>
                <w:top w:val="none" w:sz="0" w:space="0" w:color="auto"/>
                <w:left w:val="none" w:sz="0" w:space="0" w:color="auto"/>
                <w:bottom w:val="none" w:sz="0" w:space="0" w:color="auto"/>
                <w:right w:val="none" w:sz="0" w:space="0" w:color="auto"/>
                <w:between w:val="none" w:sz="0" w:space="0" w:color="auto"/>
                <w:bar w:val="none" w:sz="0" w:color="auto"/>
              </w:pBdr>
              <w:jc w:val="center"/>
              <w:outlineLvl w:val="9"/>
              <w:rPr>
                <w:rFonts w:eastAsia="Times New Roman"/>
                <w:b/>
                <w:bCs/>
                <w:sz w:val="18"/>
                <w:szCs w:val="18"/>
                <w:bdr w:val="none" w:sz="0" w:space="0" w:color="auto"/>
                <w:lang w:eastAsia="es-ES"/>
              </w:rPr>
            </w:pPr>
            <w:proofErr w:type="spellStart"/>
            <w:r w:rsidRPr="00954AA6">
              <w:rPr>
                <w:rFonts w:eastAsia="Times New Roman"/>
                <w:b/>
                <w:bCs/>
                <w:sz w:val="18"/>
                <w:szCs w:val="18"/>
                <w:bdr w:val="none" w:sz="0" w:space="0" w:color="auto"/>
                <w:lang w:eastAsia="es-ES"/>
              </w:rPr>
              <w:t>Aprov</w:t>
            </w:r>
            <w:proofErr w:type="spellEnd"/>
            <w:r w:rsidRPr="00954AA6">
              <w:rPr>
                <w:rFonts w:eastAsia="Times New Roman"/>
                <w:b/>
                <w:bCs/>
                <w:sz w:val="18"/>
                <w:szCs w:val="18"/>
                <w:bdr w:val="none" w:sz="0" w:space="0" w:color="auto"/>
                <w:lang w:eastAsia="es-ES"/>
              </w:rPr>
              <w:t>.</w:t>
            </w:r>
          </w:p>
        </w:tc>
        <w:tc>
          <w:tcPr>
            <w:tcW w:w="668" w:type="pct"/>
            <w:tcBorders>
              <w:top w:val="nil"/>
              <w:left w:val="nil"/>
              <w:bottom w:val="single" w:sz="4" w:space="0" w:color="auto"/>
              <w:right w:val="nil"/>
            </w:tcBorders>
            <w:shd w:val="clear" w:color="auto" w:fill="auto"/>
            <w:vAlign w:val="bottom"/>
            <w:hideMark/>
          </w:tcPr>
          <w:p w14:paraId="4975B658" w14:textId="77777777" w:rsidR="00136A7F" w:rsidRPr="00954AA6" w:rsidRDefault="00136A7F" w:rsidP="005A444E">
            <w:pPr>
              <w:keepNext/>
              <w:keepLines/>
              <w:widowControl w:val="0"/>
              <w:pBdr>
                <w:top w:val="none" w:sz="0" w:space="0" w:color="auto"/>
                <w:left w:val="none" w:sz="0" w:space="0" w:color="auto"/>
                <w:bottom w:val="none" w:sz="0" w:space="0" w:color="auto"/>
                <w:right w:val="none" w:sz="0" w:space="0" w:color="auto"/>
                <w:between w:val="none" w:sz="0" w:space="0" w:color="auto"/>
                <w:bar w:val="none" w:sz="0" w:color="auto"/>
              </w:pBdr>
              <w:jc w:val="center"/>
              <w:outlineLvl w:val="9"/>
              <w:rPr>
                <w:rFonts w:eastAsia="Times New Roman"/>
                <w:b/>
                <w:bCs/>
                <w:sz w:val="18"/>
                <w:szCs w:val="18"/>
                <w:bdr w:val="none" w:sz="0" w:space="0" w:color="auto"/>
                <w:lang w:eastAsia="es-ES"/>
              </w:rPr>
            </w:pPr>
            <w:r w:rsidRPr="00954AA6">
              <w:rPr>
                <w:rFonts w:eastAsia="Times New Roman"/>
                <w:b/>
                <w:bCs/>
                <w:sz w:val="18"/>
                <w:szCs w:val="18"/>
                <w:bdr w:val="none" w:sz="0" w:space="0" w:color="auto"/>
                <w:lang w:eastAsia="es-ES"/>
              </w:rPr>
              <w:t>Otros Ingresos</w:t>
            </w:r>
          </w:p>
        </w:tc>
        <w:tc>
          <w:tcPr>
            <w:tcW w:w="667" w:type="pct"/>
            <w:tcBorders>
              <w:top w:val="nil"/>
              <w:left w:val="nil"/>
              <w:bottom w:val="single" w:sz="4" w:space="0" w:color="auto"/>
              <w:right w:val="nil"/>
            </w:tcBorders>
            <w:shd w:val="clear" w:color="auto" w:fill="auto"/>
            <w:vAlign w:val="bottom"/>
            <w:hideMark/>
          </w:tcPr>
          <w:p w14:paraId="43E13033" w14:textId="77777777" w:rsidR="00136A7F" w:rsidRPr="00954AA6" w:rsidRDefault="00136A7F" w:rsidP="005A444E">
            <w:pPr>
              <w:keepNext/>
              <w:keepLines/>
              <w:widowControl w:val="0"/>
              <w:pBdr>
                <w:top w:val="none" w:sz="0" w:space="0" w:color="auto"/>
                <w:left w:val="none" w:sz="0" w:space="0" w:color="auto"/>
                <w:bottom w:val="none" w:sz="0" w:space="0" w:color="auto"/>
                <w:right w:val="none" w:sz="0" w:space="0" w:color="auto"/>
                <w:between w:val="none" w:sz="0" w:space="0" w:color="auto"/>
                <w:bar w:val="none" w:sz="0" w:color="auto"/>
              </w:pBdr>
              <w:jc w:val="center"/>
              <w:outlineLvl w:val="9"/>
              <w:rPr>
                <w:rFonts w:eastAsia="Times New Roman"/>
                <w:b/>
                <w:bCs/>
                <w:sz w:val="18"/>
                <w:szCs w:val="18"/>
                <w:bdr w:val="none" w:sz="0" w:space="0" w:color="auto"/>
                <w:lang w:eastAsia="es-ES"/>
              </w:rPr>
            </w:pPr>
            <w:proofErr w:type="spellStart"/>
            <w:r w:rsidRPr="00954AA6">
              <w:rPr>
                <w:rFonts w:eastAsia="Times New Roman"/>
                <w:b/>
                <w:bCs/>
                <w:sz w:val="18"/>
                <w:szCs w:val="18"/>
                <w:bdr w:val="none" w:sz="0" w:space="0" w:color="auto"/>
                <w:lang w:eastAsia="es-ES"/>
              </w:rPr>
              <w:t>Aprov</w:t>
            </w:r>
            <w:proofErr w:type="spellEnd"/>
            <w:r w:rsidRPr="00954AA6">
              <w:rPr>
                <w:rFonts w:eastAsia="Times New Roman"/>
                <w:b/>
                <w:bCs/>
                <w:sz w:val="18"/>
                <w:szCs w:val="18"/>
                <w:bdr w:val="none" w:sz="0" w:space="0" w:color="auto"/>
                <w:lang w:eastAsia="es-ES"/>
              </w:rPr>
              <w:t>.</w:t>
            </w:r>
          </w:p>
        </w:tc>
        <w:tc>
          <w:tcPr>
            <w:tcW w:w="666" w:type="pct"/>
            <w:tcBorders>
              <w:top w:val="nil"/>
              <w:left w:val="nil"/>
              <w:bottom w:val="single" w:sz="4" w:space="0" w:color="auto"/>
              <w:right w:val="nil"/>
            </w:tcBorders>
            <w:shd w:val="clear" w:color="auto" w:fill="auto"/>
            <w:vAlign w:val="bottom"/>
            <w:hideMark/>
          </w:tcPr>
          <w:p w14:paraId="3102F363" w14:textId="77777777" w:rsidR="00136A7F" w:rsidRPr="00954AA6" w:rsidRDefault="00136A7F" w:rsidP="005A444E">
            <w:pPr>
              <w:keepNext/>
              <w:keepLines/>
              <w:widowControl w:val="0"/>
              <w:pBdr>
                <w:top w:val="none" w:sz="0" w:space="0" w:color="auto"/>
                <w:left w:val="none" w:sz="0" w:space="0" w:color="auto"/>
                <w:bottom w:val="none" w:sz="0" w:space="0" w:color="auto"/>
                <w:right w:val="none" w:sz="0" w:space="0" w:color="auto"/>
                <w:between w:val="none" w:sz="0" w:space="0" w:color="auto"/>
                <w:bar w:val="none" w:sz="0" w:color="auto"/>
              </w:pBdr>
              <w:jc w:val="center"/>
              <w:outlineLvl w:val="9"/>
              <w:rPr>
                <w:rFonts w:eastAsia="Times New Roman"/>
                <w:b/>
                <w:bCs/>
                <w:sz w:val="18"/>
                <w:szCs w:val="18"/>
                <w:bdr w:val="none" w:sz="0" w:space="0" w:color="auto"/>
                <w:lang w:eastAsia="es-ES"/>
              </w:rPr>
            </w:pPr>
            <w:r w:rsidRPr="00954AA6">
              <w:rPr>
                <w:rFonts w:eastAsia="Times New Roman"/>
                <w:b/>
                <w:bCs/>
                <w:sz w:val="18"/>
                <w:szCs w:val="18"/>
                <w:bdr w:val="none" w:sz="0" w:space="0" w:color="auto"/>
                <w:lang w:eastAsia="es-ES"/>
              </w:rPr>
              <w:t>Otros Ingresos</w:t>
            </w:r>
          </w:p>
        </w:tc>
      </w:tr>
      <w:tr w:rsidR="00603ECD" w:rsidRPr="00954AA6" w14:paraId="28D6FEF7" w14:textId="77777777" w:rsidTr="00603ECD">
        <w:trPr>
          <w:trHeight w:val="283"/>
          <w:jc w:val="center"/>
        </w:trPr>
        <w:tc>
          <w:tcPr>
            <w:tcW w:w="2332" w:type="pct"/>
            <w:tcBorders>
              <w:top w:val="nil"/>
              <w:left w:val="nil"/>
              <w:bottom w:val="nil"/>
              <w:right w:val="nil"/>
            </w:tcBorders>
            <w:shd w:val="clear" w:color="auto" w:fill="auto"/>
            <w:vAlign w:val="center"/>
            <w:hideMark/>
          </w:tcPr>
          <w:p w14:paraId="05ACD15B" w14:textId="77777777" w:rsidR="00603ECD" w:rsidRPr="00954AA6" w:rsidRDefault="00603ECD" w:rsidP="00603ECD">
            <w:pPr>
              <w:keepNext/>
              <w:keepLines/>
              <w:widowControl w:val="0"/>
              <w:pBdr>
                <w:top w:val="none" w:sz="0" w:space="0" w:color="auto"/>
                <w:left w:val="none" w:sz="0" w:space="0" w:color="auto"/>
                <w:bottom w:val="none" w:sz="0" w:space="0" w:color="auto"/>
                <w:right w:val="none" w:sz="0" w:space="0" w:color="auto"/>
                <w:between w:val="none" w:sz="0" w:space="0" w:color="auto"/>
                <w:bar w:val="none" w:sz="0" w:color="auto"/>
              </w:pBdr>
              <w:ind w:left="219"/>
              <w:outlineLvl w:val="9"/>
              <w:rPr>
                <w:rFonts w:eastAsia="Times New Roman"/>
                <w:sz w:val="18"/>
                <w:szCs w:val="18"/>
                <w:bdr w:val="none" w:sz="0" w:space="0" w:color="auto"/>
                <w:lang w:eastAsia="es-ES"/>
              </w:rPr>
            </w:pPr>
            <w:r w:rsidRPr="00954AA6">
              <w:rPr>
                <w:rFonts w:eastAsia="Times New Roman"/>
                <w:sz w:val="18"/>
                <w:szCs w:val="18"/>
                <w:bdr w:val="none" w:sz="0" w:space="0" w:color="auto"/>
                <w:lang w:eastAsia="es-ES"/>
              </w:rPr>
              <w:t>Hotel Escuela de Canarias, S.A.</w:t>
            </w:r>
          </w:p>
        </w:tc>
        <w:tc>
          <w:tcPr>
            <w:tcW w:w="667" w:type="pct"/>
            <w:tcBorders>
              <w:top w:val="nil"/>
              <w:left w:val="nil"/>
              <w:bottom w:val="nil"/>
              <w:right w:val="nil"/>
            </w:tcBorders>
            <w:shd w:val="clear" w:color="auto" w:fill="auto"/>
            <w:vAlign w:val="center"/>
          </w:tcPr>
          <w:p w14:paraId="51E85105" w14:textId="76349C55" w:rsidR="00603ECD" w:rsidRPr="009F18C5" w:rsidRDefault="009F18C5" w:rsidP="009F18C5">
            <w:pPr>
              <w:pBdr>
                <w:top w:val="none" w:sz="0" w:space="0" w:color="auto"/>
                <w:left w:val="none" w:sz="0" w:space="0" w:color="auto"/>
                <w:bottom w:val="none" w:sz="0" w:space="0" w:color="auto"/>
                <w:right w:val="none" w:sz="0" w:space="0" w:color="auto"/>
                <w:between w:val="none" w:sz="0" w:space="0" w:color="auto"/>
                <w:bar w:val="none" w:sz="0" w:color="auto"/>
              </w:pBdr>
              <w:jc w:val="right"/>
              <w:outlineLvl w:val="9"/>
              <w:rPr>
                <w:rFonts w:eastAsia="Times New Roman"/>
                <w:sz w:val="18"/>
                <w:szCs w:val="18"/>
                <w:bdr w:val="none" w:sz="0" w:space="0" w:color="auto"/>
                <w:lang w:eastAsia="es-ES"/>
              </w:rPr>
            </w:pPr>
            <w:r>
              <w:rPr>
                <w:sz w:val="18"/>
                <w:szCs w:val="18"/>
              </w:rPr>
              <w:t>45.883,03</w:t>
            </w:r>
          </w:p>
        </w:tc>
        <w:tc>
          <w:tcPr>
            <w:tcW w:w="668" w:type="pct"/>
            <w:tcBorders>
              <w:top w:val="nil"/>
              <w:left w:val="nil"/>
              <w:bottom w:val="nil"/>
              <w:right w:val="nil"/>
            </w:tcBorders>
            <w:shd w:val="clear" w:color="auto" w:fill="auto"/>
            <w:vAlign w:val="center"/>
          </w:tcPr>
          <w:p w14:paraId="58791929" w14:textId="288EA083" w:rsidR="00603ECD" w:rsidRPr="007A7245" w:rsidRDefault="00603ECD" w:rsidP="00603ECD">
            <w:pPr>
              <w:jc w:val="right"/>
              <w:rPr>
                <w:sz w:val="18"/>
                <w:szCs w:val="18"/>
              </w:rPr>
            </w:pPr>
            <w:r>
              <w:rPr>
                <w:sz w:val="18"/>
                <w:szCs w:val="18"/>
              </w:rPr>
              <w:t xml:space="preserve"> -</w:t>
            </w:r>
          </w:p>
        </w:tc>
        <w:tc>
          <w:tcPr>
            <w:tcW w:w="667" w:type="pct"/>
            <w:tcBorders>
              <w:top w:val="nil"/>
              <w:left w:val="nil"/>
              <w:bottom w:val="nil"/>
              <w:right w:val="nil"/>
            </w:tcBorders>
            <w:shd w:val="clear" w:color="auto" w:fill="auto"/>
            <w:vAlign w:val="center"/>
            <w:hideMark/>
          </w:tcPr>
          <w:p w14:paraId="38C72CC3" w14:textId="55BD0919" w:rsidR="00603ECD" w:rsidRPr="007A7245" w:rsidRDefault="00603ECD" w:rsidP="00603ECD">
            <w:pPr>
              <w:pBdr>
                <w:top w:val="none" w:sz="0" w:space="0" w:color="auto"/>
                <w:left w:val="none" w:sz="0" w:space="0" w:color="auto"/>
                <w:bottom w:val="none" w:sz="0" w:space="0" w:color="auto"/>
                <w:right w:val="none" w:sz="0" w:space="0" w:color="auto"/>
                <w:between w:val="none" w:sz="0" w:space="0" w:color="auto"/>
                <w:bar w:val="none" w:sz="0" w:color="auto"/>
              </w:pBdr>
              <w:jc w:val="right"/>
              <w:outlineLvl w:val="9"/>
              <w:rPr>
                <w:rFonts w:eastAsia="Times New Roman"/>
                <w:sz w:val="18"/>
                <w:szCs w:val="18"/>
                <w:bdr w:val="none" w:sz="0" w:space="0" w:color="auto"/>
                <w:lang w:eastAsia="es-ES"/>
              </w:rPr>
            </w:pPr>
            <w:r w:rsidRPr="007A7245">
              <w:rPr>
                <w:rFonts w:eastAsia="Times New Roman"/>
                <w:sz w:val="18"/>
                <w:szCs w:val="18"/>
                <w:bdr w:val="none" w:sz="0" w:space="0" w:color="auto"/>
                <w:lang w:eastAsia="es-ES"/>
              </w:rPr>
              <w:t>45.741,08</w:t>
            </w:r>
          </w:p>
        </w:tc>
        <w:tc>
          <w:tcPr>
            <w:tcW w:w="666" w:type="pct"/>
            <w:tcBorders>
              <w:top w:val="nil"/>
              <w:left w:val="nil"/>
              <w:bottom w:val="nil"/>
              <w:right w:val="nil"/>
            </w:tcBorders>
            <w:shd w:val="clear" w:color="auto" w:fill="auto"/>
            <w:vAlign w:val="center"/>
            <w:hideMark/>
          </w:tcPr>
          <w:p w14:paraId="4C0CF9C6" w14:textId="015F3B50" w:rsidR="00603ECD" w:rsidRPr="007A7245" w:rsidRDefault="00603ECD" w:rsidP="00603ECD">
            <w:pPr>
              <w:jc w:val="right"/>
              <w:rPr>
                <w:sz w:val="18"/>
                <w:szCs w:val="18"/>
              </w:rPr>
            </w:pPr>
            <w:r w:rsidRPr="007A7245">
              <w:rPr>
                <w:sz w:val="18"/>
                <w:szCs w:val="18"/>
              </w:rPr>
              <w:t>-</w:t>
            </w:r>
          </w:p>
        </w:tc>
      </w:tr>
      <w:tr w:rsidR="00603ECD" w:rsidRPr="00954AA6" w14:paraId="05749E23" w14:textId="77777777" w:rsidTr="00603ECD">
        <w:trPr>
          <w:trHeight w:val="283"/>
          <w:jc w:val="center"/>
        </w:trPr>
        <w:tc>
          <w:tcPr>
            <w:tcW w:w="2332" w:type="pct"/>
            <w:tcBorders>
              <w:top w:val="nil"/>
              <w:left w:val="nil"/>
              <w:bottom w:val="single" w:sz="4" w:space="0" w:color="auto"/>
              <w:right w:val="nil"/>
            </w:tcBorders>
            <w:shd w:val="clear" w:color="auto" w:fill="auto"/>
            <w:vAlign w:val="center"/>
            <w:hideMark/>
          </w:tcPr>
          <w:p w14:paraId="5B0021FF" w14:textId="23BA3D25" w:rsidR="00603ECD" w:rsidRPr="00954AA6" w:rsidRDefault="00603ECD" w:rsidP="00603ECD">
            <w:pPr>
              <w:keepNext/>
              <w:keepLines/>
              <w:widowControl w:val="0"/>
              <w:pBdr>
                <w:top w:val="none" w:sz="0" w:space="0" w:color="auto"/>
                <w:left w:val="none" w:sz="0" w:space="0" w:color="auto"/>
                <w:bottom w:val="none" w:sz="0" w:space="0" w:color="auto"/>
                <w:right w:val="none" w:sz="0" w:space="0" w:color="auto"/>
                <w:between w:val="none" w:sz="0" w:space="0" w:color="auto"/>
                <w:bar w:val="none" w:sz="0" w:color="auto"/>
              </w:pBdr>
              <w:ind w:left="219"/>
              <w:outlineLvl w:val="9"/>
              <w:rPr>
                <w:rFonts w:eastAsia="Times New Roman"/>
                <w:sz w:val="18"/>
                <w:szCs w:val="18"/>
                <w:bdr w:val="none" w:sz="0" w:space="0" w:color="auto"/>
                <w:lang w:eastAsia="es-ES"/>
              </w:rPr>
            </w:pPr>
            <w:r>
              <w:rPr>
                <w:rFonts w:eastAsia="Times New Roman"/>
                <w:sz w:val="18"/>
                <w:szCs w:val="18"/>
                <w:bdr w:val="none" w:sz="0" w:space="0" w:color="auto"/>
                <w:lang w:eastAsia="es-ES"/>
              </w:rPr>
              <w:t>Instituto Canario de Desarrollo Cultural, S.A.</w:t>
            </w:r>
          </w:p>
        </w:tc>
        <w:tc>
          <w:tcPr>
            <w:tcW w:w="667" w:type="pct"/>
            <w:tcBorders>
              <w:top w:val="nil"/>
              <w:left w:val="nil"/>
              <w:bottom w:val="nil"/>
              <w:right w:val="nil"/>
            </w:tcBorders>
            <w:shd w:val="clear" w:color="auto" w:fill="auto"/>
            <w:vAlign w:val="center"/>
          </w:tcPr>
          <w:p w14:paraId="2F250C6E" w14:textId="1E8B708F" w:rsidR="00603ECD" w:rsidRPr="007A7245" w:rsidRDefault="00603ECD" w:rsidP="00603ECD">
            <w:pPr>
              <w:jc w:val="right"/>
              <w:rPr>
                <w:sz w:val="18"/>
                <w:szCs w:val="18"/>
              </w:rPr>
            </w:pPr>
            <w:r>
              <w:rPr>
                <w:sz w:val="18"/>
                <w:szCs w:val="18"/>
              </w:rPr>
              <w:t xml:space="preserve"> -</w:t>
            </w:r>
          </w:p>
        </w:tc>
        <w:tc>
          <w:tcPr>
            <w:tcW w:w="668" w:type="pct"/>
            <w:tcBorders>
              <w:top w:val="nil"/>
              <w:left w:val="nil"/>
              <w:bottom w:val="nil"/>
              <w:right w:val="nil"/>
            </w:tcBorders>
            <w:shd w:val="clear" w:color="auto" w:fill="auto"/>
            <w:vAlign w:val="center"/>
          </w:tcPr>
          <w:p w14:paraId="3B5A94CE" w14:textId="6669EFC5" w:rsidR="00603ECD" w:rsidRPr="007A7245" w:rsidRDefault="00603ECD" w:rsidP="00603ECD">
            <w:pPr>
              <w:pBdr>
                <w:top w:val="none" w:sz="0" w:space="0" w:color="auto"/>
                <w:left w:val="none" w:sz="0" w:space="0" w:color="auto"/>
                <w:bottom w:val="none" w:sz="0" w:space="0" w:color="auto"/>
                <w:right w:val="none" w:sz="0" w:space="0" w:color="auto"/>
                <w:between w:val="none" w:sz="0" w:space="0" w:color="auto"/>
                <w:bar w:val="none" w:sz="0" w:color="auto"/>
              </w:pBdr>
              <w:jc w:val="right"/>
              <w:outlineLvl w:val="9"/>
              <w:rPr>
                <w:rFonts w:eastAsia="Times New Roman"/>
                <w:sz w:val="18"/>
                <w:szCs w:val="18"/>
                <w:bdr w:val="none" w:sz="0" w:space="0" w:color="auto"/>
                <w:lang w:eastAsia="es-ES"/>
              </w:rPr>
            </w:pPr>
            <w:r>
              <w:rPr>
                <w:sz w:val="18"/>
                <w:szCs w:val="18"/>
              </w:rPr>
              <w:t>1.934,72</w:t>
            </w:r>
          </w:p>
        </w:tc>
        <w:tc>
          <w:tcPr>
            <w:tcW w:w="667" w:type="pct"/>
            <w:tcBorders>
              <w:top w:val="nil"/>
              <w:left w:val="nil"/>
              <w:bottom w:val="single" w:sz="4" w:space="0" w:color="auto"/>
              <w:right w:val="nil"/>
            </w:tcBorders>
            <w:shd w:val="clear" w:color="auto" w:fill="auto"/>
            <w:vAlign w:val="center"/>
            <w:hideMark/>
          </w:tcPr>
          <w:p w14:paraId="1D0B6932" w14:textId="03826ED6" w:rsidR="00603ECD" w:rsidRPr="007A7245" w:rsidRDefault="00603ECD" w:rsidP="00603ECD">
            <w:pPr>
              <w:jc w:val="right"/>
              <w:rPr>
                <w:sz w:val="18"/>
                <w:szCs w:val="18"/>
              </w:rPr>
            </w:pPr>
            <w:r w:rsidRPr="007A7245">
              <w:rPr>
                <w:sz w:val="18"/>
                <w:szCs w:val="18"/>
              </w:rPr>
              <w:t>-</w:t>
            </w:r>
          </w:p>
        </w:tc>
        <w:tc>
          <w:tcPr>
            <w:tcW w:w="666" w:type="pct"/>
            <w:tcBorders>
              <w:top w:val="nil"/>
              <w:left w:val="nil"/>
              <w:bottom w:val="single" w:sz="4" w:space="0" w:color="auto"/>
              <w:right w:val="nil"/>
            </w:tcBorders>
            <w:shd w:val="clear" w:color="auto" w:fill="auto"/>
            <w:vAlign w:val="center"/>
            <w:hideMark/>
          </w:tcPr>
          <w:p w14:paraId="59CF6C25" w14:textId="3FCD52A7" w:rsidR="00603ECD" w:rsidRPr="007A7245" w:rsidRDefault="00603ECD" w:rsidP="00603ECD">
            <w:pPr>
              <w:jc w:val="right"/>
              <w:rPr>
                <w:sz w:val="18"/>
                <w:szCs w:val="18"/>
              </w:rPr>
            </w:pPr>
            <w:r w:rsidRPr="007A7245">
              <w:rPr>
                <w:sz w:val="18"/>
                <w:szCs w:val="18"/>
              </w:rPr>
              <w:t>3.086,21</w:t>
            </w:r>
          </w:p>
        </w:tc>
      </w:tr>
      <w:tr w:rsidR="00603ECD" w:rsidRPr="00954AA6" w14:paraId="7041C1C9" w14:textId="77777777" w:rsidTr="00603ECD">
        <w:trPr>
          <w:trHeight w:val="283"/>
          <w:jc w:val="center"/>
        </w:trPr>
        <w:tc>
          <w:tcPr>
            <w:tcW w:w="2332" w:type="pct"/>
            <w:tcBorders>
              <w:top w:val="nil"/>
              <w:left w:val="nil"/>
              <w:bottom w:val="single" w:sz="4" w:space="0" w:color="auto"/>
              <w:right w:val="nil"/>
            </w:tcBorders>
            <w:shd w:val="clear" w:color="auto" w:fill="auto"/>
            <w:noWrap/>
            <w:vAlign w:val="center"/>
            <w:hideMark/>
          </w:tcPr>
          <w:p w14:paraId="65E35E42" w14:textId="77777777" w:rsidR="00603ECD" w:rsidRPr="00954AA6" w:rsidRDefault="00603ECD" w:rsidP="00603ECD">
            <w:pPr>
              <w:keepNext/>
              <w:keepLines/>
              <w:widowControl w:val="0"/>
              <w:pBdr>
                <w:top w:val="none" w:sz="0" w:space="0" w:color="auto"/>
                <w:left w:val="none" w:sz="0" w:space="0" w:color="auto"/>
                <w:bottom w:val="none" w:sz="0" w:space="0" w:color="auto"/>
                <w:right w:val="none" w:sz="0" w:space="0" w:color="auto"/>
                <w:between w:val="none" w:sz="0" w:space="0" w:color="auto"/>
                <w:bar w:val="none" w:sz="0" w:color="auto"/>
              </w:pBdr>
              <w:ind w:left="219"/>
              <w:outlineLvl w:val="9"/>
              <w:rPr>
                <w:rFonts w:eastAsia="Times New Roman"/>
                <w:sz w:val="18"/>
                <w:szCs w:val="18"/>
                <w:bdr w:val="none" w:sz="0" w:space="0" w:color="auto"/>
                <w:lang w:eastAsia="es-ES"/>
              </w:rPr>
            </w:pPr>
            <w:r w:rsidRPr="00954AA6">
              <w:rPr>
                <w:rFonts w:eastAsia="Times New Roman"/>
                <w:b/>
                <w:bCs/>
                <w:sz w:val="18"/>
                <w:szCs w:val="18"/>
                <w:bdr w:val="none" w:sz="0" w:space="0" w:color="auto"/>
                <w:lang w:eastAsia="es-ES"/>
              </w:rPr>
              <w:t>Total</w:t>
            </w:r>
          </w:p>
        </w:tc>
        <w:tc>
          <w:tcPr>
            <w:tcW w:w="667" w:type="pct"/>
            <w:tcBorders>
              <w:top w:val="single" w:sz="4" w:space="0" w:color="auto"/>
              <w:left w:val="nil"/>
              <w:bottom w:val="single" w:sz="4" w:space="0" w:color="auto"/>
              <w:right w:val="nil"/>
            </w:tcBorders>
            <w:shd w:val="clear" w:color="auto" w:fill="auto"/>
            <w:vAlign w:val="center"/>
          </w:tcPr>
          <w:p w14:paraId="5EA3F6FF" w14:textId="3D5B1A29" w:rsidR="00603ECD" w:rsidRPr="009F18C5" w:rsidRDefault="009F18C5" w:rsidP="009F18C5">
            <w:pPr>
              <w:pBdr>
                <w:top w:val="none" w:sz="0" w:space="0" w:color="auto"/>
                <w:left w:val="none" w:sz="0" w:space="0" w:color="auto"/>
                <w:bottom w:val="none" w:sz="0" w:space="0" w:color="auto"/>
                <w:right w:val="none" w:sz="0" w:space="0" w:color="auto"/>
                <w:between w:val="none" w:sz="0" w:space="0" w:color="auto"/>
                <w:bar w:val="none" w:sz="0" w:color="auto"/>
              </w:pBdr>
              <w:jc w:val="right"/>
              <w:outlineLvl w:val="9"/>
              <w:rPr>
                <w:rFonts w:eastAsia="Times New Roman"/>
                <w:b/>
                <w:bCs/>
                <w:sz w:val="18"/>
                <w:szCs w:val="18"/>
                <w:bdr w:val="none" w:sz="0" w:space="0" w:color="auto"/>
                <w:lang w:eastAsia="es-ES"/>
              </w:rPr>
            </w:pPr>
            <w:r w:rsidRPr="009F18C5">
              <w:rPr>
                <w:b/>
                <w:bCs/>
                <w:sz w:val="18"/>
                <w:szCs w:val="18"/>
              </w:rPr>
              <w:t>45.883,03</w:t>
            </w:r>
          </w:p>
        </w:tc>
        <w:tc>
          <w:tcPr>
            <w:tcW w:w="668" w:type="pct"/>
            <w:tcBorders>
              <w:top w:val="single" w:sz="4" w:space="0" w:color="auto"/>
              <w:left w:val="nil"/>
              <w:bottom w:val="single" w:sz="4" w:space="0" w:color="auto"/>
              <w:right w:val="nil"/>
            </w:tcBorders>
            <w:shd w:val="clear" w:color="auto" w:fill="auto"/>
            <w:vAlign w:val="center"/>
          </w:tcPr>
          <w:p w14:paraId="5347797D" w14:textId="353FFA2D" w:rsidR="00603ECD" w:rsidRPr="007A7245" w:rsidRDefault="00603ECD" w:rsidP="00603ECD">
            <w:pPr>
              <w:pBdr>
                <w:top w:val="none" w:sz="0" w:space="0" w:color="auto"/>
                <w:left w:val="none" w:sz="0" w:space="0" w:color="auto"/>
                <w:bottom w:val="none" w:sz="0" w:space="0" w:color="auto"/>
                <w:right w:val="none" w:sz="0" w:space="0" w:color="auto"/>
                <w:between w:val="none" w:sz="0" w:space="0" w:color="auto"/>
                <w:bar w:val="none" w:sz="0" w:color="auto"/>
              </w:pBdr>
              <w:jc w:val="right"/>
              <w:outlineLvl w:val="9"/>
              <w:rPr>
                <w:rFonts w:eastAsia="Times New Roman"/>
                <w:b/>
                <w:sz w:val="18"/>
                <w:szCs w:val="18"/>
                <w:bdr w:val="none" w:sz="0" w:space="0" w:color="auto"/>
                <w:lang w:eastAsia="es-ES"/>
              </w:rPr>
            </w:pPr>
            <w:r>
              <w:rPr>
                <w:b/>
                <w:bCs/>
                <w:sz w:val="18"/>
                <w:szCs w:val="18"/>
              </w:rPr>
              <w:t>1.934,72</w:t>
            </w:r>
          </w:p>
        </w:tc>
        <w:tc>
          <w:tcPr>
            <w:tcW w:w="667" w:type="pct"/>
            <w:tcBorders>
              <w:top w:val="nil"/>
              <w:left w:val="nil"/>
              <w:bottom w:val="single" w:sz="4" w:space="0" w:color="auto"/>
              <w:right w:val="nil"/>
            </w:tcBorders>
            <w:shd w:val="clear" w:color="auto" w:fill="auto"/>
            <w:vAlign w:val="center"/>
            <w:hideMark/>
          </w:tcPr>
          <w:p w14:paraId="780C9CFA" w14:textId="715B207C" w:rsidR="00603ECD" w:rsidRPr="007A7245" w:rsidRDefault="00603ECD" w:rsidP="00603ECD">
            <w:pPr>
              <w:pBdr>
                <w:top w:val="none" w:sz="0" w:space="0" w:color="auto"/>
                <w:left w:val="none" w:sz="0" w:space="0" w:color="auto"/>
                <w:bottom w:val="none" w:sz="0" w:space="0" w:color="auto"/>
                <w:right w:val="none" w:sz="0" w:space="0" w:color="auto"/>
                <w:between w:val="none" w:sz="0" w:space="0" w:color="auto"/>
                <w:bar w:val="none" w:sz="0" w:color="auto"/>
              </w:pBdr>
              <w:jc w:val="right"/>
              <w:outlineLvl w:val="9"/>
              <w:rPr>
                <w:rFonts w:eastAsia="Times New Roman"/>
                <w:sz w:val="18"/>
                <w:szCs w:val="18"/>
                <w:bdr w:val="none" w:sz="0" w:space="0" w:color="auto"/>
                <w:lang w:eastAsia="es-ES"/>
              </w:rPr>
            </w:pPr>
            <w:r w:rsidRPr="007A7245">
              <w:rPr>
                <w:rFonts w:eastAsia="Times New Roman"/>
                <w:b/>
                <w:bCs/>
                <w:sz w:val="18"/>
                <w:szCs w:val="18"/>
                <w:bdr w:val="none" w:sz="0" w:space="0" w:color="auto"/>
                <w:lang w:eastAsia="es-ES"/>
              </w:rPr>
              <w:t>45.741,08</w:t>
            </w:r>
          </w:p>
        </w:tc>
        <w:tc>
          <w:tcPr>
            <w:tcW w:w="666" w:type="pct"/>
            <w:tcBorders>
              <w:top w:val="nil"/>
              <w:left w:val="nil"/>
              <w:bottom w:val="single" w:sz="4" w:space="0" w:color="auto"/>
              <w:right w:val="nil"/>
            </w:tcBorders>
            <w:shd w:val="clear" w:color="auto" w:fill="auto"/>
            <w:vAlign w:val="center"/>
            <w:hideMark/>
          </w:tcPr>
          <w:p w14:paraId="16EF2A98" w14:textId="4A8984A3" w:rsidR="00603ECD" w:rsidRPr="007A7245" w:rsidRDefault="00603ECD" w:rsidP="00603ECD">
            <w:pPr>
              <w:jc w:val="right"/>
              <w:rPr>
                <w:sz w:val="18"/>
                <w:szCs w:val="18"/>
              </w:rPr>
            </w:pPr>
            <w:r w:rsidRPr="007A7245">
              <w:rPr>
                <w:rFonts w:eastAsia="Times New Roman"/>
                <w:b/>
                <w:sz w:val="18"/>
                <w:szCs w:val="18"/>
                <w:bdr w:val="none" w:sz="0" w:space="0" w:color="auto"/>
                <w:lang w:eastAsia="es-ES"/>
              </w:rPr>
              <w:t>3.086,21</w:t>
            </w:r>
          </w:p>
        </w:tc>
      </w:tr>
    </w:tbl>
    <w:p w14:paraId="25B4418B" w14:textId="77777777" w:rsidR="006220A2" w:rsidRPr="00040D0F" w:rsidRDefault="006220A2">
      <w:pPr>
        <w:keepNext/>
        <w:keepLines/>
        <w:widowControl w:val="0"/>
        <w:numPr>
          <w:ilvl w:val="0"/>
          <w:numId w:val="12"/>
        </w:numPr>
        <w:pBdr>
          <w:top w:val="none" w:sz="0" w:space="0" w:color="auto"/>
          <w:left w:val="none" w:sz="0" w:space="0" w:color="auto"/>
          <w:bottom w:val="none" w:sz="0" w:space="0" w:color="auto"/>
          <w:right w:val="none" w:sz="0" w:space="0" w:color="auto"/>
          <w:between w:val="none" w:sz="0" w:space="0" w:color="auto"/>
          <w:bar w:val="none" w:sz="0" w:color="auto"/>
        </w:pBdr>
        <w:tabs>
          <w:tab w:val="clear" w:pos="360"/>
          <w:tab w:val="num" w:pos="284"/>
        </w:tabs>
        <w:spacing w:before="240"/>
        <w:ind w:left="0" w:firstLine="0"/>
        <w:outlineLvl w:val="9"/>
        <w:rPr>
          <w:sz w:val="20"/>
          <w:szCs w:val="22"/>
          <w:u w:val="single"/>
        </w:rPr>
      </w:pPr>
      <w:r w:rsidRPr="00040D0F">
        <w:rPr>
          <w:sz w:val="20"/>
          <w:szCs w:val="22"/>
          <w:u w:val="single"/>
        </w:rPr>
        <w:t>Contratos firmados con su Accionista Único</w:t>
      </w:r>
    </w:p>
    <w:p w14:paraId="0F433F5A" w14:textId="198A2F4D" w:rsidR="006220A2" w:rsidRPr="00040D0F" w:rsidRDefault="006220A2" w:rsidP="00064105">
      <w:pPr>
        <w:widowControl w:val="0"/>
        <w:spacing w:before="120" w:after="120" w:line="260" w:lineRule="exact"/>
        <w:jc w:val="both"/>
        <w:outlineLvl w:val="9"/>
        <w:rPr>
          <w:snapToGrid w:val="0"/>
          <w:sz w:val="20"/>
          <w:szCs w:val="22"/>
        </w:rPr>
      </w:pPr>
      <w:r w:rsidRPr="00040D0F">
        <w:rPr>
          <w:snapToGrid w:val="0"/>
          <w:sz w:val="20"/>
          <w:szCs w:val="22"/>
        </w:rPr>
        <w:t>La Sociedad tiene las siguientes encomiendas firmadas afectas al ejercicio 20</w:t>
      </w:r>
      <w:r w:rsidR="009C7621" w:rsidRPr="00040D0F">
        <w:rPr>
          <w:snapToGrid w:val="0"/>
          <w:sz w:val="20"/>
          <w:szCs w:val="22"/>
        </w:rPr>
        <w:t>2</w:t>
      </w:r>
      <w:r w:rsidR="00040D0F" w:rsidRPr="00040D0F">
        <w:rPr>
          <w:snapToGrid w:val="0"/>
          <w:sz w:val="20"/>
          <w:szCs w:val="22"/>
        </w:rPr>
        <w:t>4</w:t>
      </w:r>
      <w:r w:rsidRPr="00040D0F">
        <w:rPr>
          <w:snapToGrid w:val="0"/>
          <w:sz w:val="20"/>
          <w:szCs w:val="22"/>
        </w:rPr>
        <w:t xml:space="preserve"> con la Consejería de Turismo</w:t>
      </w:r>
      <w:r w:rsidR="00E13A2F" w:rsidRPr="00040D0F">
        <w:rPr>
          <w:snapToGrid w:val="0"/>
          <w:sz w:val="20"/>
          <w:szCs w:val="22"/>
        </w:rPr>
        <w:t xml:space="preserve"> y Empleo</w:t>
      </w:r>
      <w:r w:rsidRPr="00040D0F">
        <w:rPr>
          <w:snapToGrid w:val="0"/>
          <w:sz w:val="20"/>
          <w:szCs w:val="22"/>
        </w:rPr>
        <w:t xml:space="preserve">: </w:t>
      </w:r>
    </w:p>
    <w:tbl>
      <w:tblPr>
        <w:tblW w:w="5000" w:type="pct"/>
        <w:jc w:val="center"/>
        <w:tblCellMar>
          <w:left w:w="70" w:type="dxa"/>
          <w:right w:w="70" w:type="dxa"/>
        </w:tblCellMar>
        <w:tblLook w:val="01E0" w:firstRow="1" w:lastRow="1" w:firstColumn="1" w:lastColumn="1" w:noHBand="0" w:noVBand="0"/>
      </w:tblPr>
      <w:tblGrid>
        <w:gridCol w:w="5953"/>
        <w:gridCol w:w="1560"/>
        <w:gridCol w:w="1268"/>
      </w:tblGrid>
      <w:tr w:rsidR="006220A2" w:rsidRPr="00040D0F" w14:paraId="2ACDCEDF" w14:textId="77777777" w:rsidTr="00841182">
        <w:trPr>
          <w:trHeight w:val="283"/>
          <w:jc w:val="center"/>
        </w:trPr>
        <w:tc>
          <w:tcPr>
            <w:tcW w:w="3390" w:type="pct"/>
            <w:tcBorders>
              <w:top w:val="single" w:sz="4" w:space="0" w:color="auto"/>
              <w:left w:val="nil"/>
              <w:bottom w:val="single" w:sz="4" w:space="0" w:color="auto"/>
              <w:right w:val="nil"/>
            </w:tcBorders>
            <w:shd w:val="clear" w:color="auto" w:fill="auto"/>
            <w:vAlign w:val="bottom"/>
            <w:hideMark/>
          </w:tcPr>
          <w:p w14:paraId="21E2089C" w14:textId="77777777" w:rsidR="006220A2" w:rsidRPr="00040D0F" w:rsidRDefault="006220A2" w:rsidP="00954AA6">
            <w:pPr>
              <w:keepNext/>
              <w:keepLines/>
              <w:widowControl w:val="0"/>
              <w:ind w:left="219"/>
              <w:jc w:val="center"/>
              <w:rPr>
                <w:rFonts w:eastAsia="Times New Roman"/>
                <w:sz w:val="18"/>
                <w:szCs w:val="18"/>
              </w:rPr>
            </w:pPr>
          </w:p>
        </w:tc>
        <w:tc>
          <w:tcPr>
            <w:tcW w:w="888" w:type="pct"/>
            <w:tcBorders>
              <w:top w:val="single" w:sz="4" w:space="0" w:color="auto"/>
              <w:left w:val="nil"/>
              <w:bottom w:val="single" w:sz="4" w:space="0" w:color="auto"/>
              <w:right w:val="nil"/>
            </w:tcBorders>
            <w:shd w:val="clear" w:color="auto" w:fill="auto"/>
            <w:vAlign w:val="bottom"/>
            <w:hideMark/>
          </w:tcPr>
          <w:p w14:paraId="777102E3" w14:textId="77777777" w:rsidR="006220A2" w:rsidRPr="00040D0F" w:rsidRDefault="006220A2" w:rsidP="007210BA">
            <w:pPr>
              <w:keepNext/>
              <w:keepLines/>
              <w:widowControl w:val="0"/>
              <w:jc w:val="center"/>
              <w:rPr>
                <w:rFonts w:eastAsia="Times New Roman"/>
                <w:b/>
                <w:bCs/>
                <w:sz w:val="18"/>
                <w:szCs w:val="18"/>
              </w:rPr>
            </w:pPr>
            <w:r w:rsidRPr="00040D0F">
              <w:rPr>
                <w:rFonts w:eastAsia="Times New Roman"/>
                <w:b/>
                <w:bCs/>
                <w:sz w:val="18"/>
                <w:szCs w:val="18"/>
              </w:rPr>
              <w:t>Importe</w:t>
            </w:r>
          </w:p>
        </w:tc>
        <w:tc>
          <w:tcPr>
            <w:tcW w:w="722" w:type="pct"/>
            <w:tcBorders>
              <w:top w:val="single" w:sz="4" w:space="0" w:color="auto"/>
              <w:left w:val="nil"/>
              <w:bottom w:val="single" w:sz="4" w:space="0" w:color="auto"/>
              <w:right w:val="nil"/>
            </w:tcBorders>
            <w:shd w:val="clear" w:color="auto" w:fill="auto"/>
            <w:vAlign w:val="bottom"/>
            <w:hideMark/>
          </w:tcPr>
          <w:p w14:paraId="4588C3D6" w14:textId="77777777" w:rsidR="006220A2" w:rsidRPr="00040D0F" w:rsidRDefault="006220A2" w:rsidP="007210BA">
            <w:pPr>
              <w:keepNext/>
              <w:keepLines/>
              <w:widowControl w:val="0"/>
              <w:jc w:val="center"/>
              <w:rPr>
                <w:rFonts w:eastAsia="Times New Roman"/>
                <w:b/>
                <w:bCs/>
                <w:sz w:val="18"/>
                <w:szCs w:val="18"/>
              </w:rPr>
            </w:pPr>
            <w:r w:rsidRPr="00040D0F">
              <w:rPr>
                <w:rFonts w:eastAsia="Times New Roman"/>
                <w:b/>
                <w:bCs/>
                <w:sz w:val="18"/>
                <w:szCs w:val="18"/>
              </w:rPr>
              <w:t>Periodo</w:t>
            </w:r>
          </w:p>
        </w:tc>
      </w:tr>
      <w:tr w:rsidR="00040D0F" w:rsidRPr="00040D0F" w14:paraId="41F012FA" w14:textId="77777777" w:rsidTr="00040D0F">
        <w:trPr>
          <w:trHeight w:val="340"/>
          <w:jc w:val="center"/>
        </w:trPr>
        <w:tc>
          <w:tcPr>
            <w:tcW w:w="3390" w:type="pct"/>
            <w:tcBorders>
              <w:top w:val="single" w:sz="4" w:space="0" w:color="auto"/>
              <w:left w:val="nil"/>
              <w:bottom w:val="single" w:sz="4" w:space="0" w:color="auto"/>
              <w:right w:val="nil"/>
            </w:tcBorders>
            <w:shd w:val="clear" w:color="auto" w:fill="auto"/>
            <w:vAlign w:val="center"/>
          </w:tcPr>
          <w:p w14:paraId="1087619B" w14:textId="391BB803" w:rsidR="00040D0F" w:rsidRPr="00040D0F" w:rsidRDefault="00040D0F" w:rsidP="00040D0F">
            <w:pPr>
              <w:keepNext/>
              <w:keepLines/>
              <w:widowControl w:val="0"/>
              <w:spacing w:before="40" w:after="40"/>
              <w:ind w:left="221"/>
              <w:rPr>
                <w:sz w:val="18"/>
                <w:szCs w:val="18"/>
              </w:rPr>
            </w:pPr>
            <w:r w:rsidRPr="00040D0F">
              <w:rPr>
                <w:sz w:val="18"/>
                <w:szCs w:val="18"/>
              </w:rPr>
              <w:t>Para el desarrollo y mantenimiento del Observatorio Turístico de Canarias</w:t>
            </w:r>
          </w:p>
        </w:tc>
        <w:tc>
          <w:tcPr>
            <w:tcW w:w="888" w:type="pct"/>
            <w:tcBorders>
              <w:top w:val="single" w:sz="4" w:space="0" w:color="auto"/>
              <w:left w:val="nil"/>
              <w:bottom w:val="single" w:sz="4" w:space="0" w:color="auto"/>
              <w:right w:val="nil"/>
            </w:tcBorders>
            <w:shd w:val="clear" w:color="auto" w:fill="auto"/>
            <w:vAlign w:val="center"/>
          </w:tcPr>
          <w:p w14:paraId="34B83221" w14:textId="7DD47109" w:rsidR="00040D0F" w:rsidRPr="00040D0F" w:rsidRDefault="00040D0F" w:rsidP="00040D0F">
            <w:pPr>
              <w:keepNext/>
              <w:keepLines/>
              <w:widowControl w:val="0"/>
              <w:jc w:val="right"/>
              <w:rPr>
                <w:sz w:val="18"/>
                <w:szCs w:val="18"/>
              </w:rPr>
            </w:pPr>
            <w:r w:rsidRPr="00040D0F">
              <w:rPr>
                <w:sz w:val="18"/>
                <w:szCs w:val="18"/>
              </w:rPr>
              <w:t>411.737,79</w:t>
            </w:r>
          </w:p>
        </w:tc>
        <w:tc>
          <w:tcPr>
            <w:tcW w:w="722" w:type="pct"/>
            <w:tcBorders>
              <w:top w:val="single" w:sz="4" w:space="0" w:color="auto"/>
              <w:left w:val="nil"/>
              <w:bottom w:val="single" w:sz="4" w:space="0" w:color="auto"/>
              <w:right w:val="nil"/>
            </w:tcBorders>
            <w:shd w:val="clear" w:color="auto" w:fill="auto"/>
            <w:vAlign w:val="center"/>
          </w:tcPr>
          <w:p w14:paraId="1967E605" w14:textId="014992C7" w:rsidR="00040D0F" w:rsidRPr="00040D0F" w:rsidRDefault="00040D0F" w:rsidP="00040D0F">
            <w:pPr>
              <w:keepNext/>
              <w:keepLines/>
              <w:widowControl w:val="0"/>
              <w:jc w:val="center"/>
              <w:rPr>
                <w:sz w:val="18"/>
                <w:szCs w:val="18"/>
              </w:rPr>
            </w:pPr>
            <w:r w:rsidRPr="00040D0F">
              <w:rPr>
                <w:sz w:val="18"/>
                <w:szCs w:val="18"/>
              </w:rPr>
              <w:t>2024</w:t>
            </w:r>
          </w:p>
        </w:tc>
      </w:tr>
      <w:tr w:rsidR="00040D0F" w:rsidRPr="00040D0F" w14:paraId="3BB4553D" w14:textId="77777777" w:rsidTr="00040D0F">
        <w:trPr>
          <w:trHeight w:val="340"/>
          <w:jc w:val="center"/>
        </w:trPr>
        <w:tc>
          <w:tcPr>
            <w:tcW w:w="3390" w:type="pct"/>
            <w:tcBorders>
              <w:top w:val="single" w:sz="4" w:space="0" w:color="auto"/>
              <w:left w:val="nil"/>
              <w:bottom w:val="single" w:sz="4" w:space="0" w:color="auto"/>
              <w:right w:val="nil"/>
            </w:tcBorders>
            <w:shd w:val="clear" w:color="auto" w:fill="auto"/>
            <w:vAlign w:val="center"/>
          </w:tcPr>
          <w:p w14:paraId="735529DE" w14:textId="0CEAD318" w:rsidR="00040D0F" w:rsidRPr="00040D0F" w:rsidRDefault="00040D0F" w:rsidP="00040D0F">
            <w:pPr>
              <w:keepNext/>
              <w:keepLines/>
              <w:widowControl w:val="0"/>
              <w:spacing w:before="40" w:after="40"/>
              <w:ind w:left="221"/>
              <w:rPr>
                <w:sz w:val="18"/>
                <w:szCs w:val="18"/>
              </w:rPr>
            </w:pPr>
            <w:r w:rsidRPr="00040D0F">
              <w:rPr>
                <w:sz w:val="18"/>
                <w:szCs w:val="18"/>
              </w:rPr>
              <w:t>Para la gestión de las subvenciones encomendadas a la UAP</w:t>
            </w:r>
          </w:p>
        </w:tc>
        <w:tc>
          <w:tcPr>
            <w:tcW w:w="888" w:type="pct"/>
            <w:tcBorders>
              <w:top w:val="single" w:sz="4" w:space="0" w:color="auto"/>
              <w:left w:val="nil"/>
              <w:bottom w:val="single" w:sz="4" w:space="0" w:color="auto"/>
              <w:right w:val="nil"/>
            </w:tcBorders>
            <w:shd w:val="clear" w:color="auto" w:fill="auto"/>
            <w:vAlign w:val="center"/>
          </w:tcPr>
          <w:p w14:paraId="2534243C" w14:textId="4ACA92B2" w:rsidR="00040D0F" w:rsidRPr="00040D0F" w:rsidRDefault="00040D0F" w:rsidP="00040D0F">
            <w:pPr>
              <w:keepNext/>
              <w:keepLines/>
              <w:widowControl w:val="0"/>
              <w:jc w:val="right"/>
              <w:rPr>
                <w:sz w:val="18"/>
                <w:szCs w:val="18"/>
              </w:rPr>
            </w:pPr>
            <w:r w:rsidRPr="00040D0F">
              <w:rPr>
                <w:sz w:val="18"/>
                <w:szCs w:val="18"/>
              </w:rPr>
              <w:t>399.838,55</w:t>
            </w:r>
          </w:p>
        </w:tc>
        <w:tc>
          <w:tcPr>
            <w:tcW w:w="722" w:type="pct"/>
            <w:tcBorders>
              <w:top w:val="single" w:sz="4" w:space="0" w:color="auto"/>
              <w:left w:val="nil"/>
              <w:bottom w:val="single" w:sz="4" w:space="0" w:color="auto"/>
              <w:right w:val="nil"/>
            </w:tcBorders>
            <w:shd w:val="clear" w:color="auto" w:fill="auto"/>
            <w:vAlign w:val="center"/>
          </w:tcPr>
          <w:p w14:paraId="5C5ECB91" w14:textId="0E611212" w:rsidR="00040D0F" w:rsidRPr="00040D0F" w:rsidRDefault="00040D0F" w:rsidP="00040D0F">
            <w:pPr>
              <w:keepNext/>
              <w:keepLines/>
              <w:widowControl w:val="0"/>
              <w:jc w:val="center"/>
              <w:rPr>
                <w:sz w:val="18"/>
                <w:szCs w:val="18"/>
              </w:rPr>
            </w:pPr>
            <w:r w:rsidRPr="00040D0F">
              <w:rPr>
                <w:sz w:val="18"/>
                <w:szCs w:val="18"/>
              </w:rPr>
              <w:t>2024</w:t>
            </w:r>
          </w:p>
        </w:tc>
      </w:tr>
    </w:tbl>
    <w:p w14:paraId="3214CD66" w14:textId="77777777" w:rsidR="006220A2" w:rsidRPr="00040D0F" w:rsidRDefault="006220A2">
      <w:pPr>
        <w:keepNext/>
        <w:keepLines/>
        <w:widowControl w:val="0"/>
        <w:numPr>
          <w:ilvl w:val="0"/>
          <w:numId w:val="12"/>
        </w:numPr>
        <w:pBdr>
          <w:top w:val="none" w:sz="0" w:space="0" w:color="auto"/>
          <w:left w:val="none" w:sz="0" w:space="0" w:color="auto"/>
          <w:bottom w:val="none" w:sz="0" w:space="0" w:color="auto"/>
          <w:right w:val="none" w:sz="0" w:space="0" w:color="auto"/>
          <w:between w:val="none" w:sz="0" w:space="0" w:color="auto"/>
          <w:bar w:val="none" w:sz="0" w:color="auto"/>
        </w:pBdr>
        <w:tabs>
          <w:tab w:val="clear" w:pos="360"/>
          <w:tab w:val="num" w:pos="0"/>
          <w:tab w:val="num" w:pos="284"/>
          <w:tab w:val="num" w:pos="644"/>
        </w:tabs>
        <w:spacing w:before="240"/>
        <w:ind w:left="0" w:firstLine="0"/>
        <w:outlineLvl w:val="9"/>
        <w:rPr>
          <w:sz w:val="20"/>
          <w:szCs w:val="22"/>
          <w:u w:val="single"/>
        </w:rPr>
      </w:pPr>
      <w:bookmarkStart w:id="8" w:name="_Hlk193350313"/>
      <w:r w:rsidRPr="00040D0F">
        <w:rPr>
          <w:sz w:val="20"/>
          <w:szCs w:val="22"/>
          <w:u w:val="single"/>
        </w:rPr>
        <w:t>Retribución al Consejo de Administración y Alta Dirección</w:t>
      </w:r>
    </w:p>
    <w:p w14:paraId="63188DF5" w14:textId="699F52F6" w:rsidR="006220A2" w:rsidRPr="00176BA0" w:rsidRDefault="006220A2" w:rsidP="00064105">
      <w:pPr>
        <w:widowControl w:val="0"/>
        <w:spacing w:before="120" w:after="120" w:line="260" w:lineRule="exact"/>
        <w:jc w:val="both"/>
        <w:outlineLvl w:val="9"/>
        <w:rPr>
          <w:snapToGrid w:val="0"/>
          <w:sz w:val="20"/>
          <w:szCs w:val="22"/>
        </w:rPr>
      </w:pPr>
      <w:r w:rsidRPr="00040D0F">
        <w:rPr>
          <w:snapToGrid w:val="0"/>
          <w:sz w:val="20"/>
          <w:szCs w:val="22"/>
        </w:rPr>
        <w:t>No se han satisfecho retribuciones, durante</w:t>
      </w:r>
      <w:r w:rsidRPr="007B50EC">
        <w:rPr>
          <w:snapToGrid w:val="0"/>
          <w:sz w:val="20"/>
          <w:szCs w:val="22"/>
        </w:rPr>
        <w:t xml:space="preserve"> el ejercicio </w:t>
      </w:r>
      <w:r w:rsidR="009C7621" w:rsidRPr="007B50EC">
        <w:rPr>
          <w:snapToGrid w:val="0"/>
          <w:sz w:val="20"/>
          <w:szCs w:val="22"/>
        </w:rPr>
        <w:t>202</w:t>
      </w:r>
      <w:r w:rsidR="00623AD4">
        <w:rPr>
          <w:snapToGrid w:val="0"/>
          <w:sz w:val="20"/>
          <w:szCs w:val="22"/>
        </w:rPr>
        <w:t>4</w:t>
      </w:r>
      <w:r w:rsidR="009C7621" w:rsidRPr="007B50EC">
        <w:rPr>
          <w:snapToGrid w:val="0"/>
          <w:sz w:val="20"/>
          <w:szCs w:val="22"/>
        </w:rPr>
        <w:t xml:space="preserve"> y 20</w:t>
      </w:r>
      <w:r w:rsidR="00DC4561" w:rsidRPr="007B50EC">
        <w:rPr>
          <w:snapToGrid w:val="0"/>
          <w:sz w:val="20"/>
          <w:szCs w:val="22"/>
        </w:rPr>
        <w:t>2</w:t>
      </w:r>
      <w:r w:rsidR="00623AD4">
        <w:rPr>
          <w:snapToGrid w:val="0"/>
          <w:sz w:val="20"/>
          <w:szCs w:val="22"/>
        </w:rPr>
        <w:t>3</w:t>
      </w:r>
      <w:r w:rsidR="009C7621" w:rsidRPr="007B50EC">
        <w:rPr>
          <w:snapToGrid w:val="0"/>
          <w:sz w:val="20"/>
          <w:szCs w:val="22"/>
        </w:rPr>
        <w:t xml:space="preserve"> </w:t>
      </w:r>
      <w:r w:rsidRPr="007B50EC">
        <w:rPr>
          <w:snapToGrid w:val="0"/>
          <w:sz w:val="20"/>
          <w:szCs w:val="22"/>
        </w:rPr>
        <w:t xml:space="preserve">a los Administradores de la Sociedad. Las retribuciones </w:t>
      </w:r>
      <w:r w:rsidRPr="009F18C5">
        <w:rPr>
          <w:snapToGrid w:val="0"/>
          <w:sz w:val="20"/>
          <w:szCs w:val="22"/>
        </w:rPr>
        <w:t xml:space="preserve">por Alta Dirección ascienden a </w:t>
      </w:r>
      <w:r w:rsidR="009F18C5" w:rsidRPr="009F18C5">
        <w:rPr>
          <w:snapToGrid w:val="0"/>
          <w:sz w:val="20"/>
          <w:szCs w:val="22"/>
        </w:rPr>
        <w:t>68.145,61</w:t>
      </w:r>
      <w:r w:rsidR="004208BD" w:rsidRPr="009F18C5">
        <w:rPr>
          <w:snapToGrid w:val="0"/>
          <w:sz w:val="20"/>
          <w:szCs w:val="22"/>
        </w:rPr>
        <w:t xml:space="preserve"> </w:t>
      </w:r>
      <w:r w:rsidRPr="009F18C5">
        <w:rPr>
          <w:snapToGrid w:val="0"/>
          <w:sz w:val="20"/>
          <w:szCs w:val="22"/>
        </w:rPr>
        <w:t>euros</w:t>
      </w:r>
      <w:r w:rsidRPr="007B50EC">
        <w:rPr>
          <w:snapToGrid w:val="0"/>
          <w:sz w:val="20"/>
          <w:szCs w:val="22"/>
        </w:rPr>
        <w:t xml:space="preserve"> (</w:t>
      </w:r>
      <w:r w:rsidR="0070430A">
        <w:rPr>
          <w:snapToGrid w:val="0"/>
          <w:sz w:val="20"/>
          <w:szCs w:val="22"/>
        </w:rPr>
        <w:t xml:space="preserve">el importe en el ejercicio anterior ascendió a </w:t>
      </w:r>
      <w:r w:rsidR="00623AD4" w:rsidRPr="00623AD4">
        <w:rPr>
          <w:snapToGrid w:val="0"/>
          <w:sz w:val="20"/>
          <w:szCs w:val="22"/>
        </w:rPr>
        <w:t>65.328,36</w:t>
      </w:r>
      <w:r w:rsidRPr="007B50EC">
        <w:rPr>
          <w:snapToGrid w:val="0"/>
          <w:sz w:val="20"/>
          <w:szCs w:val="22"/>
        </w:rPr>
        <w:t>).</w:t>
      </w:r>
    </w:p>
    <w:bookmarkEnd w:id="8"/>
    <w:p w14:paraId="400AC9EB" w14:textId="77777777" w:rsidR="006220A2" w:rsidRPr="00176BA0" w:rsidRDefault="006220A2" w:rsidP="00064105">
      <w:pPr>
        <w:keepNext/>
        <w:keepLines/>
        <w:widowControl w:val="0"/>
        <w:spacing w:before="120" w:line="260" w:lineRule="exact"/>
        <w:jc w:val="both"/>
        <w:outlineLvl w:val="9"/>
        <w:rPr>
          <w:snapToGrid w:val="0"/>
          <w:sz w:val="20"/>
          <w:szCs w:val="22"/>
        </w:rPr>
      </w:pPr>
      <w:r w:rsidRPr="00176BA0">
        <w:rPr>
          <w:snapToGrid w:val="0"/>
          <w:sz w:val="20"/>
          <w:szCs w:val="22"/>
        </w:rPr>
        <w:lastRenderedPageBreak/>
        <w:t>En el deber de evitar situaciones de conflicto con el interés de la Sociedad, durante el ejercicio los administradores que han ocupado cargos en el Consejo de Administración han cumplido con las obligaciones previstas en el artículo 228 del texto refundido de la Ley de Sociedades de Capital. Asimismo, tanto ellos como las personas a ellos vinculadas, se han abstenido de incurrir en los supuestos de conflicto de interés previstos en el artículo 229 de dicha ley, excepto en los casos en que haya sido obtenida la correspondiente autorización.</w:t>
      </w:r>
    </w:p>
    <w:p w14:paraId="04683D2D" w14:textId="20AE60D7" w:rsidR="006220A2" w:rsidRPr="007A7245" w:rsidRDefault="00052BF5" w:rsidP="00064105">
      <w:pPr>
        <w:widowControl w:val="0"/>
        <w:numPr>
          <w:ilvl w:val="0"/>
          <w:numId w:val="6"/>
        </w:numPr>
        <w:pBdr>
          <w:top w:val="none" w:sz="0" w:space="0" w:color="auto"/>
          <w:left w:val="none" w:sz="0" w:space="0" w:color="auto"/>
          <w:bottom w:val="none" w:sz="0" w:space="0" w:color="auto"/>
          <w:right w:val="none" w:sz="0" w:space="0" w:color="auto"/>
          <w:between w:val="none" w:sz="0" w:space="0" w:color="auto"/>
          <w:bar w:val="none" w:sz="0" w:color="auto"/>
        </w:pBdr>
        <w:spacing w:before="360" w:after="120" w:line="280" w:lineRule="exact"/>
        <w:ind w:left="284" w:hanging="284"/>
        <w:outlineLvl w:val="9"/>
        <w:rPr>
          <w:b/>
          <w:snapToGrid w:val="0"/>
          <w:sz w:val="22"/>
          <w:szCs w:val="22"/>
        </w:rPr>
      </w:pPr>
      <w:bookmarkStart w:id="9" w:name="_Hlk193350946"/>
      <w:bookmarkStart w:id="10" w:name="_Hlk161331624"/>
      <w:r>
        <w:rPr>
          <w:b/>
          <w:snapToGrid w:val="0"/>
          <w:sz w:val="22"/>
          <w:szCs w:val="22"/>
        </w:rPr>
        <w:t xml:space="preserve"> </w:t>
      </w:r>
      <w:r w:rsidR="006220A2" w:rsidRPr="007A7245">
        <w:rPr>
          <w:b/>
          <w:snapToGrid w:val="0"/>
          <w:sz w:val="22"/>
          <w:szCs w:val="22"/>
        </w:rPr>
        <w:t>Otra información</w:t>
      </w:r>
    </w:p>
    <w:p w14:paraId="2DFF9727" w14:textId="77777777" w:rsidR="006220A2" w:rsidRPr="007A7245" w:rsidRDefault="006220A2" w:rsidP="00064105">
      <w:pPr>
        <w:widowControl w:val="0"/>
        <w:spacing w:before="120" w:after="120" w:line="260" w:lineRule="exact"/>
        <w:jc w:val="both"/>
        <w:outlineLvl w:val="9"/>
        <w:rPr>
          <w:snapToGrid w:val="0"/>
          <w:sz w:val="20"/>
          <w:szCs w:val="22"/>
        </w:rPr>
      </w:pPr>
      <w:r w:rsidRPr="007A7245">
        <w:rPr>
          <w:snapToGrid w:val="0"/>
          <w:sz w:val="20"/>
          <w:szCs w:val="22"/>
        </w:rPr>
        <w:t>El número medio de empleados en el curso del ejercicio distribuido por categorías y sexo es el siguiente:</w:t>
      </w:r>
    </w:p>
    <w:tbl>
      <w:tblPr>
        <w:tblW w:w="5000" w:type="pct"/>
        <w:jc w:val="center"/>
        <w:tblCellMar>
          <w:left w:w="70" w:type="dxa"/>
          <w:right w:w="70" w:type="dxa"/>
        </w:tblCellMar>
        <w:tblLook w:val="04A0" w:firstRow="1" w:lastRow="0" w:firstColumn="1" w:lastColumn="0" w:noHBand="0" w:noVBand="1"/>
      </w:tblPr>
      <w:tblGrid>
        <w:gridCol w:w="3587"/>
        <w:gridCol w:w="1298"/>
        <w:gridCol w:w="1300"/>
        <w:gridCol w:w="1298"/>
        <w:gridCol w:w="1298"/>
      </w:tblGrid>
      <w:tr w:rsidR="00734BAD" w:rsidRPr="0070430A" w14:paraId="4C6360E1" w14:textId="77777777" w:rsidTr="00176BA0">
        <w:trPr>
          <w:trHeight w:val="283"/>
          <w:jc w:val="center"/>
        </w:trPr>
        <w:tc>
          <w:tcPr>
            <w:tcW w:w="2042" w:type="pct"/>
            <w:tcBorders>
              <w:top w:val="single" w:sz="4" w:space="0" w:color="auto"/>
              <w:left w:val="nil"/>
              <w:bottom w:val="nil"/>
              <w:right w:val="nil"/>
            </w:tcBorders>
            <w:shd w:val="clear" w:color="auto" w:fill="auto"/>
            <w:vAlign w:val="bottom"/>
            <w:hideMark/>
          </w:tcPr>
          <w:p w14:paraId="415688A9" w14:textId="77777777" w:rsidR="00734BAD" w:rsidRPr="002375AD" w:rsidRDefault="00734BAD" w:rsidP="00176BA0">
            <w:pPr>
              <w:keepNext/>
              <w:keepLines/>
              <w:widowControl w:val="0"/>
              <w:ind w:left="215"/>
              <w:jc w:val="center"/>
              <w:rPr>
                <w:rFonts w:eastAsia="Times New Roman"/>
                <w:sz w:val="18"/>
                <w:szCs w:val="18"/>
              </w:rPr>
            </w:pPr>
          </w:p>
        </w:tc>
        <w:tc>
          <w:tcPr>
            <w:tcW w:w="1479" w:type="pct"/>
            <w:gridSpan w:val="2"/>
            <w:tcBorders>
              <w:top w:val="single" w:sz="4" w:space="0" w:color="auto"/>
              <w:left w:val="nil"/>
              <w:bottom w:val="single" w:sz="4" w:space="0" w:color="auto"/>
              <w:right w:val="nil"/>
            </w:tcBorders>
            <w:shd w:val="clear" w:color="auto" w:fill="auto"/>
            <w:vAlign w:val="bottom"/>
            <w:hideMark/>
          </w:tcPr>
          <w:p w14:paraId="2FC59EE7" w14:textId="111278FF" w:rsidR="00734BAD" w:rsidRPr="009265BC" w:rsidRDefault="00734BAD" w:rsidP="00734BAD">
            <w:pPr>
              <w:keepNext/>
              <w:keepLines/>
              <w:widowControl w:val="0"/>
              <w:jc w:val="center"/>
              <w:rPr>
                <w:rFonts w:eastAsia="Times New Roman"/>
                <w:b/>
                <w:bCs/>
                <w:sz w:val="18"/>
                <w:szCs w:val="18"/>
              </w:rPr>
            </w:pPr>
            <w:r w:rsidRPr="009265BC">
              <w:rPr>
                <w:rFonts w:eastAsia="Times New Roman"/>
                <w:b/>
                <w:bCs/>
                <w:sz w:val="18"/>
                <w:szCs w:val="18"/>
              </w:rPr>
              <w:t>202</w:t>
            </w:r>
            <w:r w:rsidR="00623AD4" w:rsidRPr="009265BC">
              <w:rPr>
                <w:rFonts w:eastAsia="Times New Roman"/>
                <w:b/>
                <w:bCs/>
                <w:sz w:val="18"/>
                <w:szCs w:val="18"/>
              </w:rPr>
              <w:t>4</w:t>
            </w:r>
          </w:p>
        </w:tc>
        <w:tc>
          <w:tcPr>
            <w:tcW w:w="1478" w:type="pct"/>
            <w:gridSpan w:val="2"/>
            <w:tcBorders>
              <w:top w:val="single" w:sz="4" w:space="0" w:color="auto"/>
              <w:left w:val="nil"/>
              <w:bottom w:val="single" w:sz="4" w:space="0" w:color="auto"/>
              <w:right w:val="nil"/>
            </w:tcBorders>
            <w:shd w:val="clear" w:color="auto" w:fill="auto"/>
            <w:vAlign w:val="bottom"/>
            <w:hideMark/>
          </w:tcPr>
          <w:p w14:paraId="4B6DBFC9" w14:textId="19FC347F" w:rsidR="00734BAD" w:rsidRPr="007A7245" w:rsidRDefault="007A7245" w:rsidP="00734BAD">
            <w:pPr>
              <w:keepNext/>
              <w:keepLines/>
              <w:widowControl w:val="0"/>
              <w:jc w:val="center"/>
              <w:rPr>
                <w:rFonts w:eastAsia="Times New Roman"/>
                <w:b/>
                <w:bCs/>
                <w:sz w:val="18"/>
                <w:szCs w:val="18"/>
              </w:rPr>
            </w:pPr>
            <w:r w:rsidRPr="007A7245">
              <w:rPr>
                <w:rFonts w:eastAsia="Times New Roman"/>
                <w:b/>
                <w:bCs/>
                <w:sz w:val="18"/>
                <w:szCs w:val="18"/>
              </w:rPr>
              <w:t>202</w:t>
            </w:r>
            <w:r w:rsidR="00623AD4">
              <w:rPr>
                <w:rFonts w:eastAsia="Times New Roman"/>
                <w:b/>
                <w:bCs/>
                <w:sz w:val="18"/>
                <w:szCs w:val="18"/>
              </w:rPr>
              <w:t>3</w:t>
            </w:r>
          </w:p>
        </w:tc>
      </w:tr>
      <w:tr w:rsidR="00734BAD" w:rsidRPr="0070430A" w14:paraId="1BE40B15" w14:textId="77777777" w:rsidTr="00176BA0">
        <w:trPr>
          <w:trHeight w:val="283"/>
          <w:jc w:val="center"/>
        </w:trPr>
        <w:tc>
          <w:tcPr>
            <w:tcW w:w="2042" w:type="pct"/>
            <w:tcBorders>
              <w:top w:val="nil"/>
              <w:left w:val="nil"/>
              <w:bottom w:val="single" w:sz="4" w:space="0" w:color="auto"/>
              <w:right w:val="nil"/>
            </w:tcBorders>
            <w:shd w:val="clear" w:color="auto" w:fill="auto"/>
            <w:vAlign w:val="bottom"/>
            <w:hideMark/>
          </w:tcPr>
          <w:p w14:paraId="1B886FEE" w14:textId="77777777" w:rsidR="00734BAD" w:rsidRPr="002375AD" w:rsidRDefault="00734BAD" w:rsidP="00176BA0">
            <w:pPr>
              <w:keepNext/>
              <w:keepLines/>
              <w:widowControl w:val="0"/>
              <w:ind w:left="215"/>
              <w:jc w:val="center"/>
              <w:rPr>
                <w:rFonts w:eastAsia="Times New Roman"/>
                <w:b/>
                <w:bCs/>
                <w:sz w:val="18"/>
                <w:szCs w:val="18"/>
              </w:rPr>
            </w:pPr>
            <w:r w:rsidRPr="002375AD">
              <w:rPr>
                <w:rFonts w:eastAsia="Times New Roman"/>
                <w:b/>
                <w:bCs/>
                <w:sz w:val="18"/>
                <w:szCs w:val="18"/>
              </w:rPr>
              <w:t>Categoría</w:t>
            </w:r>
          </w:p>
        </w:tc>
        <w:tc>
          <w:tcPr>
            <w:tcW w:w="739" w:type="pct"/>
            <w:tcBorders>
              <w:top w:val="nil"/>
              <w:left w:val="nil"/>
              <w:bottom w:val="single" w:sz="4" w:space="0" w:color="auto"/>
              <w:right w:val="nil"/>
            </w:tcBorders>
            <w:shd w:val="clear" w:color="auto" w:fill="auto"/>
            <w:vAlign w:val="bottom"/>
            <w:hideMark/>
          </w:tcPr>
          <w:p w14:paraId="5C3ACF48" w14:textId="77777777" w:rsidR="00734BAD" w:rsidRPr="009265BC" w:rsidRDefault="00734BAD" w:rsidP="00734BAD">
            <w:pPr>
              <w:keepNext/>
              <w:keepLines/>
              <w:widowControl w:val="0"/>
              <w:jc w:val="center"/>
              <w:rPr>
                <w:rFonts w:eastAsia="Times New Roman"/>
                <w:b/>
                <w:bCs/>
                <w:sz w:val="18"/>
                <w:szCs w:val="18"/>
              </w:rPr>
            </w:pPr>
            <w:r w:rsidRPr="009265BC">
              <w:rPr>
                <w:rFonts w:eastAsia="Times New Roman"/>
                <w:b/>
                <w:bCs/>
                <w:sz w:val="18"/>
                <w:szCs w:val="18"/>
              </w:rPr>
              <w:t>Hombres</w:t>
            </w:r>
          </w:p>
        </w:tc>
        <w:tc>
          <w:tcPr>
            <w:tcW w:w="740" w:type="pct"/>
            <w:tcBorders>
              <w:top w:val="nil"/>
              <w:left w:val="nil"/>
              <w:bottom w:val="single" w:sz="4" w:space="0" w:color="auto"/>
              <w:right w:val="nil"/>
            </w:tcBorders>
            <w:shd w:val="clear" w:color="auto" w:fill="auto"/>
            <w:vAlign w:val="bottom"/>
            <w:hideMark/>
          </w:tcPr>
          <w:p w14:paraId="572EE47B" w14:textId="77777777" w:rsidR="00734BAD" w:rsidRPr="009265BC" w:rsidRDefault="00734BAD" w:rsidP="00734BAD">
            <w:pPr>
              <w:keepNext/>
              <w:keepLines/>
              <w:widowControl w:val="0"/>
              <w:jc w:val="center"/>
              <w:rPr>
                <w:rFonts w:eastAsia="Times New Roman"/>
                <w:b/>
                <w:bCs/>
                <w:sz w:val="18"/>
                <w:szCs w:val="18"/>
              </w:rPr>
            </w:pPr>
            <w:r w:rsidRPr="009265BC">
              <w:rPr>
                <w:rFonts w:eastAsia="Times New Roman"/>
                <w:b/>
                <w:bCs/>
                <w:sz w:val="18"/>
                <w:szCs w:val="18"/>
              </w:rPr>
              <w:t>Mujeres</w:t>
            </w:r>
          </w:p>
        </w:tc>
        <w:tc>
          <w:tcPr>
            <w:tcW w:w="739" w:type="pct"/>
            <w:tcBorders>
              <w:top w:val="nil"/>
              <w:left w:val="nil"/>
              <w:bottom w:val="single" w:sz="4" w:space="0" w:color="auto"/>
              <w:right w:val="nil"/>
            </w:tcBorders>
            <w:shd w:val="clear" w:color="auto" w:fill="auto"/>
            <w:vAlign w:val="bottom"/>
            <w:hideMark/>
          </w:tcPr>
          <w:p w14:paraId="3D002F08" w14:textId="1B5C6DF5" w:rsidR="00734BAD" w:rsidRPr="007A7245" w:rsidRDefault="00734BAD" w:rsidP="00734BAD">
            <w:pPr>
              <w:keepNext/>
              <w:keepLines/>
              <w:widowControl w:val="0"/>
              <w:jc w:val="center"/>
              <w:rPr>
                <w:rFonts w:eastAsia="Times New Roman"/>
                <w:b/>
                <w:bCs/>
                <w:sz w:val="18"/>
                <w:szCs w:val="18"/>
              </w:rPr>
            </w:pPr>
            <w:r w:rsidRPr="007A7245">
              <w:rPr>
                <w:rFonts w:eastAsia="Times New Roman"/>
                <w:b/>
                <w:bCs/>
                <w:sz w:val="18"/>
                <w:szCs w:val="18"/>
              </w:rPr>
              <w:t>Hombres</w:t>
            </w:r>
          </w:p>
        </w:tc>
        <w:tc>
          <w:tcPr>
            <w:tcW w:w="739" w:type="pct"/>
            <w:tcBorders>
              <w:top w:val="nil"/>
              <w:left w:val="nil"/>
              <w:bottom w:val="single" w:sz="4" w:space="0" w:color="auto"/>
              <w:right w:val="nil"/>
            </w:tcBorders>
            <w:shd w:val="clear" w:color="auto" w:fill="auto"/>
            <w:vAlign w:val="bottom"/>
            <w:hideMark/>
          </w:tcPr>
          <w:p w14:paraId="4B191268" w14:textId="323DF543" w:rsidR="00734BAD" w:rsidRPr="007A7245" w:rsidRDefault="00E13A2F" w:rsidP="00734BAD">
            <w:pPr>
              <w:keepNext/>
              <w:keepLines/>
              <w:widowControl w:val="0"/>
              <w:jc w:val="center"/>
              <w:rPr>
                <w:rFonts w:eastAsia="Times New Roman"/>
                <w:b/>
                <w:bCs/>
                <w:sz w:val="18"/>
                <w:szCs w:val="18"/>
              </w:rPr>
            </w:pPr>
            <w:r>
              <w:rPr>
                <w:rFonts w:eastAsia="Times New Roman"/>
                <w:b/>
                <w:bCs/>
                <w:sz w:val="18"/>
                <w:szCs w:val="18"/>
              </w:rPr>
              <w:t>Mujeres</w:t>
            </w:r>
          </w:p>
        </w:tc>
      </w:tr>
      <w:tr w:rsidR="00623AD4" w:rsidRPr="0070430A" w14:paraId="09657CC4" w14:textId="77777777" w:rsidTr="00176BA0">
        <w:trPr>
          <w:trHeight w:val="283"/>
          <w:jc w:val="center"/>
        </w:trPr>
        <w:tc>
          <w:tcPr>
            <w:tcW w:w="2042" w:type="pct"/>
            <w:tcBorders>
              <w:top w:val="nil"/>
              <w:left w:val="nil"/>
              <w:bottom w:val="nil"/>
              <w:right w:val="nil"/>
            </w:tcBorders>
            <w:shd w:val="clear" w:color="auto" w:fill="auto"/>
            <w:vAlign w:val="center"/>
            <w:hideMark/>
          </w:tcPr>
          <w:p w14:paraId="1689DC4E" w14:textId="4F4F50CB" w:rsidR="00623AD4" w:rsidRPr="002375AD" w:rsidRDefault="00623AD4" w:rsidP="00623AD4">
            <w:pPr>
              <w:keepNext/>
              <w:keepLines/>
              <w:widowControl w:val="0"/>
              <w:ind w:left="215"/>
              <w:rPr>
                <w:rFonts w:eastAsia="Times New Roman"/>
                <w:sz w:val="18"/>
                <w:szCs w:val="18"/>
              </w:rPr>
            </w:pPr>
            <w:r w:rsidRPr="002375AD">
              <w:rPr>
                <w:rFonts w:eastAsia="Times New Roman"/>
                <w:sz w:val="18"/>
                <w:szCs w:val="18"/>
              </w:rPr>
              <w:t>Director - Gerente</w:t>
            </w:r>
          </w:p>
        </w:tc>
        <w:tc>
          <w:tcPr>
            <w:tcW w:w="739" w:type="pct"/>
            <w:tcBorders>
              <w:top w:val="nil"/>
              <w:left w:val="nil"/>
              <w:bottom w:val="nil"/>
              <w:right w:val="nil"/>
            </w:tcBorders>
            <w:shd w:val="clear" w:color="auto" w:fill="auto"/>
            <w:vAlign w:val="center"/>
          </w:tcPr>
          <w:p w14:paraId="41D54E3D" w14:textId="385BB4EF" w:rsidR="00623AD4" w:rsidRPr="009265BC" w:rsidRDefault="009265BC" w:rsidP="00623AD4">
            <w:pPr>
              <w:keepNext/>
              <w:keepLines/>
              <w:widowControl w:val="0"/>
              <w:pBdr>
                <w:top w:val="none" w:sz="0" w:space="0" w:color="auto"/>
                <w:left w:val="none" w:sz="0" w:space="0" w:color="auto"/>
                <w:bottom w:val="none" w:sz="0" w:space="0" w:color="auto"/>
                <w:right w:val="none" w:sz="0" w:space="0" w:color="auto"/>
                <w:between w:val="none" w:sz="0" w:space="0" w:color="auto"/>
                <w:bar w:val="none" w:sz="0" w:color="auto"/>
              </w:pBdr>
              <w:jc w:val="center"/>
              <w:outlineLvl w:val="9"/>
              <w:rPr>
                <w:rFonts w:eastAsia="Times New Roman"/>
                <w:sz w:val="18"/>
                <w:szCs w:val="18"/>
                <w:bdr w:val="none" w:sz="0" w:space="0" w:color="auto"/>
                <w:lang w:eastAsia="es-ES"/>
              </w:rPr>
            </w:pPr>
            <w:r w:rsidRPr="009265BC">
              <w:rPr>
                <w:rFonts w:eastAsia="Times New Roman"/>
                <w:sz w:val="18"/>
                <w:szCs w:val="18"/>
                <w:bdr w:val="none" w:sz="0" w:space="0" w:color="auto"/>
                <w:lang w:eastAsia="es-ES"/>
              </w:rPr>
              <w:t>1</w:t>
            </w:r>
          </w:p>
        </w:tc>
        <w:tc>
          <w:tcPr>
            <w:tcW w:w="740" w:type="pct"/>
            <w:tcBorders>
              <w:top w:val="nil"/>
              <w:left w:val="nil"/>
              <w:bottom w:val="nil"/>
              <w:right w:val="nil"/>
            </w:tcBorders>
            <w:shd w:val="clear" w:color="auto" w:fill="auto"/>
            <w:vAlign w:val="center"/>
          </w:tcPr>
          <w:p w14:paraId="2F2752F4" w14:textId="65DBA7F7" w:rsidR="00623AD4" w:rsidRPr="009265BC" w:rsidRDefault="009265BC" w:rsidP="00623AD4">
            <w:pPr>
              <w:keepNext/>
              <w:keepLines/>
              <w:widowControl w:val="0"/>
              <w:jc w:val="center"/>
              <w:rPr>
                <w:sz w:val="18"/>
                <w:szCs w:val="18"/>
              </w:rPr>
            </w:pPr>
            <w:r w:rsidRPr="009265BC">
              <w:rPr>
                <w:sz w:val="18"/>
                <w:szCs w:val="18"/>
              </w:rPr>
              <w:t>-</w:t>
            </w:r>
          </w:p>
        </w:tc>
        <w:tc>
          <w:tcPr>
            <w:tcW w:w="739" w:type="pct"/>
            <w:tcBorders>
              <w:top w:val="nil"/>
              <w:left w:val="nil"/>
              <w:bottom w:val="nil"/>
              <w:right w:val="nil"/>
            </w:tcBorders>
            <w:shd w:val="clear" w:color="auto" w:fill="auto"/>
            <w:vAlign w:val="center"/>
          </w:tcPr>
          <w:p w14:paraId="12A6177C" w14:textId="2F7AD94F" w:rsidR="00623AD4" w:rsidRPr="007A7245" w:rsidRDefault="00623AD4" w:rsidP="00623AD4">
            <w:pPr>
              <w:keepNext/>
              <w:keepLines/>
              <w:widowControl w:val="0"/>
              <w:pBdr>
                <w:top w:val="none" w:sz="0" w:space="0" w:color="auto"/>
                <w:left w:val="none" w:sz="0" w:space="0" w:color="auto"/>
                <w:bottom w:val="none" w:sz="0" w:space="0" w:color="auto"/>
                <w:right w:val="none" w:sz="0" w:space="0" w:color="auto"/>
                <w:between w:val="none" w:sz="0" w:space="0" w:color="auto"/>
                <w:bar w:val="none" w:sz="0" w:color="auto"/>
              </w:pBdr>
              <w:jc w:val="center"/>
              <w:outlineLvl w:val="9"/>
              <w:rPr>
                <w:rFonts w:eastAsia="Times New Roman"/>
                <w:sz w:val="18"/>
                <w:szCs w:val="18"/>
                <w:bdr w:val="none" w:sz="0" w:space="0" w:color="auto"/>
                <w:lang w:eastAsia="es-ES"/>
              </w:rPr>
            </w:pPr>
            <w:r w:rsidRPr="0059131C">
              <w:rPr>
                <w:sz w:val="18"/>
                <w:szCs w:val="18"/>
              </w:rPr>
              <w:t>1</w:t>
            </w:r>
          </w:p>
        </w:tc>
        <w:tc>
          <w:tcPr>
            <w:tcW w:w="739" w:type="pct"/>
            <w:tcBorders>
              <w:top w:val="nil"/>
              <w:left w:val="nil"/>
              <w:bottom w:val="nil"/>
              <w:right w:val="nil"/>
            </w:tcBorders>
            <w:shd w:val="clear" w:color="auto" w:fill="auto"/>
            <w:vAlign w:val="center"/>
          </w:tcPr>
          <w:p w14:paraId="08DFB669" w14:textId="7B7E8C59" w:rsidR="00623AD4" w:rsidRPr="007A7245" w:rsidRDefault="00623AD4" w:rsidP="00623AD4">
            <w:pPr>
              <w:keepNext/>
              <w:keepLines/>
              <w:widowControl w:val="0"/>
              <w:jc w:val="center"/>
              <w:rPr>
                <w:sz w:val="18"/>
                <w:szCs w:val="18"/>
              </w:rPr>
            </w:pPr>
            <w:r w:rsidRPr="0059131C">
              <w:rPr>
                <w:sz w:val="18"/>
                <w:szCs w:val="18"/>
              </w:rPr>
              <w:t>-</w:t>
            </w:r>
          </w:p>
        </w:tc>
      </w:tr>
      <w:tr w:rsidR="00623AD4" w:rsidRPr="0070430A" w14:paraId="4662657B" w14:textId="77777777" w:rsidTr="00176BA0">
        <w:trPr>
          <w:trHeight w:val="283"/>
          <w:jc w:val="center"/>
        </w:trPr>
        <w:tc>
          <w:tcPr>
            <w:tcW w:w="2042" w:type="pct"/>
            <w:tcBorders>
              <w:top w:val="nil"/>
              <w:left w:val="nil"/>
              <w:bottom w:val="nil"/>
              <w:right w:val="nil"/>
            </w:tcBorders>
            <w:shd w:val="clear" w:color="auto" w:fill="auto"/>
            <w:vAlign w:val="center"/>
          </w:tcPr>
          <w:p w14:paraId="535B5F7F" w14:textId="04B7D949" w:rsidR="00623AD4" w:rsidRPr="002375AD" w:rsidRDefault="00623AD4" w:rsidP="00623AD4">
            <w:pPr>
              <w:keepNext/>
              <w:keepLines/>
              <w:widowControl w:val="0"/>
              <w:ind w:left="215"/>
              <w:rPr>
                <w:rFonts w:eastAsia="Times New Roman"/>
                <w:sz w:val="18"/>
                <w:szCs w:val="18"/>
              </w:rPr>
            </w:pPr>
            <w:r w:rsidRPr="002375AD">
              <w:rPr>
                <w:rFonts w:eastAsia="Times New Roman"/>
                <w:sz w:val="18"/>
                <w:szCs w:val="18"/>
              </w:rPr>
              <w:t>Directivos</w:t>
            </w:r>
          </w:p>
        </w:tc>
        <w:tc>
          <w:tcPr>
            <w:tcW w:w="739" w:type="pct"/>
            <w:tcBorders>
              <w:top w:val="nil"/>
              <w:left w:val="nil"/>
              <w:bottom w:val="nil"/>
              <w:right w:val="nil"/>
            </w:tcBorders>
            <w:shd w:val="clear" w:color="auto" w:fill="auto"/>
            <w:vAlign w:val="center"/>
          </w:tcPr>
          <w:p w14:paraId="736B614D" w14:textId="31390D17" w:rsidR="00623AD4" w:rsidRPr="009265BC" w:rsidRDefault="009265BC" w:rsidP="00623AD4">
            <w:pPr>
              <w:keepNext/>
              <w:keepLines/>
              <w:widowControl w:val="0"/>
              <w:pBdr>
                <w:top w:val="none" w:sz="0" w:space="0" w:color="auto"/>
                <w:left w:val="none" w:sz="0" w:space="0" w:color="auto"/>
                <w:bottom w:val="none" w:sz="0" w:space="0" w:color="auto"/>
                <w:right w:val="none" w:sz="0" w:space="0" w:color="auto"/>
                <w:between w:val="none" w:sz="0" w:space="0" w:color="auto"/>
                <w:bar w:val="none" w:sz="0" w:color="auto"/>
              </w:pBdr>
              <w:jc w:val="center"/>
              <w:outlineLvl w:val="9"/>
              <w:rPr>
                <w:rFonts w:eastAsia="Times New Roman"/>
                <w:sz w:val="18"/>
                <w:szCs w:val="18"/>
                <w:bdr w:val="none" w:sz="0" w:space="0" w:color="auto"/>
                <w:lang w:eastAsia="es-ES"/>
              </w:rPr>
            </w:pPr>
            <w:r w:rsidRPr="009265BC">
              <w:rPr>
                <w:rFonts w:eastAsia="Times New Roman"/>
                <w:sz w:val="18"/>
                <w:szCs w:val="18"/>
                <w:bdr w:val="none" w:sz="0" w:space="0" w:color="auto"/>
                <w:lang w:eastAsia="es-ES"/>
              </w:rPr>
              <w:t>-</w:t>
            </w:r>
          </w:p>
        </w:tc>
        <w:tc>
          <w:tcPr>
            <w:tcW w:w="740" w:type="pct"/>
            <w:tcBorders>
              <w:top w:val="nil"/>
              <w:left w:val="nil"/>
              <w:bottom w:val="nil"/>
              <w:right w:val="nil"/>
            </w:tcBorders>
            <w:shd w:val="clear" w:color="auto" w:fill="auto"/>
            <w:vAlign w:val="center"/>
          </w:tcPr>
          <w:p w14:paraId="7980C2D3" w14:textId="36C79396" w:rsidR="00623AD4" w:rsidRPr="009265BC" w:rsidRDefault="009265BC" w:rsidP="00623AD4">
            <w:pPr>
              <w:keepNext/>
              <w:keepLines/>
              <w:widowControl w:val="0"/>
              <w:jc w:val="center"/>
              <w:rPr>
                <w:sz w:val="18"/>
                <w:szCs w:val="18"/>
              </w:rPr>
            </w:pPr>
            <w:r w:rsidRPr="009265BC">
              <w:rPr>
                <w:sz w:val="18"/>
                <w:szCs w:val="18"/>
              </w:rPr>
              <w:t>3</w:t>
            </w:r>
          </w:p>
        </w:tc>
        <w:tc>
          <w:tcPr>
            <w:tcW w:w="739" w:type="pct"/>
            <w:tcBorders>
              <w:top w:val="nil"/>
              <w:left w:val="nil"/>
              <w:bottom w:val="nil"/>
              <w:right w:val="nil"/>
            </w:tcBorders>
            <w:shd w:val="clear" w:color="auto" w:fill="auto"/>
            <w:vAlign w:val="center"/>
          </w:tcPr>
          <w:p w14:paraId="5BBF2298" w14:textId="336DEC1B" w:rsidR="00623AD4" w:rsidRPr="007A7245" w:rsidRDefault="00623AD4" w:rsidP="00623AD4">
            <w:pPr>
              <w:keepNext/>
              <w:keepLines/>
              <w:widowControl w:val="0"/>
              <w:pBdr>
                <w:top w:val="none" w:sz="0" w:space="0" w:color="auto"/>
                <w:left w:val="none" w:sz="0" w:space="0" w:color="auto"/>
                <w:bottom w:val="none" w:sz="0" w:space="0" w:color="auto"/>
                <w:right w:val="none" w:sz="0" w:space="0" w:color="auto"/>
                <w:between w:val="none" w:sz="0" w:space="0" w:color="auto"/>
                <w:bar w:val="none" w:sz="0" w:color="auto"/>
              </w:pBdr>
              <w:jc w:val="center"/>
              <w:outlineLvl w:val="9"/>
              <w:rPr>
                <w:sz w:val="18"/>
                <w:szCs w:val="18"/>
              </w:rPr>
            </w:pPr>
            <w:r w:rsidRPr="0059131C">
              <w:rPr>
                <w:sz w:val="18"/>
                <w:szCs w:val="18"/>
              </w:rPr>
              <w:t>-</w:t>
            </w:r>
          </w:p>
        </w:tc>
        <w:tc>
          <w:tcPr>
            <w:tcW w:w="739" w:type="pct"/>
            <w:tcBorders>
              <w:top w:val="nil"/>
              <w:left w:val="nil"/>
              <w:bottom w:val="nil"/>
              <w:right w:val="nil"/>
            </w:tcBorders>
            <w:shd w:val="clear" w:color="auto" w:fill="auto"/>
            <w:vAlign w:val="center"/>
          </w:tcPr>
          <w:p w14:paraId="4E9F0A7E" w14:textId="0FE242B2" w:rsidR="00623AD4" w:rsidRPr="007A7245" w:rsidRDefault="00623AD4" w:rsidP="00623AD4">
            <w:pPr>
              <w:keepNext/>
              <w:keepLines/>
              <w:widowControl w:val="0"/>
              <w:jc w:val="center"/>
              <w:rPr>
                <w:sz w:val="18"/>
                <w:szCs w:val="18"/>
              </w:rPr>
            </w:pPr>
            <w:r w:rsidRPr="0059131C">
              <w:rPr>
                <w:sz w:val="18"/>
                <w:szCs w:val="18"/>
              </w:rPr>
              <w:t>3</w:t>
            </w:r>
          </w:p>
        </w:tc>
      </w:tr>
      <w:tr w:rsidR="00623AD4" w:rsidRPr="0070430A" w14:paraId="342D2A05" w14:textId="77777777" w:rsidTr="00176BA0">
        <w:trPr>
          <w:trHeight w:val="283"/>
          <w:jc w:val="center"/>
        </w:trPr>
        <w:tc>
          <w:tcPr>
            <w:tcW w:w="2042" w:type="pct"/>
            <w:tcBorders>
              <w:top w:val="nil"/>
              <w:left w:val="nil"/>
              <w:bottom w:val="nil"/>
              <w:right w:val="nil"/>
            </w:tcBorders>
            <w:shd w:val="clear" w:color="auto" w:fill="auto"/>
            <w:vAlign w:val="center"/>
            <w:hideMark/>
          </w:tcPr>
          <w:p w14:paraId="15701B89" w14:textId="77777777" w:rsidR="00623AD4" w:rsidRPr="002375AD" w:rsidRDefault="00623AD4" w:rsidP="00623AD4">
            <w:pPr>
              <w:keepNext/>
              <w:keepLines/>
              <w:widowControl w:val="0"/>
              <w:ind w:left="215"/>
              <w:rPr>
                <w:rFonts w:eastAsia="Times New Roman"/>
                <w:sz w:val="18"/>
                <w:szCs w:val="18"/>
              </w:rPr>
            </w:pPr>
            <w:r w:rsidRPr="002375AD">
              <w:rPr>
                <w:rFonts w:eastAsia="Times New Roman"/>
                <w:sz w:val="18"/>
                <w:szCs w:val="18"/>
              </w:rPr>
              <w:t>Técnicos superiores</w:t>
            </w:r>
          </w:p>
        </w:tc>
        <w:tc>
          <w:tcPr>
            <w:tcW w:w="739" w:type="pct"/>
            <w:tcBorders>
              <w:top w:val="nil"/>
              <w:left w:val="nil"/>
              <w:bottom w:val="nil"/>
              <w:right w:val="nil"/>
            </w:tcBorders>
            <w:shd w:val="clear" w:color="auto" w:fill="auto"/>
            <w:vAlign w:val="center"/>
          </w:tcPr>
          <w:p w14:paraId="08DD1051" w14:textId="74B80425" w:rsidR="00623AD4" w:rsidRPr="009265BC" w:rsidRDefault="009265BC" w:rsidP="00623AD4">
            <w:pPr>
              <w:keepNext/>
              <w:keepLines/>
              <w:widowControl w:val="0"/>
              <w:jc w:val="center"/>
              <w:rPr>
                <w:sz w:val="18"/>
                <w:szCs w:val="18"/>
              </w:rPr>
            </w:pPr>
            <w:r w:rsidRPr="009265BC">
              <w:rPr>
                <w:sz w:val="18"/>
                <w:szCs w:val="18"/>
              </w:rPr>
              <w:t>9</w:t>
            </w:r>
          </w:p>
        </w:tc>
        <w:tc>
          <w:tcPr>
            <w:tcW w:w="740" w:type="pct"/>
            <w:tcBorders>
              <w:top w:val="nil"/>
              <w:left w:val="nil"/>
              <w:bottom w:val="nil"/>
              <w:right w:val="nil"/>
            </w:tcBorders>
            <w:shd w:val="clear" w:color="auto" w:fill="auto"/>
            <w:vAlign w:val="center"/>
          </w:tcPr>
          <w:p w14:paraId="23C7BA16" w14:textId="39AF5F6F" w:rsidR="00623AD4" w:rsidRPr="009265BC" w:rsidRDefault="009265BC" w:rsidP="00623AD4">
            <w:pPr>
              <w:keepNext/>
              <w:keepLines/>
              <w:widowControl w:val="0"/>
              <w:jc w:val="center"/>
              <w:rPr>
                <w:sz w:val="18"/>
                <w:szCs w:val="18"/>
              </w:rPr>
            </w:pPr>
            <w:r w:rsidRPr="009265BC">
              <w:rPr>
                <w:sz w:val="18"/>
                <w:szCs w:val="18"/>
              </w:rPr>
              <w:t>24</w:t>
            </w:r>
          </w:p>
        </w:tc>
        <w:tc>
          <w:tcPr>
            <w:tcW w:w="739" w:type="pct"/>
            <w:tcBorders>
              <w:top w:val="nil"/>
              <w:left w:val="nil"/>
              <w:bottom w:val="nil"/>
              <w:right w:val="nil"/>
            </w:tcBorders>
            <w:shd w:val="clear" w:color="auto" w:fill="auto"/>
            <w:vAlign w:val="center"/>
          </w:tcPr>
          <w:p w14:paraId="403A9C7C" w14:textId="10C0D71C" w:rsidR="00623AD4" w:rsidRPr="007A7245" w:rsidRDefault="00623AD4" w:rsidP="00623AD4">
            <w:pPr>
              <w:keepNext/>
              <w:keepLines/>
              <w:widowControl w:val="0"/>
              <w:jc w:val="center"/>
              <w:rPr>
                <w:sz w:val="18"/>
                <w:szCs w:val="18"/>
              </w:rPr>
            </w:pPr>
            <w:r w:rsidRPr="0059131C">
              <w:rPr>
                <w:sz w:val="18"/>
                <w:szCs w:val="18"/>
              </w:rPr>
              <w:t>5</w:t>
            </w:r>
          </w:p>
        </w:tc>
        <w:tc>
          <w:tcPr>
            <w:tcW w:w="739" w:type="pct"/>
            <w:tcBorders>
              <w:top w:val="nil"/>
              <w:left w:val="nil"/>
              <w:bottom w:val="nil"/>
              <w:right w:val="nil"/>
            </w:tcBorders>
            <w:shd w:val="clear" w:color="auto" w:fill="auto"/>
            <w:vAlign w:val="center"/>
          </w:tcPr>
          <w:p w14:paraId="23920742" w14:textId="60EC37AA" w:rsidR="00623AD4" w:rsidRPr="007A7245" w:rsidRDefault="00623AD4" w:rsidP="00623AD4">
            <w:pPr>
              <w:keepNext/>
              <w:keepLines/>
              <w:widowControl w:val="0"/>
              <w:jc w:val="center"/>
              <w:rPr>
                <w:sz w:val="18"/>
                <w:szCs w:val="18"/>
              </w:rPr>
            </w:pPr>
            <w:r w:rsidRPr="0059131C">
              <w:rPr>
                <w:sz w:val="18"/>
                <w:szCs w:val="18"/>
              </w:rPr>
              <w:t>15</w:t>
            </w:r>
          </w:p>
        </w:tc>
      </w:tr>
      <w:tr w:rsidR="00623AD4" w:rsidRPr="0070430A" w14:paraId="55AD752C" w14:textId="77777777" w:rsidTr="00176BA0">
        <w:trPr>
          <w:trHeight w:val="283"/>
          <w:jc w:val="center"/>
        </w:trPr>
        <w:tc>
          <w:tcPr>
            <w:tcW w:w="2042" w:type="pct"/>
            <w:tcBorders>
              <w:top w:val="nil"/>
              <w:left w:val="nil"/>
              <w:bottom w:val="nil"/>
              <w:right w:val="nil"/>
            </w:tcBorders>
            <w:shd w:val="clear" w:color="auto" w:fill="auto"/>
            <w:vAlign w:val="center"/>
            <w:hideMark/>
          </w:tcPr>
          <w:p w14:paraId="43B1E0C0" w14:textId="77777777" w:rsidR="00623AD4" w:rsidRPr="002375AD" w:rsidRDefault="00623AD4" w:rsidP="00623AD4">
            <w:pPr>
              <w:keepNext/>
              <w:keepLines/>
              <w:widowControl w:val="0"/>
              <w:ind w:left="215"/>
              <w:rPr>
                <w:rFonts w:eastAsia="Times New Roman"/>
                <w:sz w:val="18"/>
                <w:szCs w:val="18"/>
              </w:rPr>
            </w:pPr>
            <w:r w:rsidRPr="002375AD">
              <w:rPr>
                <w:rFonts w:eastAsia="Times New Roman"/>
                <w:sz w:val="18"/>
                <w:szCs w:val="18"/>
              </w:rPr>
              <w:t>Técnicos medios</w:t>
            </w:r>
          </w:p>
        </w:tc>
        <w:tc>
          <w:tcPr>
            <w:tcW w:w="739" w:type="pct"/>
            <w:tcBorders>
              <w:top w:val="nil"/>
              <w:left w:val="nil"/>
              <w:bottom w:val="nil"/>
              <w:right w:val="nil"/>
            </w:tcBorders>
            <w:shd w:val="clear" w:color="auto" w:fill="auto"/>
            <w:vAlign w:val="center"/>
          </w:tcPr>
          <w:p w14:paraId="1A0804E9" w14:textId="5283E2A5" w:rsidR="00623AD4" w:rsidRPr="009265BC" w:rsidRDefault="009265BC" w:rsidP="00623AD4">
            <w:pPr>
              <w:keepNext/>
              <w:keepLines/>
              <w:widowControl w:val="0"/>
              <w:jc w:val="center"/>
              <w:rPr>
                <w:sz w:val="18"/>
                <w:szCs w:val="18"/>
              </w:rPr>
            </w:pPr>
            <w:r w:rsidRPr="009265BC">
              <w:rPr>
                <w:sz w:val="18"/>
                <w:szCs w:val="18"/>
              </w:rPr>
              <w:t>3</w:t>
            </w:r>
          </w:p>
        </w:tc>
        <w:tc>
          <w:tcPr>
            <w:tcW w:w="740" w:type="pct"/>
            <w:tcBorders>
              <w:top w:val="nil"/>
              <w:left w:val="nil"/>
              <w:bottom w:val="nil"/>
              <w:right w:val="nil"/>
            </w:tcBorders>
            <w:shd w:val="clear" w:color="auto" w:fill="auto"/>
            <w:vAlign w:val="center"/>
          </w:tcPr>
          <w:p w14:paraId="40B12C58" w14:textId="7AC93722" w:rsidR="00623AD4" w:rsidRPr="009265BC" w:rsidRDefault="009265BC" w:rsidP="00623AD4">
            <w:pPr>
              <w:keepNext/>
              <w:keepLines/>
              <w:widowControl w:val="0"/>
              <w:jc w:val="center"/>
              <w:rPr>
                <w:sz w:val="18"/>
                <w:szCs w:val="18"/>
              </w:rPr>
            </w:pPr>
            <w:r w:rsidRPr="009265BC">
              <w:rPr>
                <w:sz w:val="18"/>
                <w:szCs w:val="18"/>
              </w:rPr>
              <w:t>18</w:t>
            </w:r>
          </w:p>
        </w:tc>
        <w:tc>
          <w:tcPr>
            <w:tcW w:w="739" w:type="pct"/>
            <w:tcBorders>
              <w:top w:val="nil"/>
              <w:left w:val="nil"/>
              <w:bottom w:val="nil"/>
              <w:right w:val="nil"/>
            </w:tcBorders>
            <w:shd w:val="clear" w:color="auto" w:fill="auto"/>
            <w:vAlign w:val="center"/>
          </w:tcPr>
          <w:p w14:paraId="67FF13AB" w14:textId="339025EC" w:rsidR="00623AD4" w:rsidRPr="007A7245" w:rsidRDefault="00623AD4" w:rsidP="00623AD4">
            <w:pPr>
              <w:keepNext/>
              <w:keepLines/>
              <w:widowControl w:val="0"/>
              <w:jc w:val="center"/>
              <w:rPr>
                <w:sz w:val="18"/>
                <w:szCs w:val="18"/>
              </w:rPr>
            </w:pPr>
            <w:r w:rsidRPr="0059131C">
              <w:rPr>
                <w:sz w:val="18"/>
                <w:szCs w:val="18"/>
              </w:rPr>
              <w:t>3</w:t>
            </w:r>
          </w:p>
        </w:tc>
        <w:tc>
          <w:tcPr>
            <w:tcW w:w="739" w:type="pct"/>
            <w:tcBorders>
              <w:top w:val="nil"/>
              <w:left w:val="nil"/>
              <w:bottom w:val="nil"/>
              <w:right w:val="nil"/>
            </w:tcBorders>
            <w:shd w:val="clear" w:color="auto" w:fill="auto"/>
            <w:vAlign w:val="center"/>
          </w:tcPr>
          <w:p w14:paraId="3FA26FF2" w14:textId="246BF6CE" w:rsidR="00623AD4" w:rsidRPr="007A7245" w:rsidRDefault="00623AD4" w:rsidP="00623AD4">
            <w:pPr>
              <w:keepNext/>
              <w:keepLines/>
              <w:widowControl w:val="0"/>
              <w:jc w:val="center"/>
              <w:rPr>
                <w:sz w:val="18"/>
                <w:szCs w:val="18"/>
              </w:rPr>
            </w:pPr>
            <w:r w:rsidRPr="0059131C">
              <w:rPr>
                <w:sz w:val="18"/>
                <w:szCs w:val="18"/>
              </w:rPr>
              <w:t>17</w:t>
            </w:r>
          </w:p>
        </w:tc>
      </w:tr>
      <w:tr w:rsidR="00623AD4" w:rsidRPr="0070430A" w14:paraId="21B38E40" w14:textId="77777777" w:rsidTr="00176BA0">
        <w:trPr>
          <w:trHeight w:val="283"/>
          <w:jc w:val="center"/>
        </w:trPr>
        <w:tc>
          <w:tcPr>
            <w:tcW w:w="2042" w:type="pct"/>
            <w:tcBorders>
              <w:top w:val="nil"/>
              <w:left w:val="nil"/>
              <w:bottom w:val="nil"/>
              <w:right w:val="nil"/>
            </w:tcBorders>
            <w:shd w:val="clear" w:color="auto" w:fill="auto"/>
            <w:vAlign w:val="center"/>
            <w:hideMark/>
          </w:tcPr>
          <w:p w14:paraId="7A750627" w14:textId="77777777" w:rsidR="00623AD4" w:rsidRPr="002375AD" w:rsidRDefault="00623AD4" w:rsidP="00623AD4">
            <w:pPr>
              <w:keepNext/>
              <w:keepLines/>
              <w:widowControl w:val="0"/>
              <w:ind w:left="215"/>
              <w:rPr>
                <w:rFonts w:eastAsia="Times New Roman"/>
                <w:sz w:val="18"/>
                <w:szCs w:val="18"/>
              </w:rPr>
            </w:pPr>
            <w:r w:rsidRPr="002375AD">
              <w:rPr>
                <w:rFonts w:eastAsia="Times New Roman"/>
                <w:sz w:val="18"/>
                <w:szCs w:val="18"/>
              </w:rPr>
              <w:t>Administrativos/Coordinadores</w:t>
            </w:r>
          </w:p>
        </w:tc>
        <w:tc>
          <w:tcPr>
            <w:tcW w:w="739" w:type="pct"/>
            <w:tcBorders>
              <w:top w:val="nil"/>
              <w:left w:val="nil"/>
              <w:bottom w:val="nil"/>
              <w:right w:val="nil"/>
            </w:tcBorders>
            <w:shd w:val="clear" w:color="auto" w:fill="auto"/>
            <w:vAlign w:val="center"/>
          </w:tcPr>
          <w:p w14:paraId="7679F8F5" w14:textId="289AC0AA" w:rsidR="00623AD4" w:rsidRPr="009265BC" w:rsidRDefault="009265BC" w:rsidP="00623AD4">
            <w:pPr>
              <w:keepNext/>
              <w:keepLines/>
              <w:widowControl w:val="0"/>
              <w:jc w:val="center"/>
              <w:rPr>
                <w:sz w:val="18"/>
                <w:szCs w:val="18"/>
              </w:rPr>
            </w:pPr>
            <w:r w:rsidRPr="009265BC">
              <w:rPr>
                <w:sz w:val="18"/>
                <w:szCs w:val="18"/>
              </w:rPr>
              <w:t>2</w:t>
            </w:r>
          </w:p>
        </w:tc>
        <w:tc>
          <w:tcPr>
            <w:tcW w:w="740" w:type="pct"/>
            <w:tcBorders>
              <w:top w:val="nil"/>
              <w:left w:val="nil"/>
              <w:bottom w:val="nil"/>
              <w:right w:val="nil"/>
            </w:tcBorders>
            <w:shd w:val="clear" w:color="auto" w:fill="auto"/>
            <w:vAlign w:val="center"/>
          </w:tcPr>
          <w:p w14:paraId="4050B355" w14:textId="1455076B" w:rsidR="00623AD4" w:rsidRPr="009265BC" w:rsidRDefault="009265BC" w:rsidP="00623AD4">
            <w:pPr>
              <w:keepNext/>
              <w:keepLines/>
              <w:widowControl w:val="0"/>
              <w:jc w:val="center"/>
              <w:rPr>
                <w:sz w:val="18"/>
                <w:szCs w:val="18"/>
              </w:rPr>
            </w:pPr>
            <w:r w:rsidRPr="009265BC">
              <w:rPr>
                <w:sz w:val="18"/>
                <w:szCs w:val="18"/>
              </w:rPr>
              <w:t>6</w:t>
            </w:r>
          </w:p>
        </w:tc>
        <w:tc>
          <w:tcPr>
            <w:tcW w:w="739" w:type="pct"/>
            <w:tcBorders>
              <w:top w:val="nil"/>
              <w:left w:val="nil"/>
              <w:bottom w:val="nil"/>
              <w:right w:val="nil"/>
            </w:tcBorders>
            <w:shd w:val="clear" w:color="auto" w:fill="auto"/>
            <w:vAlign w:val="center"/>
          </w:tcPr>
          <w:p w14:paraId="72FCA61B" w14:textId="492EBC68" w:rsidR="00623AD4" w:rsidRPr="007A7245" w:rsidRDefault="00623AD4" w:rsidP="00623AD4">
            <w:pPr>
              <w:keepNext/>
              <w:keepLines/>
              <w:widowControl w:val="0"/>
              <w:jc w:val="center"/>
              <w:rPr>
                <w:sz w:val="18"/>
                <w:szCs w:val="18"/>
              </w:rPr>
            </w:pPr>
            <w:r w:rsidRPr="0059131C">
              <w:rPr>
                <w:sz w:val="18"/>
                <w:szCs w:val="18"/>
              </w:rPr>
              <w:t>2</w:t>
            </w:r>
          </w:p>
        </w:tc>
        <w:tc>
          <w:tcPr>
            <w:tcW w:w="739" w:type="pct"/>
            <w:tcBorders>
              <w:top w:val="nil"/>
              <w:left w:val="nil"/>
              <w:bottom w:val="nil"/>
              <w:right w:val="nil"/>
            </w:tcBorders>
            <w:shd w:val="clear" w:color="auto" w:fill="auto"/>
            <w:vAlign w:val="center"/>
          </w:tcPr>
          <w:p w14:paraId="617D5F08" w14:textId="67C110CF" w:rsidR="00623AD4" w:rsidRPr="007A7245" w:rsidRDefault="00623AD4" w:rsidP="00623AD4">
            <w:pPr>
              <w:keepNext/>
              <w:keepLines/>
              <w:widowControl w:val="0"/>
              <w:jc w:val="center"/>
              <w:rPr>
                <w:sz w:val="18"/>
                <w:szCs w:val="18"/>
              </w:rPr>
            </w:pPr>
            <w:r w:rsidRPr="0059131C">
              <w:rPr>
                <w:sz w:val="18"/>
                <w:szCs w:val="18"/>
              </w:rPr>
              <w:t>7</w:t>
            </w:r>
          </w:p>
        </w:tc>
      </w:tr>
      <w:tr w:rsidR="00623AD4" w:rsidRPr="0070430A" w14:paraId="549589B0" w14:textId="77777777" w:rsidTr="00176BA0">
        <w:trPr>
          <w:trHeight w:val="283"/>
          <w:jc w:val="center"/>
        </w:trPr>
        <w:tc>
          <w:tcPr>
            <w:tcW w:w="2042" w:type="pct"/>
            <w:tcBorders>
              <w:top w:val="nil"/>
              <w:left w:val="nil"/>
              <w:bottom w:val="single" w:sz="4" w:space="0" w:color="auto"/>
              <w:right w:val="nil"/>
            </w:tcBorders>
            <w:shd w:val="clear" w:color="auto" w:fill="auto"/>
            <w:vAlign w:val="center"/>
            <w:hideMark/>
          </w:tcPr>
          <w:p w14:paraId="0064E6A6" w14:textId="77777777" w:rsidR="00623AD4" w:rsidRPr="002375AD" w:rsidRDefault="00623AD4" w:rsidP="00623AD4">
            <w:pPr>
              <w:keepNext/>
              <w:keepLines/>
              <w:widowControl w:val="0"/>
              <w:ind w:left="215"/>
              <w:rPr>
                <w:rFonts w:eastAsia="Times New Roman"/>
                <w:sz w:val="18"/>
                <w:szCs w:val="18"/>
              </w:rPr>
            </w:pPr>
            <w:r w:rsidRPr="002375AD">
              <w:rPr>
                <w:rFonts w:eastAsia="Times New Roman"/>
                <w:sz w:val="18"/>
                <w:szCs w:val="18"/>
              </w:rPr>
              <w:t>Otros</w:t>
            </w:r>
          </w:p>
        </w:tc>
        <w:tc>
          <w:tcPr>
            <w:tcW w:w="739" w:type="pct"/>
            <w:tcBorders>
              <w:top w:val="nil"/>
              <w:left w:val="nil"/>
              <w:bottom w:val="single" w:sz="4" w:space="0" w:color="auto"/>
              <w:right w:val="nil"/>
            </w:tcBorders>
            <w:shd w:val="clear" w:color="auto" w:fill="auto"/>
            <w:vAlign w:val="center"/>
          </w:tcPr>
          <w:p w14:paraId="39F12707" w14:textId="53DE02BD" w:rsidR="00623AD4" w:rsidRPr="009265BC" w:rsidRDefault="009265BC" w:rsidP="00623AD4">
            <w:pPr>
              <w:keepNext/>
              <w:keepLines/>
              <w:widowControl w:val="0"/>
              <w:jc w:val="center"/>
              <w:rPr>
                <w:sz w:val="18"/>
                <w:szCs w:val="18"/>
              </w:rPr>
            </w:pPr>
            <w:r w:rsidRPr="009265BC">
              <w:rPr>
                <w:sz w:val="18"/>
                <w:szCs w:val="18"/>
              </w:rPr>
              <w:t>-</w:t>
            </w:r>
          </w:p>
        </w:tc>
        <w:tc>
          <w:tcPr>
            <w:tcW w:w="740" w:type="pct"/>
            <w:tcBorders>
              <w:top w:val="nil"/>
              <w:left w:val="nil"/>
              <w:bottom w:val="single" w:sz="4" w:space="0" w:color="auto"/>
              <w:right w:val="nil"/>
            </w:tcBorders>
            <w:shd w:val="clear" w:color="auto" w:fill="auto"/>
            <w:vAlign w:val="center"/>
          </w:tcPr>
          <w:p w14:paraId="7372FE46" w14:textId="1D0A5549" w:rsidR="00623AD4" w:rsidRPr="009265BC" w:rsidRDefault="009265BC" w:rsidP="00623AD4">
            <w:pPr>
              <w:keepNext/>
              <w:keepLines/>
              <w:widowControl w:val="0"/>
              <w:jc w:val="center"/>
              <w:rPr>
                <w:sz w:val="18"/>
                <w:szCs w:val="18"/>
              </w:rPr>
            </w:pPr>
            <w:r w:rsidRPr="009265BC">
              <w:rPr>
                <w:sz w:val="18"/>
                <w:szCs w:val="18"/>
              </w:rPr>
              <w:t>-</w:t>
            </w:r>
          </w:p>
        </w:tc>
        <w:tc>
          <w:tcPr>
            <w:tcW w:w="739" w:type="pct"/>
            <w:tcBorders>
              <w:top w:val="nil"/>
              <w:left w:val="nil"/>
              <w:bottom w:val="single" w:sz="4" w:space="0" w:color="auto"/>
              <w:right w:val="nil"/>
            </w:tcBorders>
            <w:shd w:val="clear" w:color="auto" w:fill="auto"/>
            <w:vAlign w:val="center"/>
          </w:tcPr>
          <w:p w14:paraId="1D91BDA4" w14:textId="7220E361" w:rsidR="00623AD4" w:rsidRPr="007A7245" w:rsidRDefault="00623AD4" w:rsidP="00623AD4">
            <w:pPr>
              <w:keepNext/>
              <w:keepLines/>
              <w:widowControl w:val="0"/>
              <w:jc w:val="center"/>
              <w:rPr>
                <w:sz w:val="18"/>
                <w:szCs w:val="18"/>
              </w:rPr>
            </w:pPr>
            <w:r w:rsidRPr="0059131C">
              <w:rPr>
                <w:sz w:val="18"/>
                <w:szCs w:val="18"/>
              </w:rPr>
              <w:t>1</w:t>
            </w:r>
          </w:p>
        </w:tc>
        <w:tc>
          <w:tcPr>
            <w:tcW w:w="739" w:type="pct"/>
            <w:tcBorders>
              <w:top w:val="nil"/>
              <w:left w:val="nil"/>
              <w:bottom w:val="single" w:sz="4" w:space="0" w:color="auto"/>
              <w:right w:val="nil"/>
            </w:tcBorders>
            <w:shd w:val="clear" w:color="auto" w:fill="auto"/>
            <w:vAlign w:val="center"/>
          </w:tcPr>
          <w:p w14:paraId="7B24F9F1" w14:textId="4B39BCA9" w:rsidR="00623AD4" w:rsidRPr="007A7245" w:rsidRDefault="00623AD4" w:rsidP="00623AD4">
            <w:pPr>
              <w:keepNext/>
              <w:keepLines/>
              <w:widowControl w:val="0"/>
              <w:jc w:val="center"/>
              <w:rPr>
                <w:sz w:val="18"/>
                <w:szCs w:val="18"/>
              </w:rPr>
            </w:pPr>
            <w:r w:rsidRPr="0059131C">
              <w:rPr>
                <w:sz w:val="18"/>
                <w:szCs w:val="18"/>
              </w:rPr>
              <w:t>-</w:t>
            </w:r>
          </w:p>
        </w:tc>
      </w:tr>
      <w:tr w:rsidR="00623AD4" w:rsidRPr="00176BA0" w14:paraId="63EDE037" w14:textId="77777777" w:rsidTr="00176BA0">
        <w:trPr>
          <w:trHeight w:val="283"/>
          <w:jc w:val="center"/>
        </w:trPr>
        <w:tc>
          <w:tcPr>
            <w:tcW w:w="2042" w:type="pct"/>
            <w:tcBorders>
              <w:top w:val="nil"/>
              <w:left w:val="nil"/>
              <w:bottom w:val="single" w:sz="4" w:space="0" w:color="auto"/>
              <w:right w:val="nil"/>
            </w:tcBorders>
            <w:shd w:val="clear" w:color="auto" w:fill="auto"/>
            <w:vAlign w:val="center"/>
            <w:hideMark/>
          </w:tcPr>
          <w:p w14:paraId="07CFF796" w14:textId="77777777" w:rsidR="00623AD4" w:rsidRPr="002375AD" w:rsidRDefault="00623AD4" w:rsidP="00623AD4">
            <w:pPr>
              <w:keepNext/>
              <w:keepLines/>
              <w:widowControl w:val="0"/>
              <w:ind w:left="215"/>
              <w:rPr>
                <w:rFonts w:eastAsia="Times New Roman"/>
                <w:b/>
                <w:sz w:val="18"/>
                <w:szCs w:val="18"/>
              </w:rPr>
            </w:pPr>
            <w:r w:rsidRPr="002375AD">
              <w:rPr>
                <w:rFonts w:eastAsia="Times New Roman"/>
                <w:sz w:val="18"/>
                <w:szCs w:val="18"/>
              </w:rPr>
              <w:t> </w:t>
            </w:r>
            <w:r w:rsidRPr="002375AD">
              <w:rPr>
                <w:rFonts w:eastAsia="Times New Roman"/>
                <w:b/>
                <w:sz w:val="18"/>
                <w:szCs w:val="18"/>
              </w:rPr>
              <w:t>Total</w:t>
            </w:r>
          </w:p>
        </w:tc>
        <w:tc>
          <w:tcPr>
            <w:tcW w:w="739" w:type="pct"/>
            <w:tcBorders>
              <w:top w:val="nil"/>
              <w:left w:val="nil"/>
              <w:bottom w:val="single" w:sz="4" w:space="0" w:color="auto"/>
              <w:right w:val="nil"/>
            </w:tcBorders>
            <w:shd w:val="clear" w:color="auto" w:fill="auto"/>
            <w:vAlign w:val="center"/>
          </w:tcPr>
          <w:p w14:paraId="5059F661" w14:textId="53EDD39A" w:rsidR="00623AD4" w:rsidRPr="009265BC" w:rsidRDefault="009265BC" w:rsidP="00623AD4">
            <w:pPr>
              <w:keepNext/>
              <w:keepLines/>
              <w:widowControl w:val="0"/>
              <w:jc w:val="center"/>
              <w:rPr>
                <w:b/>
                <w:bCs/>
                <w:sz w:val="18"/>
                <w:szCs w:val="18"/>
              </w:rPr>
            </w:pPr>
            <w:r w:rsidRPr="009265BC">
              <w:rPr>
                <w:b/>
                <w:bCs/>
                <w:sz w:val="18"/>
                <w:szCs w:val="18"/>
              </w:rPr>
              <w:t>15</w:t>
            </w:r>
          </w:p>
        </w:tc>
        <w:tc>
          <w:tcPr>
            <w:tcW w:w="740" w:type="pct"/>
            <w:tcBorders>
              <w:top w:val="nil"/>
              <w:left w:val="nil"/>
              <w:bottom w:val="single" w:sz="4" w:space="0" w:color="auto"/>
              <w:right w:val="nil"/>
            </w:tcBorders>
            <w:shd w:val="clear" w:color="auto" w:fill="auto"/>
            <w:vAlign w:val="center"/>
          </w:tcPr>
          <w:p w14:paraId="264DCC9E" w14:textId="5123366A" w:rsidR="00623AD4" w:rsidRPr="009265BC" w:rsidRDefault="009265BC" w:rsidP="00623AD4">
            <w:pPr>
              <w:keepNext/>
              <w:keepLines/>
              <w:widowControl w:val="0"/>
              <w:jc w:val="center"/>
              <w:rPr>
                <w:b/>
                <w:bCs/>
                <w:sz w:val="18"/>
                <w:szCs w:val="18"/>
              </w:rPr>
            </w:pPr>
            <w:r w:rsidRPr="009265BC">
              <w:rPr>
                <w:b/>
                <w:bCs/>
                <w:sz w:val="18"/>
                <w:szCs w:val="18"/>
              </w:rPr>
              <w:t>51</w:t>
            </w:r>
          </w:p>
        </w:tc>
        <w:tc>
          <w:tcPr>
            <w:tcW w:w="739" w:type="pct"/>
            <w:tcBorders>
              <w:top w:val="nil"/>
              <w:left w:val="nil"/>
              <w:bottom w:val="single" w:sz="4" w:space="0" w:color="auto"/>
              <w:right w:val="nil"/>
            </w:tcBorders>
            <w:shd w:val="clear" w:color="auto" w:fill="auto"/>
            <w:vAlign w:val="center"/>
          </w:tcPr>
          <w:p w14:paraId="11AF9A06" w14:textId="153BD60F" w:rsidR="00623AD4" w:rsidRPr="007A7245" w:rsidRDefault="00623AD4" w:rsidP="00623AD4">
            <w:pPr>
              <w:keepNext/>
              <w:keepLines/>
              <w:widowControl w:val="0"/>
              <w:jc w:val="center"/>
              <w:rPr>
                <w:b/>
                <w:bCs/>
                <w:sz w:val="18"/>
                <w:szCs w:val="18"/>
              </w:rPr>
            </w:pPr>
            <w:r w:rsidRPr="0059131C">
              <w:rPr>
                <w:b/>
                <w:bCs/>
                <w:sz w:val="18"/>
                <w:szCs w:val="18"/>
              </w:rPr>
              <w:t>12</w:t>
            </w:r>
          </w:p>
        </w:tc>
        <w:tc>
          <w:tcPr>
            <w:tcW w:w="739" w:type="pct"/>
            <w:tcBorders>
              <w:top w:val="nil"/>
              <w:left w:val="nil"/>
              <w:bottom w:val="single" w:sz="4" w:space="0" w:color="auto"/>
              <w:right w:val="nil"/>
            </w:tcBorders>
            <w:shd w:val="clear" w:color="auto" w:fill="auto"/>
            <w:vAlign w:val="center"/>
          </w:tcPr>
          <w:p w14:paraId="18B49CBE" w14:textId="2DF2E9B3" w:rsidR="00623AD4" w:rsidRPr="007A7245" w:rsidRDefault="00623AD4" w:rsidP="00623AD4">
            <w:pPr>
              <w:keepNext/>
              <w:keepLines/>
              <w:widowControl w:val="0"/>
              <w:jc w:val="center"/>
              <w:rPr>
                <w:b/>
                <w:bCs/>
                <w:sz w:val="18"/>
                <w:szCs w:val="18"/>
              </w:rPr>
            </w:pPr>
            <w:r w:rsidRPr="0059131C">
              <w:rPr>
                <w:b/>
                <w:bCs/>
                <w:sz w:val="18"/>
                <w:szCs w:val="18"/>
              </w:rPr>
              <w:t>42</w:t>
            </w:r>
          </w:p>
        </w:tc>
      </w:tr>
    </w:tbl>
    <w:p w14:paraId="37BF8ADA" w14:textId="7E0FFAFE" w:rsidR="006220A2" w:rsidRPr="00176BA0" w:rsidRDefault="006220A2" w:rsidP="00D41577">
      <w:pPr>
        <w:widowControl w:val="0"/>
        <w:spacing w:before="240" w:after="120" w:line="260" w:lineRule="exact"/>
        <w:jc w:val="both"/>
        <w:outlineLvl w:val="9"/>
        <w:rPr>
          <w:snapToGrid w:val="0"/>
          <w:sz w:val="20"/>
          <w:szCs w:val="22"/>
        </w:rPr>
      </w:pPr>
      <w:r w:rsidRPr="00176BA0">
        <w:rPr>
          <w:snapToGrid w:val="0"/>
          <w:sz w:val="20"/>
          <w:szCs w:val="22"/>
        </w:rPr>
        <w:t>El total de empleados medios del ejercicio 20</w:t>
      </w:r>
      <w:r w:rsidR="00322E9D" w:rsidRPr="00176BA0">
        <w:rPr>
          <w:snapToGrid w:val="0"/>
          <w:sz w:val="20"/>
          <w:szCs w:val="22"/>
        </w:rPr>
        <w:t>2</w:t>
      </w:r>
      <w:r w:rsidR="00623AD4">
        <w:rPr>
          <w:snapToGrid w:val="0"/>
          <w:sz w:val="20"/>
          <w:szCs w:val="22"/>
        </w:rPr>
        <w:t>4</w:t>
      </w:r>
      <w:r w:rsidRPr="00176BA0">
        <w:rPr>
          <w:snapToGrid w:val="0"/>
          <w:sz w:val="20"/>
          <w:szCs w:val="22"/>
        </w:rPr>
        <w:t xml:space="preserve"> ascendió </w:t>
      </w:r>
      <w:r w:rsidR="009E1CF7" w:rsidRPr="00176BA0">
        <w:rPr>
          <w:snapToGrid w:val="0"/>
          <w:sz w:val="20"/>
          <w:szCs w:val="22"/>
        </w:rPr>
        <w:t xml:space="preserve">a </w:t>
      </w:r>
      <w:r w:rsidR="009265BC">
        <w:rPr>
          <w:snapToGrid w:val="0"/>
          <w:sz w:val="20"/>
          <w:szCs w:val="22"/>
        </w:rPr>
        <w:t>66</w:t>
      </w:r>
      <w:r w:rsidR="00E721DC" w:rsidRPr="00176BA0">
        <w:rPr>
          <w:snapToGrid w:val="0"/>
          <w:sz w:val="20"/>
          <w:szCs w:val="22"/>
        </w:rPr>
        <w:t xml:space="preserve"> </w:t>
      </w:r>
      <w:r w:rsidR="00A14949" w:rsidRPr="00176BA0">
        <w:rPr>
          <w:snapToGrid w:val="0"/>
          <w:sz w:val="20"/>
          <w:szCs w:val="22"/>
        </w:rPr>
        <w:t>(</w:t>
      </w:r>
      <w:r w:rsidR="00623AD4">
        <w:rPr>
          <w:snapToGrid w:val="0"/>
          <w:sz w:val="20"/>
          <w:szCs w:val="22"/>
        </w:rPr>
        <w:t>54</w:t>
      </w:r>
      <w:r w:rsidR="00A14949" w:rsidRPr="00176BA0">
        <w:rPr>
          <w:snapToGrid w:val="0"/>
          <w:sz w:val="20"/>
          <w:szCs w:val="22"/>
        </w:rPr>
        <w:t xml:space="preserve"> en </w:t>
      </w:r>
      <w:r w:rsidR="00954AA6">
        <w:rPr>
          <w:snapToGrid w:val="0"/>
          <w:sz w:val="20"/>
          <w:szCs w:val="22"/>
        </w:rPr>
        <w:t>el ejercicio anterior</w:t>
      </w:r>
      <w:r w:rsidRPr="00176BA0">
        <w:rPr>
          <w:snapToGrid w:val="0"/>
          <w:sz w:val="20"/>
          <w:szCs w:val="22"/>
        </w:rPr>
        <w:t xml:space="preserve">). </w:t>
      </w:r>
    </w:p>
    <w:p w14:paraId="4A3EA41D" w14:textId="77777777" w:rsidR="006220A2" w:rsidRPr="00176BA0" w:rsidRDefault="006220A2" w:rsidP="00064105">
      <w:pPr>
        <w:widowControl w:val="0"/>
        <w:spacing w:before="120" w:after="120" w:line="260" w:lineRule="exact"/>
        <w:jc w:val="both"/>
        <w:outlineLvl w:val="9"/>
        <w:rPr>
          <w:snapToGrid w:val="0"/>
          <w:sz w:val="20"/>
          <w:szCs w:val="22"/>
        </w:rPr>
      </w:pPr>
      <w:r w:rsidRPr="00176BA0">
        <w:rPr>
          <w:snapToGrid w:val="0"/>
          <w:sz w:val="20"/>
          <w:szCs w:val="22"/>
        </w:rPr>
        <w:t xml:space="preserve">Incluidas en el cuadro anterior, el desglose de las personas empleadas en el curso del ejercicio con discapacidad mayor o igual del 33% por categorías, es el siguiente: </w:t>
      </w:r>
    </w:p>
    <w:tbl>
      <w:tblPr>
        <w:tblW w:w="5001" w:type="pct"/>
        <w:jc w:val="center"/>
        <w:tblCellMar>
          <w:left w:w="70" w:type="dxa"/>
          <w:right w:w="70" w:type="dxa"/>
        </w:tblCellMar>
        <w:tblLook w:val="04A0" w:firstRow="1" w:lastRow="0" w:firstColumn="1" w:lastColumn="0" w:noHBand="0" w:noVBand="1"/>
      </w:tblPr>
      <w:tblGrid>
        <w:gridCol w:w="4983"/>
        <w:gridCol w:w="1901"/>
        <w:gridCol w:w="1899"/>
      </w:tblGrid>
      <w:tr w:rsidR="007A7245" w:rsidRPr="007A7245" w14:paraId="2DCE7CA8" w14:textId="77777777" w:rsidTr="007A7245">
        <w:trPr>
          <w:trHeight w:val="283"/>
          <w:jc w:val="center"/>
        </w:trPr>
        <w:tc>
          <w:tcPr>
            <w:tcW w:w="2837" w:type="pct"/>
            <w:tcBorders>
              <w:top w:val="single" w:sz="4" w:space="0" w:color="auto"/>
              <w:left w:val="nil"/>
              <w:bottom w:val="single" w:sz="4" w:space="0" w:color="auto"/>
              <w:right w:val="nil"/>
            </w:tcBorders>
            <w:shd w:val="clear" w:color="auto" w:fill="auto"/>
            <w:vAlign w:val="bottom"/>
            <w:hideMark/>
          </w:tcPr>
          <w:p w14:paraId="602ABAFC" w14:textId="77777777" w:rsidR="007A7245" w:rsidRPr="007A7245" w:rsidRDefault="007A7245" w:rsidP="007A7245">
            <w:pPr>
              <w:keepNext/>
              <w:keepLines/>
              <w:ind w:left="215"/>
              <w:jc w:val="center"/>
              <w:rPr>
                <w:rFonts w:eastAsia="Times New Roman"/>
                <w:b/>
                <w:bCs/>
                <w:sz w:val="18"/>
                <w:szCs w:val="18"/>
              </w:rPr>
            </w:pPr>
            <w:r w:rsidRPr="007A7245">
              <w:rPr>
                <w:rFonts w:eastAsia="Times New Roman"/>
                <w:b/>
                <w:bCs/>
                <w:sz w:val="18"/>
                <w:szCs w:val="18"/>
              </w:rPr>
              <w:t>Categoría</w:t>
            </w:r>
          </w:p>
        </w:tc>
        <w:tc>
          <w:tcPr>
            <w:tcW w:w="1082" w:type="pct"/>
            <w:tcBorders>
              <w:top w:val="single" w:sz="4" w:space="0" w:color="auto"/>
              <w:left w:val="nil"/>
              <w:bottom w:val="single" w:sz="4" w:space="0" w:color="auto"/>
              <w:right w:val="nil"/>
            </w:tcBorders>
            <w:shd w:val="clear" w:color="auto" w:fill="auto"/>
            <w:vAlign w:val="bottom"/>
            <w:hideMark/>
          </w:tcPr>
          <w:p w14:paraId="62543634" w14:textId="23855E53" w:rsidR="007A7245" w:rsidRPr="007A7245" w:rsidRDefault="007A7245" w:rsidP="007A7245">
            <w:pPr>
              <w:keepNext/>
              <w:keepLines/>
              <w:jc w:val="center"/>
              <w:rPr>
                <w:rFonts w:eastAsia="Times New Roman"/>
                <w:b/>
                <w:bCs/>
                <w:sz w:val="18"/>
                <w:szCs w:val="18"/>
              </w:rPr>
            </w:pPr>
            <w:r w:rsidRPr="009265BC">
              <w:rPr>
                <w:rFonts w:eastAsia="Times New Roman"/>
                <w:b/>
                <w:bCs/>
                <w:sz w:val="18"/>
                <w:szCs w:val="18"/>
              </w:rPr>
              <w:t>202</w:t>
            </w:r>
            <w:r w:rsidR="00623AD4" w:rsidRPr="009265BC">
              <w:rPr>
                <w:rFonts w:eastAsia="Times New Roman"/>
                <w:b/>
                <w:bCs/>
                <w:sz w:val="18"/>
                <w:szCs w:val="18"/>
              </w:rPr>
              <w:t>4</w:t>
            </w:r>
          </w:p>
        </w:tc>
        <w:tc>
          <w:tcPr>
            <w:tcW w:w="1081" w:type="pct"/>
            <w:tcBorders>
              <w:top w:val="single" w:sz="4" w:space="0" w:color="auto"/>
              <w:left w:val="nil"/>
              <w:bottom w:val="single" w:sz="4" w:space="0" w:color="auto"/>
              <w:right w:val="nil"/>
            </w:tcBorders>
            <w:vAlign w:val="bottom"/>
          </w:tcPr>
          <w:p w14:paraId="3F7CAD13" w14:textId="2E91E940" w:rsidR="007A7245" w:rsidRPr="007A7245" w:rsidRDefault="007A7245" w:rsidP="007A7245">
            <w:pPr>
              <w:keepNext/>
              <w:keepLines/>
              <w:jc w:val="center"/>
              <w:rPr>
                <w:rFonts w:eastAsia="Times New Roman"/>
                <w:b/>
                <w:bCs/>
                <w:sz w:val="18"/>
                <w:szCs w:val="18"/>
              </w:rPr>
            </w:pPr>
            <w:r w:rsidRPr="007A7245">
              <w:rPr>
                <w:rFonts w:eastAsia="Times New Roman"/>
                <w:b/>
                <w:bCs/>
                <w:sz w:val="18"/>
                <w:szCs w:val="18"/>
              </w:rPr>
              <w:t>202</w:t>
            </w:r>
            <w:r w:rsidR="00623AD4">
              <w:rPr>
                <w:rFonts w:eastAsia="Times New Roman"/>
                <w:b/>
                <w:bCs/>
                <w:sz w:val="18"/>
                <w:szCs w:val="18"/>
              </w:rPr>
              <w:t>3</w:t>
            </w:r>
          </w:p>
        </w:tc>
      </w:tr>
      <w:tr w:rsidR="00623AD4" w:rsidRPr="007A7245" w14:paraId="6F5B66F7" w14:textId="77777777" w:rsidTr="00623AD4">
        <w:trPr>
          <w:trHeight w:val="283"/>
          <w:jc w:val="center"/>
        </w:trPr>
        <w:tc>
          <w:tcPr>
            <w:tcW w:w="2837" w:type="pct"/>
            <w:tcBorders>
              <w:top w:val="nil"/>
              <w:left w:val="nil"/>
              <w:bottom w:val="nil"/>
              <w:right w:val="nil"/>
            </w:tcBorders>
            <w:shd w:val="clear" w:color="auto" w:fill="auto"/>
            <w:vAlign w:val="center"/>
            <w:hideMark/>
          </w:tcPr>
          <w:p w14:paraId="659102FC" w14:textId="77777777" w:rsidR="00623AD4" w:rsidRPr="007A7245" w:rsidRDefault="00623AD4" w:rsidP="00623AD4">
            <w:pPr>
              <w:keepNext/>
              <w:keepLines/>
              <w:ind w:left="215"/>
              <w:rPr>
                <w:rFonts w:eastAsia="Times New Roman"/>
                <w:sz w:val="18"/>
                <w:szCs w:val="18"/>
              </w:rPr>
            </w:pPr>
            <w:r w:rsidRPr="007A7245">
              <w:rPr>
                <w:rFonts w:eastAsia="Times New Roman"/>
                <w:sz w:val="18"/>
                <w:szCs w:val="18"/>
              </w:rPr>
              <w:t>Técnicos medios</w:t>
            </w:r>
          </w:p>
        </w:tc>
        <w:tc>
          <w:tcPr>
            <w:tcW w:w="1082" w:type="pct"/>
            <w:tcBorders>
              <w:top w:val="nil"/>
              <w:left w:val="nil"/>
              <w:bottom w:val="nil"/>
              <w:right w:val="nil"/>
            </w:tcBorders>
            <w:shd w:val="clear" w:color="auto" w:fill="auto"/>
            <w:vAlign w:val="center"/>
          </w:tcPr>
          <w:p w14:paraId="072C621B" w14:textId="4D4A0E5D" w:rsidR="00623AD4" w:rsidRPr="007A7245" w:rsidRDefault="00391663" w:rsidP="00623AD4">
            <w:pPr>
              <w:keepNext/>
              <w:keepLines/>
              <w:jc w:val="center"/>
              <w:rPr>
                <w:rFonts w:eastAsia="Times New Roman"/>
                <w:sz w:val="18"/>
                <w:szCs w:val="18"/>
              </w:rPr>
            </w:pPr>
            <w:r>
              <w:rPr>
                <w:rFonts w:eastAsia="Times New Roman"/>
                <w:sz w:val="18"/>
                <w:szCs w:val="18"/>
              </w:rPr>
              <w:t>1</w:t>
            </w:r>
          </w:p>
        </w:tc>
        <w:tc>
          <w:tcPr>
            <w:tcW w:w="1081" w:type="pct"/>
            <w:tcBorders>
              <w:top w:val="nil"/>
              <w:left w:val="nil"/>
              <w:bottom w:val="nil"/>
              <w:right w:val="nil"/>
            </w:tcBorders>
            <w:vAlign w:val="center"/>
          </w:tcPr>
          <w:p w14:paraId="3A677AE5" w14:textId="64BC109E" w:rsidR="00623AD4" w:rsidRPr="007A7245" w:rsidRDefault="00623AD4" w:rsidP="00623AD4">
            <w:pPr>
              <w:keepNext/>
              <w:keepLines/>
              <w:jc w:val="center"/>
              <w:rPr>
                <w:rFonts w:eastAsia="Times New Roman"/>
                <w:sz w:val="18"/>
                <w:szCs w:val="18"/>
              </w:rPr>
            </w:pPr>
            <w:r w:rsidRPr="007A7245">
              <w:rPr>
                <w:rFonts w:eastAsia="Times New Roman"/>
                <w:sz w:val="18"/>
                <w:szCs w:val="18"/>
              </w:rPr>
              <w:t>1</w:t>
            </w:r>
          </w:p>
        </w:tc>
      </w:tr>
      <w:tr w:rsidR="00623AD4" w:rsidRPr="007A7245" w14:paraId="5F74C10A" w14:textId="77777777" w:rsidTr="00623AD4">
        <w:trPr>
          <w:trHeight w:val="283"/>
          <w:jc w:val="center"/>
        </w:trPr>
        <w:tc>
          <w:tcPr>
            <w:tcW w:w="2837" w:type="pct"/>
            <w:tcBorders>
              <w:top w:val="single" w:sz="4" w:space="0" w:color="auto"/>
              <w:left w:val="nil"/>
              <w:bottom w:val="single" w:sz="4" w:space="0" w:color="auto"/>
              <w:right w:val="nil"/>
            </w:tcBorders>
            <w:shd w:val="clear" w:color="auto" w:fill="auto"/>
            <w:vAlign w:val="center"/>
            <w:hideMark/>
          </w:tcPr>
          <w:p w14:paraId="208A1588" w14:textId="77777777" w:rsidR="00623AD4" w:rsidRPr="007A7245" w:rsidRDefault="00623AD4" w:rsidP="00623AD4">
            <w:pPr>
              <w:ind w:left="215"/>
              <w:rPr>
                <w:rFonts w:eastAsia="Times New Roman"/>
                <w:b/>
                <w:sz w:val="18"/>
                <w:szCs w:val="18"/>
              </w:rPr>
            </w:pPr>
            <w:r w:rsidRPr="007A7245">
              <w:rPr>
                <w:rFonts w:eastAsia="Times New Roman"/>
                <w:sz w:val="18"/>
                <w:szCs w:val="18"/>
              </w:rPr>
              <w:t> </w:t>
            </w:r>
            <w:r w:rsidRPr="007A7245">
              <w:rPr>
                <w:rFonts w:eastAsia="Times New Roman"/>
                <w:b/>
                <w:sz w:val="18"/>
                <w:szCs w:val="18"/>
              </w:rPr>
              <w:t>Total</w:t>
            </w:r>
          </w:p>
        </w:tc>
        <w:tc>
          <w:tcPr>
            <w:tcW w:w="1082" w:type="pct"/>
            <w:tcBorders>
              <w:top w:val="single" w:sz="4" w:space="0" w:color="auto"/>
              <w:left w:val="nil"/>
              <w:bottom w:val="single" w:sz="4" w:space="0" w:color="auto"/>
              <w:right w:val="nil"/>
            </w:tcBorders>
            <w:shd w:val="clear" w:color="auto" w:fill="auto"/>
            <w:vAlign w:val="center"/>
          </w:tcPr>
          <w:p w14:paraId="6C68C95C" w14:textId="2D15F235" w:rsidR="00623AD4" w:rsidRPr="007A7245" w:rsidRDefault="00391663" w:rsidP="00623AD4">
            <w:pPr>
              <w:jc w:val="center"/>
              <w:rPr>
                <w:rFonts w:eastAsia="Times New Roman"/>
                <w:b/>
                <w:bCs/>
                <w:sz w:val="18"/>
                <w:szCs w:val="18"/>
              </w:rPr>
            </w:pPr>
            <w:r>
              <w:rPr>
                <w:rFonts w:eastAsia="Times New Roman"/>
                <w:b/>
                <w:bCs/>
                <w:sz w:val="18"/>
                <w:szCs w:val="18"/>
              </w:rPr>
              <w:t>1</w:t>
            </w:r>
          </w:p>
        </w:tc>
        <w:tc>
          <w:tcPr>
            <w:tcW w:w="1081" w:type="pct"/>
            <w:tcBorders>
              <w:top w:val="single" w:sz="4" w:space="0" w:color="auto"/>
              <w:left w:val="nil"/>
              <w:bottom w:val="single" w:sz="4" w:space="0" w:color="auto"/>
              <w:right w:val="nil"/>
            </w:tcBorders>
            <w:vAlign w:val="center"/>
          </w:tcPr>
          <w:p w14:paraId="4378BB58" w14:textId="481634B2" w:rsidR="00623AD4" w:rsidRPr="007A7245" w:rsidRDefault="00623AD4" w:rsidP="00623AD4">
            <w:pPr>
              <w:jc w:val="center"/>
              <w:rPr>
                <w:rFonts w:eastAsia="Times New Roman"/>
                <w:b/>
                <w:bCs/>
                <w:sz w:val="18"/>
                <w:szCs w:val="18"/>
              </w:rPr>
            </w:pPr>
            <w:r w:rsidRPr="007A7245">
              <w:rPr>
                <w:rFonts w:eastAsia="Times New Roman"/>
                <w:b/>
                <w:bCs/>
                <w:sz w:val="18"/>
                <w:szCs w:val="18"/>
              </w:rPr>
              <w:t>1</w:t>
            </w:r>
          </w:p>
        </w:tc>
      </w:tr>
    </w:tbl>
    <w:p w14:paraId="1D1E8D7A" w14:textId="77777777" w:rsidR="006220A2" w:rsidRPr="00B47627" w:rsidRDefault="006220A2" w:rsidP="00064105">
      <w:pPr>
        <w:widowControl w:val="0"/>
        <w:spacing w:before="120" w:after="120" w:line="260" w:lineRule="exact"/>
        <w:jc w:val="both"/>
        <w:outlineLvl w:val="9"/>
        <w:rPr>
          <w:snapToGrid w:val="0"/>
          <w:sz w:val="20"/>
          <w:szCs w:val="22"/>
        </w:rPr>
      </w:pPr>
      <w:r w:rsidRPr="00B47627">
        <w:rPr>
          <w:snapToGrid w:val="0"/>
          <w:sz w:val="20"/>
          <w:szCs w:val="22"/>
        </w:rPr>
        <w:t>El número de empleados al cierre del ejercicio en curso distribuido por categorías y sexo es el siguiente:</w:t>
      </w:r>
    </w:p>
    <w:tbl>
      <w:tblPr>
        <w:tblW w:w="5000" w:type="pct"/>
        <w:jc w:val="center"/>
        <w:tblCellMar>
          <w:left w:w="70" w:type="dxa"/>
          <w:right w:w="70" w:type="dxa"/>
        </w:tblCellMar>
        <w:tblLook w:val="04A0" w:firstRow="1" w:lastRow="0" w:firstColumn="1" w:lastColumn="0" w:noHBand="0" w:noVBand="1"/>
      </w:tblPr>
      <w:tblGrid>
        <w:gridCol w:w="3585"/>
        <w:gridCol w:w="1298"/>
        <w:gridCol w:w="1300"/>
        <w:gridCol w:w="1298"/>
        <w:gridCol w:w="1300"/>
      </w:tblGrid>
      <w:tr w:rsidR="000612E0" w:rsidRPr="00B47627" w14:paraId="7E5FFCC3" w14:textId="77777777" w:rsidTr="00176BA0">
        <w:trPr>
          <w:trHeight w:val="283"/>
          <w:jc w:val="center"/>
        </w:trPr>
        <w:tc>
          <w:tcPr>
            <w:tcW w:w="2041" w:type="pct"/>
            <w:tcBorders>
              <w:top w:val="single" w:sz="4" w:space="0" w:color="auto"/>
              <w:left w:val="nil"/>
              <w:bottom w:val="nil"/>
              <w:right w:val="nil"/>
            </w:tcBorders>
            <w:shd w:val="clear" w:color="auto" w:fill="auto"/>
            <w:vAlign w:val="bottom"/>
            <w:hideMark/>
          </w:tcPr>
          <w:p w14:paraId="382649ED" w14:textId="77777777" w:rsidR="000612E0" w:rsidRPr="00B47627" w:rsidRDefault="000612E0" w:rsidP="00176BA0">
            <w:pPr>
              <w:keepNext/>
              <w:keepLines/>
              <w:widowControl w:val="0"/>
              <w:ind w:left="215"/>
              <w:jc w:val="center"/>
              <w:rPr>
                <w:rFonts w:eastAsia="Times New Roman"/>
                <w:sz w:val="18"/>
                <w:szCs w:val="18"/>
              </w:rPr>
            </w:pPr>
          </w:p>
        </w:tc>
        <w:tc>
          <w:tcPr>
            <w:tcW w:w="1479" w:type="pct"/>
            <w:gridSpan w:val="2"/>
            <w:tcBorders>
              <w:top w:val="single" w:sz="4" w:space="0" w:color="auto"/>
              <w:left w:val="nil"/>
              <w:bottom w:val="single" w:sz="4" w:space="0" w:color="auto"/>
              <w:right w:val="nil"/>
            </w:tcBorders>
            <w:shd w:val="clear" w:color="auto" w:fill="auto"/>
            <w:vAlign w:val="bottom"/>
            <w:hideMark/>
          </w:tcPr>
          <w:p w14:paraId="2FEEE350" w14:textId="2F110BF9" w:rsidR="000612E0" w:rsidRPr="009265BC" w:rsidRDefault="000612E0" w:rsidP="000612E0">
            <w:pPr>
              <w:keepNext/>
              <w:keepLines/>
              <w:widowControl w:val="0"/>
              <w:jc w:val="center"/>
              <w:rPr>
                <w:rFonts w:eastAsia="Times New Roman"/>
                <w:b/>
                <w:bCs/>
                <w:sz w:val="18"/>
                <w:szCs w:val="18"/>
              </w:rPr>
            </w:pPr>
            <w:r w:rsidRPr="009265BC">
              <w:rPr>
                <w:rFonts w:eastAsia="Times New Roman"/>
                <w:b/>
                <w:bCs/>
                <w:sz w:val="18"/>
                <w:szCs w:val="18"/>
              </w:rPr>
              <w:t>31/12/202</w:t>
            </w:r>
            <w:r w:rsidR="00623AD4" w:rsidRPr="009265BC">
              <w:rPr>
                <w:rFonts w:eastAsia="Times New Roman"/>
                <w:b/>
                <w:bCs/>
                <w:sz w:val="18"/>
                <w:szCs w:val="18"/>
              </w:rPr>
              <w:t>4</w:t>
            </w:r>
          </w:p>
        </w:tc>
        <w:tc>
          <w:tcPr>
            <w:tcW w:w="1479" w:type="pct"/>
            <w:gridSpan w:val="2"/>
            <w:tcBorders>
              <w:top w:val="single" w:sz="4" w:space="0" w:color="auto"/>
              <w:left w:val="nil"/>
              <w:bottom w:val="single" w:sz="4" w:space="0" w:color="auto"/>
              <w:right w:val="nil"/>
            </w:tcBorders>
            <w:shd w:val="clear" w:color="auto" w:fill="auto"/>
            <w:vAlign w:val="bottom"/>
            <w:hideMark/>
          </w:tcPr>
          <w:p w14:paraId="7A934236" w14:textId="2C6A58A8" w:rsidR="000612E0" w:rsidRPr="00B47627" w:rsidRDefault="000612E0" w:rsidP="000612E0">
            <w:pPr>
              <w:keepNext/>
              <w:keepLines/>
              <w:widowControl w:val="0"/>
              <w:jc w:val="center"/>
              <w:rPr>
                <w:rFonts w:eastAsia="Times New Roman"/>
                <w:b/>
                <w:bCs/>
                <w:sz w:val="18"/>
                <w:szCs w:val="18"/>
              </w:rPr>
            </w:pPr>
            <w:r w:rsidRPr="00B47627">
              <w:rPr>
                <w:rFonts w:eastAsia="Times New Roman"/>
                <w:b/>
                <w:bCs/>
                <w:sz w:val="18"/>
                <w:szCs w:val="18"/>
              </w:rPr>
              <w:t>31/12/20</w:t>
            </w:r>
            <w:r w:rsidR="00F80C42" w:rsidRPr="00B47627">
              <w:rPr>
                <w:rFonts w:eastAsia="Times New Roman"/>
                <w:b/>
                <w:bCs/>
                <w:sz w:val="18"/>
                <w:szCs w:val="18"/>
              </w:rPr>
              <w:t>2</w:t>
            </w:r>
            <w:r w:rsidR="00623AD4">
              <w:rPr>
                <w:rFonts w:eastAsia="Times New Roman"/>
                <w:b/>
                <w:bCs/>
                <w:sz w:val="18"/>
                <w:szCs w:val="18"/>
              </w:rPr>
              <w:t>3</w:t>
            </w:r>
          </w:p>
        </w:tc>
      </w:tr>
      <w:tr w:rsidR="000612E0" w:rsidRPr="00B47627" w14:paraId="296FD789" w14:textId="77777777" w:rsidTr="00176BA0">
        <w:trPr>
          <w:trHeight w:val="283"/>
          <w:jc w:val="center"/>
        </w:trPr>
        <w:tc>
          <w:tcPr>
            <w:tcW w:w="2041" w:type="pct"/>
            <w:tcBorders>
              <w:top w:val="nil"/>
              <w:left w:val="nil"/>
              <w:bottom w:val="single" w:sz="4" w:space="0" w:color="auto"/>
              <w:right w:val="nil"/>
            </w:tcBorders>
            <w:shd w:val="clear" w:color="auto" w:fill="auto"/>
            <w:vAlign w:val="bottom"/>
            <w:hideMark/>
          </w:tcPr>
          <w:p w14:paraId="4370BB74" w14:textId="77777777" w:rsidR="000612E0" w:rsidRPr="00B47627" w:rsidRDefault="000612E0" w:rsidP="00176BA0">
            <w:pPr>
              <w:keepNext/>
              <w:keepLines/>
              <w:widowControl w:val="0"/>
              <w:ind w:left="215"/>
              <w:jc w:val="center"/>
              <w:rPr>
                <w:rFonts w:eastAsia="Times New Roman"/>
                <w:b/>
                <w:bCs/>
                <w:sz w:val="18"/>
                <w:szCs w:val="18"/>
              </w:rPr>
            </w:pPr>
            <w:r w:rsidRPr="00B47627">
              <w:rPr>
                <w:rFonts w:eastAsia="Times New Roman"/>
                <w:b/>
                <w:bCs/>
                <w:sz w:val="18"/>
                <w:szCs w:val="18"/>
              </w:rPr>
              <w:t>Categoría</w:t>
            </w:r>
          </w:p>
        </w:tc>
        <w:tc>
          <w:tcPr>
            <w:tcW w:w="739" w:type="pct"/>
            <w:tcBorders>
              <w:top w:val="nil"/>
              <w:left w:val="nil"/>
              <w:bottom w:val="single" w:sz="4" w:space="0" w:color="auto"/>
              <w:right w:val="nil"/>
            </w:tcBorders>
            <w:shd w:val="clear" w:color="auto" w:fill="auto"/>
            <w:vAlign w:val="bottom"/>
            <w:hideMark/>
          </w:tcPr>
          <w:p w14:paraId="56D4194C" w14:textId="77777777" w:rsidR="000612E0" w:rsidRPr="009265BC" w:rsidRDefault="000612E0" w:rsidP="000612E0">
            <w:pPr>
              <w:keepNext/>
              <w:keepLines/>
              <w:widowControl w:val="0"/>
              <w:jc w:val="center"/>
              <w:rPr>
                <w:rFonts w:eastAsia="Times New Roman"/>
                <w:b/>
                <w:bCs/>
                <w:sz w:val="18"/>
                <w:szCs w:val="18"/>
              </w:rPr>
            </w:pPr>
            <w:r w:rsidRPr="009265BC">
              <w:rPr>
                <w:rFonts w:eastAsia="Times New Roman"/>
                <w:b/>
                <w:bCs/>
                <w:sz w:val="18"/>
                <w:szCs w:val="18"/>
              </w:rPr>
              <w:t>Hombres</w:t>
            </w:r>
          </w:p>
        </w:tc>
        <w:tc>
          <w:tcPr>
            <w:tcW w:w="740" w:type="pct"/>
            <w:tcBorders>
              <w:top w:val="nil"/>
              <w:left w:val="nil"/>
              <w:bottom w:val="single" w:sz="4" w:space="0" w:color="auto"/>
              <w:right w:val="nil"/>
            </w:tcBorders>
            <w:shd w:val="clear" w:color="auto" w:fill="auto"/>
            <w:vAlign w:val="bottom"/>
            <w:hideMark/>
          </w:tcPr>
          <w:p w14:paraId="21DB4F61" w14:textId="54C1420F" w:rsidR="000612E0" w:rsidRPr="009265BC" w:rsidRDefault="00411C50" w:rsidP="000612E0">
            <w:pPr>
              <w:keepNext/>
              <w:keepLines/>
              <w:widowControl w:val="0"/>
              <w:jc w:val="center"/>
              <w:rPr>
                <w:rFonts w:eastAsia="Times New Roman"/>
                <w:b/>
                <w:bCs/>
                <w:sz w:val="18"/>
                <w:szCs w:val="18"/>
              </w:rPr>
            </w:pPr>
            <w:r w:rsidRPr="009265BC">
              <w:rPr>
                <w:rFonts w:eastAsia="Times New Roman"/>
                <w:b/>
                <w:bCs/>
                <w:sz w:val="18"/>
                <w:szCs w:val="18"/>
              </w:rPr>
              <w:t>Mujere</w:t>
            </w:r>
            <w:r w:rsidR="000612E0" w:rsidRPr="009265BC">
              <w:rPr>
                <w:rFonts w:eastAsia="Times New Roman"/>
                <w:b/>
                <w:bCs/>
                <w:sz w:val="18"/>
                <w:szCs w:val="18"/>
              </w:rPr>
              <w:t>s</w:t>
            </w:r>
          </w:p>
        </w:tc>
        <w:tc>
          <w:tcPr>
            <w:tcW w:w="739" w:type="pct"/>
            <w:tcBorders>
              <w:top w:val="nil"/>
              <w:left w:val="nil"/>
              <w:bottom w:val="single" w:sz="4" w:space="0" w:color="auto"/>
              <w:right w:val="nil"/>
            </w:tcBorders>
            <w:shd w:val="clear" w:color="auto" w:fill="auto"/>
            <w:vAlign w:val="bottom"/>
            <w:hideMark/>
          </w:tcPr>
          <w:p w14:paraId="7580FCC0" w14:textId="77777777" w:rsidR="000612E0" w:rsidRPr="00B47627" w:rsidRDefault="000612E0" w:rsidP="000612E0">
            <w:pPr>
              <w:keepNext/>
              <w:keepLines/>
              <w:widowControl w:val="0"/>
              <w:jc w:val="center"/>
              <w:rPr>
                <w:rFonts w:eastAsia="Times New Roman"/>
                <w:b/>
                <w:bCs/>
                <w:sz w:val="18"/>
                <w:szCs w:val="18"/>
              </w:rPr>
            </w:pPr>
            <w:r w:rsidRPr="00B47627">
              <w:rPr>
                <w:rFonts w:eastAsia="Times New Roman"/>
                <w:b/>
                <w:bCs/>
                <w:sz w:val="18"/>
                <w:szCs w:val="18"/>
              </w:rPr>
              <w:t>Hombres</w:t>
            </w:r>
          </w:p>
        </w:tc>
        <w:tc>
          <w:tcPr>
            <w:tcW w:w="740" w:type="pct"/>
            <w:tcBorders>
              <w:top w:val="nil"/>
              <w:left w:val="nil"/>
              <w:bottom w:val="single" w:sz="4" w:space="0" w:color="auto"/>
              <w:right w:val="nil"/>
            </w:tcBorders>
            <w:shd w:val="clear" w:color="auto" w:fill="auto"/>
            <w:vAlign w:val="bottom"/>
            <w:hideMark/>
          </w:tcPr>
          <w:p w14:paraId="706D3AA6" w14:textId="77777777" w:rsidR="000612E0" w:rsidRPr="00B47627" w:rsidRDefault="000612E0" w:rsidP="000612E0">
            <w:pPr>
              <w:keepNext/>
              <w:keepLines/>
              <w:widowControl w:val="0"/>
              <w:jc w:val="center"/>
              <w:rPr>
                <w:rFonts w:eastAsia="Times New Roman"/>
                <w:b/>
                <w:bCs/>
                <w:sz w:val="18"/>
                <w:szCs w:val="18"/>
              </w:rPr>
            </w:pPr>
            <w:r w:rsidRPr="00B47627">
              <w:rPr>
                <w:rFonts w:eastAsia="Times New Roman"/>
                <w:b/>
                <w:bCs/>
                <w:sz w:val="18"/>
                <w:szCs w:val="18"/>
              </w:rPr>
              <w:t>Mujeres</w:t>
            </w:r>
          </w:p>
        </w:tc>
      </w:tr>
      <w:tr w:rsidR="009265BC" w:rsidRPr="00B47627" w14:paraId="758D6251" w14:textId="77777777" w:rsidTr="00176BA0">
        <w:trPr>
          <w:trHeight w:val="283"/>
          <w:jc w:val="center"/>
        </w:trPr>
        <w:tc>
          <w:tcPr>
            <w:tcW w:w="2041" w:type="pct"/>
            <w:tcBorders>
              <w:top w:val="nil"/>
              <w:left w:val="nil"/>
              <w:bottom w:val="nil"/>
              <w:right w:val="nil"/>
            </w:tcBorders>
            <w:shd w:val="clear" w:color="auto" w:fill="auto"/>
            <w:vAlign w:val="center"/>
            <w:hideMark/>
          </w:tcPr>
          <w:p w14:paraId="42AC6588" w14:textId="7E42D139" w:rsidR="009265BC" w:rsidRPr="00B47627" w:rsidRDefault="009265BC" w:rsidP="009265BC">
            <w:pPr>
              <w:keepNext/>
              <w:keepLines/>
              <w:widowControl w:val="0"/>
              <w:ind w:left="215"/>
              <w:rPr>
                <w:rFonts w:eastAsia="Times New Roman"/>
                <w:sz w:val="18"/>
                <w:szCs w:val="18"/>
              </w:rPr>
            </w:pPr>
            <w:r w:rsidRPr="00B47627">
              <w:rPr>
                <w:rFonts w:eastAsia="Times New Roman"/>
                <w:sz w:val="18"/>
                <w:szCs w:val="18"/>
              </w:rPr>
              <w:t>Director- Gerente</w:t>
            </w:r>
          </w:p>
        </w:tc>
        <w:tc>
          <w:tcPr>
            <w:tcW w:w="739" w:type="pct"/>
            <w:tcBorders>
              <w:top w:val="nil"/>
              <w:left w:val="nil"/>
              <w:bottom w:val="nil"/>
              <w:right w:val="nil"/>
            </w:tcBorders>
            <w:shd w:val="clear" w:color="auto" w:fill="auto"/>
            <w:vAlign w:val="center"/>
          </w:tcPr>
          <w:p w14:paraId="6ABFE62C" w14:textId="44221E92" w:rsidR="009265BC" w:rsidRPr="009265BC" w:rsidRDefault="009265BC" w:rsidP="009265BC">
            <w:pPr>
              <w:keepNext/>
              <w:keepLines/>
              <w:widowControl w:val="0"/>
              <w:pBdr>
                <w:top w:val="none" w:sz="0" w:space="0" w:color="auto"/>
                <w:left w:val="none" w:sz="0" w:space="0" w:color="auto"/>
                <w:bottom w:val="none" w:sz="0" w:space="0" w:color="auto"/>
                <w:right w:val="none" w:sz="0" w:space="0" w:color="auto"/>
                <w:between w:val="none" w:sz="0" w:space="0" w:color="auto"/>
                <w:bar w:val="none" w:sz="0" w:color="auto"/>
              </w:pBdr>
              <w:jc w:val="center"/>
              <w:outlineLvl w:val="9"/>
              <w:rPr>
                <w:rFonts w:eastAsia="Times New Roman"/>
                <w:sz w:val="18"/>
                <w:szCs w:val="18"/>
                <w:bdr w:val="none" w:sz="0" w:space="0" w:color="auto"/>
                <w:lang w:eastAsia="es-ES"/>
              </w:rPr>
            </w:pPr>
            <w:r w:rsidRPr="009265BC">
              <w:rPr>
                <w:rFonts w:eastAsia="Times New Roman"/>
                <w:sz w:val="18"/>
                <w:szCs w:val="18"/>
                <w:bdr w:val="none" w:sz="0" w:space="0" w:color="auto"/>
                <w:lang w:eastAsia="es-ES"/>
              </w:rPr>
              <w:t>1</w:t>
            </w:r>
          </w:p>
        </w:tc>
        <w:tc>
          <w:tcPr>
            <w:tcW w:w="740" w:type="pct"/>
            <w:tcBorders>
              <w:top w:val="nil"/>
              <w:left w:val="nil"/>
              <w:bottom w:val="nil"/>
              <w:right w:val="nil"/>
            </w:tcBorders>
            <w:shd w:val="clear" w:color="auto" w:fill="auto"/>
            <w:vAlign w:val="center"/>
          </w:tcPr>
          <w:p w14:paraId="5EEE2908" w14:textId="6BFBAB24" w:rsidR="009265BC" w:rsidRPr="009265BC" w:rsidRDefault="009265BC" w:rsidP="009265BC">
            <w:pPr>
              <w:keepNext/>
              <w:keepLines/>
              <w:widowControl w:val="0"/>
              <w:jc w:val="center"/>
              <w:rPr>
                <w:sz w:val="18"/>
                <w:szCs w:val="18"/>
              </w:rPr>
            </w:pPr>
            <w:r w:rsidRPr="009265BC">
              <w:rPr>
                <w:sz w:val="18"/>
                <w:szCs w:val="18"/>
              </w:rPr>
              <w:t>-</w:t>
            </w:r>
          </w:p>
        </w:tc>
        <w:tc>
          <w:tcPr>
            <w:tcW w:w="739" w:type="pct"/>
            <w:tcBorders>
              <w:top w:val="nil"/>
              <w:left w:val="nil"/>
              <w:bottom w:val="nil"/>
              <w:right w:val="nil"/>
            </w:tcBorders>
            <w:shd w:val="clear" w:color="auto" w:fill="auto"/>
            <w:vAlign w:val="center"/>
          </w:tcPr>
          <w:p w14:paraId="71A90C31" w14:textId="18D24712" w:rsidR="009265BC" w:rsidRPr="00B47627" w:rsidRDefault="009265BC" w:rsidP="009265BC">
            <w:pPr>
              <w:keepNext/>
              <w:keepLines/>
              <w:widowControl w:val="0"/>
              <w:pBdr>
                <w:top w:val="none" w:sz="0" w:space="0" w:color="auto"/>
                <w:left w:val="none" w:sz="0" w:space="0" w:color="auto"/>
                <w:bottom w:val="none" w:sz="0" w:space="0" w:color="auto"/>
                <w:right w:val="none" w:sz="0" w:space="0" w:color="auto"/>
                <w:between w:val="none" w:sz="0" w:space="0" w:color="auto"/>
                <w:bar w:val="none" w:sz="0" w:color="auto"/>
              </w:pBdr>
              <w:jc w:val="center"/>
              <w:outlineLvl w:val="9"/>
              <w:rPr>
                <w:rFonts w:eastAsia="Times New Roman"/>
                <w:sz w:val="18"/>
                <w:szCs w:val="18"/>
                <w:bdr w:val="none" w:sz="0" w:space="0" w:color="auto"/>
                <w:lang w:eastAsia="es-ES"/>
              </w:rPr>
            </w:pPr>
            <w:r w:rsidRPr="0059131C">
              <w:rPr>
                <w:sz w:val="18"/>
                <w:szCs w:val="18"/>
              </w:rPr>
              <w:t>1</w:t>
            </w:r>
          </w:p>
        </w:tc>
        <w:tc>
          <w:tcPr>
            <w:tcW w:w="740" w:type="pct"/>
            <w:tcBorders>
              <w:top w:val="nil"/>
              <w:left w:val="nil"/>
              <w:bottom w:val="nil"/>
              <w:right w:val="nil"/>
            </w:tcBorders>
            <w:shd w:val="clear" w:color="auto" w:fill="auto"/>
            <w:vAlign w:val="center"/>
          </w:tcPr>
          <w:p w14:paraId="7D45B067" w14:textId="6FEED9DC" w:rsidR="009265BC" w:rsidRPr="00B47627" w:rsidRDefault="009265BC" w:rsidP="009265BC">
            <w:pPr>
              <w:keepNext/>
              <w:keepLines/>
              <w:widowControl w:val="0"/>
              <w:jc w:val="center"/>
              <w:rPr>
                <w:sz w:val="18"/>
                <w:szCs w:val="18"/>
              </w:rPr>
            </w:pPr>
            <w:r w:rsidRPr="0059131C">
              <w:rPr>
                <w:sz w:val="18"/>
                <w:szCs w:val="18"/>
              </w:rPr>
              <w:t>-</w:t>
            </w:r>
          </w:p>
        </w:tc>
      </w:tr>
      <w:tr w:rsidR="009265BC" w:rsidRPr="00B47627" w14:paraId="31072EC5" w14:textId="77777777" w:rsidTr="00176BA0">
        <w:trPr>
          <w:trHeight w:val="283"/>
          <w:jc w:val="center"/>
        </w:trPr>
        <w:tc>
          <w:tcPr>
            <w:tcW w:w="2041" w:type="pct"/>
            <w:tcBorders>
              <w:top w:val="nil"/>
              <w:left w:val="nil"/>
              <w:bottom w:val="nil"/>
              <w:right w:val="nil"/>
            </w:tcBorders>
            <w:shd w:val="clear" w:color="auto" w:fill="auto"/>
            <w:vAlign w:val="center"/>
          </w:tcPr>
          <w:p w14:paraId="787536C3" w14:textId="2C728136" w:rsidR="009265BC" w:rsidRPr="00B47627" w:rsidRDefault="009265BC" w:rsidP="009265BC">
            <w:pPr>
              <w:keepNext/>
              <w:keepLines/>
              <w:widowControl w:val="0"/>
              <w:ind w:left="215"/>
              <w:rPr>
                <w:rFonts w:eastAsia="Times New Roman"/>
                <w:sz w:val="18"/>
                <w:szCs w:val="18"/>
              </w:rPr>
            </w:pPr>
            <w:r w:rsidRPr="00B47627">
              <w:rPr>
                <w:rFonts w:eastAsia="Times New Roman"/>
                <w:sz w:val="18"/>
                <w:szCs w:val="18"/>
              </w:rPr>
              <w:t>Directivos</w:t>
            </w:r>
          </w:p>
        </w:tc>
        <w:tc>
          <w:tcPr>
            <w:tcW w:w="739" w:type="pct"/>
            <w:tcBorders>
              <w:top w:val="nil"/>
              <w:left w:val="nil"/>
              <w:bottom w:val="nil"/>
              <w:right w:val="nil"/>
            </w:tcBorders>
            <w:shd w:val="clear" w:color="auto" w:fill="auto"/>
            <w:vAlign w:val="center"/>
          </w:tcPr>
          <w:p w14:paraId="43C2CE20" w14:textId="30E18328" w:rsidR="009265BC" w:rsidRPr="009265BC" w:rsidRDefault="009265BC" w:rsidP="009265BC">
            <w:pPr>
              <w:keepNext/>
              <w:keepLines/>
              <w:widowControl w:val="0"/>
              <w:pBdr>
                <w:top w:val="none" w:sz="0" w:space="0" w:color="auto"/>
                <w:left w:val="none" w:sz="0" w:space="0" w:color="auto"/>
                <w:bottom w:val="none" w:sz="0" w:space="0" w:color="auto"/>
                <w:right w:val="none" w:sz="0" w:space="0" w:color="auto"/>
                <w:between w:val="none" w:sz="0" w:space="0" w:color="auto"/>
                <w:bar w:val="none" w:sz="0" w:color="auto"/>
              </w:pBdr>
              <w:jc w:val="center"/>
              <w:outlineLvl w:val="9"/>
              <w:rPr>
                <w:rFonts w:eastAsia="Times New Roman"/>
                <w:sz w:val="18"/>
                <w:szCs w:val="18"/>
                <w:bdr w:val="none" w:sz="0" w:space="0" w:color="auto"/>
                <w:lang w:eastAsia="es-ES"/>
              </w:rPr>
            </w:pPr>
            <w:r w:rsidRPr="009265BC">
              <w:rPr>
                <w:rFonts w:eastAsia="Times New Roman"/>
                <w:sz w:val="18"/>
                <w:szCs w:val="18"/>
                <w:bdr w:val="none" w:sz="0" w:space="0" w:color="auto"/>
                <w:lang w:eastAsia="es-ES"/>
              </w:rPr>
              <w:t>-</w:t>
            </w:r>
          </w:p>
        </w:tc>
        <w:tc>
          <w:tcPr>
            <w:tcW w:w="740" w:type="pct"/>
            <w:tcBorders>
              <w:top w:val="nil"/>
              <w:left w:val="nil"/>
              <w:bottom w:val="nil"/>
              <w:right w:val="nil"/>
            </w:tcBorders>
            <w:shd w:val="clear" w:color="auto" w:fill="auto"/>
            <w:vAlign w:val="center"/>
          </w:tcPr>
          <w:p w14:paraId="236A820F" w14:textId="567171C4" w:rsidR="009265BC" w:rsidRPr="009265BC" w:rsidRDefault="009265BC" w:rsidP="009265BC">
            <w:pPr>
              <w:keepNext/>
              <w:keepLines/>
              <w:widowControl w:val="0"/>
              <w:jc w:val="center"/>
              <w:rPr>
                <w:sz w:val="18"/>
                <w:szCs w:val="18"/>
              </w:rPr>
            </w:pPr>
            <w:r w:rsidRPr="009265BC">
              <w:rPr>
                <w:sz w:val="18"/>
                <w:szCs w:val="18"/>
              </w:rPr>
              <w:t>3</w:t>
            </w:r>
          </w:p>
        </w:tc>
        <w:tc>
          <w:tcPr>
            <w:tcW w:w="739" w:type="pct"/>
            <w:tcBorders>
              <w:top w:val="nil"/>
              <w:left w:val="nil"/>
              <w:bottom w:val="nil"/>
              <w:right w:val="nil"/>
            </w:tcBorders>
            <w:shd w:val="clear" w:color="auto" w:fill="auto"/>
            <w:vAlign w:val="center"/>
          </w:tcPr>
          <w:p w14:paraId="480C4A85" w14:textId="6C77A033" w:rsidR="009265BC" w:rsidRPr="00B47627" w:rsidRDefault="009265BC" w:rsidP="009265BC">
            <w:pPr>
              <w:keepNext/>
              <w:keepLines/>
              <w:widowControl w:val="0"/>
              <w:pBdr>
                <w:top w:val="none" w:sz="0" w:space="0" w:color="auto"/>
                <w:left w:val="none" w:sz="0" w:space="0" w:color="auto"/>
                <w:bottom w:val="none" w:sz="0" w:space="0" w:color="auto"/>
                <w:right w:val="none" w:sz="0" w:space="0" w:color="auto"/>
                <w:between w:val="none" w:sz="0" w:space="0" w:color="auto"/>
                <w:bar w:val="none" w:sz="0" w:color="auto"/>
              </w:pBdr>
              <w:jc w:val="center"/>
              <w:outlineLvl w:val="9"/>
              <w:rPr>
                <w:sz w:val="18"/>
                <w:szCs w:val="18"/>
              </w:rPr>
            </w:pPr>
            <w:r w:rsidRPr="0059131C">
              <w:rPr>
                <w:sz w:val="18"/>
                <w:szCs w:val="18"/>
              </w:rPr>
              <w:t>-</w:t>
            </w:r>
          </w:p>
        </w:tc>
        <w:tc>
          <w:tcPr>
            <w:tcW w:w="740" w:type="pct"/>
            <w:tcBorders>
              <w:top w:val="nil"/>
              <w:left w:val="nil"/>
              <w:bottom w:val="nil"/>
              <w:right w:val="nil"/>
            </w:tcBorders>
            <w:shd w:val="clear" w:color="auto" w:fill="auto"/>
            <w:vAlign w:val="center"/>
          </w:tcPr>
          <w:p w14:paraId="1A93BEB0" w14:textId="5938D7DB" w:rsidR="009265BC" w:rsidRPr="00B47627" w:rsidRDefault="009265BC" w:rsidP="009265BC">
            <w:pPr>
              <w:keepNext/>
              <w:keepLines/>
              <w:widowControl w:val="0"/>
              <w:jc w:val="center"/>
              <w:rPr>
                <w:sz w:val="18"/>
                <w:szCs w:val="18"/>
              </w:rPr>
            </w:pPr>
            <w:r w:rsidRPr="0059131C">
              <w:rPr>
                <w:sz w:val="18"/>
                <w:szCs w:val="18"/>
              </w:rPr>
              <w:t>3</w:t>
            </w:r>
          </w:p>
        </w:tc>
      </w:tr>
      <w:tr w:rsidR="009265BC" w:rsidRPr="00B47627" w14:paraId="606C8263" w14:textId="77777777" w:rsidTr="00176BA0">
        <w:trPr>
          <w:trHeight w:val="283"/>
          <w:jc w:val="center"/>
        </w:trPr>
        <w:tc>
          <w:tcPr>
            <w:tcW w:w="2041" w:type="pct"/>
            <w:tcBorders>
              <w:top w:val="nil"/>
              <w:left w:val="nil"/>
              <w:bottom w:val="nil"/>
              <w:right w:val="nil"/>
            </w:tcBorders>
            <w:shd w:val="clear" w:color="auto" w:fill="auto"/>
            <w:vAlign w:val="center"/>
            <w:hideMark/>
          </w:tcPr>
          <w:p w14:paraId="4C01A3DA" w14:textId="77777777" w:rsidR="009265BC" w:rsidRPr="00B47627" w:rsidRDefault="009265BC" w:rsidP="009265BC">
            <w:pPr>
              <w:keepNext/>
              <w:keepLines/>
              <w:widowControl w:val="0"/>
              <w:ind w:left="215"/>
              <w:rPr>
                <w:rFonts w:eastAsia="Times New Roman"/>
                <w:sz w:val="18"/>
                <w:szCs w:val="18"/>
              </w:rPr>
            </w:pPr>
            <w:r w:rsidRPr="00B47627">
              <w:rPr>
                <w:rFonts w:eastAsia="Times New Roman"/>
                <w:sz w:val="18"/>
                <w:szCs w:val="18"/>
              </w:rPr>
              <w:t>Técnicos superiores</w:t>
            </w:r>
          </w:p>
        </w:tc>
        <w:tc>
          <w:tcPr>
            <w:tcW w:w="739" w:type="pct"/>
            <w:tcBorders>
              <w:top w:val="nil"/>
              <w:left w:val="nil"/>
              <w:bottom w:val="nil"/>
              <w:right w:val="nil"/>
            </w:tcBorders>
            <w:shd w:val="clear" w:color="auto" w:fill="auto"/>
            <w:vAlign w:val="center"/>
          </w:tcPr>
          <w:p w14:paraId="75F7C7B8" w14:textId="59265D0B" w:rsidR="009265BC" w:rsidRPr="009265BC" w:rsidRDefault="009265BC" w:rsidP="009265BC">
            <w:pPr>
              <w:keepNext/>
              <w:keepLines/>
              <w:widowControl w:val="0"/>
              <w:jc w:val="center"/>
              <w:rPr>
                <w:sz w:val="18"/>
                <w:szCs w:val="18"/>
              </w:rPr>
            </w:pPr>
            <w:r w:rsidRPr="009265BC">
              <w:rPr>
                <w:sz w:val="18"/>
                <w:szCs w:val="18"/>
              </w:rPr>
              <w:t>9</w:t>
            </w:r>
          </w:p>
        </w:tc>
        <w:tc>
          <w:tcPr>
            <w:tcW w:w="740" w:type="pct"/>
            <w:tcBorders>
              <w:top w:val="nil"/>
              <w:left w:val="nil"/>
              <w:bottom w:val="nil"/>
              <w:right w:val="nil"/>
            </w:tcBorders>
            <w:shd w:val="clear" w:color="auto" w:fill="auto"/>
            <w:vAlign w:val="center"/>
          </w:tcPr>
          <w:p w14:paraId="3DB5E2C4" w14:textId="2FCC5DF7" w:rsidR="009265BC" w:rsidRPr="009265BC" w:rsidRDefault="009265BC" w:rsidP="009265BC">
            <w:pPr>
              <w:keepNext/>
              <w:keepLines/>
              <w:widowControl w:val="0"/>
              <w:jc w:val="center"/>
              <w:rPr>
                <w:sz w:val="18"/>
                <w:szCs w:val="18"/>
              </w:rPr>
            </w:pPr>
            <w:r w:rsidRPr="009265BC">
              <w:rPr>
                <w:sz w:val="18"/>
                <w:szCs w:val="18"/>
              </w:rPr>
              <w:t>24</w:t>
            </w:r>
          </w:p>
        </w:tc>
        <w:tc>
          <w:tcPr>
            <w:tcW w:w="739" w:type="pct"/>
            <w:tcBorders>
              <w:top w:val="nil"/>
              <w:left w:val="nil"/>
              <w:bottom w:val="nil"/>
              <w:right w:val="nil"/>
            </w:tcBorders>
            <w:shd w:val="clear" w:color="auto" w:fill="auto"/>
            <w:vAlign w:val="center"/>
          </w:tcPr>
          <w:p w14:paraId="05C95C0A" w14:textId="2F5729E4" w:rsidR="009265BC" w:rsidRPr="00B47627" w:rsidRDefault="009265BC" w:rsidP="009265BC">
            <w:pPr>
              <w:keepNext/>
              <w:keepLines/>
              <w:widowControl w:val="0"/>
              <w:jc w:val="center"/>
              <w:rPr>
                <w:sz w:val="18"/>
                <w:szCs w:val="18"/>
              </w:rPr>
            </w:pPr>
            <w:r w:rsidRPr="0059131C">
              <w:rPr>
                <w:sz w:val="18"/>
                <w:szCs w:val="18"/>
              </w:rPr>
              <w:t>10</w:t>
            </w:r>
          </w:p>
        </w:tc>
        <w:tc>
          <w:tcPr>
            <w:tcW w:w="740" w:type="pct"/>
            <w:tcBorders>
              <w:top w:val="nil"/>
              <w:left w:val="nil"/>
              <w:bottom w:val="nil"/>
              <w:right w:val="nil"/>
            </w:tcBorders>
            <w:shd w:val="clear" w:color="auto" w:fill="auto"/>
            <w:vAlign w:val="center"/>
          </w:tcPr>
          <w:p w14:paraId="18DC8F27" w14:textId="1147D9A4" w:rsidR="009265BC" w:rsidRPr="00B47627" w:rsidRDefault="009265BC" w:rsidP="009265BC">
            <w:pPr>
              <w:keepNext/>
              <w:keepLines/>
              <w:widowControl w:val="0"/>
              <w:jc w:val="center"/>
              <w:rPr>
                <w:sz w:val="18"/>
                <w:szCs w:val="18"/>
              </w:rPr>
            </w:pPr>
            <w:r w:rsidRPr="0059131C">
              <w:rPr>
                <w:sz w:val="18"/>
                <w:szCs w:val="18"/>
              </w:rPr>
              <w:t>20</w:t>
            </w:r>
          </w:p>
        </w:tc>
      </w:tr>
      <w:tr w:rsidR="009265BC" w:rsidRPr="00B47627" w14:paraId="0F17FE16" w14:textId="77777777" w:rsidTr="00176BA0">
        <w:trPr>
          <w:trHeight w:val="283"/>
          <w:jc w:val="center"/>
        </w:trPr>
        <w:tc>
          <w:tcPr>
            <w:tcW w:w="2041" w:type="pct"/>
            <w:tcBorders>
              <w:top w:val="nil"/>
              <w:left w:val="nil"/>
              <w:bottom w:val="nil"/>
              <w:right w:val="nil"/>
            </w:tcBorders>
            <w:shd w:val="clear" w:color="auto" w:fill="auto"/>
            <w:vAlign w:val="center"/>
            <w:hideMark/>
          </w:tcPr>
          <w:p w14:paraId="3DD30B26" w14:textId="77777777" w:rsidR="009265BC" w:rsidRPr="00B47627" w:rsidRDefault="009265BC" w:rsidP="009265BC">
            <w:pPr>
              <w:keepNext/>
              <w:keepLines/>
              <w:widowControl w:val="0"/>
              <w:ind w:left="215"/>
              <w:rPr>
                <w:rFonts w:eastAsia="Times New Roman"/>
                <w:sz w:val="18"/>
                <w:szCs w:val="18"/>
              </w:rPr>
            </w:pPr>
            <w:r w:rsidRPr="00B47627">
              <w:rPr>
                <w:rFonts w:eastAsia="Times New Roman"/>
                <w:sz w:val="18"/>
                <w:szCs w:val="18"/>
              </w:rPr>
              <w:t>Técnicos medios</w:t>
            </w:r>
          </w:p>
        </w:tc>
        <w:tc>
          <w:tcPr>
            <w:tcW w:w="739" w:type="pct"/>
            <w:tcBorders>
              <w:top w:val="nil"/>
              <w:left w:val="nil"/>
              <w:bottom w:val="nil"/>
              <w:right w:val="nil"/>
            </w:tcBorders>
            <w:shd w:val="clear" w:color="auto" w:fill="auto"/>
            <w:vAlign w:val="center"/>
          </w:tcPr>
          <w:p w14:paraId="645F7BF5" w14:textId="4E3DA6F2" w:rsidR="009265BC" w:rsidRPr="009265BC" w:rsidRDefault="009265BC" w:rsidP="009265BC">
            <w:pPr>
              <w:keepNext/>
              <w:keepLines/>
              <w:widowControl w:val="0"/>
              <w:jc w:val="center"/>
              <w:rPr>
                <w:sz w:val="18"/>
                <w:szCs w:val="18"/>
              </w:rPr>
            </w:pPr>
            <w:r w:rsidRPr="009265BC">
              <w:rPr>
                <w:sz w:val="18"/>
                <w:szCs w:val="18"/>
              </w:rPr>
              <w:t>3</w:t>
            </w:r>
          </w:p>
        </w:tc>
        <w:tc>
          <w:tcPr>
            <w:tcW w:w="740" w:type="pct"/>
            <w:tcBorders>
              <w:top w:val="nil"/>
              <w:left w:val="nil"/>
              <w:bottom w:val="nil"/>
              <w:right w:val="nil"/>
            </w:tcBorders>
            <w:shd w:val="clear" w:color="auto" w:fill="auto"/>
            <w:vAlign w:val="center"/>
          </w:tcPr>
          <w:p w14:paraId="3E2346F6" w14:textId="2E3A6011" w:rsidR="009265BC" w:rsidRPr="009265BC" w:rsidRDefault="009265BC" w:rsidP="009265BC">
            <w:pPr>
              <w:keepNext/>
              <w:keepLines/>
              <w:widowControl w:val="0"/>
              <w:jc w:val="center"/>
              <w:rPr>
                <w:sz w:val="18"/>
                <w:szCs w:val="18"/>
              </w:rPr>
            </w:pPr>
            <w:r w:rsidRPr="009265BC">
              <w:rPr>
                <w:sz w:val="18"/>
                <w:szCs w:val="18"/>
              </w:rPr>
              <w:t>18</w:t>
            </w:r>
          </w:p>
        </w:tc>
        <w:tc>
          <w:tcPr>
            <w:tcW w:w="739" w:type="pct"/>
            <w:tcBorders>
              <w:top w:val="nil"/>
              <w:left w:val="nil"/>
              <w:bottom w:val="nil"/>
              <w:right w:val="nil"/>
            </w:tcBorders>
            <w:shd w:val="clear" w:color="auto" w:fill="auto"/>
            <w:vAlign w:val="center"/>
          </w:tcPr>
          <w:p w14:paraId="6A6626DA" w14:textId="05C77F7C" w:rsidR="009265BC" w:rsidRPr="00B47627" w:rsidRDefault="009265BC" w:rsidP="009265BC">
            <w:pPr>
              <w:keepNext/>
              <w:keepLines/>
              <w:widowControl w:val="0"/>
              <w:jc w:val="center"/>
              <w:rPr>
                <w:sz w:val="18"/>
                <w:szCs w:val="18"/>
              </w:rPr>
            </w:pPr>
            <w:r w:rsidRPr="0059131C">
              <w:rPr>
                <w:sz w:val="18"/>
                <w:szCs w:val="18"/>
              </w:rPr>
              <w:t>3</w:t>
            </w:r>
          </w:p>
        </w:tc>
        <w:tc>
          <w:tcPr>
            <w:tcW w:w="740" w:type="pct"/>
            <w:tcBorders>
              <w:top w:val="nil"/>
              <w:left w:val="nil"/>
              <w:bottom w:val="nil"/>
              <w:right w:val="nil"/>
            </w:tcBorders>
            <w:shd w:val="clear" w:color="auto" w:fill="auto"/>
            <w:vAlign w:val="center"/>
          </w:tcPr>
          <w:p w14:paraId="6BED7114" w14:textId="2B941C60" w:rsidR="009265BC" w:rsidRPr="00B47627" w:rsidRDefault="009265BC" w:rsidP="009265BC">
            <w:pPr>
              <w:keepNext/>
              <w:keepLines/>
              <w:widowControl w:val="0"/>
              <w:jc w:val="center"/>
              <w:rPr>
                <w:sz w:val="18"/>
                <w:szCs w:val="18"/>
              </w:rPr>
            </w:pPr>
            <w:r w:rsidRPr="0059131C">
              <w:rPr>
                <w:sz w:val="18"/>
                <w:szCs w:val="18"/>
              </w:rPr>
              <w:t>19</w:t>
            </w:r>
          </w:p>
        </w:tc>
      </w:tr>
      <w:tr w:rsidR="009265BC" w:rsidRPr="00B47627" w14:paraId="427BE537" w14:textId="77777777" w:rsidTr="00176BA0">
        <w:trPr>
          <w:trHeight w:val="283"/>
          <w:jc w:val="center"/>
        </w:trPr>
        <w:tc>
          <w:tcPr>
            <w:tcW w:w="2041" w:type="pct"/>
            <w:tcBorders>
              <w:top w:val="nil"/>
              <w:left w:val="nil"/>
              <w:bottom w:val="nil"/>
              <w:right w:val="nil"/>
            </w:tcBorders>
            <w:shd w:val="clear" w:color="auto" w:fill="auto"/>
            <w:vAlign w:val="center"/>
            <w:hideMark/>
          </w:tcPr>
          <w:p w14:paraId="267B422C" w14:textId="77777777" w:rsidR="009265BC" w:rsidRPr="00B47627" w:rsidRDefault="009265BC" w:rsidP="009265BC">
            <w:pPr>
              <w:keepNext/>
              <w:keepLines/>
              <w:widowControl w:val="0"/>
              <w:ind w:left="215"/>
              <w:rPr>
                <w:rFonts w:eastAsia="Times New Roman"/>
                <w:sz w:val="18"/>
                <w:szCs w:val="18"/>
              </w:rPr>
            </w:pPr>
            <w:r w:rsidRPr="00B47627">
              <w:rPr>
                <w:rFonts w:eastAsia="Times New Roman"/>
                <w:sz w:val="18"/>
                <w:szCs w:val="18"/>
              </w:rPr>
              <w:t>Administrativos/Coordinadores</w:t>
            </w:r>
          </w:p>
        </w:tc>
        <w:tc>
          <w:tcPr>
            <w:tcW w:w="739" w:type="pct"/>
            <w:tcBorders>
              <w:top w:val="nil"/>
              <w:left w:val="nil"/>
              <w:bottom w:val="nil"/>
              <w:right w:val="nil"/>
            </w:tcBorders>
            <w:shd w:val="clear" w:color="auto" w:fill="auto"/>
            <w:vAlign w:val="center"/>
          </w:tcPr>
          <w:p w14:paraId="61A663F4" w14:textId="108430F7" w:rsidR="009265BC" w:rsidRPr="009265BC" w:rsidRDefault="009265BC" w:rsidP="009265BC">
            <w:pPr>
              <w:keepNext/>
              <w:keepLines/>
              <w:widowControl w:val="0"/>
              <w:jc w:val="center"/>
              <w:rPr>
                <w:sz w:val="18"/>
                <w:szCs w:val="18"/>
              </w:rPr>
            </w:pPr>
            <w:r w:rsidRPr="009265BC">
              <w:rPr>
                <w:sz w:val="18"/>
                <w:szCs w:val="18"/>
              </w:rPr>
              <w:t>2</w:t>
            </w:r>
          </w:p>
        </w:tc>
        <w:tc>
          <w:tcPr>
            <w:tcW w:w="740" w:type="pct"/>
            <w:tcBorders>
              <w:top w:val="nil"/>
              <w:left w:val="nil"/>
              <w:bottom w:val="nil"/>
              <w:right w:val="nil"/>
            </w:tcBorders>
            <w:shd w:val="clear" w:color="auto" w:fill="auto"/>
            <w:vAlign w:val="center"/>
          </w:tcPr>
          <w:p w14:paraId="47557CE7" w14:textId="3A571D77" w:rsidR="009265BC" w:rsidRPr="009265BC" w:rsidRDefault="009265BC" w:rsidP="009265BC">
            <w:pPr>
              <w:keepNext/>
              <w:keepLines/>
              <w:widowControl w:val="0"/>
              <w:jc w:val="center"/>
              <w:rPr>
                <w:sz w:val="18"/>
                <w:szCs w:val="18"/>
              </w:rPr>
            </w:pPr>
            <w:r w:rsidRPr="009265BC">
              <w:rPr>
                <w:sz w:val="18"/>
                <w:szCs w:val="18"/>
              </w:rPr>
              <w:t>6</w:t>
            </w:r>
          </w:p>
        </w:tc>
        <w:tc>
          <w:tcPr>
            <w:tcW w:w="739" w:type="pct"/>
            <w:tcBorders>
              <w:top w:val="nil"/>
              <w:left w:val="nil"/>
              <w:bottom w:val="nil"/>
              <w:right w:val="nil"/>
            </w:tcBorders>
            <w:shd w:val="clear" w:color="auto" w:fill="auto"/>
            <w:vAlign w:val="center"/>
          </w:tcPr>
          <w:p w14:paraId="35A58E06" w14:textId="6DCC411F" w:rsidR="009265BC" w:rsidRPr="00B47627" w:rsidRDefault="009265BC" w:rsidP="009265BC">
            <w:pPr>
              <w:keepNext/>
              <w:keepLines/>
              <w:widowControl w:val="0"/>
              <w:jc w:val="center"/>
              <w:rPr>
                <w:sz w:val="18"/>
                <w:szCs w:val="18"/>
              </w:rPr>
            </w:pPr>
            <w:r w:rsidRPr="0059131C">
              <w:rPr>
                <w:sz w:val="18"/>
                <w:szCs w:val="18"/>
              </w:rPr>
              <w:t>2</w:t>
            </w:r>
          </w:p>
        </w:tc>
        <w:tc>
          <w:tcPr>
            <w:tcW w:w="740" w:type="pct"/>
            <w:tcBorders>
              <w:top w:val="nil"/>
              <w:left w:val="nil"/>
              <w:bottom w:val="nil"/>
              <w:right w:val="nil"/>
            </w:tcBorders>
            <w:shd w:val="clear" w:color="auto" w:fill="auto"/>
            <w:vAlign w:val="center"/>
          </w:tcPr>
          <w:p w14:paraId="2B46496F" w14:textId="0F3F2288" w:rsidR="009265BC" w:rsidRPr="00B47627" w:rsidRDefault="009265BC" w:rsidP="009265BC">
            <w:pPr>
              <w:keepNext/>
              <w:keepLines/>
              <w:widowControl w:val="0"/>
              <w:jc w:val="center"/>
              <w:rPr>
                <w:sz w:val="18"/>
                <w:szCs w:val="18"/>
              </w:rPr>
            </w:pPr>
            <w:r w:rsidRPr="0059131C">
              <w:rPr>
                <w:sz w:val="18"/>
                <w:szCs w:val="18"/>
              </w:rPr>
              <w:t>7</w:t>
            </w:r>
          </w:p>
        </w:tc>
      </w:tr>
      <w:tr w:rsidR="009265BC" w:rsidRPr="00B47627" w14:paraId="28774BBD" w14:textId="77777777" w:rsidTr="00176BA0">
        <w:trPr>
          <w:trHeight w:val="283"/>
          <w:jc w:val="center"/>
        </w:trPr>
        <w:tc>
          <w:tcPr>
            <w:tcW w:w="2041" w:type="pct"/>
            <w:tcBorders>
              <w:top w:val="nil"/>
              <w:left w:val="nil"/>
              <w:bottom w:val="single" w:sz="4" w:space="0" w:color="auto"/>
              <w:right w:val="nil"/>
            </w:tcBorders>
            <w:shd w:val="clear" w:color="auto" w:fill="auto"/>
            <w:vAlign w:val="center"/>
            <w:hideMark/>
          </w:tcPr>
          <w:p w14:paraId="26154A2C" w14:textId="77777777" w:rsidR="009265BC" w:rsidRPr="00B47627" w:rsidRDefault="009265BC" w:rsidP="009265BC">
            <w:pPr>
              <w:keepNext/>
              <w:keepLines/>
              <w:widowControl w:val="0"/>
              <w:ind w:left="215"/>
              <w:rPr>
                <w:rFonts w:eastAsia="Times New Roman"/>
                <w:sz w:val="18"/>
                <w:szCs w:val="18"/>
              </w:rPr>
            </w:pPr>
            <w:r w:rsidRPr="00B47627">
              <w:rPr>
                <w:rFonts w:eastAsia="Times New Roman"/>
                <w:sz w:val="18"/>
                <w:szCs w:val="18"/>
              </w:rPr>
              <w:t>Otros</w:t>
            </w:r>
          </w:p>
        </w:tc>
        <w:tc>
          <w:tcPr>
            <w:tcW w:w="739" w:type="pct"/>
            <w:tcBorders>
              <w:top w:val="nil"/>
              <w:left w:val="nil"/>
              <w:bottom w:val="single" w:sz="4" w:space="0" w:color="auto"/>
              <w:right w:val="nil"/>
            </w:tcBorders>
            <w:shd w:val="clear" w:color="auto" w:fill="auto"/>
            <w:vAlign w:val="center"/>
          </w:tcPr>
          <w:p w14:paraId="19CB2FA3" w14:textId="3B123EBD" w:rsidR="009265BC" w:rsidRPr="009265BC" w:rsidRDefault="009265BC" w:rsidP="009265BC">
            <w:pPr>
              <w:keepNext/>
              <w:keepLines/>
              <w:widowControl w:val="0"/>
              <w:jc w:val="center"/>
              <w:rPr>
                <w:sz w:val="18"/>
                <w:szCs w:val="18"/>
              </w:rPr>
            </w:pPr>
            <w:r w:rsidRPr="009265BC">
              <w:rPr>
                <w:sz w:val="18"/>
                <w:szCs w:val="18"/>
              </w:rPr>
              <w:t>-</w:t>
            </w:r>
          </w:p>
        </w:tc>
        <w:tc>
          <w:tcPr>
            <w:tcW w:w="740" w:type="pct"/>
            <w:tcBorders>
              <w:top w:val="nil"/>
              <w:left w:val="nil"/>
              <w:bottom w:val="single" w:sz="4" w:space="0" w:color="auto"/>
              <w:right w:val="nil"/>
            </w:tcBorders>
            <w:shd w:val="clear" w:color="auto" w:fill="auto"/>
            <w:vAlign w:val="center"/>
          </w:tcPr>
          <w:p w14:paraId="22EF35CA" w14:textId="45FDB0B3" w:rsidR="009265BC" w:rsidRPr="009265BC" w:rsidRDefault="009265BC" w:rsidP="009265BC">
            <w:pPr>
              <w:keepNext/>
              <w:keepLines/>
              <w:widowControl w:val="0"/>
              <w:jc w:val="center"/>
              <w:rPr>
                <w:sz w:val="18"/>
                <w:szCs w:val="18"/>
              </w:rPr>
            </w:pPr>
            <w:r w:rsidRPr="009265BC">
              <w:rPr>
                <w:sz w:val="18"/>
                <w:szCs w:val="18"/>
              </w:rPr>
              <w:t>-</w:t>
            </w:r>
          </w:p>
        </w:tc>
        <w:tc>
          <w:tcPr>
            <w:tcW w:w="739" w:type="pct"/>
            <w:tcBorders>
              <w:top w:val="nil"/>
              <w:left w:val="nil"/>
              <w:bottom w:val="single" w:sz="4" w:space="0" w:color="auto"/>
              <w:right w:val="nil"/>
            </w:tcBorders>
            <w:shd w:val="clear" w:color="auto" w:fill="auto"/>
            <w:vAlign w:val="center"/>
          </w:tcPr>
          <w:p w14:paraId="4DEF5B5A" w14:textId="547A2762" w:rsidR="009265BC" w:rsidRPr="00B47627" w:rsidRDefault="009265BC" w:rsidP="009265BC">
            <w:pPr>
              <w:keepNext/>
              <w:keepLines/>
              <w:widowControl w:val="0"/>
              <w:jc w:val="center"/>
              <w:rPr>
                <w:sz w:val="18"/>
                <w:szCs w:val="18"/>
              </w:rPr>
            </w:pPr>
            <w:r w:rsidRPr="0059131C">
              <w:rPr>
                <w:sz w:val="18"/>
                <w:szCs w:val="18"/>
              </w:rPr>
              <w:t>1</w:t>
            </w:r>
          </w:p>
        </w:tc>
        <w:tc>
          <w:tcPr>
            <w:tcW w:w="740" w:type="pct"/>
            <w:tcBorders>
              <w:top w:val="nil"/>
              <w:left w:val="nil"/>
              <w:bottom w:val="single" w:sz="4" w:space="0" w:color="auto"/>
              <w:right w:val="nil"/>
            </w:tcBorders>
            <w:shd w:val="clear" w:color="auto" w:fill="auto"/>
            <w:vAlign w:val="center"/>
          </w:tcPr>
          <w:p w14:paraId="729064C8" w14:textId="24AF95AB" w:rsidR="009265BC" w:rsidRPr="00B47627" w:rsidRDefault="009265BC" w:rsidP="009265BC">
            <w:pPr>
              <w:keepNext/>
              <w:keepLines/>
              <w:widowControl w:val="0"/>
              <w:jc w:val="center"/>
              <w:rPr>
                <w:sz w:val="18"/>
                <w:szCs w:val="18"/>
              </w:rPr>
            </w:pPr>
            <w:r w:rsidRPr="0059131C">
              <w:rPr>
                <w:sz w:val="18"/>
                <w:szCs w:val="18"/>
              </w:rPr>
              <w:t>-</w:t>
            </w:r>
          </w:p>
        </w:tc>
      </w:tr>
      <w:tr w:rsidR="009265BC" w:rsidRPr="00176BA0" w14:paraId="1601077E" w14:textId="77777777" w:rsidTr="00176BA0">
        <w:trPr>
          <w:trHeight w:val="283"/>
          <w:jc w:val="center"/>
        </w:trPr>
        <w:tc>
          <w:tcPr>
            <w:tcW w:w="2041" w:type="pct"/>
            <w:tcBorders>
              <w:top w:val="nil"/>
              <w:left w:val="nil"/>
              <w:bottom w:val="single" w:sz="4" w:space="0" w:color="auto"/>
              <w:right w:val="nil"/>
            </w:tcBorders>
            <w:shd w:val="clear" w:color="auto" w:fill="auto"/>
            <w:vAlign w:val="center"/>
            <w:hideMark/>
          </w:tcPr>
          <w:p w14:paraId="03A1478A" w14:textId="77777777" w:rsidR="009265BC" w:rsidRPr="00B47627" w:rsidRDefault="009265BC" w:rsidP="009265BC">
            <w:pPr>
              <w:ind w:left="215"/>
              <w:rPr>
                <w:rFonts w:eastAsia="Times New Roman"/>
                <w:b/>
                <w:sz w:val="18"/>
                <w:szCs w:val="18"/>
              </w:rPr>
            </w:pPr>
            <w:r w:rsidRPr="00B47627">
              <w:rPr>
                <w:rFonts w:eastAsia="Times New Roman"/>
                <w:sz w:val="18"/>
                <w:szCs w:val="18"/>
              </w:rPr>
              <w:t> </w:t>
            </w:r>
            <w:r w:rsidRPr="00B47627">
              <w:rPr>
                <w:rFonts w:eastAsia="Times New Roman"/>
                <w:b/>
                <w:sz w:val="18"/>
                <w:szCs w:val="18"/>
              </w:rPr>
              <w:t>Total</w:t>
            </w:r>
          </w:p>
        </w:tc>
        <w:tc>
          <w:tcPr>
            <w:tcW w:w="739" w:type="pct"/>
            <w:tcBorders>
              <w:top w:val="nil"/>
              <w:left w:val="nil"/>
              <w:bottom w:val="single" w:sz="4" w:space="0" w:color="auto"/>
              <w:right w:val="nil"/>
            </w:tcBorders>
            <w:shd w:val="clear" w:color="auto" w:fill="auto"/>
            <w:vAlign w:val="center"/>
          </w:tcPr>
          <w:p w14:paraId="5D421D3F" w14:textId="3070AD47" w:rsidR="009265BC" w:rsidRPr="009265BC" w:rsidRDefault="009265BC" w:rsidP="009265BC">
            <w:pPr>
              <w:jc w:val="center"/>
              <w:rPr>
                <w:b/>
                <w:bCs/>
                <w:sz w:val="18"/>
                <w:szCs w:val="18"/>
              </w:rPr>
            </w:pPr>
            <w:r w:rsidRPr="009265BC">
              <w:rPr>
                <w:b/>
                <w:bCs/>
                <w:sz w:val="18"/>
                <w:szCs w:val="18"/>
              </w:rPr>
              <w:t>15</w:t>
            </w:r>
          </w:p>
        </w:tc>
        <w:tc>
          <w:tcPr>
            <w:tcW w:w="740" w:type="pct"/>
            <w:tcBorders>
              <w:top w:val="nil"/>
              <w:left w:val="nil"/>
              <w:bottom w:val="single" w:sz="4" w:space="0" w:color="auto"/>
              <w:right w:val="nil"/>
            </w:tcBorders>
            <w:shd w:val="clear" w:color="auto" w:fill="auto"/>
            <w:vAlign w:val="center"/>
          </w:tcPr>
          <w:p w14:paraId="4C68E8DB" w14:textId="6DB445FF" w:rsidR="009265BC" w:rsidRPr="009265BC" w:rsidRDefault="009265BC" w:rsidP="009265BC">
            <w:pPr>
              <w:jc w:val="center"/>
              <w:rPr>
                <w:b/>
                <w:bCs/>
                <w:sz w:val="18"/>
                <w:szCs w:val="18"/>
              </w:rPr>
            </w:pPr>
            <w:r w:rsidRPr="009265BC">
              <w:rPr>
                <w:b/>
                <w:bCs/>
                <w:sz w:val="18"/>
                <w:szCs w:val="18"/>
              </w:rPr>
              <w:t>51</w:t>
            </w:r>
          </w:p>
        </w:tc>
        <w:tc>
          <w:tcPr>
            <w:tcW w:w="739" w:type="pct"/>
            <w:tcBorders>
              <w:top w:val="nil"/>
              <w:left w:val="nil"/>
              <w:bottom w:val="single" w:sz="4" w:space="0" w:color="auto"/>
              <w:right w:val="nil"/>
            </w:tcBorders>
            <w:shd w:val="clear" w:color="auto" w:fill="auto"/>
            <w:vAlign w:val="center"/>
          </w:tcPr>
          <w:p w14:paraId="6FB9F3C5" w14:textId="429ADF1E" w:rsidR="009265BC" w:rsidRPr="00B47627" w:rsidRDefault="009265BC" w:rsidP="009265BC">
            <w:pPr>
              <w:jc w:val="center"/>
              <w:rPr>
                <w:b/>
                <w:bCs/>
                <w:sz w:val="18"/>
                <w:szCs w:val="18"/>
              </w:rPr>
            </w:pPr>
            <w:r w:rsidRPr="0059131C">
              <w:rPr>
                <w:b/>
                <w:bCs/>
                <w:sz w:val="18"/>
                <w:szCs w:val="18"/>
              </w:rPr>
              <w:t>17</w:t>
            </w:r>
          </w:p>
        </w:tc>
        <w:tc>
          <w:tcPr>
            <w:tcW w:w="740" w:type="pct"/>
            <w:tcBorders>
              <w:top w:val="nil"/>
              <w:left w:val="nil"/>
              <w:bottom w:val="single" w:sz="4" w:space="0" w:color="auto"/>
              <w:right w:val="nil"/>
            </w:tcBorders>
            <w:shd w:val="clear" w:color="auto" w:fill="auto"/>
            <w:vAlign w:val="center"/>
          </w:tcPr>
          <w:p w14:paraId="4BC9C114" w14:textId="0432D0D3" w:rsidR="009265BC" w:rsidRPr="007A7245" w:rsidRDefault="009265BC" w:rsidP="009265BC">
            <w:pPr>
              <w:jc w:val="center"/>
              <w:rPr>
                <w:b/>
                <w:bCs/>
                <w:sz w:val="18"/>
                <w:szCs w:val="18"/>
              </w:rPr>
            </w:pPr>
            <w:r w:rsidRPr="0059131C">
              <w:rPr>
                <w:b/>
                <w:bCs/>
                <w:sz w:val="18"/>
                <w:szCs w:val="18"/>
              </w:rPr>
              <w:t>49</w:t>
            </w:r>
          </w:p>
        </w:tc>
      </w:tr>
    </w:tbl>
    <w:bookmarkEnd w:id="9"/>
    <w:p w14:paraId="40891D7A" w14:textId="01B9EFC1" w:rsidR="006220A2" w:rsidRPr="00176BA0" w:rsidRDefault="006220A2" w:rsidP="00064105">
      <w:pPr>
        <w:widowControl w:val="0"/>
        <w:spacing w:before="120" w:after="120" w:line="260" w:lineRule="exact"/>
        <w:jc w:val="both"/>
        <w:outlineLvl w:val="9"/>
        <w:rPr>
          <w:snapToGrid w:val="0"/>
          <w:sz w:val="20"/>
          <w:szCs w:val="22"/>
        </w:rPr>
      </w:pPr>
      <w:r w:rsidRPr="00176BA0">
        <w:rPr>
          <w:snapToGrid w:val="0"/>
          <w:sz w:val="20"/>
          <w:szCs w:val="22"/>
        </w:rPr>
        <w:t>El total de emp</w:t>
      </w:r>
      <w:r w:rsidR="00792C0E" w:rsidRPr="00176BA0">
        <w:rPr>
          <w:snapToGrid w:val="0"/>
          <w:sz w:val="20"/>
          <w:szCs w:val="22"/>
        </w:rPr>
        <w:t>leados del ejercicio 20</w:t>
      </w:r>
      <w:r w:rsidR="00322E9D" w:rsidRPr="00176BA0">
        <w:rPr>
          <w:snapToGrid w:val="0"/>
          <w:sz w:val="20"/>
          <w:szCs w:val="22"/>
        </w:rPr>
        <w:t>2</w:t>
      </w:r>
      <w:r w:rsidR="00623AD4">
        <w:rPr>
          <w:snapToGrid w:val="0"/>
          <w:sz w:val="20"/>
          <w:szCs w:val="22"/>
        </w:rPr>
        <w:t>4</w:t>
      </w:r>
      <w:r w:rsidR="003801D3" w:rsidRPr="00176BA0">
        <w:rPr>
          <w:snapToGrid w:val="0"/>
          <w:sz w:val="20"/>
          <w:szCs w:val="22"/>
        </w:rPr>
        <w:t xml:space="preserve"> ascendió a</w:t>
      </w:r>
      <w:r w:rsidR="00B055D7">
        <w:rPr>
          <w:snapToGrid w:val="0"/>
          <w:sz w:val="20"/>
          <w:szCs w:val="22"/>
        </w:rPr>
        <w:t xml:space="preserve"> </w:t>
      </w:r>
      <w:r w:rsidR="009265BC">
        <w:rPr>
          <w:snapToGrid w:val="0"/>
          <w:sz w:val="20"/>
          <w:szCs w:val="22"/>
        </w:rPr>
        <w:t>66</w:t>
      </w:r>
      <w:r w:rsidR="00623AD4">
        <w:rPr>
          <w:snapToGrid w:val="0"/>
          <w:sz w:val="20"/>
          <w:szCs w:val="22"/>
        </w:rPr>
        <w:t xml:space="preserve"> </w:t>
      </w:r>
      <w:r w:rsidRPr="00176BA0">
        <w:rPr>
          <w:snapToGrid w:val="0"/>
          <w:sz w:val="20"/>
          <w:szCs w:val="22"/>
        </w:rPr>
        <w:t>(</w:t>
      </w:r>
      <w:r w:rsidR="00623AD4">
        <w:rPr>
          <w:snapToGrid w:val="0"/>
          <w:sz w:val="20"/>
          <w:szCs w:val="22"/>
        </w:rPr>
        <w:t>66</w:t>
      </w:r>
      <w:r w:rsidRPr="00176BA0">
        <w:rPr>
          <w:snapToGrid w:val="0"/>
          <w:sz w:val="20"/>
          <w:szCs w:val="22"/>
        </w:rPr>
        <w:t xml:space="preserve"> en </w:t>
      </w:r>
      <w:r w:rsidR="00954AA6">
        <w:rPr>
          <w:snapToGrid w:val="0"/>
          <w:sz w:val="20"/>
          <w:szCs w:val="22"/>
        </w:rPr>
        <w:t>el ejercicio anterior</w:t>
      </w:r>
      <w:r w:rsidRPr="00176BA0">
        <w:rPr>
          <w:snapToGrid w:val="0"/>
          <w:sz w:val="20"/>
          <w:szCs w:val="22"/>
        </w:rPr>
        <w:t xml:space="preserve">). </w:t>
      </w:r>
    </w:p>
    <w:bookmarkEnd w:id="10"/>
    <w:p w14:paraId="673CADB4" w14:textId="1311F645" w:rsidR="006220A2" w:rsidRPr="0083433F" w:rsidRDefault="006220A2" w:rsidP="00064105">
      <w:pPr>
        <w:widowControl w:val="0"/>
        <w:spacing w:before="200"/>
        <w:rPr>
          <w:sz w:val="20"/>
          <w:u w:val="single"/>
        </w:rPr>
      </w:pPr>
      <w:r w:rsidRPr="0083433F">
        <w:rPr>
          <w:sz w:val="20"/>
          <w:u w:val="single"/>
        </w:rPr>
        <w:t xml:space="preserve">Honorarios </w:t>
      </w:r>
      <w:r w:rsidR="00F75CC0">
        <w:rPr>
          <w:sz w:val="20"/>
          <w:u w:val="single"/>
        </w:rPr>
        <w:t xml:space="preserve">anuales </w:t>
      </w:r>
      <w:r w:rsidRPr="0083433F">
        <w:rPr>
          <w:sz w:val="20"/>
          <w:u w:val="single"/>
        </w:rPr>
        <w:t>de auditores de cuentas</w:t>
      </w:r>
    </w:p>
    <w:p w14:paraId="1DE0D12C" w14:textId="0467450B" w:rsidR="00954AA6" w:rsidRDefault="006220A2" w:rsidP="00043DCE">
      <w:pPr>
        <w:widowControl w:val="0"/>
        <w:spacing w:before="120" w:after="120" w:line="260" w:lineRule="exact"/>
        <w:jc w:val="both"/>
        <w:outlineLvl w:val="9"/>
        <w:rPr>
          <w:snapToGrid w:val="0"/>
          <w:sz w:val="20"/>
          <w:szCs w:val="22"/>
        </w:rPr>
      </w:pPr>
      <w:r w:rsidRPr="00176BA0">
        <w:rPr>
          <w:snapToGrid w:val="0"/>
          <w:sz w:val="20"/>
          <w:szCs w:val="22"/>
        </w:rPr>
        <w:t xml:space="preserve">Los honorarios devengados durante el ejercicio por los servicios de auditoría de cuentas ascendieron </w:t>
      </w:r>
      <w:r w:rsidR="00797DBD" w:rsidRPr="00176BA0">
        <w:rPr>
          <w:snapToGrid w:val="0"/>
          <w:sz w:val="20"/>
          <w:szCs w:val="22"/>
        </w:rPr>
        <w:t xml:space="preserve">a </w:t>
      </w:r>
      <w:r w:rsidR="00705976">
        <w:rPr>
          <w:snapToGrid w:val="0"/>
          <w:sz w:val="20"/>
          <w:szCs w:val="22"/>
        </w:rPr>
        <w:t>8.950</w:t>
      </w:r>
      <w:r w:rsidR="00797DBD" w:rsidRPr="00176BA0">
        <w:rPr>
          <w:snapToGrid w:val="0"/>
          <w:sz w:val="20"/>
          <w:szCs w:val="22"/>
        </w:rPr>
        <w:t xml:space="preserve"> euros (</w:t>
      </w:r>
      <w:r w:rsidR="00623AD4" w:rsidRPr="00176BA0">
        <w:rPr>
          <w:snapToGrid w:val="0"/>
          <w:sz w:val="20"/>
          <w:szCs w:val="22"/>
        </w:rPr>
        <w:t xml:space="preserve">8.000,00 </w:t>
      </w:r>
      <w:r w:rsidR="00797DBD" w:rsidRPr="00176BA0">
        <w:rPr>
          <w:snapToGrid w:val="0"/>
          <w:sz w:val="20"/>
          <w:szCs w:val="22"/>
        </w:rPr>
        <w:t xml:space="preserve">euros en </w:t>
      </w:r>
      <w:r w:rsidR="00954AA6">
        <w:rPr>
          <w:snapToGrid w:val="0"/>
          <w:sz w:val="20"/>
          <w:szCs w:val="22"/>
        </w:rPr>
        <w:t>el ejercicio anterior)</w:t>
      </w:r>
      <w:r w:rsidRPr="00176BA0">
        <w:rPr>
          <w:snapToGrid w:val="0"/>
          <w:sz w:val="20"/>
          <w:szCs w:val="22"/>
        </w:rPr>
        <w:t xml:space="preserve">. </w:t>
      </w:r>
      <w:r w:rsidR="00043DCE" w:rsidRPr="00043DCE">
        <w:rPr>
          <w:snapToGrid w:val="0"/>
          <w:sz w:val="20"/>
          <w:szCs w:val="22"/>
        </w:rPr>
        <w:t>En el ejercicio 202</w:t>
      </w:r>
      <w:r w:rsidR="00043DCE">
        <w:rPr>
          <w:snapToGrid w:val="0"/>
          <w:sz w:val="20"/>
          <w:szCs w:val="22"/>
        </w:rPr>
        <w:t>4</w:t>
      </w:r>
      <w:r w:rsidR="00043DCE" w:rsidRPr="00043DCE">
        <w:rPr>
          <w:snapToGrid w:val="0"/>
          <w:sz w:val="20"/>
          <w:szCs w:val="22"/>
        </w:rPr>
        <w:t xml:space="preserve"> se han devengado</w:t>
      </w:r>
      <w:r w:rsidR="00043DCE">
        <w:rPr>
          <w:snapToGrid w:val="0"/>
          <w:sz w:val="20"/>
          <w:szCs w:val="22"/>
        </w:rPr>
        <w:t xml:space="preserve"> </w:t>
      </w:r>
      <w:r w:rsidR="00043DCE" w:rsidRPr="00043DCE">
        <w:rPr>
          <w:snapToGrid w:val="0"/>
          <w:sz w:val="20"/>
          <w:szCs w:val="22"/>
        </w:rPr>
        <w:t xml:space="preserve">honorarios por otros servicios por importe de </w:t>
      </w:r>
      <w:r w:rsidR="00043DCE">
        <w:rPr>
          <w:snapToGrid w:val="0"/>
          <w:sz w:val="20"/>
          <w:szCs w:val="22"/>
        </w:rPr>
        <w:t>12.300</w:t>
      </w:r>
      <w:r w:rsidR="00043DCE" w:rsidRPr="00043DCE">
        <w:rPr>
          <w:snapToGrid w:val="0"/>
          <w:sz w:val="20"/>
          <w:szCs w:val="22"/>
        </w:rPr>
        <w:t xml:space="preserve"> euros.</w:t>
      </w:r>
    </w:p>
    <w:p w14:paraId="0BEE03BF" w14:textId="77777777" w:rsidR="00B56472" w:rsidRDefault="00B56472" w:rsidP="00064105">
      <w:pPr>
        <w:widowControl w:val="0"/>
        <w:spacing w:before="120" w:after="120" w:line="260" w:lineRule="exact"/>
        <w:jc w:val="both"/>
        <w:outlineLvl w:val="9"/>
        <w:rPr>
          <w:snapToGrid w:val="0"/>
          <w:sz w:val="20"/>
          <w:szCs w:val="22"/>
        </w:rPr>
      </w:pPr>
    </w:p>
    <w:p w14:paraId="789FBC46" w14:textId="77777777" w:rsidR="00954AA6" w:rsidRDefault="00954AA6">
      <w:pPr>
        <w:pBdr>
          <w:top w:val="none" w:sz="0" w:space="0" w:color="auto"/>
          <w:left w:val="none" w:sz="0" w:space="0" w:color="auto"/>
          <w:bottom w:val="none" w:sz="0" w:space="0" w:color="auto"/>
          <w:right w:val="none" w:sz="0" w:space="0" w:color="auto"/>
          <w:between w:val="none" w:sz="0" w:space="0" w:color="auto"/>
          <w:bar w:val="none" w:sz="0" w:color="auto"/>
        </w:pBdr>
        <w:outlineLvl w:val="9"/>
        <w:rPr>
          <w:snapToGrid w:val="0"/>
          <w:sz w:val="20"/>
          <w:szCs w:val="22"/>
        </w:rPr>
      </w:pPr>
      <w:r>
        <w:rPr>
          <w:snapToGrid w:val="0"/>
          <w:sz w:val="20"/>
          <w:szCs w:val="22"/>
        </w:rPr>
        <w:br w:type="page"/>
      </w:r>
    </w:p>
    <w:p w14:paraId="04B624B8" w14:textId="5838D4A6" w:rsidR="00D357B3" w:rsidRPr="0083433F" w:rsidRDefault="00052BF5" w:rsidP="00052BF5">
      <w:pPr>
        <w:widowControl w:val="0"/>
        <w:numPr>
          <w:ilvl w:val="0"/>
          <w:numId w:val="6"/>
        </w:numPr>
        <w:pBdr>
          <w:top w:val="none" w:sz="0" w:space="0" w:color="auto"/>
          <w:left w:val="none" w:sz="0" w:space="0" w:color="auto"/>
          <w:bottom w:val="none" w:sz="0" w:space="0" w:color="auto"/>
          <w:right w:val="none" w:sz="0" w:space="0" w:color="auto"/>
          <w:between w:val="none" w:sz="0" w:space="0" w:color="auto"/>
          <w:bar w:val="none" w:sz="0" w:color="auto"/>
        </w:pBdr>
        <w:spacing w:after="120" w:line="280" w:lineRule="exact"/>
        <w:ind w:left="284" w:hanging="284"/>
        <w:outlineLvl w:val="9"/>
        <w:rPr>
          <w:b/>
          <w:snapToGrid w:val="0"/>
          <w:sz w:val="22"/>
          <w:szCs w:val="22"/>
        </w:rPr>
      </w:pPr>
      <w:r>
        <w:rPr>
          <w:b/>
          <w:snapToGrid w:val="0"/>
          <w:sz w:val="22"/>
          <w:szCs w:val="22"/>
        </w:rPr>
        <w:lastRenderedPageBreak/>
        <w:t xml:space="preserve"> </w:t>
      </w:r>
      <w:r w:rsidR="00D357B3" w:rsidRPr="0083433F">
        <w:rPr>
          <w:b/>
          <w:snapToGrid w:val="0"/>
          <w:sz w:val="22"/>
          <w:szCs w:val="22"/>
        </w:rPr>
        <w:t>Cumplimiento requisito para la consideración de medio propio</w:t>
      </w:r>
    </w:p>
    <w:p w14:paraId="5AAB68C8" w14:textId="77777777" w:rsidR="00D357B3" w:rsidRPr="0083433F" w:rsidRDefault="00D357B3" w:rsidP="00064105">
      <w:pPr>
        <w:widowControl w:val="0"/>
        <w:spacing w:before="120" w:after="120" w:line="260" w:lineRule="exact"/>
        <w:jc w:val="both"/>
        <w:outlineLvl w:val="9"/>
        <w:rPr>
          <w:snapToGrid w:val="0"/>
          <w:sz w:val="20"/>
          <w:szCs w:val="22"/>
        </w:rPr>
      </w:pPr>
      <w:r w:rsidRPr="0083433F">
        <w:rPr>
          <w:snapToGrid w:val="0"/>
          <w:sz w:val="20"/>
          <w:szCs w:val="22"/>
        </w:rPr>
        <w:t xml:space="preserve">El artículo 32.2.b) de la Ley 9/2017, de 8 de noviembre, de Contratos del Sector Público, por la que se transponen al ordenamiento </w:t>
      </w:r>
      <w:r w:rsidR="00DF4BF7" w:rsidRPr="0083433F">
        <w:rPr>
          <w:snapToGrid w:val="0"/>
          <w:sz w:val="20"/>
          <w:szCs w:val="22"/>
        </w:rPr>
        <w:t>jurídico</w:t>
      </w:r>
      <w:r w:rsidRPr="0083433F">
        <w:rPr>
          <w:snapToGrid w:val="0"/>
          <w:sz w:val="20"/>
          <w:szCs w:val="22"/>
        </w:rPr>
        <w:t xml:space="preserve"> español las Directivas del parlamento Europeo y del consejo 2014/23/UE y 2014/24/UE, de 26 de febrero de 2014, establece respecto a los encargos de los poderes adjudicadores a medios propios personificados que para tener la consideración de medio propio es necesario que más del 80</w:t>
      </w:r>
      <w:r w:rsidR="00497BBB" w:rsidRPr="0083433F">
        <w:rPr>
          <w:snapToGrid w:val="0"/>
          <w:sz w:val="20"/>
          <w:szCs w:val="22"/>
        </w:rPr>
        <w:t>%</w:t>
      </w:r>
      <w:r w:rsidRPr="0083433F">
        <w:rPr>
          <w:snapToGrid w:val="0"/>
          <w:sz w:val="20"/>
          <w:szCs w:val="22"/>
        </w:rPr>
        <w:t xml:space="preserve"> de las actividades del ente destinatario del encargo se lleven a cabo en el ejercicio de los cometidos que le han sido confiados por el poder adjudicador que hace el encargo y que lo controla o por otras personas jurídicas controladas del mismo modo por la entidad que hace el encargo. Y a tal efecto prevé, entre otros cri</w:t>
      </w:r>
      <w:r w:rsidR="00497BBB" w:rsidRPr="0083433F">
        <w:rPr>
          <w:snapToGrid w:val="0"/>
          <w:sz w:val="20"/>
          <w:szCs w:val="22"/>
        </w:rPr>
        <w:t>terios, que para calcular el 80%</w:t>
      </w:r>
      <w:r w:rsidRPr="0083433F">
        <w:rPr>
          <w:snapToGrid w:val="0"/>
          <w:sz w:val="20"/>
          <w:szCs w:val="22"/>
        </w:rPr>
        <w:t xml:space="preserve"> de las actividades del ente destinatario del encargo se tomarán en consideración el promedio del volumen global de negocios por los servicios prestados al poder adjudicador en relación con la totalidad de los prestados a cualquier entidad, y todo ello referido a los tres ejercicios anteriores al de formalización del encargo.</w:t>
      </w:r>
    </w:p>
    <w:p w14:paraId="7CDF947F" w14:textId="77777777" w:rsidR="00D357B3" w:rsidRPr="0083433F" w:rsidRDefault="00D357B3" w:rsidP="00064105">
      <w:pPr>
        <w:widowControl w:val="0"/>
        <w:spacing w:before="120" w:after="120" w:line="260" w:lineRule="exact"/>
        <w:jc w:val="both"/>
        <w:outlineLvl w:val="9"/>
        <w:rPr>
          <w:snapToGrid w:val="0"/>
          <w:sz w:val="20"/>
          <w:szCs w:val="22"/>
        </w:rPr>
      </w:pPr>
      <w:r w:rsidRPr="0083433F">
        <w:rPr>
          <w:snapToGrid w:val="0"/>
          <w:sz w:val="20"/>
          <w:szCs w:val="22"/>
        </w:rPr>
        <w:t>La Sociedad de acuerdo con la normativa vigente actúa en condición de ente instrumental de la Comunidad Autónoma de Canarias que controla el 100% de su capital social.</w:t>
      </w:r>
    </w:p>
    <w:p w14:paraId="2850D628" w14:textId="77777777" w:rsidR="00D357B3" w:rsidRPr="0083433F" w:rsidRDefault="00D357B3" w:rsidP="00064105">
      <w:pPr>
        <w:widowControl w:val="0"/>
        <w:spacing w:before="120" w:after="120" w:line="260" w:lineRule="exact"/>
        <w:jc w:val="both"/>
        <w:outlineLvl w:val="9"/>
        <w:rPr>
          <w:snapToGrid w:val="0"/>
          <w:sz w:val="20"/>
          <w:szCs w:val="22"/>
        </w:rPr>
      </w:pPr>
      <w:r w:rsidRPr="0083433F">
        <w:rPr>
          <w:snapToGrid w:val="0"/>
          <w:sz w:val="20"/>
          <w:szCs w:val="22"/>
        </w:rPr>
        <w:t xml:space="preserve">De acuerdo con dicho criterio de promedio el volumen de negocios se adjunta el siguiente cuadro donde se recoge el importe neto de la cifra de negocios </w:t>
      </w:r>
      <w:r w:rsidR="00A8074D" w:rsidRPr="0083433F">
        <w:rPr>
          <w:snapToGrid w:val="0"/>
          <w:sz w:val="20"/>
          <w:szCs w:val="22"/>
        </w:rPr>
        <w:t xml:space="preserve">y las subvenciones de explotación, </w:t>
      </w:r>
      <w:r w:rsidRPr="0083433F">
        <w:rPr>
          <w:snapToGrid w:val="0"/>
          <w:sz w:val="20"/>
          <w:szCs w:val="22"/>
        </w:rPr>
        <w:t>que tiene</w:t>
      </w:r>
      <w:r w:rsidR="00A8074D" w:rsidRPr="0083433F">
        <w:rPr>
          <w:snapToGrid w:val="0"/>
          <w:sz w:val="20"/>
          <w:szCs w:val="22"/>
        </w:rPr>
        <w:t>n</w:t>
      </w:r>
      <w:r w:rsidRPr="0083433F">
        <w:rPr>
          <w:snapToGrid w:val="0"/>
          <w:sz w:val="20"/>
          <w:szCs w:val="22"/>
        </w:rPr>
        <w:t xml:space="preserve"> su origen en el ejercicio de los cometidos que le han sido confiados por el poder </w:t>
      </w:r>
      <w:r w:rsidR="00382980" w:rsidRPr="0083433F">
        <w:rPr>
          <w:snapToGrid w:val="0"/>
          <w:sz w:val="20"/>
          <w:szCs w:val="22"/>
        </w:rPr>
        <w:t>adjudicador</w:t>
      </w:r>
      <w:r w:rsidR="00A8074D" w:rsidRPr="0083433F">
        <w:rPr>
          <w:snapToGrid w:val="0"/>
          <w:sz w:val="20"/>
          <w:szCs w:val="22"/>
        </w:rPr>
        <w:t xml:space="preserve"> y</w:t>
      </w:r>
      <w:r w:rsidRPr="0083433F">
        <w:rPr>
          <w:snapToGrid w:val="0"/>
          <w:sz w:val="20"/>
          <w:szCs w:val="22"/>
        </w:rPr>
        <w:t xml:space="preserve"> </w:t>
      </w:r>
      <w:r w:rsidR="00A8074D" w:rsidRPr="0083433F">
        <w:rPr>
          <w:snapToGrid w:val="0"/>
          <w:sz w:val="20"/>
          <w:szCs w:val="22"/>
        </w:rPr>
        <w:t>los ingresos accesorios</w:t>
      </w:r>
      <w:r w:rsidRPr="0083433F">
        <w:rPr>
          <w:snapToGrid w:val="0"/>
          <w:sz w:val="20"/>
          <w:szCs w:val="22"/>
        </w:rPr>
        <w:t xml:space="preserve"> que tienen su origen en el ejercicio de cometidos distinto</w:t>
      </w:r>
      <w:r w:rsidR="002D73E2" w:rsidRPr="0083433F">
        <w:rPr>
          <w:snapToGrid w:val="0"/>
          <w:sz w:val="20"/>
          <w:szCs w:val="22"/>
        </w:rPr>
        <w:t>s a los confiados por el poder</w:t>
      </w:r>
      <w:r w:rsidRPr="0083433F">
        <w:rPr>
          <w:snapToGrid w:val="0"/>
          <w:sz w:val="20"/>
          <w:szCs w:val="22"/>
        </w:rPr>
        <w:t xml:space="preserve"> adjudicado</w:t>
      </w:r>
      <w:r w:rsidR="002D73E2" w:rsidRPr="0083433F">
        <w:rPr>
          <w:snapToGrid w:val="0"/>
          <w:sz w:val="20"/>
          <w:szCs w:val="22"/>
        </w:rPr>
        <w:t>r que hace</w:t>
      </w:r>
      <w:r w:rsidRPr="0083433F">
        <w:rPr>
          <w:snapToGrid w:val="0"/>
          <w:sz w:val="20"/>
          <w:szCs w:val="22"/>
        </w:rPr>
        <w:t xml:space="preserve"> el encargo, y el correspondiente porcentaje para los tres ejercicios anteriores:</w:t>
      </w:r>
    </w:p>
    <w:tbl>
      <w:tblPr>
        <w:tblW w:w="5000" w:type="pct"/>
        <w:tblCellMar>
          <w:left w:w="70" w:type="dxa"/>
          <w:right w:w="70" w:type="dxa"/>
        </w:tblCellMar>
        <w:tblLook w:val="04A0" w:firstRow="1" w:lastRow="0" w:firstColumn="1" w:lastColumn="0" w:noHBand="0" w:noVBand="1"/>
      </w:tblPr>
      <w:tblGrid>
        <w:gridCol w:w="3489"/>
        <w:gridCol w:w="1298"/>
        <w:gridCol w:w="1300"/>
        <w:gridCol w:w="1300"/>
        <w:gridCol w:w="1394"/>
      </w:tblGrid>
      <w:tr w:rsidR="000612E0" w:rsidRPr="00954AA6" w14:paraId="4BB40FA5" w14:textId="77777777" w:rsidTr="00D41577">
        <w:trPr>
          <w:trHeight w:val="227"/>
        </w:trPr>
        <w:tc>
          <w:tcPr>
            <w:tcW w:w="1987" w:type="pct"/>
            <w:tcBorders>
              <w:top w:val="single" w:sz="4" w:space="0" w:color="auto"/>
              <w:left w:val="nil"/>
              <w:right w:val="nil"/>
            </w:tcBorders>
            <w:shd w:val="clear" w:color="auto" w:fill="auto"/>
            <w:vAlign w:val="center"/>
          </w:tcPr>
          <w:p w14:paraId="4034867C" w14:textId="77777777" w:rsidR="000612E0" w:rsidRPr="00954AA6" w:rsidRDefault="000612E0" w:rsidP="00D41577">
            <w:pPr>
              <w:pBdr>
                <w:top w:val="none" w:sz="0" w:space="0" w:color="auto"/>
                <w:left w:val="none" w:sz="0" w:space="0" w:color="auto"/>
                <w:bottom w:val="none" w:sz="0" w:space="0" w:color="auto"/>
                <w:right w:val="none" w:sz="0" w:space="0" w:color="auto"/>
                <w:between w:val="none" w:sz="0" w:space="0" w:color="auto"/>
                <w:bar w:val="none" w:sz="0" w:color="auto"/>
              </w:pBdr>
              <w:ind w:left="77"/>
              <w:jc w:val="center"/>
              <w:outlineLvl w:val="9"/>
              <w:rPr>
                <w:rFonts w:eastAsia="Times New Roman"/>
                <w:sz w:val="18"/>
                <w:szCs w:val="18"/>
                <w:bdr w:val="none" w:sz="0" w:space="0" w:color="auto"/>
                <w:lang w:eastAsia="es-ES"/>
              </w:rPr>
            </w:pPr>
          </w:p>
        </w:tc>
        <w:tc>
          <w:tcPr>
            <w:tcW w:w="3013" w:type="pct"/>
            <w:gridSpan w:val="4"/>
            <w:tcBorders>
              <w:top w:val="single" w:sz="4" w:space="0" w:color="auto"/>
              <w:left w:val="nil"/>
              <w:bottom w:val="single" w:sz="4" w:space="0" w:color="auto"/>
              <w:right w:val="nil"/>
            </w:tcBorders>
            <w:shd w:val="clear" w:color="auto" w:fill="auto"/>
            <w:vAlign w:val="center"/>
          </w:tcPr>
          <w:p w14:paraId="3A18279A" w14:textId="77777777" w:rsidR="000612E0" w:rsidRPr="00954AA6" w:rsidRDefault="000612E0" w:rsidP="00D41577">
            <w:pPr>
              <w:pBdr>
                <w:top w:val="none" w:sz="0" w:space="0" w:color="auto"/>
                <w:left w:val="none" w:sz="0" w:space="0" w:color="auto"/>
                <w:bottom w:val="none" w:sz="0" w:space="0" w:color="auto"/>
                <w:right w:val="none" w:sz="0" w:space="0" w:color="auto"/>
                <w:between w:val="none" w:sz="0" w:space="0" w:color="auto"/>
                <w:bar w:val="none" w:sz="0" w:color="auto"/>
              </w:pBdr>
              <w:jc w:val="center"/>
              <w:outlineLvl w:val="9"/>
              <w:rPr>
                <w:rFonts w:eastAsia="Times New Roman"/>
                <w:b/>
                <w:bCs/>
                <w:sz w:val="18"/>
                <w:szCs w:val="18"/>
                <w:bdr w:val="none" w:sz="0" w:space="0" w:color="auto"/>
                <w:lang w:eastAsia="es-ES"/>
              </w:rPr>
            </w:pPr>
            <w:r w:rsidRPr="00954AA6">
              <w:rPr>
                <w:rFonts w:eastAsia="Times New Roman"/>
                <w:b/>
                <w:bCs/>
                <w:sz w:val="18"/>
                <w:szCs w:val="18"/>
                <w:bdr w:val="none" w:sz="0" w:space="0" w:color="auto"/>
                <w:lang w:eastAsia="es-ES"/>
              </w:rPr>
              <w:t>Euros</w:t>
            </w:r>
          </w:p>
        </w:tc>
      </w:tr>
      <w:tr w:rsidR="00623AD4" w:rsidRPr="00954AA6" w14:paraId="49163108" w14:textId="77777777" w:rsidTr="00D41577">
        <w:trPr>
          <w:trHeight w:val="283"/>
        </w:trPr>
        <w:tc>
          <w:tcPr>
            <w:tcW w:w="1987" w:type="pct"/>
            <w:tcBorders>
              <w:left w:val="nil"/>
              <w:bottom w:val="single" w:sz="4" w:space="0" w:color="auto"/>
              <w:right w:val="nil"/>
            </w:tcBorders>
            <w:shd w:val="clear" w:color="auto" w:fill="auto"/>
            <w:vAlign w:val="center"/>
            <w:hideMark/>
          </w:tcPr>
          <w:p w14:paraId="55C8F878" w14:textId="77777777" w:rsidR="00623AD4" w:rsidRPr="00954AA6" w:rsidRDefault="00623AD4" w:rsidP="00D41577">
            <w:pPr>
              <w:pBdr>
                <w:top w:val="none" w:sz="0" w:space="0" w:color="auto"/>
                <w:left w:val="none" w:sz="0" w:space="0" w:color="auto"/>
                <w:bottom w:val="none" w:sz="0" w:space="0" w:color="auto"/>
                <w:right w:val="none" w:sz="0" w:space="0" w:color="auto"/>
                <w:between w:val="none" w:sz="0" w:space="0" w:color="auto"/>
                <w:bar w:val="none" w:sz="0" w:color="auto"/>
              </w:pBdr>
              <w:ind w:left="77"/>
              <w:jc w:val="center"/>
              <w:outlineLvl w:val="9"/>
              <w:rPr>
                <w:rFonts w:eastAsia="Times New Roman"/>
                <w:sz w:val="18"/>
                <w:szCs w:val="18"/>
                <w:bdr w:val="none" w:sz="0" w:space="0" w:color="auto"/>
                <w:lang w:eastAsia="es-ES"/>
              </w:rPr>
            </w:pPr>
          </w:p>
        </w:tc>
        <w:tc>
          <w:tcPr>
            <w:tcW w:w="739" w:type="pct"/>
            <w:tcBorders>
              <w:top w:val="single" w:sz="4" w:space="0" w:color="auto"/>
              <w:left w:val="nil"/>
              <w:bottom w:val="single" w:sz="4" w:space="0" w:color="auto"/>
              <w:right w:val="nil"/>
            </w:tcBorders>
            <w:shd w:val="clear" w:color="auto" w:fill="auto"/>
            <w:vAlign w:val="center"/>
          </w:tcPr>
          <w:p w14:paraId="19F0F108" w14:textId="5D9F06CD" w:rsidR="00623AD4" w:rsidRPr="00C56E74" w:rsidRDefault="00623AD4" w:rsidP="00D41577">
            <w:pPr>
              <w:pBdr>
                <w:top w:val="none" w:sz="0" w:space="0" w:color="auto"/>
                <w:left w:val="none" w:sz="0" w:space="0" w:color="auto"/>
                <w:bottom w:val="none" w:sz="0" w:space="0" w:color="auto"/>
                <w:right w:val="none" w:sz="0" w:space="0" w:color="auto"/>
                <w:between w:val="none" w:sz="0" w:space="0" w:color="auto"/>
                <w:bar w:val="none" w:sz="0" w:color="auto"/>
              </w:pBdr>
              <w:jc w:val="center"/>
              <w:outlineLvl w:val="9"/>
              <w:rPr>
                <w:rFonts w:eastAsia="Times New Roman"/>
                <w:b/>
                <w:bCs/>
                <w:sz w:val="18"/>
                <w:szCs w:val="18"/>
                <w:bdr w:val="none" w:sz="0" w:space="0" w:color="auto"/>
                <w:lang w:eastAsia="es-ES"/>
              </w:rPr>
            </w:pPr>
            <w:r>
              <w:rPr>
                <w:rFonts w:eastAsia="Times New Roman"/>
                <w:b/>
                <w:bCs/>
                <w:sz w:val="18"/>
                <w:szCs w:val="18"/>
                <w:bdr w:val="none" w:sz="0" w:space="0" w:color="auto"/>
                <w:lang w:eastAsia="es-ES"/>
              </w:rPr>
              <w:t>2024</w:t>
            </w:r>
          </w:p>
        </w:tc>
        <w:tc>
          <w:tcPr>
            <w:tcW w:w="740" w:type="pct"/>
            <w:tcBorders>
              <w:top w:val="single" w:sz="4" w:space="0" w:color="auto"/>
              <w:left w:val="nil"/>
              <w:bottom w:val="single" w:sz="4" w:space="0" w:color="auto"/>
              <w:right w:val="nil"/>
            </w:tcBorders>
            <w:shd w:val="clear" w:color="auto" w:fill="auto"/>
            <w:vAlign w:val="center"/>
            <w:hideMark/>
          </w:tcPr>
          <w:p w14:paraId="4B5B86CA" w14:textId="2917BCBB" w:rsidR="00623AD4" w:rsidRPr="00C56E74" w:rsidRDefault="00623AD4" w:rsidP="00D41577">
            <w:pPr>
              <w:pBdr>
                <w:top w:val="none" w:sz="0" w:space="0" w:color="auto"/>
                <w:left w:val="none" w:sz="0" w:space="0" w:color="auto"/>
                <w:bottom w:val="none" w:sz="0" w:space="0" w:color="auto"/>
                <w:right w:val="none" w:sz="0" w:space="0" w:color="auto"/>
                <w:between w:val="none" w:sz="0" w:space="0" w:color="auto"/>
                <w:bar w:val="none" w:sz="0" w:color="auto"/>
              </w:pBdr>
              <w:jc w:val="center"/>
              <w:outlineLvl w:val="9"/>
              <w:rPr>
                <w:rFonts w:eastAsia="Times New Roman"/>
                <w:b/>
                <w:bCs/>
                <w:sz w:val="18"/>
                <w:szCs w:val="18"/>
                <w:bdr w:val="none" w:sz="0" w:space="0" w:color="auto"/>
                <w:lang w:eastAsia="es-ES"/>
              </w:rPr>
            </w:pPr>
            <w:r>
              <w:rPr>
                <w:rFonts w:eastAsia="Times New Roman"/>
                <w:b/>
                <w:bCs/>
                <w:sz w:val="18"/>
                <w:szCs w:val="18"/>
                <w:bdr w:val="none" w:sz="0" w:space="0" w:color="auto"/>
                <w:lang w:eastAsia="es-ES"/>
              </w:rPr>
              <w:t>2023</w:t>
            </w:r>
          </w:p>
        </w:tc>
        <w:tc>
          <w:tcPr>
            <w:tcW w:w="740" w:type="pct"/>
            <w:tcBorders>
              <w:top w:val="single" w:sz="4" w:space="0" w:color="auto"/>
              <w:left w:val="nil"/>
              <w:bottom w:val="single" w:sz="4" w:space="0" w:color="auto"/>
              <w:right w:val="nil"/>
            </w:tcBorders>
            <w:shd w:val="clear" w:color="auto" w:fill="auto"/>
            <w:vAlign w:val="center"/>
          </w:tcPr>
          <w:p w14:paraId="114EC6C8" w14:textId="16AEC690" w:rsidR="00623AD4" w:rsidRPr="00C56E74" w:rsidRDefault="00623AD4" w:rsidP="00D41577">
            <w:pPr>
              <w:pBdr>
                <w:top w:val="none" w:sz="0" w:space="0" w:color="auto"/>
                <w:left w:val="none" w:sz="0" w:space="0" w:color="auto"/>
                <w:bottom w:val="none" w:sz="0" w:space="0" w:color="auto"/>
                <w:right w:val="none" w:sz="0" w:space="0" w:color="auto"/>
                <w:between w:val="none" w:sz="0" w:space="0" w:color="auto"/>
                <w:bar w:val="none" w:sz="0" w:color="auto"/>
              </w:pBdr>
              <w:jc w:val="center"/>
              <w:outlineLvl w:val="9"/>
              <w:rPr>
                <w:rFonts w:eastAsia="Times New Roman"/>
                <w:b/>
                <w:bCs/>
                <w:sz w:val="18"/>
                <w:szCs w:val="18"/>
                <w:bdr w:val="none" w:sz="0" w:space="0" w:color="auto"/>
                <w:lang w:eastAsia="es-ES"/>
              </w:rPr>
            </w:pPr>
            <w:r w:rsidRPr="00C56E74">
              <w:rPr>
                <w:rFonts w:eastAsia="Times New Roman"/>
                <w:b/>
                <w:bCs/>
                <w:sz w:val="18"/>
                <w:szCs w:val="18"/>
                <w:bdr w:val="none" w:sz="0" w:space="0" w:color="auto"/>
                <w:lang w:eastAsia="es-ES"/>
              </w:rPr>
              <w:t>2022</w:t>
            </w:r>
          </w:p>
        </w:tc>
        <w:tc>
          <w:tcPr>
            <w:tcW w:w="794" w:type="pct"/>
            <w:tcBorders>
              <w:top w:val="single" w:sz="4" w:space="0" w:color="auto"/>
              <w:left w:val="nil"/>
              <w:bottom w:val="single" w:sz="4" w:space="0" w:color="auto"/>
              <w:right w:val="nil"/>
            </w:tcBorders>
            <w:shd w:val="clear" w:color="auto" w:fill="auto"/>
            <w:vAlign w:val="center"/>
            <w:hideMark/>
          </w:tcPr>
          <w:p w14:paraId="162CA081" w14:textId="77777777" w:rsidR="00623AD4" w:rsidRPr="00C56E74" w:rsidRDefault="00623AD4" w:rsidP="00D41577">
            <w:pPr>
              <w:pBdr>
                <w:top w:val="none" w:sz="0" w:space="0" w:color="auto"/>
                <w:left w:val="none" w:sz="0" w:space="0" w:color="auto"/>
                <w:bottom w:val="none" w:sz="0" w:space="0" w:color="auto"/>
                <w:right w:val="none" w:sz="0" w:space="0" w:color="auto"/>
                <w:between w:val="none" w:sz="0" w:space="0" w:color="auto"/>
                <w:bar w:val="none" w:sz="0" w:color="auto"/>
              </w:pBdr>
              <w:jc w:val="center"/>
              <w:outlineLvl w:val="9"/>
              <w:rPr>
                <w:rFonts w:eastAsia="Times New Roman"/>
                <w:b/>
                <w:bCs/>
                <w:sz w:val="18"/>
                <w:szCs w:val="18"/>
                <w:bdr w:val="none" w:sz="0" w:space="0" w:color="auto"/>
                <w:lang w:eastAsia="es-ES"/>
              </w:rPr>
            </w:pPr>
            <w:r w:rsidRPr="00C56E74">
              <w:rPr>
                <w:rFonts w:eastAsia="Times New Roman"/>
                <w:b/>
                <w:bCs/>
                <w:sz w:val="18"/>
                <w:szCs w:val="18"/>
                <w:bdr w:val="none" w:sz="0" w:space="0" w:color="auto"/>
                <w:lang w:eastAsia="es-ES"/>
              </w:rPr>
              <w:t>Total</w:t>
            </w:r>
          </w:p>
        </w:tc>
      </w:tr>
      <w:tr w:rsidR="00391663" w:rsidRPr="00954AA6" w14:paraId="61AA0ADC" w14:textId="77777777" w:rsidTr="00391663">
        <w:trPr>
          <w:trHeight w:val="340"/>
        </w:trPr>
        <w:tc>
          <w:tcPr>
            <w:tcW w:w="1987" w:type="pct"/>
            <w:tcBorders>
              <w:top w:val="nil"/>
              <w:left w:val="nil"/>
              <w:bottom w:val="nil"/>
              <w:right w:val="nil"/>
            </w:tcBorders>
            <w:shd w:val="clear" w:color="auto" w:fill="auto"/>
            <w:noWrap/>
            <w:vAlign w:val="center"/>
            <w:hideMark/>
          </w:tcPr>
          <w:p w14:paraId="7363D446" w14:textId="77777777" w:rsidR="00391663" w:rsidRPr="00954AA6" w:rsidRDefault="00391663" w:rsidP="00391663">
            <w:pPr>
              <w:pBdr>
                <w:top w:val="none" w:sz="0" w:space="0" w:color="auto"/>
                <w:left w:val="none" w:sz="0" w:space="0" w:color="auto"/>
                <w:bottom w:val="none" w:sz="0" w:space="0" w:color="auto"/>
                <w:right w:val="none" w:sz="0" w:space="0" w:color="auto"/>
                <w:between w:val="none" w:sz="0" w:space="0" w:color="auto"/>
                <w:bar w:val="none" w:sz="0" w:color="auto"/>
              </w:pBdr>
              <w:ind w:left="77"/>
              <w:outlineLvl w:val="9"/>
              <w:rPr>
                <w:rFonts w:eastAsia="Times New Roman"/>
                <w:sz w:val="18"/>
                <w:szCs w:val="18"/>
                <w:bdr w:val="none" w:sz="0" w:space="0" w:color="auto"/>
                <w:lang w:eastAsia="es-ES"/>
              </w:rPr>
            </w:pPr>
            <w:r w:rsidRPr="00954AA6">
              <w:rPr>
                <w:rFonts w:eastAsia="Times New Roman"/>
                <w:sz w:val="18"/>
                <w:szCs w:val="18"/>
                <w:bdr w:val="none" w:sz="0" w:space="0" w:color="auto"/>
                <w:lang w:eastAsia="es-ES"/>
              </w:rPr>
              <w:t>Encomiendas CAC</w:t>
            </w:r>
          </w:p>
        </w:tc>
        <w:tc>
          <w:tcPr>
            <w:tcW w:w="739" w:type="pct"/>
            <w:tcBorders>
              <w:top w:val="nil"/>
              <w:left w:val="nil"/>
              <w:bottom w:val="nil"/>
              <w:right w:val="nil"/>
            </w:tcBorders>
            <w:shd w:val="clear" w:color="auto" w:fill="auto"/>
            <w:vAlign w:val="center"/>
          </w:tcPr>
          <w:p w14:paraId="57D36F80" w14:textId="500FB183" w:rsidR="00391663" w:rsidRPr="00954AA6" w:rsidRDefault="00391663" w:rsidP="00391663">
            <w:pPr>
              <w:pBdr>
                <w:top w:val="none" w:sz="0" w:space="0" w:color="auto"/>
                <w:left w:val="none" w:sz="0" w:space="0" w:color="auto"/>
                <w:bottom w:val="none" w:sz="0" w:space="0" w:color="auto"/>
                <w:right w:val="none" w:sz="0" w:space="0" w:color="auto"/>
                <w:between w:val="none" w:sz="0" w:space="0" w:color="auto"/>
                <w:bar w:val="none" w:sz="0" w:color="auto"/>
              </w:pBdr>
              <w:jc w:val="right"/>
              <w:outlineLvl w:val="9"/>
              <w:rPr>
                <w:rFonts w:eastAsia="Times New Roman"/>
                <w:sz w:val="18"/>
                <w:szCs w:val="18"/>
                <w:bdr w:val="none" w:sz="0" w:space="0" w:color="auto"/>
                <w:lang w:eastAsia="es-ES"/>
              </w:rPr>
            </w:pPr>
            <w:r>
              <w:rPr>
                <w:sz w:val="18"/>
                <w:szCs w:val="18"/>
              </w:rPr>
              <w:t>811.576,34</w:t>
            </w:r>
          </w:p>
        </w:tc>
        <w:tc>
          <w:tcPr>
            <w:tcW w:w="740" w:type="pct"/>
            <w:tcBorders>
              <w:top w:val="nil"/>
              <w:left w:val="nil"/>
              <w:bottom w:val="nil"/>
              <w:right w:val="nil"/>
            </w:tcBorders>
            <w:shd w:val="clear" w:color="auto" w:fill="auto"/>
            <w:vAlign w:val="center"/>
            <w:hideMark/>
          </w:tcPr>
          <w:p w14:paraId="656954E5" w14:textId="200EA6DB" w:rsidR="00391663" w:rsidRPr="00954AA6" w:rsidRDefault="00391663" w:rsidP="00391663">
            <w:pPr>
              <w:jc w:val="right"/>
              <w:rPr>
                <w:sz w:val="18"/>
                <w:szCs w:val="18"/>
              </w:rPr>
            </w:pPr>
            <w:r>
              <w:rPr>
                <w:rFonts w:eastAsia="Times New Roman"/>
                <w:sz w:val="18"/>
                <w:szCs w:val="18"/>
                <w:bdr w:val="none" w:sz="0" w:space="0" w:color="auto"/>
                <w:lang w:eastAsia="es-ES"/>
              </w:rPr>
              <w:t>278.650,74</w:t>
            </w:r>
          </w:p>
        </w:tc>
        <w:tc>
          <w:tcPr>
            <w:tcW w:w="740" w:type="pct"/>
            <w:tcBorders>
              <w:top w:val="nil"/>
              <w:left w:val="nil"/>
              <w:bottom w:val="nil"/>
              <w:right w:val="nil"/>
            </w:tcBorders>
            <w:shd w:val="clear" w:color="auto" w:fill="auto"/>
            <w:vAlign w:val="center"/>
          </w:tcPr>
          <w:p w14:paraId="14EAB567" w14:textId="166BC384" w:rsidR="00391663" w:rsidRPr="00954AA6" w:rsidRDefault="00391663" w:rsidP="00391663">
            <w:pPr>
              <w:jc w:val="right"/>
              <w:rPr>
                <w:sz w:val="18"/>
                <w:szCs w:val="18"/>
              </w:rPr>
            </w:pPr>
            <w:r>
              <w:rPr>
                <w:sz w:val="18"/>
                <w:szCs w:val="18"/>
              </w:rPr>
              <w:t>230.000,00</w:t>
            </w:r>
          </w:p>
        </w:tc>
        <w:tc>
          <w:tcPr>
            <w:tcW w:w="794" w:type="pct"/>
            <w:tcBorders>
              <w:top w:val="nil"/>
              <w:left w:val="nil"/>
              <w:bottom w:val="nil"/>
              <w:right w:val="nil"/>
            </w:tcBorders>
            <w:shd w:val="clear" w:color="auto" w:fill="auto"/>
            <w:vAlign w:val="center"/>
          </w:tcPr>
          <w:p w14:paraId="0B3DEC97" w14:textId="28BC6414" w:rsidR="00391663" w:rsidRPr="00954AA6" w:rsidRDefault="00391663" w:rsidP="00391663">
            <w:pPr>
              <w:jc w:val="right"/>
              <w:rPr>
                <w:sz w:val="18"/>
                <w:szCs w:val="18"/>
              </w:rPr>
            </w:pPr>
            <w:r>
              <w:rPr>
                <w:sz w:val="18"/>
                <w:szCs w:val="18"/>
              </w:rPr>
              <w:t>1.320.227,08</w:t>
            </w:r>
          </w:p>
        </w:tc>
      </w:tr>
      <w:tr w:rsidR="00391663" w:rsidRPr="00954AA6" w14:paraId="70384F29" w14:textId="77777777" w:rsidTr="00391663">
        <w:trPr>
          <w:trHeight w:val="340"/>
        </w:trPr>
        <w:tc>
          <w:tcPr>
            <w:tcW w:w="1987" w:type="pct"/>
            <w:tcBorders>
              <w:top w:val="nil"/>
              <w:left w:val="nil"/>
              <w:bottom w:val="nil"/>
              <w:right w:val="nil"/>
            </w:tcBorders>
            <w:shd w:val="clear" w:color="auto" w:fill="auto"/>
            <w:noWrap/>
            <w:vAlign w:val="center"/>
            <w:hideMark/>
          </w:tcPr>
          <w:p w14:paraId="536F87FE" w14:textId="77777777" w:rsidR="00391663" w:rsidRPr="00954AA6" w:rsidRDefault="00391663" w:rsidP="00391663">
            <w:pPr>
              <w:pBdr>
                <w:top w:val="none" w:sz="0" w:space="0" w:color="auto"/>
                <w:left w:val="none" w:sz="0" w:space="0" w:color="auto"/>
                <w:bottom w:val="none" w:sz="0" w:space="0" w:color="auto"/>
                <w:right w:val="none" w:sz="0" w:space="0" w:color="auto"/>
                <w:between w:val="none" w:sz="0" w:space="0" w:color="auto"/>
                <w:bar w:val="none" w:sz="0" w:color="auto"/>
              </w:pBdr>
              <w:ind w:left="77"/>
              <w:outlineLvl w:val="9"/>
              <w:rPr>
                <w:rFonts w:eastAsia="Times New Roman"/>
                <w:sz w:val="18"/>
                <w:szCs w:val="18"/>
                <w:bdr w:val="none" w:sz="0" w:space="0" w:color="auto"/>
                <w:lang w:eastAsia="es-ES"/>
              </w:rPr>
            </w:pPr>
            <w:r w:rsidRPr="00954AA6">
              <w:rPr>
                <w:rFonts w:eastAsia="Times New Roman"/>
                <w:sz w:val="18"/>
                <w:szCs w:val="18"/>
                <w:bdr w:val="none" w:sz="0" w:space="0" w:color="auto"/>
                <w:lang w:eastAsia="es-ES"/>
              </w:rPr>
              <w:t>Ingresos accesorios</w:t>
            </w:r>
          </w:p>
        </w:tc>
        <w:tc>
          <w:tcPr>
            <w:tcW w:w="739" w:type="pct"/>
            <w:tcBorders>
              <w:top w:val="nil"/>
              <w:left w:val="nil"/>
              <w:bottom w:val="nil"/>
              <w:right w:val="nil"/>
            </w:tcBorders>
            <w:shd w:val="clear" w:color="auto" w:fill="auto"/>
            <w:vAlign w:val="center"/>
          </w:tcPr>
          <w:p w14:paraId="78C0EE97" w14:textId="0519CAFB" w:rsidR="00391663" w:rsidRPr="00954AA6" w:rsidRDefault="00391663" w:rsidP="00391663">
            <w:pPr>
              <w:jc w:val="right"/>
              <w:rPr>
                <w:sz w:val="18"/>
                <w:szCs w:val="18"/>
              </w:rPr>
            </w:pPr>
            <w:r>
              <w:rPr>
                <w:sz w:val="18"/>
                <w:szCs w:val="18"/>
              </w:rPr>
              <w:t>385.338,16</w:t>
            </w:r>
          </w:p>
        </w:tc>
        <w:tc>
          <w:tcPr>
            <w:tcW w:w="740" w:type="pct"/>
            <w:tcBorders>
              <w:top w:val="nil"/>
              <w:left w:val="nil"/>
              <w:bottom w:val="nil"/>
              <w:right w:val="nil"/>
            </w:tcBorders>
            <w:shd w:val="clear" w:color="auto" w:fill="auto"/>
            <w:vAlign w:val="center"/>
            <w:hideMark/>
          </w:tcPr>
          <w:p w14:paraId="1C8E1676" w14:textId="7131BB70" w:rsidR="00391663" w:rsidRPr="00954AA6" w:rsidRDefault="00391663" w:rsidP="00391663">
            <w:pPr>
              <w:jc w:val="right"/>
              <w:rPr>
                <w:sz w:val="18"/>
                <w:szCs w:val="18"/>
              </w:rPr>
            </w:pPr>
            <w:r>
              <w:rPr>
                <w:sz w:val="18"/>
                <w:szCs w:val="18"/>
              </w:rPr>
              <w:t>308.839,43</w:t>
            </w:r>
          </w:p>
        </w:tc>
        <w:tc>
          <w:tcPr>
            <w:tcW w:w="740" w:type="pct"/>
            <w:tcBorders>
              <w:top w:val="nil"/>
              <w:left w:val="nil"/>
              <w:bottom w:val="nil"/>
              <w:right w:val="nil"/>
            </w:tcBorders>
            <w:shd w:val="clear" w:color="auto" w:fill="auto"/>
            <w:vAlign w:val="center"/>
          </w:tcPr>
          <w:p w14:paraId="12006D3C" w14:textId="7A531406" w:rsidR="00391663" w:rsidRPr="00954AA6" w:rsidRDefault="00391663" w:rsidP="00391663">
            <w:pPr>
              <w:jc w:val="right"/>
              <w:rPr>
                <w:sz w:val="18"/>
                <w:szCs w:val="18"/>
              </w:rPr>
            </w:pPr>
            <w:r>
              <w:rPr>
                <w:sz w:val="18"/>
                <w:szCs w:val="18"/>
              </w:rPr>
              <w:t>266.604,72</w:t>
            </w:r>
          </w:p>
        </w:tc>
        <w:tc>
          <w:tcPr>
            <w:tcW w:w="794" w:type="pct"/>
            <w:tcBorders>
              <w:top w:val="nil"/>
              <w:left w:val="nil"/>
              <w:bottom w:val="nil"/>
              <w:right w:val="nil"/>
            </w:tcBorders>
            <w:shd w:val="clear" w:color="auto" w:fill="auto"/>
            <w:vAlign w:val="center"/>
          </w:tcPr>
          <w:p w14:paraId="356B4B66" w14:textId="5E581414" w:rsidR="00391663" w:rsidRPr="00954AA6" w:rsidRDefault="00391663" w:rsidP="00391663">
            <w:pPr>
              <w:jc w:val="right"/>
              <w:rPr>
                <w:sz w:val="18"/>
                <w:szCs w:val="18"/>
              </w:rPr>
            </w:pPr>
            <w:r>
              <w:rPr>
                <w:sz w:val="18"/>
                <w:szCs w:val="18"/>
              </w:rPr>
              <w:t>960.782,31</w:t>
            </w:r>
          </w:p>
        </w:tc>
      </w:tr>
      <w:tr w:rsidR="00391663" w:rsidRPr="00954AA6" w14:paraId="169400FF" w14:textId="77777777" w:rsidTr="00391663">
        <w:trPr>
          <w:trHeight w:val="340"/>
        </w:trPr>
        <w:tc>
          <w:tcPr>
            <w:tcW w:w="1987" w:type="pct"/>
            <w:tcBorders>
              <w:top w:val="nil"/>
              <w:left w:val="nil"/>
              <w:bottom w:val="nil"/>
              <w:right w:val="nil"/>
            </w:tcBorders>
            <w:shd w:val="clear" w:color="auto" w:fill="auto"/>
            <w:noWrap/>
            <w:vAlign w:val="center"/>
            <w:hideMark/>
          </w:tcPr>
          <w:p w14:paraId="3B41C032" w14:textId="77777777" w:rsidR="00391663" w:rsidRPr="00954AA6" w:rsidRDefault="00391663" w:rsidP="00391663">
            <w:pPr>
              <w:pBdr>
                <w:top w:val="none" w:sz="0" w:space="0" w:color="auto"/>
                <w:left w:val="none" w:sz="0" w:space="0" w:color="auto"/>
                <w:bottom w:val="none" w:sz="0" w:space="0" w:color="auto"/>
                <w:right w:val="none" w:sz="0" w:space="0" w:color="auto"/>
                <w:between w:val="none" w:sz="0" w:space="0" w:color="auto"/>
                <w:bar w:val="none" w:sz="0" w:color="auto"/>
              </w:pBdr>
              <w:ind w:left="77"/>
              <w:outlineLvl w:val="9"/>
              <w:rPr>
                <w:rFonts w:eastAsia="Times New Roman"/>
                <w:sz w:val="18"/>
                <w:szCs w:val="18"/>
                <w:bdr w:val="none" w:sz="0" w:space="0" w:color="auto"/>
                <w:lang w:eastAsia="es-ES"/>
              </w:rPr>
            </w:pPr>
            <w:r w:rsidRPr="00954AA6">
              <w:rPr>
                <w:rFonts w:eastAsia="Times New Roman"/>
                <w:sz w:val="18"/>
                <w:szCs w:val="18"/>
                <w:bdr w:val="none" w:sz="0" w:space="0" w:color="auto"/>
                <w:lang w:eastAsia="es-ES"/>
              </w:rPr>
              <w:t>Subvenciones de explotación</w:t>
            </w:r>
          </w:p>
        </w:tc>
        <w:tc>
          <w:tcPr>
            <w:tcW w:w="739" w:type="pct"/>
            <w:tcBorders>
              <w:top w:val="nil"/>
              <w:left w:val="nil"/>
              <w:bottom w:val="nil"/>
              <w:right w:val="nil"/>
            </w:tcBorders>
            <w:shd w:val="clear" w:color="auto" w:fill="auto"/>
            <w:vAlign w:val="center"/>
          </w:tcPr>
          <w:p w14:paraId="64771202" w14:textId="498CB13C" w:rsidR="00391663" w:rsidRPr="00954AA6" w:rsidRDefault="00391663" w:rsidP="00391663">
            <w:pPr>
              <w:jc w:val="right"/>
              <w:rPr>
                <w:sz w:val="18"/>
                <w:szCs w:val="18"/>
              </w:rPr>
            </w:pPr>
            <w:r>
              <w:rPr>
                <w:sz w:val="18"/>
                <w:szCs w:val="18"/>
              </w:rPr>
              <w:t>48.246.316,42</w:t>
            </w:r>
          </w:p>
        </w:tc>
        <w:tc>
          <w:tcPr>
            <w:tcW w:w="740" w:type="pct"/>
            <w:tcBorders>
              <w:top w:val="nil"/>
              <w:left w:val="nil"/>
              <w:bottom w:val="nil"/>
              <w:right w:val="nil"/>
            </w:tcBorders>
            <w:shd w:val="clear" w:color="auto" w:fill="auto"/>
            <w:vAlign w:val="center"/>
            <w:hideMark/>
          </w:tcPr>
          <w:p w14:paraId="46FABA62" w14:textId="4B28707C" w:rsidR="00391663" w:rsidRPr="00954AA6" w:rsidRDefault="00391663" w:rsidP="00391663">
            <w:pPr>
              <w:jc w:val="right"/>
              <w:rPr>
                <w:sz w:val="18"/>
                <w:szCs w:val="18"/>
              </w:rPr>
            </w:pPr>
            <w:r>
              <w:rPr>
                <w:sz w:val="18"/>
                <w:szCs w:val="18"/>
              </w:rPr>
              <w:t>46.743.894,28</w:t>
            </w:r>
          </w:p>
        </w:tc>
        <w:tc>
          <w:tcPr>
            <w:tcW w:w="740" w:type="pct"/>
            <w:tcBorders>
              <w:top w:val="nil"/>
              <w:left w:val="nil"/>
              <w:bottom w:val="nil"/>
              <w:right w:val="nil"/>
            </w:tcBorders>
            <w:shd w:val="clear" w:color="auto" w:fill="auto"/>
            <w:vAlign w:val="center"/>
          </w:tcPr>
          <w:p w14:paraId="1BCD0B69" w14:textId="0E85CED2" w:rsidR="00391663" w:rsidRPr="00954AA6" w:rsidRDefault="00391663" w:rsidP="00391663">
            <w:pPr>
              <w:jc w:val="right"/>
              <w:rPr>
                <w:sz w:val="18"/>
                <w:szCs w:val="18"/>
              </w:rPr>
            </w:pPr>
            <w:r>
              <w:rPr>
                <w:sz w:val="18"/>
                <w:szCs w:val="18"/>
              </w:rPr>
              <w:t>42.998.433,48</w:t>
            </w:r>
          </w:p>
        </w:tc>
        <w:tc>
          <w:tcPr>
            <w:tcW w:w="794" w:type="pct"/>
            <w:tcBorders>
              <w:top w:val="nil"/>
              <w:left w:val="nil"/>
              <w:bottom w:val="nil"/>
              <w:right w:val="nil"/>
            </w:tcBorders>
            <w:shd w:val="clear" w:color="auto" w:fill="auto"/>
            <w:vAlign w:val="center"/>
          </w:tcPr>
          <w:p w14:paraId="243B6B66" w14:textId="740738AD" w:rsidR="00391663" w:rsidRPr="00954AA6" w:rsidRDefault="00391663" w:rsidP="00391663">
            <w:pPr>
              <w:jc w:val="right"/>
              <w:rPr>
                <w:sz w:val="18"/>
                <w:szCs w:val="18"/>
              </w:rPr>
            </w:pPr>
            <w:r>
              <w:rPr>
                <w:sz w:val="18"/>
                <w:szCs w:val="18"/>
              </w:rPr>
              <w:t>137.988.644,18</w:t>
            </w:r>
          </w:p>
        </w:tc>
      </w:tr>
      <w:tr w:rsidR="00391663" w:rsidRPr="00954AA6" w14:paraId="54D145E7" w14:textId="77777777" w:rsidTr="00391663">
        <w:trPr>
          <w:trHeight w:val="340"/>
        </w:trPr>
        <w:tc>
          <w:tcPr>
            <w:tcW w:w="1987" w:type="pct"/>
            <w:tcBorders>
              <w:top w:val="single" w:sz="4" w:space="0" w:color="auto"/>
              <w:left w:val="nil"/>
              <w:bottom w:val="nil"/>
              <w:right w:val="nil"/>
            </w:tcBorders>
            <w:shd w:val="clear" w:color="auto" w:fill="auto"/>
            <w:noWrap/>
            <w:vAlign w:val="center"/>
            <w:hideMark/>
          </w:tcPr>
          <w:p w14:paraId="46F7016A" w14:textId="77777777" w:rsidR="00391663" w:rsidRPr="00954AA6" w:rsidRDefault="00391663" w:rsidP="00391663">
            <w:pPr>
              <w:pBdr>
                <w:top w:val="none" w:sz="0" w:space="0" w:color="auto"/>
                <w:left w:val="none" w:sz="0" w:space="0" w:color="auto"/>
                <w:bottom w:val="none" w:sz="0" w:space="0" w:color="auto"/>
                <w:right w:val="none" w:sz="0" w:space="0" w:color="auto"/>
                <w:between w:val="none" w:sz="0" w:space="0" w:color="auto"/>
                <w:bar w:val="none" w:sz="0" w:color="auto"/>
              </w:pBdr>
              <w:ind w:left="77"/>
              <w:outlineLvl w:val="9"/>
              <w:rPr>
                <w:rFonts w:eastAsia="Times New Roman"/>
                <w:b/>
                <w:bCs/>
                <w:sz w:val="18"/>
                <w:szCs w:val="18"/>
                <w:bdr w:val="none" w:sz="0" w:space="0" w:color="auto"/>
                <w:lang w:eastAsia="es-ES"/>
              </w:rPr>
            </w:pPr>
            <w:r w:rsidRPr="00954AA6">
              <w:rPr>
                <w:rFonts w:eastAsia="Times New Roman"/>
                <w:b/>
                <w:bCs/>
                <w:sz w:val="18"/>
                <w:szCs w:val="18"/>
                <w:bdr w:val="none" w:sz="0" w:space="0" w:color="auto"/>
                <w:lang w:eastAsia="es-ES"/>
              </w:rPr>
              <w:t>Total Ingresos</w:t>
            </w:r>
          </w:p>
        </w:tc>
        <w:tc>
          <w:tcPr>
            <w:tcW w:w="739" w:type="pct"/>
            <w:tcBorders>
              <w:top w:val="single" w:sz="4" w:space="0" w:color="auto"/>
              <w:left w:val="nil"/>
              <w:bottom w:val="nil"/>
              <w:right w:val="nil"/>
            </w:tcBorders>
            <w:shd w:val="clear" w:color="auto" w:fill="auto"/>
            <w:vAlign w:val="center"/>
          </w:tcPr>
          <w:p w14:paraId="0CFE23FD" w14:textId="35783186" w:rsidR="00391663" w:rsidRPr="00954AA6" w:rsidRDefault="00391663" w:rsidP="00391663">
            <w:pPr>
              <w:jc w:val="right"/>
              <w:rPr>
                <w:b/>
                <w:bCs/>
                <w:sz w:val="18"/>
                <w:szCs w:val="18"/>
              </w:rPr>
            </w:pPr>
            <w:r>
              <w:rPr>
                <w:b/>
                <w:bCs/>
                <w:sz w:val="18"/>
                <w:szCs w:val="18"/>
              </w:rPr>
              <w:t>49.443.230,92</w:t>
            </w:r>
          </w:p>
        </w:tc>
        <w:tc>
          <w:tcPr>
            <w:tcW w:w="740" w:type="pct"/>
            <w:tcBorders>
              <w:top w:val="single" w:sz="4" w:space="0" w:color="auto"/>
              <w:left w:val="nil"/>
              <w:bottom w:val="nil"/>
              <w:right w:val="nil"/>
            </w:tcBorders>
            <w:shd w:val="clear" w:color="auto" w:fill="auto"/>
            <w:vAlign w:val="center"/>
            <w:hideMark/>
          </w:tcPr>
          <w:p w14:paraId="0CB76AA5" w14:textId="6A4C72EB" w:rsidR="00391663" w:rsidRPr="00954AA6" w:rsidRDefault="00391663" w:rsidP="00391663">
            <w:pPr>
              <w:jc w:val="right"/>
              <w:rPr>
                <w:b/>
                <w:bCs/>
                <w:sz w:val="18"/>
                <w:szCs w:val="18"/>
              </w:rPr>
            </w:pPr>
            <w:r>
              <w:rPr>
                <w:b/>
                <w:bCs/>
                <w:sz w:val="18"/>
                <w:szCs w:val="18"/>
              </w:rPr>
              <w:t>47.331.384,45</w:t>
            </w:r>
          </w:p>
        </w:tc>
        <w:tc>
          <w:tcPr>
            <w:tcW w:w="740" w:type="pct"/>
            <w:tcBorders>
              <w:top w:val="single" w:sz="4" w:space="0" w:color="auto"/>
              <w:left w:val="nil"/>
              <w:bottom w:val="nil"/>
              <w:right w:val="nil"/>
            </w:tcBorders>
            <w:shd w:val="clear" w:color="auto" w:fill="auto"/>
            <w:vAlign w:val="center"/>
          </w:tcPr>
          <w:p w14:paraId="7382E539" w14:textId="13462C86" w:rsidR="00391663" w:rsidRPr="00954AA6" w:rsidRDefault="00391663" w:rsidP="00391663">
            <w:pPr>
              <w:jc w:val="right"/>
              <w:rPr>
                <w:b/>
                <w:bCs/>
                <w:sz w:val="18"/>
                <w:szCs w:val="18"/>
              </w:rPr>
            </w:pPr>
            <w:r>
              <w:rPr>
                <w:b/>
                <w:bCs/>
                <w:sz w:val="18"/>
                <w:szCs w:val="18"/>
              </w:rPr>
              <w:t>43.495.038,20</w:t>
            </w:r>
          </w:p>
        </w:tc>
        <w:tc>
          <w:tcPr>
            <w:tcW w:w="794" w:type="pct"/>
            <w:tcBorders>
              <w:top w:val="single" w:sz="4" w:space="0" w:color="auto"/>
              <w:left w:val="nil"/>
              <w:bottom w:val="nil"/>
              <w:right w:val="nil"/>
            </w:tcBorders>
            <w:shd w:val="clear" w:color="auto" w:fill="auto"/>
            <w:vAlign w:val="center"/>
          </w:tcPr>
          <w:p w14:paraId="7FA0BF21" w14:textId="541636E3" w:rsidR="00391663" w:rsidRPr="00954AA6" w:rsidRDefault="00391663" w:rsidP="00391663">
            <w:pPr>
              <w:jc w:val="right"/>
              <w:rPr>
                <w:b/>
                <w:bCs/>
                <w:sz w:val="18"/>
                <w:szCs w:val="18"/>
              </w:rPr>
            </w:pPr>
            <w:r>
              <w:rPr>
                <w:b/>
                <w:bCs/>
                <w:sz w:val="18"/>
                <w:szCs w:val="18"/>
              </w:rPr>
              <w:t>140.269.653,57</w:t>
            </w:r>
          </w:p>
        </w:tc>
      </w:tr>
      <w:tr w:rsidR="00391663" w:rsidRPr="00954AA6" w14:paraId="1266EDD6" w14:textId="77777777" w:rsidTr="00391663">
        <w:trPr>
          <w:trHeight w:val="340"/>
        </w:trPr>
        <w:tc>
          <w:tcPr>
            <w:tcW w:w="1987" w:type="pct"/>
            <w:tcBorders>
              <w:top w:val="nil"/>
              <w:left w:val="nil"/>
              <w:bottom w:val="single" w:sz="4" w:space="0" w:color="auto"/>
              <w:right w:val="nil"/>
            </w:tcBorders>
            <w:shd w:val="clear" w:color="auto" w:fill="auto"/>
            <w:noWrap/>
            <w:vAlign w:val="center"/>
            <w:hideMark/>
          </w:tcPr>
          <w:p w14:paraId="7B73A4ED" w14:textId="77777777" w:rsidR="00391663" w:rsidRPr="00954AA6" w:rsidRDefault="00391663" w:rsidP="00391663">
            <w:pPr>
              <w:pBdr>
                <w:top w:val="none" w:sz="0" w:space="0" w:color="auto"/>
                <w:left w:val="none" w:sz="0" w:space="0" w:color="auto"/>
                <w:bottom w:val="none" w:sz="0" w:space="0" w:color="auto"/>
                <w:right w:val="none" w:sz="0" w:space="0" w:color="auto"/>
                <w:between w:val="none" w:sz="0" w:space="0" w:color="auto"/>
                <w:bar w:val="none" w:sz="0" w:color="auto"/>
              </w:pBdr>
              <w:ind w:left="77"/>
              <w:outlineLvl w:val="9"/>
              <w:rPr>
                <w:rFonts w:eastAsia="Times New Roman"/>
                <w:b/>
                <w:bCs/>
                <w:sz w:val="18"/>
                <w:szCs w:val="18"/>
                <w:bdr w:val="none" w:sz="0" w:space="0" w:color="auto"/>
                <w:lang w:eastAsia="es-ES"/>
              </w:rPr>
            </w:pPr>
            <w:r w:rsidRPr="00954AA6">
              <w:rPr>
                <w:rFonts w:eastAsia="Times New Roman"/>
                <w:b/>
                <w:bCs/>
                <w:sz w:val="18"/>
                <w:szCs w:val="18"/>
                <w:bdr w:val="none" w:sz="0" w:space="0" w:color="auto"/>
                <w:lang w:eastAsia="es-ES"/>
              </w:rPr>
              <w:t>% Adjudicaciones/Total Ingresos</w:t>
            </w:r>
          </w:p>
        </w:tc>
        <w:tc>
          <w:tcPr>
            <w:tcW w:w="739" w:type="pct"/>
            <w:tcBorders>
              <w:top w:val="nil"/>
              <w:left w:val="nil"/>
              <w:bottom w:val="single" w:sz="4" w:space="0" w:color="auto"/>
              <w:right w:val="nil"/>
            </w:tcBorders>
            <w:shd w:val="clear" w:color="auto" w:fill="auto"/>
            <w:vAlign w:val="center"/>
          </w:tcPr>
          <w:p w14:paraId="1E8B1B86" w14:textId="5F10BCA4" w:rsidR="00391663" w:rsidRPr="00954AA6" w:rsidRDefault="00391663" w:rsidP="00391663">
            <w:pPr>
              <w:jc w:val="right"/>
              <w:rPr>
                <w:b/>
                <w:bCs/>
                <w:sz w:val="18"/>
                <w:szCs w:val="18"/>
              </w:rPr>
            </w:pPr>
            <w:r>
              <w:rPr>
                <w:b/>
                <w:bCs/>
                <w:sz w:val="18"/>
                <w:szCs w:val="18"/>
              </w:rPr>
              <w:t>99,22%</w:t>
            </w:r>
          </w:p>
        </w:tc>
        <w:tc>
          <w:tcPr>
            <w:tcW w:w="740" w:type="pct"/>
            <w:tcBorders>
              <w:top w:val="nil"/>
              <w:left w:val="nil"/>
              <w:bottom w:val="single" w:sz="4" w:space="0" w:color="auto"/>
              <w:right w:val="nil"/>
            </w:tcBorders>
            <w:shd w:val="clear" w:color="auto" w:fill="auto"/>
            <w:vAlign w:val="center"/>
            <w:hideMark/>
          </w:tcPr>
          <w:p w14:paraId="59ABAE3B" w14:textId="1979561C" w:rsidR="00391663" w:rsidRPr="00954AA6" w:rsidRDefault="00391663" w:rsidP="00391663">
            <w:pPr>
              <w:jc w:val="center"/>
              <w:rPr>
                <w:b/>
                <w:bCs/>
                <w:sz w:val="18"/>
                <w:szCs w:val="18"/>
              </w:rPr>
            </w:pPr>
            <w:r>
              <w:rPr>
                <w:b/>
                <w:bCs/>
                <w:sz w:val="18"/>
                <w:szCs w:val="18"/>
              </w:rPr>
              <w:t>99,35%</w:t>
            </w:r>
          </w:p>
        </w:tc>
        <w:tc>
          <w:tcPr>
            <w:tcW w:w="740" w:type="pct"/>
            <w:tcBorders>
              <w:top w:val="nil"/>
              <w:left w:val="nil"/>
              <w:bottom w:val="single" w:sz="4" w:space="0" w:color="auto"/>
              <w:right w:val="nil"/>
            </w:tcBorders>
            <w:shd w:val="clear" w:color="auto" w:fill="auto"/>
            <w:vAlign w:val="center"/>
          </w:tcPr>
          <w:p w14:paraId="2A48035F" w14:textId="32A4767C" w:rsidR="00391663" w:rsidRPr="00954AA6" w:rsidRDefault="00391663" w:rsidP="00391663">
            <w:pPr>
              <w:jc w:val="center"/>
              <w:rPr>
                <w:b/>
                <w:bCs/>
                <w:sz w:val="18"/>
                <w:szCs w:val="18"/>
              </w:rPr>
            </w:pPr>
            <w:r>
              <w:rPr>
                <w:b/>
                <w:bCs/>
                <w:sz w:val="18"/>
                <w:szCs w:val="18"/>
              </w:rPr>
              <w:t>99,39%</w:t>
            </w:r>
          </w:p>
        </w:tc>
        <w:tc>
          <w:tcPr>
            <w:tcW w:w="794" w:type="pct"/>
            <w:tcBorders>
              <w:top w:val="nil"/>
              <w:left w:val="nil"/>
              <w:bottom w:val="single" w:sz="4" w:space="0" w:color="auto"/>
              <w:right w:val="nil"/>
            </w:tcBorders>
            <w:shd w:val="clear" w:color="auto" w:fill="auto"/>
            <w:vAlign w:val="center"/>
          </w:tcPr>
          <w:p w14:paraId="27B6299B" w14:textId="73448DFC" w:rsidR="00391663" w:rsidRPr="00954AA6" w:rsidRDefault="00391663" w:rsidP="00391663">
            <w:pPr>
              <w:jc w:val="center"/>
              <w:rPr>
                <w:b/>
                <w:bCs/>
                <w:sz w:val="18"/>
                <w:szCs w:val="18"/>
              </w:rPr>
            </w:pPr>
            <w:r>
              <w:rPr>
                <w:b/>
                <w:bCs/>
                <w:sz w:val="18"/>
                <w:szCs w:val="18"/>
              </w:rPr>
              <w:t>99,32%</w:t>
            </w:r>
          </w:p>
        </w:tc>
      </w:tr>
    </w:tbl>
    <w:p w14:paraId="11BEEC02" w14:textId="7C56EE59" w:rsidR="00954AA6" w:rsidRDefault="00D357B3" w:rsidP="00F62F4D">
      <w:pPr>
        <w:widowControl w:val="0"/>
        <w:spacing w:before="240" w:after="120" w:line="260" w:lineRule="exact"/>
        <w:jc w:val="both"/>
        <w:outlineLvl w:val="9"/>
        <w:rPr>
          <w:snapToGrid w:val="0"/>
          <w:sz w:val="20"/>
          <w:szCs w:val="22"/>
        </w:rPr>
      </w:pPr>
      <w:r w:rsidRPr="00391663">
        <w:rPr>
          <w:snapToGrid w:val="0"/>
          <w:sz w:val="20"/>
          <w:szCs w:val="22"/>
        </w:rPr>
        <w:t xml:space="preserve">Por lo que se puede concluir que esta </w:t>
      </w:r>
      <w:r w:rsidR="002D73E2" w:rsidRPr="00391663">
        <w:rPr>
          <w:snapToGrid w:val="0"/>
          <w:sz w:val="20"/>
          <w:szCs w:val="22"/>
        </w:rPr>
        <w:t>Sociedad</w:t>
      </w:r>
      <w:r w:rsidRPr="00391663">
        <w:rPr>
          <w:snapToGrid w:val="0"/>
          <w:sz w:val="20"/>
          <w:szCs w:val="22"/>
        </w:rPr>
        <w:t xml:space="preserve"> cumple con el requisito para que sea considerado medio propio </w:t>
      </w:r>
      <w:r w:rsidR="002D73E2" w:rsidRPr="00391663">
        <w:rPr>
          <w:snapToGrid w:val="0"/>
          <w:sz w:val="20"/>
          <w:szCs w:val="22"/>
        </w:rPr>
        <w:t>personificado</w:t>
      </w:r>
      <w:r w:rsidRPr="00391663">
        <w:rPr>
          <w:snapToGrid w:val="0"/>
          <w:sz w:val="20"/>
          <w:szCs w:val="22"/>
        </w:rPr>
        <w:t xml:space="preserve">, al considerar que </w:t>
      </w:r>
      <w:r w:rsidR="002D73E2" w:rsidRPr="00391663">
        <w:rPr>
          <w:snapToGrid w:val="0"/>
          <w:sz w:val="20"/>
          <w:szCs w:val="22"/>
        </w:rPr>
        <w:t>más</w:t>
      </w:r>
      <w:r w:rsidRPr="00391663">
        <w:rPr>
          <w:snapToGrid w:val="0"/>
          <w:sz w:val="20"/>
          <w:szCs w:val="22"/>
        </w:rPr>
        <w:t xml:space="preserve"> del 80</w:t>
      </w:r>
      <w:r w:rsidR="00497BBB" w:rsidRPr="00391663">
        <w:rPr>
          <w:snapToGrid w:val="0"/>
          <w:sz w:val="20"/>
          <w:szCs w:val="22"/>
        </w:rPr>
        <w:t>%</w:t>
      </w:r>
      <w:r w:rsidRPr="00391663">
        <w:rPr>
          <w:snapToGrid w:val="0"/>
          <w:sz w:val="20"/>
          <w:szCs w:val="22"/>
        </w:rPr>
        <w:t xml:space="preserve"> de la actividad de la misma son cometidos en el ejercicio de los encargos confiados por los poderes adjudicadores que controlan esta Sociedad, conforme a los artículos 32.2.b) y 32.4.b) de la Ley 9/2017, de 8 de noviembre de Contratos del Sector Público.</w:t>
      </w:r>
    </w:p>
    <w:p w14:paraId="2E02D29B" w14:textId="77777777" w:rsidR="00954AA6" w:rsidRDefault="00954AA6">
      <w:pPr>
        <w:pBdr>
          <w:top w:val="none" w:sz="0" w:space="0" w:color="auto"/>
          <w:left w:val="none" w:sz="0" w:space="0" w:color="auto"/>
          <w:bottom w:val="none" w:sz="0" w:space="0" w:color="auto"/>
          <w:right w:val="none" w:sz="0" w:space="0" w:color="auto"/>
          <w:between w:val="none" w:sz="0" w:space="0" w:color="auto"/>
          <w:bar w:val="none" w:sz="0" w:color="auto"/>
        </w:pBdr>
        <w:outlineLvl w:val="9"/>
        <w:rPr>
          <w:snapToGrid w:val="0"/>
          <w:sz w:val="20"/>
          <w:szCs w:val="22"/>
        </w:rPr>
      </w:pPr>
      <w:r>
        <w:rPr>
          <w:snapToGrid w:val="0"/>
          <w:sz w:val="20"/>
          <w:szCs w:val="22"/>
        </w:rPr>
        <w:br w:type="page"/>
      </w:r>
    </w:p>
    <w:p w14:paraId="7384F800" w14:textId="075154BC" w:rsidR="006220A2" w:rsidRPr="00CA5E0B" w:rsidRDefault="00052BF5" w:rsidP="00052BF5">
      <w:pPr>
        <w:widowControl w:val="0"/>
        <w:numPr>
          <w:ilvl w:val="0"/>
          <w:numId w:val="6"/>
        </w:numPr>
        <w:pBdr>
          <w:top w:val="none" w:sz="0" w:space="0" w:color="auto"/>
          <w:left w:val="none" w:sz="0" w:space="0" w:color="auto"/>
          <w:bottom w:val="none" w:sz="0" w:space="0" w:color="auto"/>
          <w:right w:val="none" w:sz="0" w:space="0" w:color="auto"/>
          <w:between w:val="none" w:sz="0" w:space="0" w:color="auto"/>
          <w:bar w:val="none" w:sz="0" w:color="auto"/>
        </w:pBdr>
        <w:spacing w:after="120" w:line="280" w:lineRule="exact"/>
        <w:ind w:left="284" w:hanging="284"/>
        <w:outlineLvl w:val="9"/>
        <w:rPr>
          <w:b/>
          <w:snapToGrid w:val="0"/>
          <w:sz w:val="22"/>
          <w:szCs w:val="22"/>
        </w:rPr>
      </w:pPr>
      <w:r>
        <w:rPr>
          <w:b/>
          <w:snapToGrid w:val="0"/>
          <w:sz w:val="22"/>
          <w:szCs w:val="22"/>
        </w:rPr>
        <w:lastRenderedPageBreak/>
        <w:t xml:space="preserve"> </w:t>
      </w:r>
      <w:bookmarkStart w:id="11" w:name="_Hlk193351011"/>
      <w:r w:rsidR="006220A2" w:rsidRPr="00CA5E0B">
        <w:rPr>
          <w:b/>
          <w:snapToGrid w:val="0"/>
          <w:sz w:val="22"/>
          <w:szCs w:val="22"/>
        </w:rPr>
        <w:t xml:space="preserve">Información sobre los aplazamientos de pagos efectuados a proveedores, Disposición adicional tercera. "Deber de información" de la Ley </w:t>
      </w:r>
      <w:r w:rsidR="00E72BC6" w:rsidRPr="00CA5E0B">
        <w:rPr>
          <w:b/>
          <w:snapToGrid w:val="0"/>
          <w:sz w:val="22"/>
          <w:szCs w:val="22"/>
        </w:rPr>
        <w:t>18/2022, de 28 de septiembre</w:t>
      </w:r>
    </w:p>
    <w:p w14:paraId="1530DE3F" w14:textId="64AE8E9B" w:rsidR="00C90FD6" w:rsidRPr="00CA5E0B" w:rsidRDefault="00C90FD6" w:rsidP="00064105">
      <w:pPr>
        <w:widowControl w:val="0"/>
        <w:spacing w:before="120" w:after="120" w:line="260" w:lineRule="exact"/>
        <w:jc w:val="both"/>
        <w:outlineLvl w:val="9"/>
        <w:rPr>
          <w:snapToGrid w:val="0"/>
          <w:sz w:val="20"/>
          <w:szCs w:val="22"/>
        </w:rPr>
      </w:pPr>
      <w:r w:rsidRPr="00CA5E0B">
        <w:rPr>
          <w:snapToGrid w:val="0"/>
          <w:sz w:val="20"/>
          <w:szCs w:val="22"/>
        </w:rPr>
        <w:t>De acuerdo con lo establecido en la disposición adicional única de la Resolución de 29 de enero de 2016, del Instituto de Contabilidad y Auditoría de Cuentas, sobre la información a incorporar en la memoria de las cuentas anuales en relación con el período medio de pago a proveedores, en operaciones comerciales, se presenta información del ejercicio 202</w:t>
      </w:r>
      <w:r w:rsidR="00201C8A" w:rsidRPr="00CA5E0B">
        <w:rPr>
          <w:snapToGrid w:val="0"/>
          <w:sz w:val="20"/>
          <w:szCs w:val="22"/>
        </w:rPr>
        <w:t>4</w:t>
      </w:r>
      <w:r w:rsidRPr="00CA5E0B">
        <w:rPr>
          <w:snapToGrid w:val="0"/>
          <w:sz w:val="20"/>
          <w:szCs w:val="22"/>
        </w:rPr>
        <w:t xml:space="preserve"> y 202</w:t>
      </w:r>
      <w:r w:rsidR="00201C8A" w:rsidRPr="00CA5E0B">
        <w:rPr>
          <w:snapToGrid w:val="0"/>
          <w:sz w:val="20"/>
          <w:szCs w:val="22"/>
        </w:rPr>
        <w:t>3</w:t>
      </w:r>
      <w:r w:rsidRPr="00CA5E0B">
        <w:rPr>
          <w:snapToGrid w:val="0"/>
          <w:sz w:val="20"/>
          <w:szCs w:val="22"/>
        </w:rPr>
        <w:t>:</w:t>
      </w:r>
    </w:p>
    <w:tbl>
      <w:tblPr>
        <w:tblW w:w="5000" w:type="pct"/>
        <w:jc w:val="center"/>
        <w:tblCellMar>
          <w:left w:w="70" w:type="dxa"/>
          <w:right w:w="70" w:type="dxa"/>
        </w:tblCellMar>
        <w:tblLook w:val="04A0" w:firstRow="1" w:lastRow="0" w:firstColumn="1" w:lastColumn="0" w:noHBand="0" w:noVBand="1"/>
      </w:tblPr>
      <w:tblGrid>
        <w:gridCol w:w="4838"/>
        <w:gridCol w:w="1941"/>
        <w:gridCol w:w="30"/>
        <w:gridCol w:w="1972"/>
      </w:tblGrid>
      <w:tr w:rsidR="00C90FD6" w:rsidRPr="00CA5E0B" w14:paraId="14DE0134" w14:textId="77777777" w:rsidTr="001A7CD1">
        <w:trPr>
          <w:trHeight w:val="283"/>
          <w:jc w:val="center"/>
        </w:trPr>
        <w:tc>
          <w:tcPr>
            <w:tcW w:w="2755" w:type="pct"/>
            <w:tcBorders>
              <w:top w:val="single" w:sz="4" w:space="0" w:color="auto"/>
              <w:left w:val="nil"/>
              <w:bottom w:val="single" w:sz="4" w:space="0" w:color="auto"/>
              <w:right w:val="nil"/>
            </w:tcBorders>
            <w:shd w:val="clear" w:color="auto" w:fill="auto"/>
            <w:noWrap/>
            <w:vAlign w:val="bottom"/>
            <w:hideMark/>
          </w:tcPr>
          <w:p w14:paraId="2725BE06" w14:textId="77777777" w:rsidR="00C90FD6" w:rsidRPr="00CA5E0B" w:rsidRDefault="00C90FD6" w:rsidP="001A7CD1">
            <w:pPr>
              <w:keepNext/>
              <w:keepLines/>
              <w:widowControl w:val="0"/>
              <w:ind w:left="215"/>
              <w:rPr>
                <w:rFonts w:eastAsia="Times New Roman"/>
                <w:sz w:val="18"/>
                <w:szCs w:val="18"/>
              </w:rPr>
            </w:pPr>
            <w:r w:rsidRPr="00CA5E0B">
              <w:rPr>
                <w:rFonts w:eastAsia="Times New Roman"/>
                <w:sz w:val="18"/>
                <w:szCs w:val="18"/>
              </w:rPr>
              <w:t> </w:t>
            </w:r>
          </w:p>
        </w:tc>
        <w:tc>
          <w:tcPr>
            <w:tcW w:w="1105" w:type="pct"/>
            <w:tcBorders>
              <w:top w:val="single" w:sz="4" w:space="0" w:color="auto"/>
              <w:left w:val="nil"/>
              <w:bottom w:val="single" w:sz="4" w:space="0" w:color="auto"/>
              <w:right w:val="nil"/>
            </w:tcBorders>
            <w:shd w:val="clear" w:color="auto" w:fill="auto"/>
            <w:noWrap/>
            <w:vAlign w:val="bottom"/>
            <w:hideMark/>
          </w:tcPr>
          <w:p w14:paraId="6DF7C0FF" w14:textId="53ECE2E0" w:rsidR="00C90FD6" w:rsidRPr="00CA5E0B" w:rsidRDefault="00C90FD6" w:rsidP="001A7CD1">
            <w:pPr>
              <w:keepNext/>
              <w:keepLines/>
              <w:widowControl w:val="0"/>
              <w:jc w:val="center"/>
              <w:rPr>
                <w:rFonts w:eastAsia="Times New Roman"/>
                <w:b/>
                <w:bCs/>
                <w:sz w:val="18"/>
                <w:szCs w:val="18"/>
              </w:rPr>
            </w:pPr>
            <w:r w:rsidRPr="00CA5E0B">
              <w:rPr>
                <w:rFonts w:eastAsia="Times New Roman"/>
                <w:b/>
                <w:bCs/>
                <w:sz w:val="18"/>
                <w:szCs w:val="18"/>
              </w:rPr>
              <w:t>202</w:t>
            </w:r>
            <w:r w:rsidR="00201C8A" w:rsidRPr="00CA5E0B">
              <w:rPr>
                <w:rFonts w:eastAsia="Times New Roman"/>
                <w:b/>
                <w:bCs/>
                <w:sz w:val="18"/>
                <w:szCs w:val="18"/>
              </w:rPr>
              <w:t>4</w:t>
            </w:r>
          </w:p>
        </w:tc>
        <w:tc>
          <w:tcPr>
            <w:tcW w:w="1140" w:type="pct"/>
            <w:gridSpan w:val="2"/>
            <w:tcBorders>
              <w:top w:val="single" w:sz="4" w:space="0" w:color="auto"/>
              <w:left w:val="nil"/>
              <w:bottom w:val="single" w:sz="4" w:space="0" w:color="auto"/>
              <w:right w:val="nil"/>
            </w:tcBorders>
            <w:shd w:val="clear" w:color="auto" w:fill="auto"/>
            <w:noWrap/>
            <w:vAlign w:val="bottom"/>
            <w:hideMark/>
          </w:tcPr>
          <w:p w14:paraId="54B3E827" w14:textId="2F63F91F" w:rsidR="00C90FD6" w:rsidRPr="00CA5E0B" w:rsidRDefault="00C90FD6" w:rsidP="001A7CD1">
            <w:pPr>
              <w:keepNext/>
              <w:keepLines/>
              <w:widowControl w:val="0"/>
              <w:jc w:val="center"/>
              <w:rPr>
                <w:rFonts w:eastAsia="Times New Roman"/>
                <w:b/>
                <w:bCs/>
                <w:sz w:val="18"/>
                <w:szCs w:val="18"/>
              </w:rPr>
            </w:pPr>
            <w:r w:rsidRPr="00CA5E0B">
              <w:rPr>
                <w:rFonts w:eastAsia="Times New Roman"/>
                <w:b/>
                <w:bCs/>
                <w:sz w:val="18"/>
                <w:szCs w:val="18"/>
              </w:rPr>
              <w:t>202</w:t>
            </w:r>
            <w:r w:rsidR="00201C8A" w:rsidRPr="00CA5E0B">
              <w:rPr>
                <w:rFonts w:eastAsia="Times New Roman"/>
                <w:b/>
                <w:bCs/>
                <w:sz w:val="18"/>
                <w:szCs w:val="18"/>
              </w:rPr>
              <w:t>3</w:t>
            </w:r>
          </w:p>
        </w:tc>
      </w:tr>
      <w:tr w:rsidR="00C90FD6" w:rsidRPr="00CA5E0B" w14:paraId="66B4FBC1" w14:textId="77777777" w:rsidTr="001A7CD1">
        <w:trPr>
          <w:trHeight w:val="283"/>
          <w:jc w:val="center"/>
        </w:trPr>
        <w:tc>
          <w:tcPr>
            <w:tcW w:w="2755" w:type="pct"/>
            <w:tcBorders>
              <w:top w:val="nil"/>
              <w:left w:val="nil"/>
              <w:bottom w:val="single" w:sz="4" w:space="0" w:color="auto"/>
              <w:right w:val="nil"/>
            </w:tcBorders>
            <w:shd w:val="clear" w:color="auto" w:fill="auto"/>
            <w:noWrap/>
            <w:vAlign w:val="center"/>
            <w:hideMark/>
          </w:tcPr>
          <w:p w14:paraId="23E0E3FC" w14:textId="77777777" w:rsidR="00C90FD6" w:rsidRPr="00CA5E0B" w:rsidRDefault="00C90FD6" w:rsidP="00C90FD6">
            <w:pPr>
              <w:keepNext/>
              <w:keepLines/>
              <w:widowControl w:val="0"/>
              <w:ind w:left="215" w:firstLineChars="200" w:firstLine="360"/>
              <w:rPr>
                <w:rFonts w:eastAsia="Times New Roman"/>
                <w:sz w:val="18"/>
                <w:szCs w:val="18"/>
              </w:rPr>
            </w:pPr>
            <w:r w:rsidRPr="00CA5E0B">
              <w:rPr>
                <w:rFonts w:eastAsia="Times New Roman"/>
                <w:sz w:val="18"/>
                <w:szCs w:val="18"/>
              </w:rPr>
              <w:t> </w:t>
            </w:r>
          </w:p>
        </w:tc>
        <w:tc>
          <w:tcPr>
            <w:tcW w:w="1122" w:type="pct"/>
            <w:gridSpan w:val="2"/>
            <w:tcBorders>
              <w:top w:val="nil"/>
              <w:left w:val="nil"/>
              <w:bottom w:val="single" w:sz="4" w:space="0" w:color="auto"/>
              <w:right w:val="nil"/>
            </w:tcBorders>
            <w:shd w:val="clear" w:color="auto" w:fill="auto"/>
            <w:noWrap/>
            <w:vAlign w:val="center"/>
            <w:hideMark/>
          </w:tcPr>
          <w:p w14:paraId="059707F4" w14:textId="77777777" w:rsidR="00C90FD6" w:rsidRPr="00CA5E0B" w:rsidRDefault="00C90FD6" w:rsidP="00C90FD6">
            <w:pPr>
              <w:keepNext/>
              <w:keepLines/>
              <w:widowControl w:val="0"/>
              <w:pBdr>
                <w:top w:val="none" w:sz="0" w:space="0" w:color="auto"/>
                <w:left w:val="none" w:sz="0" w:space="0" w:color="auto"/>
                <w:bottom w:val="none" w:sz="0" w:space="0" w:color="auto"/>
                <w:right w:val="none" w:sz="0" w:space="0" w:color="auto"/>
                <w:between w:val="none" w:sz="0" w:space="0" w:color="auto"/>
                <w:bar w:val="none" w:sz="0" w:color="auto"/>
              </w:pBdr>
              <w:ind w:right="363" w:firstLineChars="200" w:firstLine="361"/>
              <w:jc w:val="right"/>
              <w:outlineLvl w:val="9"/>
              <w:rPr>
                <w:rFonts w:eastAsia="Times New Roman"/>
                <w:b/>
                <w:bCs/>
                <w:sz w:val="18"/>
                <w:szCs w:val="18"/>
                <w:bdr w:val="none" w:sz="0" w:space="0" w:color="auto"/>
                <w:lang w:eastAsia="es-ES"/>
              </w:rPr>
            </w:pPr>
            <w:r w:rsidRPr="00CA5E0B">
              <w:rPr>
                <w:b/>
                <w:bCs/>
                <w:sz w:val="18"/>
                <w:szCs w:val="18"/>
              </w:rPr>
              <w:t>Días</w:t>
            </w:r>
          </w:p>
        </w:tc>
        <w:tc>
          <w:tcPr>
            <w:tcW w:w="1123" w:type="pct"/>
            <w:tcBorders>
              <w:top w:val="nil"/>
              <w:left w:val="nil"/>
              <w:bottom w:val="single" w:sz="4" w:space="0" w:color="auto"/>
              <w:right w:val="nil"/>
            </w:tcBorders>
            <w:shd w:val="clear" w:color="auto" w:fill="auto"/>
            <w:noWrap/>
            <w:vAlign w:val="center"/>
            <w:hideMark/>
          </w:tcPr>
          <w:p w14:paraId="0E18C11C" w14:textId="7ED8BFDF" w:rsidR="00C90FD6" w:rsidRPr="00CA5E0B" w:rsidRDefault="00C90FD6" w:rsidP="00C90FD6">
            <w:pPr>
              <w:keepNext/>
              <w:keepLines/>
              <w:widowControl w:val="0"/>
              <w:pBdr>
                <w:top w:val="none" w:sz="0" w:space="0" w:color="auto"/>
                <w:left w:val="none" w:sz="0" w:space="0" w:color="auto"/>
                <w:bottom w:val="none" w:sz="0" w:space="0" w:color="auto"/>
                <w:right w:val="none" w:sz="0" w:space="0" w:color="auto"/>
                <w:between w:val="none" w:sz="0" w:space="0" w:color="auto"/>
                <w:bar w:val="none" w:sz="0" w:color="auto"/>
              </w:pBdr>
              <w:ind w:right="363" w:firstLineChars="200" w:firstLine="361"/>
              <w:jc w:val="right"/>
              <w:outlineLvl w:val="9"/>
              <w:rPr>
                <w:rFonts w:eastAsia="Times New Roman"/>
                <w:b/>
                <w:bCs/>
                <w:sz w:val="18"/>
                <w:szCs w:val="18"/>
                <w:bdr w:val="none" w:sz="0" w:space="0" w:color="auto"/>
                <w:lang w:eastAsia="es-ES"/>
              </w:rPr>
            </w:pPr>
            <w:r w:rsidRPr="00CA5E0B">
              <w:rPr>
                <w:b/>
                <w:bCs/>
                <w:sz w:val="18"/>
                <w:szCs w:val="18"/>
              </w:rPr>
              <w:t>Días</w:t>
            </w:r>
          </w:p>
        </w:tc>
      </w:tr>
      <w:tr w:rsidR="00CA5E0B" w:rsidRPr="00CA5E0B" w14:paraId="241EDC47" w14:textId="77777777" w:rsidTr="001A7CD1">
        <w:trPr>
          <w:trHeight w:val="340"/>
          <w:jc w:val="center"/>
        </w:trPr>
        <w:tc>
          <w:tcPr>
            <w:tcW w:w="2755" w:type="pct"/>
            <w:tcBorders>
              <w:top w:val="nil"/>
              <w:left w:val="nil"/>
              <w:bottom w:val="nil"/>
              <w:right w:val="nil"/>
            </w:tcBorders>
            <w:shd w:val="clear" w:color="auto" w:fill="auto"/>
            <w:noWrap/>
            <w:vAlign w:val="center"/>
            <w:hideMark/>
          </w:tcPr>
          <w:p w14:paraId="482AF7E0" w14:textId="77777777" w:rsidR="00CA5E0B" w:rsidRPr="00CA5E0B" w:rsidRDefault="00CA5E0B" w:rsidP="00CA5E0B">
            <w:pPr>
              <w:keepNext/>
              <w:keepLines/>
              <w:widowControl w:val="0"/>
              <w:ind w:left="215"/>
              <w:rPr>
                <w:rFonts w:eastAsia="Times New Roman"/>
                <w:sz w:val="18"/>
                <w:szCs w:val="18"/>
              </w:rPr>
            </w:pPr>
            <w:r w:rsidRPr="00CA5E0B">
              <w:rPr>
                <w:rFonts w:eastAsia="Times New Roman"/>
                <w:sz w:val="18"/>
                <w:szCs w:val="18"/>
              </w:rPr>
              <w:t>Periodo medio de pago a proveedores</w:t>
            </w:r>
          </w:p>
        </w:tc>
        <w:tc>
          <w:tcPr>
            <w:tcW w:w="1122" w:type="pct"/>
            <w:gridSpan w:val="2"/>
            <w:tcBorders>
              <w:top w:val="nil"/>
              <w:left w:val="nil"/>
              <w:bottom w:val="nil"/>
              <w:right w:val="nil"/>
            </w:tcBorders>
            <w:shd w:val="clear" w:color="auto" w:fill="auto"/>
            <w:noWrap/>
            <w:vAlign w:val="center"/>
          </w:tcPr>
          <w:p w14:paraId="33742145" w14:textId="5F27E3D9" w:rsidR="00CA5E0B" w:rsidRPr="00CA5E0B" w:rsidRDefault="00CA5E0B" w:rsidP="00CA5E0B">
            <w:pPr>
              <w:keepNext/>
              <w:keepLines/>
              <w:widowControl w:val="0"/>
              <w:ind w:right="363" w:firstLineChars="200" w:firstLine="360"/>
              <w:jc w:val="right"/>
              <w:rPr>
                <w:sz w:val="18"/>
                <w:szCs w:val="18"/>
              </w:rPr>
            </w:pPr>
            <w:r w:rsidRPr="00CA5E0B">
              <w:rPr>
                <w:sz w:val="18"/>
                <w:szCs w:val="18"/>
              </w:rPr>
              <w:t>4,07</w:t>
            </w:r>
          </w:p>
        </w:tc>
        <w:tc>
          <w:tcPr>
            <w:tcW w:w="1123" w:type="pct"/>
            <w:tcBorders>
              <w:top w:val="nil"/>
              <w:left w:val="nil"/>
              <w:bottom w:val="nil"/>
              <w:right w:val="nil"/>
            </w:tcBorders>
            <w:shd w:val="clear" w:color="auto" w:fill="auto"/>
            <w:noWrap/>
            <w:vAlign w:val="center"/>
          </w:tcPr>
          <w:p w14:paraId="092D2631" w14:textId="2F83E84C" w:rsidR="00CA5E0B" w:rsidRPr="00CA5E0B" w:rsidRDefault="00CA5E0B" w:rsidP="00CA5E0B">
            <w:pPr>
              <w:keepNext/>
              <w:keepLines/>
              <w:widowControl w:val="0"/>
              <w:ind w:right="363" w:firstLineChars="200" w:firstLine="360"/>
              <w:jc w:val="right"/>
              <w:rPr>
                <w:sz w:val="18"/>
                <w:szCs w:val="18"/>
              </w:rPr>
            </w:pPr>
            <w:r w:rsidRPr="00CA5E0B">
              <w:rPr>
                <w:sz w:val="18"/>
                <w:szCs w:val="18"/>
              </w:rPr>
              <w:t>3,44</w:t>
            </w:r>
          </w:p>
        </w:tc>
      </w:tr>
      <w:tr w:rsidR="00CA5E0B" w:rsidRPr="00CA5E0B" w14:paraId="0470E96D" w14:textId="77777777" w:rsidTr="001A7CD1">
        <w:trPr>
          <w:trHeight w:val="340"/>
          <w:jc w:val="center"/>
        </w:trPr>
        <w:tc>
          <w:tcPr>
            <w:tcW w:w="2755" w:type="pct"/>
            <w:tcBorders>
              <w:top w:val="nil"/>
              <w:left w:val="nil"/>
              <w:bottom w:val="nil"/>
              <w:right w:val="nil"/>
            </w:tcBorders>
            <w:shd w:val="clear" w:color="auto" w:fill="auto"/>
            <w:noWrap/>
            <w:vAlign w:val="center"/>
            <w:hideMark/>
          </w:tcPr>
          <w:p w14:paraId="4EF5454B" w14:textId="77777777" w:rsidR="00CA5E0B" w:rsidRPr="00CA5E0B" w:rsidRDefault="00CA5E0B" w:rsidP="00CA5E0B">
            <w:pPr>
              <w:keepNext/>
              <w:keepLines/>
              <w:widowControl w:val="0"/>
              <w:ind w:left="215"/>
              <w:rPr>
                <w:rFonts w:eastAsia="Times New Roman"/>
                <w:sz w:val="18"/>
                <w:szCs w:val="18"/>
              </w:rPr>
            </w:pPr>
            <w:r w:rsidRPr="00CA5E0B">
              <w:rPr>
                <w:rFonts w:eastAsia="Times New Roman"/>
                <w:sz w:val="18"/>
                <w:szCs w:val="18"/>
              </w:rPr>
              <w:t>Ratio de operaciones pagadas</w:t>
            </w:r>
          </w:p>
        </w:tc>
        <w:tc>
          <w:tcPr>
            <w:tcW w:w="1122" w:type="pct"/>
            <w:gridSpan w:val="2"/>
            <w:tcBorders>
              <w:top w:val="nil"/>
              <w:left w:val="nil"/>
              <w:bottom w:val="nil"/>
              <w:right w:val="nil"/>
            </w:tcBorders>
            <w:shd w:val="clear" w:color="auto" w:fill="auto"/>
            <w:noWrap/>
            <w:vAlign w:val="center"/>
          </w:tcPr>
          <w:p w14:paraId="32701C3F" w14:textId="185CE482" w:rsidR="00CA5E0B" w:rsidRPr="00CA5E0B" w:rsidRDefault="00CA5E0B" w:rsidP="00CA5E0B">
            <w:pPr>
              <w:keepNext/>
              <w:keepLines/>
              <w:widowControl w:val="0"/>
              <w:ind w:right="363" w:firstLineChars="200" w:firstLine="360"/>
              <w:jc w:val="right"/>
              <w:rPr>
                <w:sz w:val="18"/>
                <w:szCs w:val="18"/>
              </w:rPr>
            </w:pPr>
            <w:r w:rsidRPr="00CA5E0B">
              <w:rPr>
                <w:sz w:val="18"/>
                <w:szCs w:val="18"/>
              </w:rPr>
              <w:t>3,46</w:t>
            </w:r>
          </w:p>
        </w:tc>
        <w:tc>
          <w:tcPr>
            <w:tcW w:w="1123" w:type="pct"/>
            <w:tcBorders>
              <w:top w:val="nil"/>
              <w:left w:val="nil"/>
              <w:bottom w:val="nil"/>
              <w:right w:val="nil"/>
            </w:tcBorders>
            <w:shd w:val="clear" w:color="auto" w:fill="auto"/>
            <w:noWrap/>
            <w:vAlign w:val="center"/>
          </w:tcPr>
          <w:p w14:paraId="11F87A1A" w14:textId="50C2CD44" w:rsidR="00CA5E0B" w:rsidRPr="00CA5E0B" w:rsidRDefault="00CA5E0B" w:rsidP="00CA5E0B">
            <w:pPr>
              <w:keepNext/>
              <w:keepLines/>
              <w:widowControl w:val="0"/>
              <w:ind w:right="363" w:firstLineChars="200" w:firstLine="360"/>
              <w:jc w:val="right"/>
              <w:rPr>
                <w:sz w:val="18"/>
                <w:szCs w:val="18"/>
              </w:rPr>
            </w:pPr>
            <w:r w:rsidRPr="00CA5E0B">
              <w:rPr>
                <w:sz w:val="18"/>
                <w:szCs w:val="18"/>
              </w:rPr>
              <w:t>2,93</w:t>
            </w:r>
          </w:p>
        </w:tc>
      </w:tr>
      <w:tr w:rsidR="00CA5E0B" w:rsidRPr="00CA5E0B" w14:paraId="1DFB19F0" w14:textId="77777777" w:rsidTr="001A7CD1">
        <w:trPr>
          <w:trHeight w:val="340"/>
          <w:jc w:val="center"/>
        </w:trPr>
        <w:tc>
          <w:tcPr>
            <w:tcW w:w="2755" w:type="pct"/>
            <w:tcBorders>
              <w:top w:val="nil"/>
              <w:left w:val="nil"/>
              <w:bottom w:val="single" w:sz="4" w:space="0" w:color="auto"/>
              <w:right w:val="nil"/>
            </w:tcBorders>
            <w:shd w:val="clear" w:color="auto" w:fill="auto"/>
            <w:noWrap/>
            <w:vAlign w:val="center"/>
            <w:hideMark/>
          </w:tcPr>
          <w:p w14:paraId="7AB7B3FD" w14:textId="77777777" w:rsidR="00CA5E0B" w:rsidRPr="00CA5E0B" w:rsidRDefault="00CA5E0B" w:rsidP="00CA5E0B">
            <w:pPr>
              <w:keepNext/>
              <w:keepLines/>
              <w:widowControl w:val="0"/>
              <w:ind w:left="215"/>
              <w:rPr>
                <w:rFonts w:eastAsia="Times New Roman"/>
                <w:sz w:val="18"/>
                <w:szCs w:val="18"/>
              </w:rPr>
            </w:pPr>
            <w:r w:rsidRPr="00CA5E0B">
              <w:rPr>
                <w:rFonts w:eastAsia="Times New Roman"/>
                <w:sz w:val="18"/>
                <w:szCs w:val="18"/>
              </w:rPr>
              <w:t>Ratio de operaciones pendientes de pago</w:t>
            </w:r>
          </w:p>
        </w:tc>
        <w:tc>
          <w:tcPr>
            <w:tcW w:w="1122" w:type="pct"/>
            <w:gridSpan w:val="2"/>
            <w:tcBorders>
              <w:top w:val="nil"/>
              <w:left w:val="nil"/>
              <w:bottom w:val="nil"/>
              <w:right w:val="nil"/>
            </w:tcBorders>
            <w:shd w:val="clear" w:color="auto" w:fill="auto"/>
            <w:noWrap/>
            <w:vAlign w:val="center"/>
          </w:tcPr>
          <w:p w14:paraId="7480F65B" w14:textId="3EB71F8D" w:rsidR="00CA5E0B" w:rsidRPr="00CA5E0B" w:rsidRDefault="00CA5E0B" w:rsidP="00CA5E0B">
            <w:pPr>
              <w:keepNext/>
              <w:keepLines/>
              <w:widowControl w:val="0"/>
              <w:ind w:right="363" w:firstLineChars="200" w:firstLine="360"/>
              <w:jc w:val="right"/>
              <w:rPr>
                <w:sz w:val="18"/>
                <w:szCs w:val="18"/>
              </w:rPr>
            </w:pPr>
            <w:r w:rsidRPr="00CA5E0B">
              <w:rPr>
                <w:sz w:val="18"/>
                <w:szCs w:val="18"/>
              </w:rPr>
              <w:t>7,01</w:t>
            </w:r>
          </w:p>
        </w:tc>
        <w:tc>
          <w:tcPr>
            <w:tcW w:w="1123" w:type="pct"/>
            <w:tcBorders>
              <w:top w:val="nil"/>
              <w:left w:val="nil"/>
              <w:bottom w:val="nil"/>
              <w:right w:val="nil"/>
            </w:tcBorders>
            <w:shd w:val="clear" w:color="auto" w:fill="auto"/>
            <w:noWrap/>
            <w:vAlign w:val="center"/>
          </w:tcPr>
          <w:p w14:paraId="1277EE3B" w14:textId="0A904573" w:rsidR="00CA5E0B" w:rsidRPr="00CA5E0B" w:rsidRDefault="00CA5E0B" w:rsidP="00CA5E0B">
            <w:pPr>
              <w:keepNext/>
              <w:keepLines/>
              <w:widowControl w:val="0"/>
              <w:ind w:right="363" w:firstLineChars="200" w:firstLine="360"/>
              <w:jc w:val="right"/>
              <w:rPr>
                <w:sz w:val="18"/>
                <w:szCs w:val="18"/>
              </w:rPr>
            </w:pPr>
            <w:r w:rsidRPr="00CA5E0B">
              <w:rPr>
                <w:sz w:val="18"/>
                <w:szCs w:val="18"/>
              </w:rPr>
              <w:t>5,71</w:t>
            </w:r>
          </w:p>
        </w:tc>
      </w:tr>
      <w:tr w:rsidR="00C90FD6" w:rsidRPr="00CA5E0B" w14:paraId="2716C92B" w14:textId="77777777" w:rsidTr="001A7CD1">
        <w:trPr>
          <w:trHeight w:val="283"/>
          <w:jc w:val="center"/>
        </w:trPr>
        <w:tc>
          <w:tcPr>
            <w:tcW w:w="2755" w:type="pct"/>
            <w:tcBorders>
              <w:top w:val="nil"/>
              <w:left w:val="nil"/>
              <w:bottom w:val="single" w:sz="4" w:space="0" w:color="auto"/>
              <w:right w:val="nil"/>
            </w:tcBorders>
            <w:shd w:val="clear" w:color="auto" w:fill="auto"/>
            <w:noWrap/>
            <w:vAlign w:val="center"/>
            <w:hideMark/>
          </w:tcPr>
          <w:p w14:paraId="451ED11F" w14:textId="77777777" w:rsidR="00C90FD6" w:rsidRPr="00CA5E0B" w:rsidRDefault="00C90FD6" w:rsidP="00C90FD6">
            <w:pPr>
              <w:keepNext/>
              <w:keepLines/>
              <w:widowControl w:val="0"/>
              <w:ind w:left="215"/>
              <w:rPr>
                <w:rFonts w:eastAsia="Times New Roman"/>
                <w:sz w:val="18"/>
                <w:szCs w:val="18"/>
              </w:rPr>
            </w:pPr>
            <w:r w:rsidRPr="00CA5E0B">
              <w:rPr>
                <w:rFonts w:eastAsia="Times New Roman"/>
                <w:sz w:val="18"/>
                <w:szCs w:val="18"/>
              </w:rPr>
              <w:t> </w:t>
            </w:r>
          </w:p>
        </w:tc>
        <w:tc>
          <w:tcPr>
            <w:tcW w:w="1122" w:type="pct"/>
            <w:gridSpan w:val="2"/>
            <w:tcBorders>
              <w:top w:val="single" w:sz="4" w:space="0" w:color="auto"/>
              <w:left w:val="nil"/>
              <w:bottom w:val="single" w:sz="4" w:space="0" w:color="auto"/>
              <w:right w:val="nil"/>
            </w:tcBorders>
            <w:shd w:val="clear" w:color="auto" w:fill="auto"/>
            <w:noWrap/>
            <w:vAlign w:val="center"/>
            <w:hideMark/>
          </w:tcPr>
          <w:p w14:paraId="4A49704C" w14:textId="77777777" w:rsidR="00C90FD6" w:rsidRPr="00CA5E0B" w:rsidRDefault="00C90FD6" w:rsidP="00C90FD6">
            <w:pPr>
              <w:keepNext/>
              <w:keepLines/>
              <w:widowControl w:val="0"/>
              <w:ind w:firstLineChars="200" w:firstLine="360"/>
              <w:rPr>
                <w:sz w:val="18"/>
                <w:szCs w:val="18"/>
              </w:rPr>
            </w:pPr>
            <w:r w:rsidRPr="00CA5E0B">
              <w:rPr>
                <w:sz w:val="18"/>
                <w:szCs w:val="18"/>
              </w:rPr>
              <w:t> </w:t>
            </w:r>
          </w:p>
        </w:tc>
        <w:tc>
          <w:tcPr>
            <w:tcW w:w="1123" w:type="pct"/>
            <w:tcBorders>
              <w:top w:val="single" w:sz="4" w:space="0" w:color="auto"/>
              <w:left w:val="nil"/>
              <w:bottom w:val="single" w:sz="4" w:space="0" w:color="auto"/>
              <w:right w:val="nil"/>
            </w:tcBorders>
            <w:shd w:val="clear" w:color="auto" w:fill="auto"/>
            <w:noWrap/>
            <w:vAlign w:val="center"/>
            <w:hideMark/>
          </w:tcPr>
          <w:p w14:paraId="7E65EBDF" w14:textId="160E37F7" w:rsidR="00C90FD6" w:rsidRPr="00CA5E0B" w:rsidRDefault="00C90FD6" w:rsidP="00C90FD6">
            <w:pPr>
              <w:keepNext/>
              <w:keepLines/>
              <w:widowControl w:val="0"/>
              <w:ind w:firstLineChars="200" w:firstLine="360"/>
              <w:rPr>
                <w:rFonts w:eastAsia="Times New Roman"/>
                <w:sz w:val="18"/>
                <w:szCs w:val="18"/>
              </w:rPr>
            </w:pPr>
            <w:r w:rsidRPr="00CA5E0B">
              <w:rPr>
                <w:sz w:val="18"/>
                <w:szCs w:val="18"/>
              </w:rPr>
              <w:t> </w:t>
            </w:r>
          </w:p>
        </w:tc>
      </w:tr>
      <w:tr w:rsidR="00C90FD6" w:rsidRPr="00CA5E0B" w14:paraId="662C0FA3" w14:textId="77777777" w:rsidTr="001A7CD1">
        <w:trPr>
          <w:trHeight w:val="283"/>
          <w:jc w:val="center"/>
        </w:trPr>
        <w:tc>
          <w:tcPr>
            <w:tcW w:w="2755" w:type="pct"/>
            <w:tcBorders>
              <w:top w:val="nil"/>
              <w:left w:val="nil"/>
              <w:bottom w:val="single" w:sz="4" w:space="0" w:color="auto"/>
              <w:right w:val="nil"/>
            </w:tcBorders>
            <w:shd w:val="clear" w:color="auto" w:fill="auto"/>
            <w:noWrap/>
            <w:vAlign w:val="center"/>
            <w:hideMark/>
          </w:tcPr>
          <w:p w14:paraId="3030338A" w14:textId="77777777" w:rsidR="00C90FD6" w:rsidRPr="00CA5E0B" w:rsidRDefault="00C90FD6" w:rsidP="00C90FD6">
            <w:pPr>
              <w:keepNext/>
              <w:keepLines/>
              <w:widowControl w:val="0"/>
              <w:ind w:left="215"/>
              <w:rPr>
                <w:rFonts w:eastAsia="Times New Roman"/>
                <w:sz w:val="18"/>
                <w:szCs w:val="18"/>
              </w:rPr>
            </w:pPr>
            <w:r w:rsidRPr="00CA5E0B">
              <w:rPr>
                <w:rFonts w:eastAsia="Times New Roman"/>
                <w:sz w:val="18"/>
                <w:szCs w:val="18"/>
              </w:rPr>
              <w:t> </w:t>
            </w:r>
          </w:p>
        </w:tc>
        <w:tc>
          <w:tcPr>
            <w:tcW w:w="1122" w:type="pct"/>
            <w:gridSpan w:val="2"/>
            <w:tcBorders>
              <w:top w:val="nil"/>
              <w:left w:val="nil"/>
              <w:bottom w:val="single" w:sz="4" w:space="0" w:color="auto"/>
              <w:right w:val="nil"/>
            </w:tcBorders>
            <w:shd w:val="clear" w:color="auto" w:fill="auto"/>
            <w:noWrap/>
            <w:vAlign w:val="center"/>
            <w:hideMark/>
          </w:tcPr>
          <w:p w14:paraId="44360275" w14:textId="77777777" w:rsidR="00C90FD6" w:rsidRPr="00CA5E0B" w:rsidRDefault="00C90FD6" w:rsidP="00C90FD6">
            <w:pPr>
              <w:keepNext/>
              <w:keepLines/>
              <w:widowControl w:val="0"/>
              <w:ind w:firstLineChars="200" w:firstLine="361"/>
              <w:jc w:val="right"/>
              <w:rPr>
                <w:b/>
                <w:bCs/>
                <w:sz w:val="18"/>
                <w:szCs w:val="18"/>
              </w:rPr>
            </w:pPr>
            <w:r w:rsidRPr="00CA5E0B">
              <w:rPr>
                <w:b/>
                <w:bCs/>
                <w:sz w:val="18"/>
                <w:szCs w:val="18"/>
              </w:rPr>
              <w:t>Importe (euros)</w:t>
            </w:r>
          </w:p>
        </w:tc>
        <w:tc>
          <w:tcPr>
            <w:tcW w:w="1123" w:type="pct"/>
            <w:tcBorders>
              <w:top w:val="nil"/>
              <w:left w:val="nil"/>
              <w:bottom w:val="single" w:sz="4" w:space="0" w:color="auto"/>
              <w:right w:val="nil"/>
            </w:tcBorders>
            <w:shd w:val="clear" w:color="auto" w:fill="auto"/>
            <w:noWrap/>
            <w:vAlign w:val="center"/>
            <w:hideMark/>
          </w:tcPr>
          <w:p w14:paraId="67092DB9" w14:textId="3869C1F6" w:rsidR="00C90FD6" w:rsidRPr="00CA5E0B" w:rsidRDefault="00C90FD6" w:rsidP="00C90FD6">
            <w:pPr>
              <w:keepNext/>
              <w:keepLines/>
              <w:widowControl w:val="0"/>
              <w:ind w:firstLineChars="200" w:firstLine="361"/>
              <w:jc w:val="right"/>
              <w:rPr>
                <w:rFonts w:eastAsia="Times New Roman"/>
                <w:b/>
                <w:bCs/>
                <w:sz w:val="18"/>
                <w:szCs w:val="18"/>
              </w:rPr>
            </w:pPr>
            <w:r w:rsidRPr="00CA5E0B">
              <w:rPr>
                <w:b/>
                <w:bCs/>
                <w:sz w:val="18"/>
                <w:szCs w:val="18"/>
              </w:rPr>
              <w:t>Importe (euros)</w:t>
            </w:r>
          </w:p>
        </w:tc>
      </w:tr>
      <w:tr w:rsidR="00CA5E0B" w:rsidRPr="00CA5E0B" w14:paraId="2A1874D8" w14:textId="77777777" w:rsidTr="001A7CD1">
        <w:trPr>
          <w:trHeight w:val="340"/>
          <w:jc w:val="center"/>
        </w:trPr>
        <w:tc>
          <w:tcPr>
            <w:tcW w:w="2755" w:type="pct"/>
            <w:tcBorders>
              <w:top w:val="nil"/>
              <w:left w:val="nil"/>
              <w:bottom w:val="nil"/>
              <w:right w:val="nil"/>
            </w:tcBorders>
            <w:shd w:val="clear" w:color="auto" w:fill="auto"/>
            <w:noWrap/>
            <w:vAlign w:val="center"/>
            <w:hideMark/>
          </w:tcPr>
          <w:p w14:paraId="4360BC9A" w14:textId="77777777" w:rsidR="00CA5E0B" w:rsidRPr="00CA5E0B" w:rsidRDefault="00CA5E0B" w:rsidP="00CA5E0B">
            <w:pPr>
              <w:keepNext/>
              <w:keepLines/>
              <w:widowControl w:val="0"/>
              <w:ind w:left="215"/>
              <w:rPr>
                <w:rFonts w:eastAsia="Times New Roman"/>
                <w:sz w:val="18"/>
                <w:szCs w:val="18"/>
              </w:rPr>
            </w:pPr>
            <w:r w:rsidRPr="00CA5E0B">
              <w:rPr>
                <w:rFonts w:eastAsia="Times New Roman"/>
                <w:sz w:val="18"/>
                <w:szCs w:val="18"/>
              </w:rPr>
              <w:t>Total pagos realizados</w:t>
            </w:r>
          </w:p>
        </w:tc>
        <w:tc>
          <w:tcPr>
            <w:tcW w:w="1122" w:type="pct"/>
            <w:gridSpan w:val="2"/>
            <w:tcBorders>
              <w:top w:val="nil"/>
              <w:left w:val="nil"/>
              <w:bottom w:val="nil"/>
              <w:right w:val="nil"/>
            </w:tcBorders>
            <w:shd w:val="clear" w:color="auto" w:fill="auto"/>
            <w:noWrap/>
            <w:vAlign w:val="center"/>
          </w:tcPr>
          <w:p w14:paraId="7130385C" w14:textId="645711AF" w:rsidR="00CA5E0B" w:rsidRPr="00CA5E0B" w:rsidRDefault="00CA5E0B" w:rsidP="00CA5E0B">
            <w:pPr>
              <w:keepNext/>
              <w:keepLines/>
              <w:widowControl w:val="0"/>
              <w:ind w:firstLineChars="200" w:firstLine="360"/>
              <w:jc w:val="right"/>
              <w:rPr>
                <w:sz w:val="18"/>
                <w:szCs w:val="18"/>
              </w:rPr>
            </w:pPr>
            <w:r w:rsidRPr="00CA5E0B">
              <w:rPr>
                <w:sz w:val="18"/>
                <w:szCs w:val="18"/>
              </w:rPr>
              <w:t>41.482.113,86</w:t>
            </w:r>
          </w:p>
        </w:tc>
        <w:tc>
          <w:tcPr>
            <w:tcW w:w="1123" w:type="pct"/>
            <w:tcBorders>
              <w:top w:val="nil"/>
              <w:left w:val="nil"/>
              <w:bottom w:val="nil"/>
              <w:right w:val="nil"/>
            </w:tcBorders>
            <w:shd w:val="clear" w:color="auto" w:fill="auto"/>
            <w:noWrap/>
            <w:vAlign w:val="center"/>
          </w:tcPr>
          <w:p w14:paraId="61EF0826" w14:textId="35747140" w:rsidR="00CA5E0B" w:rsidRPr="00CA5E0B" w:rsidRDefault="00CA5E0B" w:rsidP="00CA5E0B">
            <w:pPr>
              <w:keepNext/>
              <w:keepLines/>
              <w:widowControl w:val="0"/>
              <w:ind w:firstLineChars="200" w:firstLine="360"/>
              <w:jc w:val="right"/>
              <w:rPr>
                <w:sz w:val="18"/>
                <w:szCs w:val="18"/>
              </w:rPr>
            </w:pPr>
            <w:r w:rsidRPr="00CA5E0B">
              <w:rPr>
                <w:sz w:val="18"/>
                <w:szCs w:val="18"/>
              </w:rPr>
              <w:t>47.645.727,03</w:t>
            </w:r>
          </w:p>
        </w:tc>
      </w:tr>
      <w:tr w:rsidR="00CA5E0B" w:rsidRPr="00CA5E0B" w14:paraId="7DFF914E" w14:textId="77777777" w:rsidTr="001A7CD1">
        <w:trPr>
          <w:trHeight w:val="340"/>
          <w:jc w:val="center"/>
        </w:trPr>
        <w:tc>
          <w:tcPr>
            <w:tcW w:w="2755" w:type="pct"/>
            <w:tcBorders>
              <w:top w:val="nil"/>
              <w:left w:val="nil"/>
              <w:bottom w:val="single" w:sz="4" w:space="0" w:color="auto"/>
              <w:right w:val="nil"/>
            </w:tcBorders>
            <w:shd w:val="clear" w:color="auto" w:fill="auto"/>
            <w:noWrap/>
            <w:vAlign w:val="center"/>
            <w:hideMark/>
          </w:tcPr>
          <w:p w14:paraId="0747508C" w14:textId="77777777" w:rsidR="00CA5E0B" w:rsidRPr="00CA5E0B" w:rsidRDefault="00CA5E0B" w:rsidP="00CA5E0B">
            <w:pPr>
              <w:keepNext/>
              <w:keepLines/>
              <w:widowControl w:val="0"/>
              <w:ind w:left="215"/>
              <w:rPr>
                <w:rFonts w:eastAsia="Times New Roman"/>
                <w:sz w:val="18"/>
                <w:szCs w:val="18"/>
              </w:rPr>
            </w:pPr>
            <w:r w:rsidRPr="00CA5E0B">
              <w:rPr>
                <w:rFonts w:eastAsia="Times New Roman"/>
                <w:sz w:val="18"/>
                <w:szCs w:val="18"/>
              </w:rPr>
              <w:t>Total pagos pendientes</w:t>
            </w:r>
          </w:p>
        </w:tc>
        <w:tc>
          <w:tcPr>
            <w:tcW w:w="1122" w:type="pct"/>
            <w:gridSpan w:val="2"/>
            <w:tcBorders>
              <w:top w:val="nil"/>
              <w:left w:val="nil"/>
              <w:bottom w:val="single" w:sz="4" w:space="0" w:color="auto"/>
              <w:right w:val="nil"/>
            </w:tcBorders>
            <w:shd w:val="clear" w:color="auto" w:fill="auto"/>
            <w:noWrap/>
            <w:vAlign w:val="center"/>
          </w:tcPr>
          <w:p w14:paraId="55E9C8AD" w14:textId="7B4E5C82" w:rsidR="00CA5E0B" w:rsidRPr="00CA5E0B" w:rsidRDefault="00CA5E0B" w:rsidP="00CA5E0B">
            <w:pPr>
              <w:keepNext/>
              <w:keepLines/>
              <w:widowControl w:val="0"/>
              <w:ind w:firstLineChars="200" w:firstLine="360"/>
              <w:jc w:val="right"/>
              <w:rPr>
                <w:sz w:val="18"/>
                <w:szCs w:val="18"/>
              </w:rPr>
            </w:pPr>
            <w:r w:rsidRPr="00CA5E0B">
              <w:rPr>
                <w:sz w:val="18"/>
                <w:szCs w:val="18"/>
              </w:rPr>
              <w:t>15.358.885,68</w:t>
            </w:r>
          </w:p>
        </w:tc>
        <w:tc>
          <w:tcPr>
            <w:tcW w:w="1123" w:type="pct"/>
            <w:tcBorders>
              <w:top w:val="nil"/>
              <w:left w:val="nil"/>
              <w:bottom w:val="single" w:sz="4" w:space="0" w:color="auto"/>
              <w:right w:val="nil"/>
            </w:tcBorders>
            <w:shd w:val="clear" w:color="auto" w:fill="auto"/>
            <w:noWrap/>
            <w:vAlign w:val="center"/>
          </w:tcPr>
          <w:p w14:paraId="04C46912" w14:textId="02D1CCD2" w:rsidR="00CA5E0B" w:rsidRPr="00CA5E0B" w:rsidRDefault="00CA5E0B" w:rsidP="00CA5E0B">
            <w:pPr>
              <w:keepNext/>
              <w:keepLines/>
              <w:widowControl w:val="0"/>
              <w:ind w:firstLineChars="200" w:firstLine="360"/>
              <w:jc w:val="right"/>
              <w:rPr>
                <w:sz w:val="18"/>
                <w:szCs w:val="18"/>
              </w:rPr>
            </w:pPr>
            <w:r w:rsidRPr="00CA5E0B">
              <w:rPr>
                <w:sz w:val="18"/>
                <w:szCs w:val="18"/>
              </w:rPr>
              <w:t>6.969.866,74</w:t>
            </w:r>
          </w:p>
        </w:tc>
      </w:tr>
    </w:tbl>
    <w:p w14:paraId="788E8A87" w14:textId="77777777" w:rsidR="00C90FD6" w:rsidRPr="00CA5E0B" w:rsidRDefault="00C90FD6" w:rsidP="00F62F4D">
      <w:pPr>
        <w:widowControl w:val="0"/>
        <w:spacing w:before="240" w:after="120" w:line="260" w:lineRule="exact"/>
        <w:jc w:val="both"/>
        <w:outlineLvl w:val="9"/>
        <w:rPr>
          <w:snapToGrid w:val="0"/>
          <w:sz w:val="20"/>
          <w:szCs w:val="22"/>
        </w:rPr>
      </w:pPr>
      <w:r w:rsidRPr="00CA5E0B">
        <w:rPr>
          <w:snapToGrid w:val="0"/>
          <w:sz w:val="20"/>
          <w:szCs w:val="22"/>
        </w:rPr>
        <w:t>Según se indica en la Ley 18/2022, de 28 de septiembre, de creación y crecimiento de empresas, la cual tiene como fin la reducción de la morosidad comercial y el apoyo financiero, la Sociedad detalla a continuación el periodo medio de pago a proveedores, el volumen monetario y el número de facturas pagadas en un periodo inferior al máximo establecido en la normativa de morosidad, y el porcentaje que suponen sobre el número total de facturas y sobre el importe total monetario de los pagos a sus proveedores:</w:t>
      </w:r>
    </w:p>
    <w:tbl>
      <w:tblPr>
        <w:tblW w:w="5000" w:type="pct"/>
        <w:jc w:val="center"/>
        <w:tblLayout w:type="fixed"/>
        <w:tblCellMar>
          <w:left w:w="70" w:type="dxa"/>
          <w:right w:w="70" w:type="dxa"/>
        </w:tblCellMar>
        <w:tblLook w:val="04A0" w:firstRow="1" w:lastRow="0" w:firstColumn="1" w:lastColumn="0" w:noHBand="0" w:noVBand="1"/>
      </w:tblPr>
      <w:tblGrid>
        <w:gridCol w:w="5471"/>
        <w:gridCol w:w="1654"/>
        <w:gridCol w:w="1656"/>
      </w:tblGrid>
      <w:tr w:rsidR="007A7245" w:rsidRPr="00CA5E0B" w14:paraId="321D40A6" w14:textId="0A2F4DFB" w:rsidTr="007A7245">
        <w:trPr>
          <w:trHeight w:val="283"/>
          <w:jc w:val="center"/>
        </w:trPr>
        <w:tc>
          <w:tcPr>
            <w:tcW w:w="3115" w:type="pct"/>
            <w:tcBorders>
              <w:top w:val="single" w:sz="4" w:space="0" w:color="auto"/>
              <w:left w:val="nil"/>
              <w:bottom w:val="single" w:sz="4" w:space="0" w:color="auto"/>
              <w:right w:val="nil"/>
            </w:tcBorders>
            <w:shd w:val="clear" w:color="auto" w:fill="auto"/>
            <w:noWrap/>
            <w:vAlign w:val="bottom"/>
            <w:hideMark/>
          </w:tcPr>
          <w:p w14:paraId="41D0E5B5" w14:textId="77777777" w:rsidR="007A7245" w:rsidRPr="00CA5E0B" w:rsidRDefault="007A7245" w:rsidP="00176BA0">
            <w:pPr>
              <w:keepNext/>
              <w:keepLines/>
              <w:widowControl w:val="0"/>
              <w:ind w:left="215"/>
              <w:rPr>
                <w:rFonts w:eastAsia="Times New Roman"/>
                <w:sz w:val="18"/>
                <w:szCs w:val="18"/>
              </w:rPr>
            </w:pPr>
            <w:bookmarkStart w:id="12" w:name="_Hlk129591059"/>
            <w:r w:rsidRPr="00CA5E0B">
              <w:rPr>
                <w:rFonts w:eastAsia="Times New Roman"/>
                <w:sz w:val="18"/>
                <w:szCs w:val="18"/>
              </w:rPr>
              <w:t> </w:t>
            </w:r>
          </w:p>
        </w:tc>
        <w:tc>
          <w:tcPr>
            <w:tcW w:w="942" w:type="pct"/>
            <w:tcBorders>
              <w:top w:val="single" w:sz="4" w:space="0" w:color="auto"/>
              <w:left w:val="nil"/>
              <w:bottom w:val="single" w:sz="4" w:space="0" w:color="auto"/>
              <w:right w:val="nil"/>
            </w:tcBorders>
            <w:shd w:val="clear" w:color="auto" w:fill="auto"/>
            <w:noWrap/>
            <w:vAlign w:val="bottom"/>
            <w:hideMark/>
          </w:tcPr>
          <w:p w14:paraId="06093802" w14:textId="207C38F4" w:rsidR="007A7245" w:rsidRPr="00CA5E0B" w:rsidRDefault="007A7245" w:rsidP="00A009EA">
            <w:pPr>
              <w:keepNext/>
              <w:keepLines/>
              <w:widowControl w:val="0"/>
              <w:jc w:val="center"/>
              <w:rPr>
                <w:rFonts w:eastAsia="Times New Roman"/>
                <w:b/>
                <w:bCs/>
                <w:sz w:val="18"/>
                <w:szCs w:val="18"/>
              </w:rPr>
            </w:pPr>
            <w:r w:rsidRPr="00CA5E0B">
              <w:rPr>
                <w:rFonts w:eastAsia="Times New Roman"/>
                <w:b/>
                <w:bCs/>
                <w:sz w:val="18"/>
                <w:szCs w:val="18"/>
              </w:rPr>
              <w:t>202</w:t>
            </w:r>
            <w:r w:rsidR="00201C8A" w:rsidRPr="00CA5E0B">
              <w:rPr>
                <w:rFonts w:eastAsia="Times New Roman"/>
                <w:b/>
                <w:bCs/>
                <w:sz w:val="18"/>
                <w:szCs w:val="18"/>
              </w:rPr>
              <w:t>4</w:t>
            </w:r>
          </w:p>
        </w:tc>
        <w:tc>
          <w:tcPr>
            <w:tcW w:w="943" w:type="pct"/>
            <w:tcBorders>
              <w:top w:val="single" w:sz="4" w:space="0" w:color="auto"/>
              <w:left w:val="nil"/>
              <w:bottom w:val="single" w:sz="4" w:space="0" w:color="auto"/>
              <w:right w:val="nil"/>
            </w:tcBorders>
            <w:vAlign w:val="bottom"/>
          </w:tcPr>
          <w:p w14:paraId="53CF41DE" w14:textId="4F670919" w:rsidR="007A7245" w:rsidRPr="00CA5E0B" w:rsidRDefault="007A7245" w:rsidP="007A7245">
            <w:pPr>
              <w:keepNext/>
              <w:keepLines/>
              <w:widowControl w:val="0"/>
              <w:jc w:val="center"/>
              <w:rPr>
                <w:rFonts w:eastAsia="Times New Roman"/>
                <w:b/>
                <w:bCs/>
                <w:sz w:val="18"/>
                <w:szCs w:val="18"/>
              </w:rPr>
            </w:pPr>
            <w:r w:rsidRPr="00CA5E0B">
              <w:rPr>
                <w:rFonts w:eastAsia="Times New Roman"/>
                <w:b/>
                <w:bCs/>
                <w:sz w:val="18"/>
                <w:szCs w:val="18"/>
              </w:rPr>
              <w:t>202</w:t>
            </w:r>
            <w:r w:rsidR="00201C8A" w:rsidRPr="00CA5E0B">
              <w:rPr>
                <w:rFonts w:eastAsia="Times New Roman"/>
                <w:b/>
                <w:bCs/>
                <w:sz w:val="18"/>
                <w:szCs w:val="18"/>
              </w:rPr>
              <w:t>3</w:t>
            </w:r>
          </w:p>
        </w:tc>
      </w:tr>
      <w:tr w:rsidR="007A7245" w:rsidRPr="00CA5E0B" w14:paraId="59B1887F" w14:textId="511EB784" w:rsidTr="007A7245">
        <w:trPr>
          <w:trHeight w:val="283"/>
          <w:jc w:val="center"/>
        </w:trPr>
        <w:tc>
          <w:tcPr>
            <w:tcW w:w="3115" w:type="pct"/>
            <w:tcBorders>
              <w:top w:val="nil"/>
              <w:left w:val="nil"/>
              <w:bottom w:val="single" w:sz="4" w:space="0" w:color="auto"/>
              <w:right w:val="nil"/>
            </w:tcBorders>
            <w:shd w:val="clear" w:color="auto" w:fill="auto"/>
            <w:noWrap/>
            <w:vAlign w:val="center"/>
            <w:hideMark/>
          </w:tcPr>
          <w:p w14:paraId="5211775E" w14:textId="7F32FE5B" w:rsidR="007A7245" w:rsidRPr="00CA5E0B" w:rsidRDefault="007A7245" w:rsidP="009C718D">
            <w:pPr>
              <w:keepNext/>
              <w:keepLines/>
              <w:widowControl w:val="0"/>
              <w:ind w:left="215"/>
              <w:rPr>
                <w:rFonts w:eastAsia="Times New Roman"/>
                <w:sz w:val="18"/>
                <w:szCs w:val="18"/>
              </w:rPr>
            </w:pPr>
            <w:r w:rsidRPr="00CA5E0B">
              <w:rPr>
                <w:rFonts w:eastAsia="Times New Roman"/>
                <w:sz w:val="18"/>
                <w:szCs w:val="18"/>
              </w:rPr>
              <w:t> </w:t>
            </w:r>
          </w:p>
        </w:tc>
        <w:tc>
          <w:tcPr>
            <w:tcW w:w="942" w:type="pct"/>
            <w:tcBorders>
              <w:top w:val="nil"/>
              <w:left w:val="nil"/>
              <w:bottom w:val="single" w:sz="4" w:space="0" w:color="auto"/>
              <w:right w:val="nil"/>
            </w:tcBorders>
            <w:shd w:val="clear" w:color="auto" w:fill="auto"/>
            <w:noWrap/>
            <w:vAlign w:val="center"/>
            <w:hideMark/>
          </w:tcPr>
          <w:p w14:paraId="031D3CD3" w14:textId="6E298539" w:rsidR="007A7245" w:rsidRPr="00CA5E0B" w:rsidRDefault="007A7245" w:rsidP="007A7245">
            <w:pPr>
              <w:keepNext/>
              <w:keepLines/>
              <w:widowControl w:val="0"/>
              <w:jc w:val="right"/>
              <w:rPr>
                <w:b/>
                <w:bCs/>
                <w:sz w:val="18"/>
                <w:szCs w:val="18"/>
              </w:rPr>
            </w:pPr>
            <w:r w:rsidRPr="00CA5E0B">
              <w:rPr>
                <w:b/>
                <w:bCs/>
                <w:sz w:val="18"/>
                <w:szCs w:val="18"/>
              </w:rPr>
              <w:t>Importe (euros)</w:t>
            </w:r>
          </w:p>
        </w:tc>
        <w:tc>
          <w:tcPr>
            <w:tcW w:w="943" w:type="pct"/>
            <w:tcBorders>
              <w:top w:val="nil"/>
              <w:left w:val="nil"/>
              <w:bottom w:val="single" w:sz="4" w:space="0" w:color="auto"/>
              <w:right w:val="nil"/>
            </w:tcBorders>
            <w:vAlign w:val="center"/>
          </w:tcPr>
          <w:p w14:paraId="227322F0" w14:textId="2AE5731C" w:rsidR="007A7245" w:rsidRPr="00CA5E0B" w:rsidRDefault="007A7245" w:rsidP="007A7245">
            <w:pPr>
              <w:keepNext/>
              <w:keepLines/>
              <w:widowControl w:val="0"/>
              <w:ind w:firstLineChars="20" w:firstLine="36"/>
              <w:jc w:val="center"/>
              <w:rPr>
                <w:b/>
                <w:bCs/>
                <w:sz w:val="18"/>
                <w:szCs w:val="18"/>
              </w:rPr>
            </w:pPr>
            <w:r w:rsidRPr="00CA5E0B">
              <w:rPr>
                <w:b/>
                <w:bCs/>
                <w:sz w:val="18"/>
                <w:szCs w:val="18"/>
              </w:rPr>
              <w:t>Importe (euros)</w:t>
            </w:r>
          </w:p>
        </w:tc>
      </w:tr>
      <w:tr w:rsidR="00CA5E0B" w:rsidRPr="00CA5E0B" w14:paraId="7FD99DF6" w14:textId="36101ED0" w:rsidTr="007A7245">
        <w:trPr>
          <w:trHeight w:val="340"/>
          <w:jc w:val="center"/>
        </w:trPr>
        <w:tc>
          <w:tcPr>
            <w:tcW w:w="3115" w:type="pct"/>
            <w:tcBorders>
              <w:top w:val="nil"/>
              <w:left w:val="nil"/>
              <w:bottom w:val="nil"/>
              <w:right w:val="nil"/>
            </w:tcBorders>
            <w:shd w:val="clear" w:color="auto" w:fill="auto"/>
            <w:noWrap/>
            <w:vAlign w:val="center"/>
            <w:hideMark/>
          </w:tcPr>
          <w:p w14:paraId="0ACE61CE" w14:textId="7BCF92BA" w:rsidR="00CA5E0B" w:rsidRPr="00CA5E0B" w:rsidRDefault="00CA5E0B" w:rsidP="00CA5E0B">
            <w:pPr>
              <w:keepNext/>
              <w:keepLines/>
              <w:widowControl w:val="0"/>
              <w:ind w:left="215"/>
              <w:rPr>
                <w:rFonts w:eastAsia="Times New Roman"/>
                <w:sz w:val="18"/>
                <w:szCs w:val="18"/>
              </w:rPr>
            </w:pPr>
            <w:r w:rsidRPr="00CA5E0B">
              <w:rPr>
                <w:rFonts w:eastAsia="Times New Roman"/>
                <w:sz w:val="18"/>
                <w:szCs w:val="18"/>
              </w:rPr>
              <w:t>Número de facturas en el límite legal</w:t>
            </w:r>
          </w:p>
        </w:tc>
        <w:tc>
          <w:tcPr>
            <w:tcW w:w="942" w:type="pct"/>
            <w:tcBorders>
              <w:top w:val="nil"/>
              <w:left w:val="nil"/>
              <w:bottom w:val="nil"/>
              <w:right w:val="nil"/>
            </w:tcBorders>
            <w:shd w:val="clear" w:color="auto" w:fill="auto"/>
            <w:noWrap/>
            <w:vAlign w:val="center"/>
          </w:tcPr>
          <w:p w14:paraId="2A8AE45E" w14:textId="3C3B4B5B" w:rsidR="00CA5E0B" w:rsidRPr="00E43D87" w:rsidRDefault="00CA5E0B" w:rsidP="00CA5E0B">
            <w:pPr>
              <w:keepNext/>
              <w:keepLines/>
              <w:widowControl w:val="0"/>
              <w:ind w:firstLineChars="200" w:firstLine="360"/>
              <w:jc w:val="right"/>
              <w:rPr>
                <w:color w:val="auto"/>
                <w:sz w:val="18"/>
                <w:szCs w:val="18"/>
              </w:rPr>
            </w:pPr>
            <w:r w:rsidRPr="00E43D87">
              <w:rPr>
                <w:color w:val="auto"/>
                <w:sz w:val="18"/>
                <w:szCs w:val="18"/>
              </w:rPr>
              <w:t>2.042</w:t>
            </w:r>
          </w:p>
        </w:tc>
        <w:tc>
          <w:tcPr>
            <w:tcW w:w="943" w:type="pct"/>
            <w:tcBorders>
              <w:top w:val="nil"/>
              <w:left w:val="nil"/>
              <w:bottom w:val="nil"/>
              <w:right w:val="nil"/>
            </w:tcBorders>
            <w:vAlign w:val="center"/>
          </w:tcPr>
          <w:p w14:paraId="237AF24C" w14:textId="40C71510" w:rsidR="00CA5E0B" w:rsidRPr="00E43D87" w:rsidRDefault="00CA5E0B" w:rsidP="00CA5E0B">
            <w:pPr>
              <w:keepNext/>
              <w:keepLines/>
              <w:widowControl w:val="0"/>
              <w:ind w:firstLineChars="200" w:firstLine="360"/>
              <w:jc w:val="right"/>
              <w:rPr>
                <w:color w:val="auto"/>
                <w:sz w:val="18"/>
                <w:szCs w:val="18"/>
              </w:rPr>
            </w:pPr>
            <w:r w:rsidRPr="00E43D87">
              <w:rPr>
                <w:color w:val="auto"/>
                <w:sz w:val="18"/>
                <w:szCs w:val="18"/>
              </w:rPr>
              <w:t>2.336</w:t>
            </w:r>
          </w:p>
        </w:tc>
      </w:tr>
      <w:tr w:rsidR="00CA5E0B" w:rsidRPr="00CA5E0B" w14:paraId="03183355" w14:textId="3EAE1431" w:rsidTr="007A7245">
        <w:trPr>
          <w:trHeight w:val="340"/>
          <w:jc w:val="center"/>
        </w:trPr>
        <w:tc>
          <w:tcPr>
            <w:tcW w:w="3115" w:type="pct"/>
            <w:tcBorders>
              <w:top w:val="nil"/>
              <w:left w:val="nil"/>
              <w:right w:val="nil"/>
            </w:tcBorders>
            <w:shd w:val="clear" w:color="auto" w:fill="auto"/>
            <w:noWrap/>
            <w:vAlign w:val="center"/>
          </w:tcPr>
          <w:p w14:paraId="31B495FC" w14:textId="58CBC2CC" w:rsidR="00CA5E0B" w:rsidRPr="00CA5E0B" w:rsidRDefault="00CA5E0B" w:rsidP="00CA5E0B">
            <w:pPr>
              <w:keepNext/>
              <w:keepLines/>
              <w:widowControl w:val="0"/>
              <w:ind w:left="215"/>
              <w:rPr>
                <w:rFonts w:eastAsia="Times New Roman"/>
                <w:sz w:val="18"/>
                <w:szCs w:val="18"/>
              </w:rPr>
            </w:pPr>
            <w:r w:rsidRPr="00CA5E0B">
              <w:rPr>
                <w:rFonts w:eastAsia="Times New Roman"/>
                <w:sz w:val="18"/>
                <w:szCs w:val="18"/>
              </w:rPr>
              <w:t>Porcentaje sobre el total de facturas pagadas</w:t>
            </w:r>
          </w:p>
        </w:tc>
        <w:tc>
          <w:tcPr>
            <w:tcW w:w="942" w:type="pct"/>
            <w:tcBorders>
              <w:top w:val="nil"/>
              <w:left w:val="nil"/>
              <w:right w:val="nil"/>
            </w:tcBorders>
            <w:shd w:val="clear" w:color="auto" w:fill="auto"/>
            <w:noWrap/>
            <w:vAlign w:val="center"/>
          </w:tcPr>
          <w:p w14:paraId="77EABB16" w14:textId="49C6AF89" w:rsidR="00CA5E0B" w:rsidRPr="00E43D87" w:rsidRDefault="00CA5E0B" w:rsidP="00CA5E0B">
            <w:pPr>
              <w:keepNext/>
              <w:keepLines/>
              <w:widowControl w:val="0"/>
              <w:ind w:firstLineChars="200" w:firstLine="360"/>
              <w:jc w:val="right"/>
              <w:rPr>
                <w:color w:val="auto"/>
                <w:sz w:val="18"/>
                <w:szCs w:val="18"/>
              </w:rPr>
            </w:pPr>
            <w:r w:rsidRPr="00E43D87">
              <w:rPr>
                <w:color w:val="auto"/>
                <w:sz w:val="18"/>
                <w:szCs w:val="18"/>
              </w:rPr>
              <w:t>100%</w:t>
            </w:r>
          </w:p>
        </w:tc>
        <w:tc>
          <w:tcPr>
            <w:tcW w:w="943" w:type="pct"/>
            <w:tcBorders>
              <w:top w:val="nil"/>
              <w:left w:val="nil"/>
              <w:right w:val="nil"/>
            </w:tcBorders>
            <w:vAlign w:val="center"/>
          </w:tcPr>
          <w:p w14:paraId="374979B0" w14:textId="31E63A5B" w:rsidR="00CA5E0B" w:rsidRPr="00E43D87" w:rsidRDefault="00CA5E0B" w:rsidP="00CA5E0B">
            <w:pPr>
              <w:keepNext/>
              <w:keepLines/>
              <w:widowControl w:val="0"/>
              <w:ind w:firstLineChars="200" w:firstLine="360"/>
              <w:jc w:val="right"/>
              <w:rPr>
                <w:color w:val="auto"/>
                <w:sz w:val="18"/>
                <w:szCs w:val="18"/>
                <w:lang w:val="es-ES_tradnl"/>
              </w:rPr>
            </w:pPr>
            <w:r w:rsidRPr="00E43D87">
              <w:rPr>
                <w:color w:val="auto"/>
                <w:sz w:val="18"/>
                <w:szCs w:val="18"/>
                <w:lang w:val="es-ES_tradnl"/>
              </w:rPr>
              <w:t>100%</w:t>
            </w:r>
          </w:p>
        </w:tc>
      </w:tr>
      <w:tr w:rsidR="00CA5E0B" w:rsidRPr="00CA5E0B" w14:paraId="186F9C5B" w14:textId="18CE1F45" w:rsidTr="007A7245">
        <w:trPr>
          <w:trHeight w:val="340"/>
          <w:jc w:val="center"/>
        </w:trPr>
        <w:tc>
          <w:tcPr>
            <w:tcW w:w="3115" w:type="pct"/>
            <w:tcBorders>
              <w:top w:val="nil"/>
              <w:left w:val="nil"/>
              <w:bottom w:val="single" w:sz="4" w:space="0" w:color="auto"/>
              <w:right w:val="nil"/>
            </w:tcBorders>
            <w:shd w:val="clear" w:color="auto" w:fill="auto"/>
            <w:noWrap/>
            <w:vAlign w:val="center"/>
            <w:hideMark/>
          </w:tcPr>
          <w:p w14:paraId="5A8DD124" w14:textId="38708258" w:rsidR="00CA5E0B" w:rsidRPr="00CA5E0B" w:rsidRDefault="00CA5E0B" w:rsidP="00CA5E0B">
            <w:pPr>
              <w:keepNext/>
              <w:keepLines/>
              <w:widowControl w:val="0"/>
              <w:ind w:left="215"/>
              <w:rPr>
                <w:rFonts w:eastAsia="Times New Roman"/>
                <w:sz w:val="18"/>
                <w:szCs w:val="18"/>
              </w:rPr>
            </w:pPr>
            <w:r w:rsidRPr="00CA5E0B">
              <w:rPr>
                <w:rFonts w:eastAsia="Times New Roman"/>
                <w:sz w:val="18"/>
                <w:szCs w:val="18"/>
              </w:rPr>
              <w:t>Total número de facturas</w:t>
            </w:r>
          </w:p>
        </w:tc>
        <w:tc>
          <w:tcPr>
            <w:tcW w:w="942" w:type="pct"/>
            <w:tcBorders>
              <w:top w:val="nil"/>
              <w:left w:val="nil"/>
              <w:bottom w:val="single" w:sz="4" w:space="0" w:color="auto"/>
              <w:right w:val="nil"/>
            </w:tcBorders>
            <w:shd w:val="clear" w:color="auto" w:fill="auto"/>
            <w:noWrap/>
            <w:vAlign w:val="center"/>
          </w:tcPr>
          <w:p w14:paraId="0D9D25C7" w14:textId="6648ED90" w:rsidR="00CA5E0B" w:rsidRPr="00E43D87" w:rsidRDefault="00CA5E0B" w:rsidP="00CA5E0B">
            <w:pPr>
              <w:keepNext/>
              <w:keepLines/>
              <w:widowControl w:val="0"/>
              <w:ind w:firstLineChars="200" w:firstLine="360"/>
              <w:jc w:val="right"/>
              <w:rPr>
                <w:color w:val="auto"/>
                <w:sz w:val="18"/>
                <w:szCs w:val="18"/>
              </w:rPr>
            </w:pPr>
            <w:r w:rsidRPr="00E43D87">
              <w:rPr>
                <w:color w:val="auto"/>
                <w:sz w:val="18"/>
                <w:szCs w:val="18"/>
              </w:rPr>
              <w:t>2.042</w:t>
            </w:r>
          </w:p>
        </w:tc>
        <w:tc>
          <w:tcPr>
            <w:tcW w:w="943" w:type="pct"/>
            <w:tcBorders>
              <w:top w:val="nil"/>
              <w:left w:val="nil"/>
              <w:bottom w:val="single" w:sz="4" w:space="0" w:color="auto"/>
              <w:right w:val="nil"/>
            </w:tcBorders>
            <w:vAlign w:val="center"/>
          </w:tcPr>
          <w:p w14:paraId="369254BC" w14:textId="4A6DB189" w:rsidR="00CA5E0B" w:rsidRPr="00E43D87" w:rsidRDefault="00CA5E0B" w:rsidP="00CA5E0B">
            <w:pPr>
              <w:keepNext/>
              <w:keepLines/>
              <w:widowControl w:val="0"/>
              <w:ind w:firstLineChars="200" w:firstLine="360"/>
              <w:jc w:val="right"/>
              <w:rPr>
                <w:color w:val="auto"/>
                <w:sz w:val="18"/>
                <w:szCs w:val="18"/>
                <w:lang w:val="es-ES_tradnl"/>
              </w:rPr>
            </w:pPr>
            <w:r w:rsidRPr="00E43D87">
              <w:rPr>
                <w:color w:val="auto"/>
                <w:sz w:val="18"/>
                <w:szCs w:val="18"/>
                <w:lang w:val="es-ES_tradnl"/>
              </w:rPr>
              <w:t>2.336</w:t>
            </w:r>
          </w:p>
        </w:tc>
      </w:tr>
      <w:tr w:rsidR="00CA5E0B" w:rsidRPr="00CA5E0B" w14:paraId="2A2DB7C3" w14:textId="26C992C1" w:rsidTr="007A7245">
        <w:trPr>
          <w:trHeight w:val="340"/>
          <w:jc w:val="center"/>
        </w:trPr>
        <w:tc>
          <w:tcPr>
            <w:tcW w:w="3115" w:type="pct"/>
            <w:tcBorders>
              <w:top w:val="single" w:sz="4" w:space="0" w:color="auto"/>
              <w:left w:val="nil"/>
              <w:bottom w:val="nil"/>
              <w:right w:val="nil"/>
            </w:tcBorders>
            <w:shd w:val="clear" w:color="auto" w:fill="auto"/>
            <w:noWrap/>
            <w:vAlign w:val="center"/>
          </w:tcPr>
          <w:p w14:paraId="7184CEAF" w14:textId="3FDDE57E" w:rsidR="00CA5E0B" w:rsidRPr="00CA5E0B" w:rsidRDefault="00CA5E0B" w:rsidP="00CA5E0B">
            <w:pPr>
              <w:keepNext/>
              <w:keepLines/>
              <w:widowControl w:val="0"/>
              <w:ind w:left="215"/>
              <w:rPr>
                <w:rFonts w:eastAsia="Times New Roman"/>
                <w:sz w:val="18"/>
                <w:szCs w:val="18"/>
              </w:rPr>
            </w:pPr>
            <w:r w:rsidRPr="00CA5E0B">
              <w:rPr>
                <w:rFonts w:eastAsia="Times New Roman"/>
                <w:sz w:val="18"/>
                <w:szCs w:val="18"/>
              </w:rPr>
              <w:t>Volumen monetario en límite legal</w:t>
            </w:r>
          </w:p>
        </w:tc>
        <w:tc>
          <w:tcPr>
            <w:tcW w:w="942" w:type="pct"/>
            <w:tcBorders>
              <w:top w:val="single" w:sz="4" w:space="0" w:color="auto"/>
              <w:left w:val="nil"/>
              <w:bottom w:val="nil"/>
              <w:right w:val="nil"/>
            </w:tcBorders>
            <w:shd w:val="clear" w:color="auto" w:fill="auto"/>
            <w:noWrap/>
            <w:vAlign w:val="center"/>
          </w:tcPr>
          <w:p w14:paraId="0EFA0F68" w14:textId="16CEA281" w:rsidR="00CA5E0B" w:rsidRPr="00E43D87" w:rsidRDefault="00CA5E0B" w:rsidP="00CA5E0B">
            <w:pPr>
              <w:keepNext/>
              <w:keepLines/>
              <w:widowControl w:val="0"/>
              <w:ind w:firstLineChars="200" w:firstLine="360"/>
              <w:jc w:val="right"/>
              <w:rPr>
                <w:color w:val="auto"/>
                <w:sz w:val="18"/>
                <w:szCs w:val="18"/>
              </w:rPr>
            </w:pPr>
            <w:r w:rsidRPr="00E43D87">
              <w:rPr>
                <w:color w:val="auto"/>
                <w:sz w:val="18"/>
                <w:szCs w:val="18"/>
              </w:rPr>
              <w:t>41.482.113,86</w:t>
            </w:r>
          </w:p>
        </w:tc>
        <w:tc>
          <w:tcPr>
            <w:tcW w:w="943" w:type="pct"/>
            <w:tcBorders>
              <w:top w:val="single" w:sz="4" w:space="0" w:color="auto"/>
              <w:left w:val="nil"/>
              <w:bottom w:val="nil"/>
              <w:right w:val="nil"/>
            </w:tcBorders>
            <w:vAlign w:val="center"/>
          </w:tcPr>
          <w:p w14:paraId="1E0FC384" w14:textId="642CD737" w:rsidR="00CA5E0B" w:rsidRPr="00E43D87" w:rsidRDefault="00CA5E0B" w:rsidP="00CA5E0B">
            <w:pPr>
              <w:keepNext/>
              <w:keepLines/>
              <w:widowControl w:val="0"/>
              <w:ind w:firstLineChars="200" w:firstLine="360"/>
              <w:jc w:val="right"/>
              <w:rPr>
                <w:color w:val="auto"/>
                <w:sz w:val="18"/>
                <w:szCs w:val="18"/>
              </w:rPr>
            </w:pPr>
            <w:r w:rsidRPr="00E43D87">
              <w:rPr>
                <w:color w:val="auto"/>
                <w:sz w:val="18"/>
                <w:szCs w:val="18"/>
              </w:rPr>
              <w:t>47.645.727,03</w:t>
            </w:r>
          </w:p>
        </w:tc>
      </w:tr>
      <w:tr w:rsidR="00CA5E0B" w:rsidRPr="00CA5E0B" w14:paraId="3ED807B8" w14:textId="5DCC6AC7" w:rsidTr="007A7245">
        <w:trPr>
          <w:trHeight w:val="340"/>
          <w:jc w:val="center"/>
        </w:trPr>
        <w:tc>
          <w:tcPr>
            <w:tcW w:w="3115" w:type="pct"/>
            <w:tcBorders>
              <w:top w:val="nil"/>
              <w:left w:val="nil"/>
              <w:right w:val="nil"/>
            </w:tcBorders>
            <w:shd w:val="clear" w:color="auto" w:fill="auto"/>
            <w:noWrap/>
            <w:vAlign w:val="center"/>
          </w:tcPr>
          <w:p w14:paraId="60A8ACB9" w14:textId="41A8B908" w:rsidR="00CA5E0B" w:rsidRPr="00CA5E0B" w:rsidRDefault="00CA5E0B" w:rsidP="00CA5E0B">
            <w:pPr>
              <w:keepNext/>
              <w:keepLines/>
              <w:widowControl w:val="0"/>
              <w:ind w:left="215"/>
              <w:rPr>
                <w:rFonts w:eastAsia="Times New Roman"/>
                <w:sz w:val="18"/>
                <w:szCs w:val="18"/>
              </w:rPr>
            </w:pPr>
            <w:r w:rsidRPr="00CA5E0B">
              <w:rPr>
                <w:rFonts w:eastAsia="Times New Roman"/>
                <w:sz w:val="18"/>
                <w:szCs w:val="18"/>
              </w:rPr>
              <w:t>Porcentaje sobre el total monetario de pagos a sus proveedores</w:t>
            </w:r>
          </w:p>
        </w:tc>
        <w:tc>
          <w:tcPr>
            <w:tcW w:w="942" w:type="pct"/>
            <w:tcBorders>
              <w:top w:val="nil"/>
              <w:left w:val="nil"/>
              <w:right w:val="nil"/>
            </w:tcBorders>
            <w:shd w:val="clear" w:color="auto" w:fill="auto"/>
            <w:noWrap/>
            <w:vAlign w:val="center"/>
          </w:tcPr>
          <w:p w14:paraId="41F71471" w14:textId="103CE5A4" w:rsidR="00CA5E0B" w:rsidRPr="00E43D87" w:rsidRDefault="00CA5E0B" w:rsidP="00CA5E0B">
            <w:pPr>
              <w:keepNext/>
              <w:keepLines/>
              <w:widowControl w:val="0"/>
              <w:ind w:firstLineChars="200" w:firstLine="360"/>
              <w:jc w:val="right"/>
              <w:rPr>
                <w:color w:val="auto"/>
                <w:sz w:val="18"/>
                <w:szCs w:val="18"/>
              </w:rPr>
            </w:pPr>
            <w:r w:rsidRPr="00E43D87">
              <w:rPr>
                <w:color w:val="auto"/>
                <w:sz w:val="18"/>
                <w:szCs w:val="18"/>
              </w:rPr>
              <w:t>100%</w:t>
            </w:r>
          </w:p>
        </w:tc>
        <w:tc>
          <w:tcPr>
            <w:tcW w:w="943" w:type="pct"/>
            <w:tcBorders>
              <w:top w:val="nil"/>
              <w:left w:val="nil"/>
              <w:right w:val="nil"/>
            </w:tcBorders>
            <w:vAlign w:val="center"/>
          </w:tcPr>
          <w:p w14:paraId="06294D9B" w14:textId="40295D33" w:rsidR="00CA5E0B" w:rsidRPr="00E43D87" w:rsidRDefault="00CA5E0B" w:rsidP="00CA5E0B">
            <w:pPr>
              <w:keepNext/>
              <w:keepLines/>
              <w:widowControl w:val="0"/>
              <w:ind w:firstLineChars="200" w:firstLine="360"/>
              <w:jc w:val="right"/>
              <w:rPr>
                <w:color w:val="auto"/>
                <w:sz w:val="18"/>
                <w:szCs w:val="18"/>
              </w:rPr>
            </w:pPr>
            <w:r w:rsidRPr="00E43D87">
              <w:rPr>
                <w:color w:val="auto"/>
                <w:sz w:val="18"/>
                <w:szCs w:val="18"/>
              </w:rPr>
              <w:t>100%</w:t>
            </w:r>
          </w:p>
        </w:tc>
      </w:tr>
      <w:tr w:rsidR="00CA5E0B" w:rsidRPr="00176BA0" w14:paraId="59F887A6" w14:textId="7992E9B4" w:rsidTr="007A7245">
        <w:trPr>
          <w:trHeight w:val="340"/>
          <w:jc w:val="center"/>
        </w:trPr>
        <w:tc>
          <w:tcPr>
            <w:tcW w:w="3115" w:type="pct"/>
            <w:tcBorders>
              <w:top w:val="nil"/>
              <w:left w:val="nil"/>
              <w:bottom w:val="single" w:sz="4" w:space="0" w:color="auto"/>
              <w:right w:val="nil"/>
            </w:tcBorders>
            <w:shd w:val="clear" w:color="auto" w:fill="auto"/>
            <w:noWrap/>
            <w:vAlign w:val="center"/>
          </w:tcPr>
          <w:p w14:paraId="46D1FE10" w14:textId="1F012FBA" w:rsidR="00CA5E0B" w:rsidRPr="00CA5E0B" w:rsidRDefault="00CA5E0B" w:rsidP="00CA5E0B">
            <w:pPr>
              <w:keepNext/>
              <w:keepLines/>
              <w:widowControl w:val="0"/>
              <w:ind w:left="215"/>
              <w:rPr>
                <w:rFonts w:eastAsia="Times New Roman"/>
                <w:sz w:val="18"/>
                <w:szCs w:val="18"/>
              </w:rPr>
            </w:pPr>
            <w:r w:rsidRPr="00CA5E0B">
              <w:rPr>
                <w:rFonts w:eastAsia="Times New Roman"/>
                <w:sz w:val="18"/>
                <w:szCs w:val="18"/>
              </w:rPr>
              <w:t>Total monetario de facturas</w:t>
            </w:r>
          </w:p>
        </w:tc>
        <w:tc>
          <w:tcPr>
            <w:tcW w:w="942" w:type="pct"/>
            <w:tcBorders>
              <w:top w:val="nil"/>
              <w:left w:val="nil"/>
              <w:bottom w:val="single" w:sz="4" w:space="0" w:color="auto"/>
              <w:right w:val="nil"/>
            </w:tcBorders>
            <w:shd w:val="clear" w:color="auto" w:fill="auto"/>
            <w:noWrap/>
            <w:vAlign w:val="center"/>
          </w:tcPr>
          <w:p w14:paraId="010C8FE2" w14:textId="0B426F97" w:rsidR="00CA5E0B" w:rsidRPr="00E43D87" w:rsidRDefault="00CA5E0B" w:rsidP="00CA5E0B">
            <w:pPr>
              <w:keepNext/>
              <w:keepLines/>
              <w:widowControl w:val="0"/>
              <w:ind w:firstLineChars="200" w:firstLine="360"/>
              <w:jc w:val="right"/>
              <w:rPr>
                <w:color w:val="auto"/>
                <w:sz w:val="18"/>
                <w:szCs w:val="18"/>
              </w:rPr>
            </w:pPr>
            <w:r w:rsidRPr="00E43D87">
              <w:rPr>
                <w:color w:val="auto"/>
                <w:sz w:val="18"/>
                <w:szCs w:val="18"/>
              </w:rPr>
              <w:t>41.482.113,86</w:t>
            </w:r>
          </w:p>
        </w:tc>
        <w:tc>
          <w:tcPr>
            <w:tcW w:w="943" w:type="pct"/>
            <w:tcBorders>
              <w:top w:val="nil"/>
              <w:left w:val="nil"/>
              <w:bottom w:val="single" w:sz="4" w:space="0" w:color="auto"/>
              <w:right w:val="nil"/>
            </w:tcBorders>
            <w:vAlign w:val="center"/>
          </w:tcPr>
          <w:p w14:paraId="141C99A7" w14:textId="49DC6D63" w:rsidR="00CA5E0B" w:rsidRPr="00E43D87" w:rsidRDefault="00CA5E0B" w:rsidP="00CA5E0B">
            <w:pPr>
              <w:keepNext/>
              <w:keepLines/>
              <w:widowControl w:val="0"/>
              <w:ind w:firstLineChars="200" w:firstLine="360"/>
              <w:jc w:val="right"/>
              <w:rPr>
                <w:color w:val="auto"/>
                <w:sz w:val="18"/>
                <w:szCs w:val="18"/>
              </w:rPr>
            </w:pPr>
            <w:r w:rsidRPr="00E43D87">
              <w:rPr>
                <w:color w:val="auto"/>
                <w:sz w:val="18"/>
                <w:szCs w:val="18"/>
              </w:rPr>
              <w:t>47.645.727,03</w:t>
            </w:r>
          </w:p>
        </w:tc>
      </w:tr>
      <w:bookmarkEnd w:id="11"/>
      <w:bookmarkEnd w:id="12"/>
    </w:tbl>
    <w:p w14:paraId="0CCDFE91" w14:textId="77777777" w:rsidR="006220A2" w:rsidRPr="0083433F" w:rsidRDefault="006220A2">
      <w:pPr>
        <w:pBdr>
          <w:top w:val="none" w:sz="0" w:space="0" w:color="auto"/>
          <w:left w:val="none" w:sz="0" w:space="0" w:color="auto"/>
          <w:bottom w:val="none" w:sz="0" w:space="0" w:color="auto"/>
          <w:right w:val="none" w:sz="0" w:space="0" w:color="auto"/>
          <w:between w:val="none" w:sz="0" w:space="0" w:color="auto"/>
          <w:bar w:val="none" w:sz="0" w:color="auto"/>
        </w:pBdr>
        <w:outlineLvl w:val="9"/>
      </w:pPr>
      <w:r w:rsidRPr="0083433F">
        <w:br w:type="page"/>
      </w:r>
    </w:p>
    <w:p w14:paraId="55ABBA4B" w14:textId="77777777" w:rsidR="001D401D" w:rsidRPr="0083433F" w:rsidRDefault="001D401D" w:rsidP="006220A2">
      <w:pPr>
        <w:jc w:val="center"/>
        <w:rPr>
          <w:b/>
        </w:rPr>
        <w:sectPr w:rsidR="001D401D" w:rsidRPr="0083433F" w:rsidSect="00064105">
          <w:pgSz w:w="11900" w:h="16840" w:code="9"/>
          <w:pgMar w:top="1701" w:right="1418" w:bottom="1418" w:left="1701" w:header="1020" w:footer="680" w:gutter="0"/>
          <w:cols w:space="708"/>
          <w:docGrid w:linePitch="360"/>
        </w:sectPr>
      </w:pPr>
    </w:p>
    <w:p w14:paraId="7701BA83" w14:textId="77777777" w:rsidR="00954AA6" w:rsidRDefault="00954AA6" w:rsidP="00954AA6">
      <w:pPr>
        <w:jc w:val="center"/>
        <w:outlineLvl w:val="9"/>
        <w:rPr>
          <w:b/>
          <w:color w:val="auto"/>
        </w:rPr>
      </w:pPr>
    </w:p>
    <w:p w14:paraId="3816C33C" w14:textId="3B30EAF8" w:rsidR="006220A2" w:rsidRPr="00461D9C" w:rsidRDefault="006220A2" w:rsidP="00954AA6">
      <w:pPr>
        <w:jc w:val="center"/>
        <w:outlineLvl w:val="9"/>
        <w:rPr>
          <w:b/>
          <w:color w:val="auto"/>
        </w:rPr>
      </w:pPr>
      <w:bookmarkStart w:id="13" w:name="_Hlk129591263"/>
      <w:r w:rsidRPr="00461D9C">
        <w:rPr>
          <w:b/>
          <w:color w:val="auto"/>
        </w:rPr>
        <w:t>INFOR</w:t>
      </w:r>
      <w:r w:rsidR="00286D62" w:rsidRPr="00461D9C">
        <w:rPr>
          <w:b/>
          <w:color w:val="auto"/>
        </w:rPr>
        <w:t>ME DE GESTIÓN DEL EJERCICIO 20</w:t>
      </w:r>
      <w:r w:rsidR="009C7621" w:rsidRPr="00461D9C">
        <w:rPr>
          <w:b/>
          <w:color w:val="auto"/>
        </w:rPr>
        <w:t>2</w:t>
      </w:r>
      <w:r w:rsidR="00461D9C">
        <w:rPr>
          <w:b/>
          <w:color w:val="auto"/>
        </w:rPr>
        <w:t>4</w:t>
      </w:r>
    </w:p>
    <w:p w14:paraId="5C4CB587" w14:textId="77777777" w:rsidR="006220A2" w:rsidRPr="00461D9C" w:rsidRDefault="006220A2" w:rsidP="006220A2">
      <w:pPr>
        <w:jc w:val="center"/>
        <w:rPr>
          <w:b/>
          <w:color w:val="auto"/>
        </w:rPr>
      </w:pPr>
    </w:p>
    <w:bookmarkEnd w:id="13"/>
    <w:p w14:paraId="4CEDAA07" w14:textId="77777777" w:rsidR="0021610B" w:rsidRPr="00461D9C" w:rsidRDefault="0021610B">
      <w:pPr>
        <w:pStyle w:val="Prrafodelista"/>
        <w:numPr>
          <w:ilvl w:val="0"/>
          <w:numId w:val="27"/>
        </w:numPr>
        <w:spacing w:before="120" w:after="120" w:line="260" w:lineRule="exact"/>
        <w:contextualSpacing/>
        <w:outlineLvl w:val="2"/>
        <w:rPr>
          <w:rFonts w:ascii="Arial" w:hAnsi="Arial" w:cs="Arial"/>
          <w:b/>
          <w:color w:val="auto"/>
          <w:sz w:val="20"/>
          <w:szCs w:val="20"/>
        </w:rPr>
      </w:pPr>
      <w:r w:rsidRPr="00461D9C">
        <w:rPr>
          <w:rFonts w:ascii="Arial" w:hAnsi="Arial" w:cs="Arial"/>
          <w:b/>
          <w:color w:val="auto"/>
          <w:sz w:val="20"/>
          <w:szCs w:val="20"/>
        </w:rPr>
        <w:t>PRESENTACION</w:t>
      </w:r>
    </w:p>
    <w:p w14:paraId="40B45395" w14:textId="77777777" w:rsidR="00590791" w:rsidRPr="00461D9C" w:rsidRDefault="00590791" w:rsidP="00590791">
      <w:pPr>
        <w:pStyle w:val="CuerpoA"/>
        <w:keepNext/>
        <w:keepLines/>
        <w:widowControl w:val="0"/>
        <w:spacing w:before="120" w:after="120" w:line="288" w:lineRule="auto"/>
        <w:jc w:val="both"/>
        <w:rPr>
          <w:rFonts w:ascii="Arial" w:eastAsiaTheme="minorHAnsi" w:hAnsi="Arial" w:cs="Arial"/>
          <w:sz w:val="20"/>
          <w:szCs w:val="20"/>
          <w:bdr w:val="none" w:sz="0" w:space="0" w:color="auto"/>
          <w:lang w:val="es-ES" w:eastAsia="en-US"/>
        </w:rPr>
      </w:pPr>
      <w:r w:rsidRPr="00461D9C">
        <w:rPr>
          <w:rFonts w:ascii="Calibri" w:eastAsiaTheme="minorHAnsi" w:hAnsi="Calibri" w:cs="Calibri"/>
          <w:sz w:val="23"/>
          <w:szCs w:val="23"/>
          <w:bdr w:val="none" w:sz="0" w:space="0" w:color="auto"/>
          <w:lang w:val="es-ES" w:eastAsia="en-US"/>
        </w:rPr>
        <w:t xml:space="preserve">Este informe de </w:t>
      </w:r>
      <w:r w:rsidRPr="00461D9C">
        <w:rPr>
          <w:rFonts w:ascii="Arial" w:eastAsiaTheme="minorHAnsi" w:hAnsi="Arial" w:cs="Arial"/>
          <w:sz w:val="20"/>
          <w:szCs w:val="20"/>
          <w:bdr w:val="none" w:sz="0" w:space="0" w:color="auto"/>
          <w:lang w:val="es-ES" w:eastAsia="en-US"/>
        </w:rPr>
        <w:t>gestión tiene como objetivo principal suministrar información mediante la cual se puedan interpretar los resultados y la posición de esta entidad y como complemento a los datos incluidos en la Memoria y Cuentas Anuales. Del mismo modo ofrece, como parte de su contenido, una explicación del rendimiento de la empresa en el ejercicio corriente y de su evolución previsible. Además, este informe de gestión tiene como objetivo explicar los riesgos, incertidumbres y oportunidades a los que se enfrenta la entidad, que determinan su estado y rendimiento presente, todo ello realizado en base al artículo 262 de la Ley de Sociedades de Capital (Real Decreto Legislativo 1/2010 de 2 de julio).</w:t>
      </w:r>
    </w:p>
    <w:p w14:paraId="60F74A7A" w14:textId="77777777" w:rsidR="00590791" w:rsidRPr="00461D9C" w:rsidRDefault="00590791" w:rsidP="00590791">
      <w:pPr>
        <w:pStyle w:val="CuerpoA"/>
        <w:keepNext/>
        <w:keepLines/>
        <w:widowControl w:val="0"/>
        <w:spacing w:before="120" w:after="120" w:line="288" w:lineRule="auto"/>
        <w:jc w:val="both"/>
        <w:rPr>
          <w:rFonts w:ascii="Arial" w:eastAsiaTheme="minorHAnsi" w:hAnsi="Arial" w:cs="Arial"/>
          <w:sz w:val="20"/>
          <w:szCs w:val="20"/>
          <w:bdr w:val="none" w:sz="0" w:space="0" w:color="auto"/>
          <w:lang w:val="es-ES" w:eastAsia="en-US"/>
        </w:rPr>
      </w:pPr>
      <w:r w:rsidRPr="00461D9C">
        <w:rPr>
          <w:rFonts w:ascii="Arial" w:eastAsiaTheme="minorHAnsi" w:hAnsi="Arial" w:cs="Arial"/>
          <w:sz w:val="20"/>
          <w:szCs w:val="20"/>
          <w:bdr w:val="none" w:sz="0" w:space="0" w:color="auto"/>
          <w:lang w:val="es-ES" w:eastAsia="en-US"/>
        </w:rPr>
        <w:t>Promotur, Turismo Canarias, S.A., dependiente de la Consejería de Turismo y Empleo del Gobierno de Canarias, desarrolló durante el ejercicio 2024, en sus diversas áreas, el programa de objetivos y actividades en el ámbito de su objeto social que se corresponde con todas aquellas actividades relacionadas con el estudio, promoción, fomento, difusión y comercialización de los distintos productos y servicios turísticos de Canarias y con la potenciación de la oferta turística del archipiélago. Todo ello se define específicamente en el Plan de Actuación para el 2024 que fue aprobado por Consejo de Administración el 22 de marzo de 2024.</w:t>
      </w:r>
    </w:p>
    <w:p w14:paraId="09F111E0" w14:textId="77777777" w:rsidR="00590791" w:rsidRPr="00461D9C" w:rsidRDefault="00590791" w:rsidP="00590791">
      <w:pPr>
        <w:pStyle w:val="CuerpoA"/>
        <w:keepNext/>
        <w:keepLines/>
        <w:widowControl w:val="0"/>
        <w:spacing w:before="120" w:after="120" w:line="288" w:lineRule="auto"/>
        <w:jc w:val="both"/>
        <w:rPr>
          <w:rFonts w:ascii="Arial" w:eastAsiaTheme="minorHAnsi" w:hAnsi="Arial" w:cs="Arial"/>
          <w:sz w:val="20"/>
          <w:szCs w:val="20"/>
          <w:bdr w:val="none" w:sz="0" w:space="0" w:color="auto"/>
          <w:lang w:val="es-ES" w:eastAsia="en-US"/>
        </w:rPr>
      </w:pPr>
      <w:r w:rsidRPr="00461D9C">
        <w:rPr>
          <w:rFonts w:ascii="Arial" w:eastAsiaTheme="minorHAnsi" w:hAnsi="Arial" w:cs="Arial"/>
          <w:sz w:val="20"/>
          <w:szCs w:val="20"/>
          <w:bdr w:val="none" w:sz="0" w:space="0" w:color="auto"/>
          <w:lang w:val="es-ES" w:eastAsia="en-US"/>
        </w:rPr>
        <w:t>La estructura organizativa está regida y administrada por Junta General de Accionistas y por el Consejo de Administración (el Comité Ejecutivo no ha sido constituido).</w:t>
      </w:r>
    </w:p>
    <w:p w14:paraId="1FB53027" w14:textId="77777777" w:rsidR="0021610B" w:rsidRPr="00461D9C" w:rsidRDefault="0021610B">
      <w:pPr>
        <w:pStyle w:val="Prrafodelista"/>
        <w:numPr>
          <w:ilvl w:val="0"/>
          <w:numId w:val="27"/>
        </w:numPr>
        <w:spacing w:before="360" w:after="120" w:line="260" w:lineRule="exact"/>
        <w:ind w:left="357" w:hanging="357"/>
        <w:outlineLvl w:val="2"/>
        <w:rPr>
          <w:rFonts w:ascii="Arial" w:hAnsi="Arial" w:cs="Arial"/>
          <w:b/>
          <w:color w:val="auto"/>
          <w:sz w:val="20"/>
          <w:szCs w:val="20"/>
        </w:rPr>
      </w:pPr>
      <w:r w:rsidRPr="00461D9C">
        <w:rPr>
          <w:rFonts w:ascii="Arial" w:hAnsi="Arial" w:cs="Arial"/>
          <w:b/>
          <w:color w:val="auto"/>
          <w:sz w:val="20"/>
          <w:szCs w:val="20"/>
        </w:rPr>
        <w:t>ENTORNO DEL MERCADO TURISTICO CANARIO</w:t>
      </w:r>
    </w:p>
    <w:p w14:paraId="45C56C8B" w14:textId="7551E9D6" w:rsidR="0021610B" w:rsidRPr="00461D9C" w:rsidRDefault="0021610B" w:rsidP="00461D9C">
      <w:pPr>
        <w:pStyle w:val="Prrafodelista"/>
        <w:numPr>
          <w:ilvl w:val="1"/>
          <w:numId w:val="29"/>
        </w:numPr>
        <w:spacing w:before="120" w:after="120" w:line="260" w:lineRule="exact"/>
        <w:contextualSpacing/>
        <w:jc w:val="both"/>
        <w:outlineLvl w:val="2"/>
        <w:rPr>
          <w:rFonts w:ascii="Arial" w:hAnsi="Arial" w:cs="Arial"/>
          <w:color w:val="auto"/>
          <w:sz w:val="20"/>
          <w:szCs w:val="20"/>
        </w:rPr>
      </w:pPr>
      <w:r w:rsidRPr="00461D9C">
        <w:rPr>
          <w:rFonts w:ascii="Arial" w:hAnsi="Arial" w:cs="Arial"/>
          <w:b/>
          <w:color w:val="auto"/>
          <w:sz w:val="20"/>
          <w:szCs w:val="20"/>
        </w:rPr>
        <w:t>RESULTADOS 202</w:t>
      </w:r>
      <w:r w:rsidR="00590791" w:rsidRPr="00461D9C">
        <w:rPr>
          <w:rFonts w:ascii="Arial" w:hAnsi="Arial" w:cs="Arial"/>
          <w:b/>
          <w:color w:val="auto"/>
          <w:sz w:val="20"/>
          <w:szCs w:val="20"/>
        </w:rPr>
        <w:t>4</w:t>
      </w:r>
      <w:r w:rsidRPr="00461D9C">
        <w:rPr>
          <w:rFonts w:ascii="Arial" w:hAnsi="Arial" w:cs="Arial"/>
          <w:b/>
          <w:color w:val="auto"/>
          <w:sz w:val="20"/>
          <w:szCs w:val="20"/>
        </w:rPr>
        <w:t xml:space="preserve"> PARA LOS PRINCIPALES INDICADORES DE GESTION DEL SECTOR </w:t>
      </w:r>
    </w:p>
    <w:p w14:paraId="7B9FCC18" w14:textId="77777777" w:rsidR="00E43D87" w:rsidRPr="00E311DF" w:rsidRDefault="00E43D87" w:rsidP="00E43D87">
      <w:pPr>
        <w:spacing w:before="120" w:after="120" w:line="288" w:lineRule="auto"/>
        <w:jc w:val="both"/>
        <w:rPr>
          <w:rFonts w:eastAsiaTheme="minorHAnsi"/>
          <w:sz w:val="20"/>
          <w:szCs w:val="20"/>
          <w:bdr w:val="none" w:sz="0" w:space="0" w:color="auto"/>
          <w:lang w:eastAsia="en-US"/>
        </w:rPr>
      </w:pPr>
      <w:r w:rsidRPr="00E43D87">
        <w:rPr>
          <w:rFonts w:eastAsiaTheme="minorHAnsi"/>
          <w:sz w:val="20"/>
          <w:szCs w:val="20"/>
          <w:bdr w:val="none" w:sz="0" w:space="0" w:color="auto"/>
          <w:lang w:eastAsia="en-US"/>
        </w:rPr>
        <w:t>Canarias volvió a tener un gran año turístico en 2024 siendo capaz de mantenerse en niveles muy altos de demanda hacia el destino, destacando la permanencia de los cambios en los hábitos del consumidor que se arrastran desde años anteriores. Así, 2024 ha cerrado con 17,8 millones de turistas y 22 mil millones de facturación, todo ello sin incluir en turismo interno canario. En cuanto a volumen de plazas, Canarias cerró el año 2024 con 22,7 millones de plazas hacia las islas, lo que significa un 11% de crecimiento respecto a 2023. Tanto la conectividad internacional como la nacional experimentaron crecimientos significativos.</w:t>
      </w:r>
      <w:r w:rsidRPr="00E311DF">
        <w:rPr>
          <w:rFonts w:eastAsiaTheme="minorHAnsi"/>
          <w:sz w:val="20"/>
          <w:szCs w:val="20"/>
          <w:bdr w:val="none" w:sz="0" w:space="0" w:color="auto"/>
          <w:lang w:eastAsia="en-US"/>
        </w:rPr>
        <w:t xml:space="preserve"> </w:t>
      </w:r>
    </w:p>
    <w:p w14:paraId="2B1377EA" w14:textId="77777777" w:rsidR="00590791" w:rsidRPr="00461D9C" w:rsidRDefault="00590791" w:rsidP="00590791">
      <w:pPr>
        <w:pStyle w:val="CuerpoA"/>
        <w:widowControl w:val="0"/>
        <w:spacing w:before="120" w:after="120" w:line="288" w:lineRule="auto"/>
        <w:jc w:val="both"/>
        <w:rPr>
          <w:rFonts w:ascii="Arial" w:eastAsiaTheme="minorHAnsi" w:hAnsi="Arial" w:cs="Arial"/>
          <w:sz w:val="20"/>
          <w:szCs w:val="20"/>
          <w:bdr w:val="none" w:sz="0" w:space="0" w:color="auto"/>
          <w:lang w:val="es-ES" w:eastAsia="en-US"/>
        </w:rPr>
      </w:pPr>
      <w:r w:rsidRPr="00461D9C">
        <w:rPr>
          <w:rFonts w:ascii="Arial" w:eastAsiaTheme="minorHAnsi" w:hAnsi="Arial" w:cs="Arial"/>
          <w:sz w:val="20"/>
          <w:szCs w:val="20"/>
          <w:bdr w:val="none" w:sz="0" w:space="0" w:color="auto"/>
          <w:lang w:val="es-ES" w:eastAsia="en-US"/>
        </w:rPr>
        <w:t>Estos fantásticos resultados han sido posibles gracias a la buena marcha de la economía mundial y de la europea en particular. El abaratamiento del petróleo y las materias primas, la reducción de la inflación y los tipos de interés, en un contexto de crecimiento y creación de empleo, han marcado el tono positivo de la confianza de los consumidores (nuestros turistas potenciales) y, por tanto, de su gasto, gasto que sigue priorizando el disfrute de experiencias y los viajes antes que la compra de bienes materiales.</w:t>
      </w:r>
    </w:p>
    <w:p w14:paraId="24EC1597" w14:textId="77777777" w:rsidR="00590791" w:rsidRPr="00461D9C" w:rsidRDefault="00590791" w:rsidP="00461D9C">
      <w:pPr>
        <w:pStyle w:val="CuerpoA"/>
        <w:widowControl w:val="0"/>
        <w:spacing w:before="120" w:after="120" w:line="288" w:lineRule="auto"/>
        <w:jc w:val="both"/>
        <w:rPr>
          <w:rFonts w:ascii="Arial" w:eastAsiaTheme="minorHAnsi" w:hAnsi="Arial" w:cs="Arial"/>
          <w:sz w:val="20"/>
          <w:szCs w:val="20"/>
          <w:bdr w:val="none" w:sz="0" w:space="0" w:color="auto"/>
          <w:lang w:val="es-ES" w:eastAsia="en-US"/>
        </w:rPr>
      </w:pPr>
      <w:r w:rsidRPr="00461D9C">
        <w:rPr>
          <w:rFonts w:ascii="Arial" w:eastAsiaTheme="minorHAnsi" w:hAnsi="Arial" w:cs="Arial"/>
          <w:sz w:val="20"/>
          <w:szCs w:val="20"/>
          <w:bdr w:val="none" w:sz="0" w:space="0" w:color="auto"/>
          <w:lang w:val="es-ES" w:eastAsia="en-US"/>
        </w:rPr>
        <w:t xml:space="preserve">Así, el gasto por viaje a Canarias ha aumentado considerablemente, tanto por el coste del vuelo (+20% de media desde 2019) como, y sobre todo, por el gasto en destino (+26%). En cualquier caso, cabe recordar que la inflación acumulada en este periodo es del 18%. Se observa que este gasto en destino, si se compara con 2019, obtiene un crecimiento significativo en todos aquellos gastos que sirven para mejorar la experiencia (hoteles, restaurantes, excursiones, visitas a sitios de interés, taxis y alquiler de vehículos, etc.). </w:t>
      </w:r>
    </w:p>
    <w:p w14:paraId="10050392" w14:textId="77777777" w:rsidR="00590791" w:rsidRPr="00461D9C" w:rsidRDefault="00590791" w:rsidP="00461D9C">
      <w:pPr>
        <w:pStyle w:val="CuerpoA"/>
        <w:keepNext/>
        <w:keepLines/>
        <w:widowControl w:val="0"/>
        <w:spacing w:before="120" w:after="120" w:line="288" w:lineRule="auto"/>
        <w:jc w:val="both"/>
        <w:rPr>
          <w:rFonts w:ascii="Arial" w:eastAsiaTheme="minorHAnsi" w:hAnsi="Arial" w:cs="Arial"/>
          <w:sz w:val="20"/>
          <w:szCs w:val="20"/>
          <w:bdr w:val="none" w:sz="0" w:space="0" w:color="auto"/>
          <w:lang w:val="es-ES" w:eastAsia="en-US"/>
        </w:rPr>
      </w:pPr>
      <w:r w:rsidRPr="00461D9C">
        <w:rPr>
          <w:rFonts w:ascii="Arial" w:eastAsiaTheme="minorHAnsi" w:hAnsi="Arial" w:cs="Arial"/>
          <w:sz w:val="20"/>
          <w:szCs w:val="20"/>
          <w:bdr w:val="none" w:sz="0" w:space="0" w:color="auto"/>
          <w:lang w:val="es-ES" w:eastAsia="en-US"/>
        </w:rPr>
        <w:lastRenderedPageBreak/>
        <w:t xml:space="preserve">El alojamiento es la partida de gasto más importante del viaje a Canarias y ha crecido un 27% desde 2019. Este crecimiento, aunque elevado, es inferior al crecimiento de los precios de los establecimientos turísticos tradicionales (hoteles + apartamentos), que se sitúa en el 39% (ADR) y, gracias a la mayor ocupación (82% vs. 77% en 2019), el REVPAR (ingresos por habitación disponible) creció aún más en ese mismo periodo (47%). El hecho de que el gasto en alojamiento haya crecido en menor medida que los precios de los establecimientos tradicionales se debe en parte a una reducción paulatina de la estancia media en la oferta alojativa tradicional, aunque ha sido compensada por un mayor número de huéspedes, lo que ha permitido elevar </w:t>
      </w:r>
      <w:proofErr w:type="gramStart"/>
      <w:r w:rsidRPr="00461D9C">
        <w:rPr>
          <w:rFonts w:ascii="Arial" w:eastAsiaTheme="minorHAnsi" w:hAnsi="Arial" w:cs="Arial"/>
          <w:sz w:val="20"/>
          <w:szCs w:val="20"/>
          <w:bdr w:val="none" w:sz="0" w:space="0" w:color="auto"/>
          <w:lang w:val="es-ES" w:eastAsia="en-US"/>
        </w:rPr>
        <w:t>los ratios</w:t>
      </w:r>
      <w:proofErr w:type="gramEnd"/>
      <w:r w:rsidRPr="00461D9C">
        <w:rPr>
          <w:rFonts w:ascii="Arial" w:eastAsiaTheme="minorHAnsi" w:hAnsi="Arial" w:cs="Arial"/>
          <w:sz w:val="20"/>
          <w:szCs w:val="20"/>
          <w:bdr w:val="none" w:sz="0" w:space="0" w:color="auto"/>
          <w:lang w:val="es-ES" w:eastAsia="en-US"/>
        </w:rPr>
        <w:t xml:space="preserve"> de ocupación y los ingresos totales en torno al 40% desde la pandemia.</w:t>
      </w:r>
    </w:p>
    <w:p w14:paraId="2B66B6FB" w14:textId="77777777" w:rsidR="00590791" w:rsidRPr="00461D9C" w:rsidRDefault="00590791" w:rsidP="00590791">
      <w:pPr>
        <w:pStyle w:val="CuerpoA"/>
        <w:widowControl w:val="0"/>
        <w:spacing w:before="120" w:after="120" w:line="288" w:lineRule="auto"/>
        <w:jc w:val="both"/>
        <w:rPr>
          <w:rFonts w:ascii="Arial" w:eastAsiaTheme="minorHAnsi" w:hAnsi="Arial" w:cs="Arial"/>
          <w:sz w:val="20"/>
          <w:szCs w:val="20"/>
          <w:bdr w:val="none" w:sz="0" w:space="0" w:color="auto"/>
          <w:lang w:val="es-ES" w:eastAsia="en-US"/>
        </w:rPr>
      </w:pPr>
      <w:r w:rsidRPr="00461D9C">
        <w:rPr>
          <w:rFonts w:ascii="Arial" w:eastAsiaTheme="minorHAnsi" w:hAnsi="Arial" w:cs="Arial"/>
          <w:sz w:val="20"/>
          <w:szCs w:val="20"/>
          <w:bdr w:val="none" w:sz="0" w:space="0" w:color="auto"/>
          <w:lang w:val="es-ES" w:eastAsia="en-US"/>
        </w:rPr>
        <w:t>Esta tendencia puede estar relacionada con la irrupción de las viviendas vacacionales, el mayor recurso a las casas de familiares y amigos o a la vivienda propia. Cabe recordar que la estancia media de todos los turistas (no canarios) es más elevada que la de aquellos que sólo se alojan en establecimientos tradicionales.</w:t>
      </w:r>
    </w:p>
    <w:p w14:paraId="1E8684D7" w14:textId="77777777" w:rsidR="00590791" w:rsidRPr="00461D9C" w:rsidRDefault="00590791" w:rsidP="00590791">
      <w:pPr>
        <w:pStyle w:val="CuerpoA"/>
        <w:widowControl w:val="0"/>
        <w:spacing w:before="120" w:after="120" w:line="288" w:lineRule="auto"/>
        <w:jc w:val="both"/>
        <w:rPr>
          <w:rFonts w:ascii="Arial" w:eastAsiaTheme="minorHAnsi" w:hAnsi="Arial" w:cs="Arial"/>
          <w:sz w:val="20"/>
          <w:szCs w:val="20"/>
          <w:bdr w:val="none" w:sz="0" w:space="0" w:color="auto"/>
          <w:lang w:val="es-ES" w:eastAsia="en-US"/>
        </w:rPr>
      </w:pPr>
      <w:r w:rsidRPr="00461D9C">
        <w:rPr>
          <w:rFonts w:ascii="Arial" w:eastAsiaTheme="minorHAnsi" w:hAnsi="Arial" w:cs="Arial"/>
          <w:sz w:val="20"/>
          <w:szCs w:val="20"/>
          <w:bdr w:val="none" w:sz="0" w:space="0" w:color="auto"/>
          <w:lang w:val="es-ES" w:eastAsia="en-US"/>
        </w:rPr>
        <w:t xml:space="preserve">En resumen, el paulatino descenso de la estancia media en los establecimientos alojativos ha sido más que compensado por una mayor afluencia de visitantes y un mayor nivel de gasto en Canarias. Todo ello ha elevado </w:t>
      </w:r>
      <w:proofErr w:type="gramStart"/>
      <w:r w:rsidRPr="00461D9C">
        <w:rPr>
          <w:rFonts w:ascii="Arial" w:eastAsiaTheme="minorHAnsi" w:hAnsi="Arial" w:cs="Arial"/>
          <w:sz w:val="20"/>
          <w:szCs w:val="20"/>
          <w:bdr w:val="none" w:sz="0" w:space="0" w:color="auto"/>
          <w:lang w:val="es-ES" w:eastAsia="en-US"/>
        </w:rPr>
        <w:t>los ratios</w:t>
      </w:r>
      <w:proofErr w:type="gramEnd"/>
      <w:r w:rsidRPr="00461D9C">
        <w:rPr>
          <w:rFonts w:ascii="Arial" w:eastAsiaTheme="minorHAnsi" w:hAnsi="Arial" w:cs="Arial"/>
          <w:sz w:val="20"/>
          <w:szCs w:val="20"/>
          <w:bdr w:val="none" w:sz="0" w:space="0" w:color="auto"/>
          <w:lang w:val="es-ES" w:eastAsia="en-US"/>
        </w:rPr>
        <w:t xml:space="preserve"> de ocupación, la rentabilidad del sector alojativo y la facturación turística total del destino.</w:t>
      </w:r>
    </w:p>
    <w:p w14:paraId="29A2F4CA" w14:textId="77777777" w:rsidR="00590791" w:rsidRPr="00461D9C" w:rsidRDefault="00590791" w:rsidP="00590791">
      <w:pPr>
        <w:widowControl w:val="0"/>
        <w:spacing w:before="120" w:after="120" w:line="276" w:lineRule="auto"/>
        <w:jc w:val="both"/>
        <w:rPr>
          <w:rFonts w:eastAsiaTheme="minorHAnsi"/>
          <w:sz w:val="20"/>
          <w:szCs w:val="20"/>
          <w:bdr w:val="none" w:sz="0" w:space="0" w:color="auto"/>
          <w:lang w:eastAsia="en-US"/>
        </w:rPr>
      </w:pPr>
      <w:r w:rsidRPr="00461D9C">
        <w:rPr>
          <w:rFonts w:eastAsiaTheme="minorHAnsi"/>
          <w:sz w:val="20"/>
          <w:szCs w:val="20"/>
          <w:bdr w:val="none" w:sz="0" w:space="0" w:color="auto"/>
          <w:lang w:eastAsia="en-US"/>
        </w:rPr>
        <w:t xml:space="preserve">Todas las islas han tenido una evolución muy positiva en 2024, incluida La Palma, que registró el mayor crecimiento de todas respecto a 2023, aunque todavía está por debajo de los niveles de 2019 debido a la interrupción de la recuperación tras el </w:t>
      </w:r>
      <w:proofErr w:type="spellStart"/>
      <w:r w:rsidRPr="00461D9C">
        <w:rPr>
          <w:rFonts w:eastAsiaTheme="minorHAnsi"/>
          <w:sz w:val="20"/>
          <w:szCs w:val="20"/>
          <w:bdr w:val="none" w:sz="0" w:space="0" w:color="auto"/>
          <w:lang w:eastAsia="en-US"/>
        </w:rPr>
        <w:t>covid</w:t>
      </w:r>
      <w:proofErr w:type="spellEnd"/>
      <w:r w:rsidRPr="00461D9C">
        <w:rPr>
          <w:rFonts w:eastAsiaTheme="minorHAnsi"/>
          <w:sz w:val="20"/>
          <w:szCs w:val="20"/>
          <w:bdr w:val="none" w:sz="0" w:space="0" w:color="auto"/>
          <w:lang w:eastAsia="en-US"/>
        </w:rPr>
        <w:t xml:space="preserve"> a causa del volcán. En este sentido, es de esperar que la reciente reapertura de Puerto Naos suponga el impulso definitivo para la buena marcha del turismo en la isla. </w:t>
      </w:r>
    </w:p>
    <w:p w14:paraId="6B95A433" w14:textId="77777777" w:rsidR="00590791" w:rsidRPr="00461D9C" w:rsidRDefault="00590791" w:rsidP="00590791">
      <w:pPr>
        <w:widowControl w:val="0"/>
        <w:spacing w:before="120" w:after="120" w:line="276" w:lineRule="auto"/>
        <w:jc w:val="both"/>
        <w:rPr>
          <w:rFonts w:eastAsiaTheme="minorHAnsi"/>
          <w:sz w:val="20"/>
          <w:szCs w:val="20"/>
          <w:bdr w:val="none" w:sz="0" w:space="0" w:color="auto"/>
          <w:lang w:eastAsia="en-US"/>
        </w:rPr>
      </w:pPr>
      <w:r w:rsidRPr="00461D9C">
        <w:rPr>
          <w:rFonts w:eastAsiaTheme="minorHAnsi"/>
          <w:sz w:val="20"/>
          <w:szCs w:val="20"/>
          <w:bdr w:val="none" w:sz="0" w:space="0" w:color="auto"/>
          <w:lang w:eastAsia="en-US"/>
        </w:rPr>
        <w:t>La mayoría de los mercados emisores han mostrado una evolución positiva, tanto respecto al año anterior como respecto a 2019. Las excepciones más notables son los países nórdicos que, a excepción de Noruega, todavía no han recuperado los niveles previos a la pandemia. Claramente, la falta de conectividad regular en estos países no lo está poniendo fácil para crecer en estos mercados que son tan interesantes para Canarias. Suiza también es otro mercado que no se recupera tras la pandemia, a pesar de que la conectividad avanza.</w:t>
      </w:r>
    </w:p>
    <w:p w14:paraId="66C928EB" w14:textId="77777777" w:rsidR="00590791" w:rsidRPr="00461D9C" w:rsidRDefault="00590791" w:rsidP="00590791">
      <w:pPr>
        <w:keepNext/>
        <w:keepLines/>
        <w:widowControl w:val="0"/>
        <w:spacing w:before="120" w:after="120" w:line="276" w:lineRule="auto"/>
        <w:jc w:val="both"/>
        <w:rPr>
          <w:rFonts w:eastAsiaTheme="minorHAnsi"/>
          <w:sz w:val="20"/>
          <w:szCs w:val="20"/>
          <w:bdr w:val="none" w:sz="0" w:space="0" w:color="auto"/>
          <w:lang w:eastAsia="en-US"/>
        </w:rPr>
      </w:pPr>
      <w:r w:rsidRPr="00461D9C">
        <w:rPr>
          <w:rFonts w:eastAsiaTheme="minorHAnsi"/>
          <w:sz w:val="20"/>
          <w:szCs w:val="20"/>
          <w:bdr w:val="none" w:sz="0" w:space="0" w:color="auto"/>
          <w:lang w:eastAsia="en-US"/>
        </w:rPr>
        <w:t xml:space="preserve">Por el contrario, los demás mercados internacionales han mostrado un crecimiento extraordinario tras la pandemia. Cabe destacar a los británicos (responsables de la mitad de los 2,3 millones de turistas adicionales tras el </w:t>
      </w:r>
      <w:proofErr w:type="spellStart"/>
      <w:r w:rsidRPr="00461D9C">
        <w:rPr>
          <w:rFonts w:eastAsiaTheme="minorHAnsi"/>
          <w:sz w:val="20"/>
          <w:szCs w:val="20"/>
          <w:bdr w:val="none" w:sz="0" w:space="0" w:color="auto"/>
          <w:lang w:eastAsia="en-US"/>
        </w:rPr>
        <w:t>covid</w:t>
      </w:r>
      <w:proofErr w:type="spellEnd"/>
      <w:r w:rsidRPr="00461D9C">
        <w:rPr>
          <w:rFonts w:eastAsiaTheme="minorHAnsi"/>
          <w:sz w:val="20"/>
          <w:szCs w:val="20"/>
          <w:bdr w:val="none" w:sz="0" w:space="0" w:color="auto"/>
          <w:lang w:eastAsia="en-US"/>
        </w:rPr>
        <w:t xml:space="preserve">) seguidos de los franceses e italianos. Se ha avanzado mucho también en diversificación, ya que tenemos un aumento interesante en el conjunto de “otros mercados”, gracias a la apertura de nuevas rutas con Estados Unidos, los países Bálticos, Croacia, Hungría, Rumanía, etc.  </w:t>
      </w:r>
    </w:p>
    <w:p w14:paraId="4E33AAE5" w14:textId="467838E5" w:rsidR="00461D9C" w:rsidRDefault="00590791" w:rsidP="00590791">
      <w:pPr>
        <w:widowControl w:val="0"/>
        <w:pBdr>
          <w:top w:val="none" w:sz="0" w:space="0" w:color="auto"/>
          <w:left w:val="none" w:sz="0" w:space="0" w:color="auto"/>
          <w:bottom w:val="none" w:sz="0" w:space="0" w:color="auto"/>
          <w:right w:val="none" w:sz="0" w:space="0" w:color="auto"/>
          <w:between w:val="none" w:sz="0" w:space="0" w:color="auto"/>
          <w:bar w:val="none" w:sz="0" w:color="auto"/>
        </w:pBdr>
        <w:spacing w:before="120" w:after="120" w:line="276" w:lineRule="auto"/>
        <w:jc w:val="both"/>
        <w:rPr>
          <w:rFonts w:eastAsiaTheme="minorHAnsi"/>
          <w:sz w:val="20"/>
          <w:szCs w:val="20"/>
          <w:bdr w:val="none" w:sz="0" w:space="0" w:color="auto"/>
          <w:lang w:eastAsia="en-US"/>
        </w:rPr>
      </w:pPr>
      <w:r w:rsidRPr="00461D9C">
        <w:rPr>
          <w:rFonts w:eastAsiaTheme="minorHAnsi"/>
          <w:sz w:val="20"/>
          <w:szCs w:val="20"/>
          <w:bdr w:val="none" w:sz="0" w:space="0" w:color="auto"/>
          <w:lang w:eastAsia="en-US"/>
        </w:rPr>
        <w:t xml:space="preserve">Hoy, sin duda, Canarias es un destino aún más líder en Europa, con </w:t>
      </w:r>
      <w:r w:rsidRPr="00461D9C">
        <w:rPr>
          <w:rFonts w:eastAsiaTheme="minorHAnsi"/>
          <w:b/>
          <w:bCs/>
          <w:sz w:val="20"/>
          <w:szCs w:val="20"/>
          <w:bdr w:val="none" w:sz="0" w:space="0" w:color="auto"/>
          <w:lang w:eastAsia="en-US"/>
        </w:rPr>
        <w:t>unos valores e indicadores para el 2024 que son muy positivos</w:t>
      </w:r>
      <w:r w:rsidRPr="00461D9C">
        <w:rPr>
          <w:rFonts w:eastAsiaTheme="minorHAnsi"/>
          <w:sz w:val="20"/>
          <w:szCs w:val="20"/>
          <w:bdr w:val="none" w:sz="0" w:space="0" w:color="auto"/>
          <w:lang w:eastAsia="en-US"/>
        </w:rPr>
        <w:t xml:space="preserve"> dado que se continúa acumulando mejoras en sus niveles de actividad todo ello motivado principalmente por el dinamismo de la demanda europea y nacional, por la apuesta de los operadores turísticos por las islas, por la inversión de mejora en el producto y por un posicionamiento de destino seguro frente a los competidores del Mediterráneo Oriental. </w:t>
      </w:r>
    </w:p>
    <w:p w14:paraId="0D2B76BF" w14:textId="77777777" w:rsidR="00461D9C" w:rsidRDefault="00461D9C">
      <w:pPr>
        <w:pBdr>
          <w:top w:val="none" w:sz="0" w:space="0" w:color="auto"/>
          <w:left w:val="none" w:sz="0" w:space="0" w:color="auto"/>
          <w:bottom w:val="none" w:sz="0" w:space="0" w:color="auto"/>
          <w:right w:val="none" w:sz="0" w:space="0" w:color="auto"/>
          <w:between w:val="none" w:sz="0" w:space="0" w:color="auto"/>
          <w:bar w:val="none" w:sz="0" w:color="auto"/>
        </w:pBdr>
        <w:outlineLvl w:val="9"/>
        <w:rPr>
          <w:rFonts w:eastAsiaTheme="minorHAnsi"/>
          <w:sz w:val="20"/>
          <w:szCs w:val="20"/>
          <w:bdr w:val="none" w:sz="0" w:space="0" w:color="auto"/>
          <w:lang w:eastAsia="en-US"/>
        </w:rPr>
      </w:pPr>
      <w:r>
        <w:rPr>
          <w:rFonts w:eastAsiaTheme="minorHAnsi"/>
          <w:sz w:val="20"/>
          <w:szCs w:val="20"/>
          <w:bdr w:val="none" w:sz="0" w:space="0" w:color="auto"/>
          <w:lang w:eastAsia="en-US"/>
        </w:rPr>
        <w:br w:type="page"/>
      </w:r>
    </w:p>
    <w:p w14:paraId="1F955938" w14:textId="7F80CDB8" w:rsidR="0021610B" w:rsidRPr="00461D9C" w:rsidRDefault="0021610B">
      <w:pPr>
        <w:pStyle w:val="Prrafodelista"/>
        <w:numPr>
          <w:ilvl w:val="1"/>
          <w:numId w:val="27"/>
        </w:numPr>
        <w:spacing w:before="360" w:after="120" w:line="260" w:lineRule="exact"/>
        <w:ind w:left="403" w:hanging="403"/>
        <w:contextualSpacing/>
        <w:outlineLvl w:val="2"/>
        <w:rPr>
          <w:rFonts w:ascii="Arial" w:hAnsi="Arial" w:cs="Arial"/>
          <w:color w:val="auto"/>
          <w:sz w:val="20"/>
          <w:szCs w:val="20"/>
        </w:rPr>
      </w:pPr>
      <w:r w:rsidRPr="00461D9C">
        <w:rPr>
          <w:rFonts w:ascii="Arial" w:hAnsi="Arial" w:cs="Arial"/>
          <w:b/>
          <w:color w:val="auto"/>
          <w:sz w:val="20"/>
          <w:szCs w:val="20"/>
        </w:rPr>
        <w:lastRenderedPageBreak/>
        <w:t xml:space="preserve">PERSPECTIVAS TURISTICAS </w:t>
      </w:r>
      <w:r w:rsidRPr="00461D9C">
        <w:rPr>
          <w:rFonts w:ascii="Arial" w:hAnsi="Arial" w:cs="Arial"/>
          <w:color w:val="auto"/>
          <w:sz w:val="20"/>
          <w:szCs w:val="20"/>
        </w:rPr>
        <w:t>(</w:t>
      </w:r>
      <w:r w:rsidRPr="00461D9C">
        <w:rPr>
          <w:rFonts w:ascii="Arial" w:hAnsi="Arial" w:cs="Arial"/>
          <w:i/>
          <w:iCs/>
          <w:color w:val="auto"/>
          <w:sz w:val="20"/>
          <w:szCs w:val="20"/>
        </w:rPr>
        <w:t xml:space="preserve">Fuentes </w:t>
      </w:r>
      <w:proofErr w:type="spellStart"/>
      <w:r w:rsidRPr="00461D9C">
        <w:rPr>
          <w:rFonts w:ascii="Arial" w:hAnsi="Arial" w:cs="Arial"/>
          <w:i/>
          <w:iCs/>
          <w:color w:val="auto"/>
          <w:sz w:val="20"/>
          <w:szCs w:val="20"/>
        </w:rPr>
        <w:t>Exceltur</w:t>
      </w:r>
      <w:proofErr w:type="spellEnd"/>
      <w:r w:rsidRPr="00461D9C">
        <w:rPr>
          <w:rFonts w:ascii="Arial" w:hAnsi="Arial" w:cs="Arial"/>
          <w:i/>
          <w:iCs/>
          <w:color w:val="auto"/>
          <w:sz w:val="20"/>
          <w:szCs w:val="20"/>
        </w:rPr>
        <w:t xml:space="preserve">; </w:t>
      </w:r>
      <w:proofErr w:type="spellStart"/>
      <w:r w:rsidRPr="00461D9C">
        <w:rPr>
          <w:rFonts w:ascii="Arial" w:hAnsi="Arial" w:cs="Arial"/>
          <w:i/>
          <w:iCs/>
          <w:color w:val="auto"/>
          <w:sz w:val="20"/>
          <w:szCs w:val="20"/>
        </w:rPr>
        <w:t>Excelcan</w:t>
      </w:r>
      <w:proofErr w:type="spellEnd"/>
      <w:r w:rsidRPr="00461D9C">
        <w:rPr>
          <w:rFonts w:ascii="Arial" w:hAnsi="Arial" w:cs="Arial"/>
          <w:color w:val="auto"/>
          <w:sz w:val="20"/>
          <w:szCs w:val="20"/>
        </w:rPr>
        <w:t>)</w:t>
      </w:r>
    </w:p>
    <w:p w14:paraId="106C331B" w14:textId="77777777" w:rsidR="00590791" w:rsidRPr="00461D9C" w:rsidRDefault="00590791" w:rsidP="00590791">
      <w:pPr>
        <w:pStyle w:val="Default"/>
        <w:spacing w:before="120" w:after="120"/>
        <w:jc w:val="both"/>
        <w:rPr>
          <w:rFonts w:ascii="Arial" w:hAnsi="Arial" w:cs="Arial"/>
          <w:sz w:val="20"/>
          <w:szCs w:val="20"/>
          <w:u w:color="000000"/>
        </w:rPr>
      </w:pPr>
      <w:r w:rsidRPr="00461D9C">
        <w:rPr>
          <w:rFonts w:ascii="Arial" w:hAnsi="Arial" w:cs="Arial"/>
          <w:sz w:val="20"/>
          <w:szCs w:val="20"/>
          <w:u w:color="000000"/>
        </w:rPr>
        <w:t xml:space="preserve">El escenario global se presenta con cierto optimismo, aunque no exento de riesgos. Tras el fuerte repunte </w:t>
      </w:r>
      <w:proofErr w:type="spellStart"/>
      <w:proofErr w:type="gramStart"/>
      <w:r w:rsidRPr="00461D9C">
        <w:rPr>
          <w:rFonts w:ascii="Arial" w:hAnsi="Arial" w:cs="Arial"/>
          <w:sz w:val="20"/>
          <w:szCs w:val="20"/>
          <w:u w:color="000000"/>
        </w:rPr>
        <w:t>post-pandemia</w:t>
      </w:r>
      <w:proofErr w:type="spellEnd"/>
      <w:proofErr w:type="gramEnd"/>
      <w:r w:rsidRPr="00461D9C">
        <w:rPr>
          <w:rFonts w:ascii="Arial" w:hAnsi="Arial" w:cs="Arial"/>
          <w:sz w:val="20"/>
          <w:szCs w:val="20"/>
          <w:u w:color="000000"/>
        </w:rPr>
        <w:t xml:space="preserve">, se espera una estabilización del crecimiento económico mundial en los próximos años (en torno al 2,5%) y que la inflación continúe descendiendo, lo que justificará que los tipos de interés también lo hagan. </w:t>
      </w:r>
    </w:p>
    <w:p w14:paraId="21F15280" w14:textId="77777777" w:rsidR="00590791" w:rsidRPr="00461D9C" w:rsidRDefault="00590791" w:rsidP="00590791">
      <w:pPr>
        <w:pStyle w:val="Default"/>
        <w:spacing w:before="120" w:after="120"/>
        <w:jc w:val="both"/>
        <w:rPr>
          <w:rFonts w:ascii="Arial" w:hAnsi="Arial" w:cs="Arial"/>
          <w:sz w:val="20"/>
          <w:szCs w:val="20"/>
          <w:u w:color="000000"/>
        </w:rPr>
      </w:pPr>
      <w:r w:rsidRPr="00461D9C">
        <w:rPr>
          <w:rFonts w:ascii="Arial" w:hAnsi="Arial" w:cs="Arial"/>
          <w:sz w:val="20"/>
          <w:szCs w:val="20"/>
          <w:u w:color="000000"/>
        </w:rPr>
        <w:t xml:space="preserve">No obstante, algunos de nuestros mercados emisores parecen estar atravesando dificultades, como son Alemania (afectada por la fuerte competencia industrial internacional, especialmente de China) y Francia, cuyo crecimiento se debilita por un fuerte ajuste fiscal para reducir el déficit (actualmente por encima del 6%, muy superior al 3% de límite). </w:t>
      </w:r>
    </w:p>
    <w:p w14:paraId="41F6BB1D" w14:textId="77777777" w:rsidR="00590791" w:rsidRPr="00461D9C" w:rsidRDefault="00590791" w:rsidP="00590791">
      <w:pPr>
        <w:pStyle w:val="Default"/>
        <w:spacing w:before="120" w:after="120"/>
        <w:jc w:val="both"/>
        <w:rPr>
          <w:rFonts w:ascii="Arial" w:hAnsi="Arial" w:cs="Arial"/>
          <w:sz w:val="20"/>
          <w:szCs w:val="20"/>
          <w:u w:color="000000"/>
        </w:rPr>
      </w:pPr>
      <w:r w:rsidRPr="00461D9C">
        <w:rPr>
          <w:rFonts w:ascii="Arial" w:hAnsi="Arial" w:cs="Arial"/>
          <w:sz w:val="20"/>
          <w:szCs w:val="20"/>
          <w:u w:color="000000"/>
        </w:rPr>
        <w:t xml:space="preserve">La entrada de Donald Trump está generando una gran incertidumbre económica por las medidas proteccionistas que ya ha anunciado que va a implementar, especialmente a base de fuertes subidas de aranceles al comercio (hasta el 30%), que podrían elevar la inflación mundial si Europa y China responden de igual manera y perece que no dudarán en hacerlo. Esto, además de elevar la inflación, reducirá el crecimiento y el empleo. </w:t>
      </w:r>
    </w:p>
    <w:p w14:paraId="31750D5F" w14:textId="77777777" w:rsidR="00590791" w:rsidRPr="00461D9C" w:rsidRDefault="00590791" w:rsidP="00590791">
      <w:pPr>
        <w:pStyle w:val="Default"/>
        <w:spacing w:before="120" w:after="120"/>
        <w:jc w:val="both"/>
        <w:rPr>
          <w:rFonts w:ascii="Arial" w:hAnsi="Arial" w:cs="Arial"/>
          <w:sz w:val="20"/>
          <w:szCs w:val="20"/>
          <w:u w:color="000000"/>
        </w:rPr>
      </w:pPr>
      <w:r w:rsidRPr="00461D9C">
        <w:rPr>
          <w:rFonts w:ascii="Arial" w:hAnsi="Arial" w:cs="Arial"/>
          <w:sz w:val="20"/>
          <w:szCs w:val="20"/>
          <w:u w:color="000000"/>
        </w:rPr>
        <w:t>Los condicionantes macroeconómicos también deberían llevar a un mayor crecimiento de los viajes de españoles. Al fin y al cabo, la economía española ha evolucionado muy favorablemente en 2024. De hecho, ha sido una de las que más ha crecido según la Comisión Europea (3%) y se han creado más de medio millón de empleos nuevos.  La inflación se redujo y los tipos de interés también, lo que ha elevado la confianza de los consumidores españoles y los deseos de viajar.</w:t>
      </w:r>
    </w:p>
    <w:p w14:paraId="728EB413" w14:textId="77777777" w:rsidR="00590791" w:rsidRPr="00461D9C" w:rsidRDefault="00590791" w:rsidP="00590791">
      <w:pPr>
        <w:spacing w:before="120" w:after="120"/>
        <w:jc w:val="both"/>
        <w:rPr>
          <w:rFonts w:eastAsiaTheme="minorHAnsi"/>
          <w:sz w:val="20"/>
          <w:szCs w:val="20"/>
          <w:bdr w:val="none" w:sz="0" w:space="0" w:color="auto"/>
          <w:lang w:eastAsia="en-US"/>
        </w:rPr>
      </w:pPr>
      <w:r w:rsidRPr="00461D9C">
        <w:rPr>
          <w:rFonts w:eastAsiaTheme="minorHAnsi"/>
          <w:sz w:val="20"/>
          <w:szCs w:val="20"/>
          <w:bdr w:val="none" w:sz="0" w:space="0" w:color="auto"/>
          <w:lang w:eastAsia="en-US"/>
        </w:rPr>
        <w:t>De momento, la capacidad aérea para todo el año muestra en estos momentos un crecimiento del 6%, aunque todavía es pronto y puede sufrir variaciones, sobre todo en lo que se refiere a la programación del próximo invierno.</w:t>
      </w:r>
    </w:p>
    <w:p w14:paraId="679F3071" w14:textId="77777777" w:rsidR="00590791" w:rsidRPr="00461D9C" w:rsidRDefault="00590791" w:rsidP="00590791">
      <w:pPr>
        <w:pStyle w:val="Default"/>
        <w:spacing w:before="120" w:after="120"/>
        <w:jc w:val="both"/>
        <w:rPr>
          <w:rFonts w:ascii="Arial" w:hAnsi="Arial" w:cs="Arial"/>
          <w:sz w:val="20"/>
          <w:szCs w:val="20"/>
          <w:u w:color="000000"/>
        </w:rPr>
      </w:pPr>
      <w:r w:rsidRPr="00461D9C">
        <w:rPr>
          <w:rFonts w:ascii="Arial" w:hAnsi="Arial" w:cs="Arial"/>
          <w:sz w:val="20"/>
          <w:szCs w:val="20"/>
          <w:u w:color="000000"/>
        </w:rPr>
        <w:t>Por último, queda la incertidumbre sobre lo que algunos consideran “efecto champán” y otros “cambio de paradigma” respecto a los viajes tras la pandemia. ¿Se mantendrá la intensidad viajera?, ¿Se moderará?</w:t>
      </w:r>
    </w:p>
    <w:p w14:paraId="0410FDAB" w14:textId="61123C7C" w:rsidR="00590791" w:rsidRPr="00461D9C" w:rsidRDefault="00590791" w:rsidP="00590791">
      <w:pPr>
        <w:pStyle w:val="CuerpoA"/>
        <w:keepNext/>
        <w:keepLines/>
        <w:widowControl w:val="0"/>
        <w:spacing w:before="120" w:after="120" w:line="260" w:lineRule="exact"/>
        <w:jc w:val="both"/>
        <w:rPr>
          <w:rFonts w:ascii="Arial" w:eastAsiaTheme="minorHAnsi" w:hAnsi="Arial" w:cs="Arial"/>
          <w:sz w:val="20"/>
          <w:szCs w:val="20"/>
          <w:bdr w:val="none" w:sz="0" w:space="0" w:color="auto"/>
          <w:lang w:val="es-ES" w:eastAsia="en-US"/>
        </w:rPr>
      </w:pPr>
      <w:r w:rsidRPr="00461D9C">
        <w:rPr>
          <w:rFonts w:ascii="Arial" w:hAnsi="Arial" w:cs="Arial"/>
          <w:sz w:val="20"/>
          <w:szCs w:val="20"/>
        </w:rPr>
        <w:t>En cualquier caso, y con todas las cautelas, es posible adelantar que 2025 podría ser un año de estabilización en cuanto a número de turistas. Su gasto dependerá del interés de las propuestas de valor que reciban en el destino.</w:t>
      </w:r>
    </w:p>
    <w:p w14:paraId="39DB7F29" w14:textId="77777777" w:rsidR="0021610B" w:rsidRPr="00461D9C" w:rsidRDefault="0021610B">
      <w:pPr>
        <w:pStyle w:val="Prrafodelista"/>
        <w:numPr>
          <w:ilvl w:val="0"/>
          <w:numId w:val="27"/>
        </w:numPr>
        <w:spacing w:before="360" w:after="120" w:line="260" w:lineRule="exact"/>
        <w:contextualSpacing/>
        <w:outlineLvl w:val="2"/>
        <w:rPr>
          <w:rFonts w:ascii="Arial" w:hAnsi="Arial" w:cs="Arial"/>
          <w:b/>
          <w:color w:val="auto"/>
          <w:sz w:val="20"/>
          <w:szCs w:val="20"/>
        </w:rPr>
      </w:pPr>
      <w:r w:rsidRPr="00461D9C">
        <w:rPr>
          <w:rFonts w:ascii="Arial" w:hAnsi="Arial" w:cs="Arial"/>
          <w:b/>
          <w:color w:val="auto"/>
          <w:sz w:val="20"/>
          <w:szCs w:val="20"/>
        </w:rPr>
        <w:t>PROMOTUR, TURISMO DE CANARIAS, S.A. EN EL MARCO DE SU ACTUACION</w:t>
      </w:r>
    </w:p>
    <w:p w14:paraId="7F8C2791" w14:textId="26736C44" w:rsidR="0021610B" w:rsidRPr="00461D9C" w:rsidRDefault="0021610B" w:rsidP="0021610B">
      <w:pPr>
        <w:spacing w:before="240" w:after="120" w:line="260" w:lineRule="exact"/>
        <w:rPr>
          <w:b/>
          <w:color w:val="auto"/>
          <w:sz w:val="20"/>
          <w:szCs w:val="20"/>
        </w:rPr>
      </w:pPr>
      <w:r w:rsidRPr="00461D9C">
        <w:rPr>
          <w:b/>
          <w:color w:val="auto"/>
          <w:sz w:val="20"/>
          <w:szCs w:val="20"/>
        </w:rPr>
        <w:t>2.1 ANALISIS DE LOS RESULTADOS 202</w:t>
      </w:r>
      <w:r w:rsidR="004B6690">
        <w:rPr>
          <w:b/>
          <w:color w:val="auto"/>
          <w:sz w:val="20"/>
          <w:szCs w:val="20"/>
        </w:rPr>
        <w:t>4</w:t>
      </w:r>
      <w:r w:rsidRPr="00461D9C">
        <w:rPr>
          <w:b/>
          <w:color w:val="auto"/>
          <w:sz w:val="20"/>
          <w:szCs w:val="20"/>
        </w:rPr>
        <w:t xml:space="preserve"> Y SU EVOLUCION</w:t>
      </w:r>
    </w:p>
    <w:p w14:paraId="6DCA4554" w14:textId="19339A60" w:rsidR="00461D9C" w:rsidRDefault="00765A93" w:rsidP="00765A93">
      <w:pPr>
        <w:pStyle w:val="CuerpoA"/>
        <w:keepNext/>
        <w:keepLines/>
        <w:widowControl w:val="0"/>
        <w:spacing w:before="120" w:after="120" w:line="288" w:lineRule="auto"/>
        <w:jc w:val="both"/>
        <w:rPr>
          <w:rFonts w:ascii="Arial" w:eastAsiaTheme="minorHAnsi" w:hAnsi="Arial" w:cs="Arial"/>
          <w:sz w:val="20"/>
          <w:szCs w:val="20"/>
          <w:bdr w:val="none" w:sz="0" w:space="0" w:color="auto"/>
          <w:lang w:val="es-ES" w:eastAsia="en-US"/>
        </w:rPr>
      </w:pPr>
      <w:r w:rsidRPr="00461D9C">
        <w:rPr>
          <w:rFonts w:ascii="Arial" w:eastAsiaTheme="minorHAnsi" w:hAnsi="Arial" w:cs="Arial"/>
          <w:sz w:val="20"/>
          <w:szCs w:val="20"/>
          <w:bdr w:val="none" w:sz="0" w:space="0" w:color="auto"/>
          <w:lang w:val="es-ES" w:eastAsia="en-US"/>
        </w:rPr>
        <w:t>Promotur Turismo Canarias</w:t>
      </w:r>
      <w:r w:rsidR="00D41577">
        <w:rPr>
          <w:rFonts w:ascii="Arial" w:eastAsiaTheme="minorHAnsi" w:hAnsi="Arial" w:cs="Arial"/>
          <w:sz w:val="20"/>
          <w:szCs w:val="20"/>
          <w:bdr w:val="none" w:sz="0" w:space="0" w:color="auto"/>
          <w:lang w:val="es-ES" w:eastAsia="en-US"/>
        </w:rPr>
        <w:t>,</w:t>
      </w:r>
      <w:r w:rsidRPr="00461D9C">
        <w:rPr>
          <w:rFonts w:ascii="Arial" w:eastAsiaTheme="minorHAnsi" w:hAnsi="Arial" w:cs="Arial"/>
          <w:sz w:val="20"/>
          <w:szCs w:val="20"/>
          <w:bdr w:val="none" w:sz="0" w:space="0" w:color="auto"/>
          <w:lang w:val="es-ES" w:eastAsia="en-US"/>
        </w:rPr>
        <w:t xml:space="preserve"> S.A., a través de las actividades definidas en su Instrumento de Planificación Estratégica desarrollado para los ejercicios 2022-2024 (aprobado el 15 de septiembre 2022 por el Gobierno de Canarias) por el que se reformulan los objetivos vigentes después de la pandemia basados en la transformación del modelo turístico, ha sido actor principal en la consecución de las buenas cifras experimentadas para el ejercicio 2024 dentro del mercado turístico de Canarias. </w:t>
      </w:r>
    </w:p>
    <w:p w14:paraId="488887B7" w14:textId="77777777" w:rsidR="00461D9C" w:rsidRDefault="00461D9C">
      <w:pPr>
        <w:pBdr>
          <w:top w:val="none" w:sz="0" w:space="0" w:color="auto"/>
          <w:left w:val="none" w:sz="0" w:space="0" w:color="auto"/>
          <w:bottom w:val="none" w:sz="0" w:space="0" w:color="auto"/>
          <w:right w:val="none" w:sz="0" w:space="0" w:color="auto"/>
          <w:between w:val="none" w:sz="0" w:space="0" w:color="auto"/>
          <w:bar w:val="none" w:sz="0" w:color="auto"/>
        </w:pBdr>
        <w:outlineLvl w:val="9"/>
        <w:rPr>
          <w:rFonts w:eastAsiaTheme="minorHAnsi"/>
          <w:sz w:val="20"/>
          <w:szCs w:val="20"/>
          <w:bdr w:val="none" w:sz="0" w:space="0" w:color="auto"/>
          <w:lang w:eastAsia="en-US"/>
          <w14:textOutline w14:w="12700" w14:cap="flat" w14:cmpd="sng" w14:algn="ctr">
            <w14:noFill/>
            <w14:prstDash w14:val="solid"/>
            <w14:miter w14:lim="400000"/>
          </w14:textOutline>
        </w:rPr>
      </w:pPr>
      <w:r>
        <w:rPr>
          <w:rFonts w:eastAsiaTheme="minorHAnsi"/>
          <w:sz w:val="20"/>
          <w:szCs w:val="20"/>
          <w:bdr w:val="none" w:sz="0" w:space="0" w:color="auto"/>
          <w:lang w:eastAsia="en-US"/>
        </w:rPr>
        <w:br w:type="page"/>
      </w:r>
    </w:p>
    <w:p w14:paraId="03D28973" w14:textId="77777777" w:rsidR="00765A93" w:rsidRPr="00461D9C" w:rsidRDefault="00765A93" w:rsidP="00765A93">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before="120" w:after="120"/>
        <w:jc w:val="both"/>
        <w:outlineLvl w:val="9"/>
        <w:rPr>
          <w:rFonts w:eastAsiaTheme="minorHAnsi"/>
          <w:sz w:val="20"/>
          <w:szCs w:val="20"/>
          <w:bdr w:val="none" w:sz="0" w:space="0" w:color="auto"/>
          <w:lang w:eastAsia="en-US"/>
        </w:rPr>
      </w:pPr>
      <w:r w:rsidRPr="00461D9C">
        <w:rPr>
          <w:rFonts w:eastAsiaTheme="minorHAnsi"/>
          <w:sz w:val="20"/>
          <w:szCs w:val="20"/>
          <w:bdr w:val="none" w:sz="0" w:space="0" w:color="auto"/>
          <w:lang w:eastAsia="en-US"/>
        </w:rPr>
        <w:lastRenderedPageBreak/>
        <w:t>Los pilares de esta nueva estrategia se distribuyen en tres grandes objetivos: Resiliencia, Neutralidad Climática y generación de Valor para la Economía y Ciudadanía de Canarias:</w:t>
      </w:r>
    </w:p>
    <w:p w14:paraId="4CB346F2" w14:textId="77777777" w:rsidR="00765A93" w:rsidRPr="00461D9C" w:rsidRDefault="00765A93" w:rsidP="00765A93">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before="120" w:after="120"/>
        <w:jc w:val="right"/>
        <w:outlineLvl w:val="9"/>
        <w:rPr>
          <w:rFonts w:eastAsiaTheme="minorHAnsi"/>
          <w:b/>
          <w:bCs/>
          <w:color w:val="auto"/>
          <w:sz w:val="20"/>
          <w:szCs w:val="20"/>
          <w:bdr w:val="none" w:sz="0" w:space="0" w:color="auto"/>
          <w:lang w:eastAsia="en-US"/>
        </w:rPr>
      </w:pPr>
      <w:r w:rsidRPr="00461D9C">
        <w:rPr>
          <w:rFonts w:eastAsiaTheme="minorHAnsi"/>
          <w:b/>
          <w:bCs/>
          <w:color w:val="auto"/>
          <w:sz w:val="20"/>
          <w:szCs w:val="20"/>
          <w:bdr w:val="none" w:sz="0" w:space="0" w:color="auto"/>
          <w:lang w:eastAsia="en-US"/>
        </w:rPr>
        <w:t>Nuevo propósito Promotur, Turismo Canarias S.A.:</w:t>
      </w:r>
    </w:p>
    <w:p w14:paraId="62E079FE" w14:textId="77777777" w:rsidR="00765A93" w:rsidRPr="00D41577" w:rsidRDefault="00765A93" w:rsidP="00765A93">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before="120"/>
        <w:jc w:val="right"/>
        <w:outlineLvl w:val="9"/>
        <w:rPr>
          <w:i/>
          <w:iCs/>
          <w:color w:val="FFC00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D41577">
        <w:rPr>
          <w:i/>
          <w:iCs/>
          <w:color w:val="FFC00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Impulsar la transformación del modelo turístico</w:t>
      </w:r>
    </w:p>
    <w:p w14:paraId="4B017766" w14:textId="77777777" w:rsidR="00765A93" w:rsidRPr="00D41577" w:rsidRDefault="00765A93" w:rsidP="00765A93">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jc w:val="right"/>
        <w:outlineLvl w:val="9"/>
        <w:rPr>
          <w:i/>
          <w:iCs/>
          <w:color w:val="FFC00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D41577">
        <w:rPr>
          <w:i/>
          <w:iCs/>
          <w:color w:val="FFC00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canario para la mejora de su resiliencia,</w:t>
      </w:r>
    </w:p>
    <w:p w14:paraId="001B1461" w14:textId="77777777" w:rsidR="00765A93" w:rsidRPr="00D41577" w:rsidRDefault="00765A93" w:rsidP="00765A93">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jc w:val="right"/>
        <w:outlineLvl w:val="9"/>
        <w:rPr>
          <w:i/>
          <w:iCs/>
          <w:color w:val="FFC00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D41577">
        <w:rPr>
          <w:i/>
          <w:iCs/>
          <w:color w:val="FFC00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el incremento de su compromiso con la</w:t>
      </w:r>
    </w:p>
    <w:p w14:paraId="10C52569" w14:textId="77777777" w:rsidR="00765A93" w:rsidRPr="00D41577" w:rsidRDefault="00765A93" w:rsidP="00765A93">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jc w:val="right"/>
        <w:outlineLvl w:val="9"/>
        <w:rPr>
          <w:i/>
          <w:iCs/>
          <w:color w:val="FFC00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D41577">
        <w:rPr>
          <w:i/>
          <w:iCs/>
          <w:color w:val="FFC00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neutralidad climática y la potenciación de su</w:t>
      </w:r>
    </w:p>
    <w:p w14:paraId="28D88E0D" w14:textId="77777777" w:rsidR="00765A93" w:rsidRPr="00D41577" w:rsidRDefault="00765A93" w:rsidP="00765A93">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jc w:val="right"/>
        <w:outlineLvl w:val="9"/>
        <w:rPr>
          <w:i/>
          <w:iCs/>
          <w:color w:val="FFC00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D41577">
        <w:rPr>
          <w:i/>
          <w:iCs/>
          <w:color w:val="FFC00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capacidad de generar valor en favor de la</w:t>
      </w:r>
    </w:p>
    <w:p w14:paraId="3C791B33" w14:textId="7E1C904B" w:rsidR="00765A93" w:rsidRPr="00D41577" w:rsidRDefault="00765A93" w:rsidP="00765A93">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after="120"/>
        <w:jc w:val="right"/>
        <w:outlineLvl w:val="9"/>
        <w:rPr>
          <w:rFonts w:eastAsiaTheme="minorHAnsi"/>
          <w:bdr w:val="none" w:sz="0" w:space="0" w:color="auto"/>
          <w:lang w:eastAsia="en-US"/>
        </w:rPr>
      </w:pPr>
      <w:r w:rsidRPr="00D41577">
        <w:rPr>
          <w:i/>
          <w:iCs/>
          <w:color w:val="FFC00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economía y la ciudadanía de Canarias</w:t>
      </w:r>
    </w:p>
    <w:p w14:paraId="56B46218" w14:textId="77777777" w:rsidR="00765A93" w:rsidRPr="00461D9C" w:rsidRDefault="00765A93" w:rsidP="00461D9C">
      <w:pPr>
        <w:pStyle w:val="CuerpoA"/>
        <w:widowControl w:val="0"/>
        <w:spacing w:before="240" w:after="120" w:line="288" w:lineRule="auto"/>
        <w:jc w:val="both"/>
        <w:rPr>
          <w:rFonts w:ascii="Arial" w:eastAsiaTheme="minorHAnsi" w:hAnsi="Arial" w:cs="Arial"/>
          <w:sz w:val="20"/>
          <w:szCs w:val="20"/>
          <w:bdr w:val="none" w:sz="0" w:space="0" w:color="auto"/>
          <w:lang w:val="es-ES" w:eastAsia="en-US"/>
        </w:rPr>
      </w:pPr>
      <w:r w:rsidRPr="00461D9C">
        <w:rPr>
          <w:rFonts w:ascii="Arial" w:eastAsiaTheme="minorHAnsi" w:hAnsi="Arial" w:cs="Arial"/>
          <w:sz w:val="20"/>
          <w:szCs w:val="20"/>
          <w:bdr w:val="none" w:sz="0" w:space="0" w:color="auto"/>
          <w:lang w:val="es-ES" w:eastAsia="en-US"/>
        </w:rPr>
        <w:t>En líneas generales, durante este año 2024, el equipo humano de PROMOTUR ha trabajado en diferentes programas y propuestas centradas en evolucionar la marca Islas Canarias hacia valores de identidad y sostenibilidad, en atraer a un turista más responsable, en valorar a las personas que trabajan en el sector y, sobre todo, en llegar más a la ciudadanía. Mantenernos presentes en la mente de los consumidores, fomentando el diálogo constante con nuestro público es otro de nuestros grandes objetivos.</w:t>
      </w:r>
    </w:p>
    <w:p w14:paraId="612404EA" w14:textId="77777777" w:rsidR="00765A93" w:rsidRPr="00461D9C" w:rsidRDefault="00765A93" w:rsidP="00765A93">
      <w:pPr>
        <w:pStyle w:val="CuerpoA"/>
        <w:widowControl w:val="0"/>
        <w:spacing w:before="120" w:after="120" w:line="288" w:lineRule="auto"/>
        <w:jc w:val="both"/>
        <w:rPr>
          <w:rFonts w:ascii="Arial" w:eastAsiaTheme="minorHAnsi" w:hAnsi="Arial" w:cs="Arial"/>
          <w:sz w:val="20"/>
          <w:szCs w:val="20"/>
          <w:bdr w:val="none" w:sz="0" w:space="0" w:color="auto"/>
          <w:lang w:val="es-ES" w:eastAsia="en-US"/>
        </w:rPr>
      </w:pPr>
      <w:r w:rsidRPr="00461D9C">
        <w:rPr>
          <w:rFonts w:ascii="Arial" w:eastAsiaTheme="minorHAnsi" w:hAnsi="Arial" w:cs="Arial"/>
          <w:sz w:val="20"/>
          <w:szCs w:val="20"/>
          <w:bdr w:val="none" w:sz="0" w:space="0" w:color="auto"/>
          <w:lang w:val="es-ES" w:eastAsia="en-US"/>
        </w:rPr>
        <w:t>Es muy importante destacar el proceso de transformación digital que estamos llevando a cabo. Una de las estrategias clave es la colaboración y el uso compartido de datos, que se han vuelto esenciales en nuestras decisiones. En este sentido, se ha levantado un espacio único de datos turísticos canarios y sobre este, la plataforma de inteligencia turística (instrumentos que desarrollan el Observatorio Turístico) y se ha puesto a disposición de otras entidades públicas, herramientas tales como nuestro CRM y el ecosistema de holaIslasCanarias.com (La Palma, La Gomera y Fuerteventura, próximamente El Hierro).  La conectividad de las islas es un factor clave de trabajo ya que nos posiciona razonadamente en la toma de decisiones y en el conocimiento del alcance de nuestros visitantes en el futuro más inmediato.</w:t>
      </w:r>
    </w:p>
    <w:p w14:paraId="3DDD7FD1" w14:textId="4CACB5AF" w:rsidR="00765A93" w:rsidRPr="00461D9C" w:rsidRDefault="00765A93" w:rsidP="00765A93">
      <w:pPr>
        <w:pStyle w:val="CuerpoA"/>
        <w:keepNext/>
        <w:keepLines/>
        <w:widowControl w:val="0"/>
        <w:spacing w:before="120" w:after="120" w:line="288" w:lineRule="auto"/>
        <w:jc w:val="both"/>
        <w:rPr>
          <w:rFonts w:ascii="Arial" w:eastAsiaTheme="minorHAnsi" w:hAnsi="Arial" w:cs="Arial"/>
          <w:sz w:val="20"/>
          <w:szCs w:val="20"/>
          <w:bdr w:val="none" w:sz="0" w:space="0" w:color="auto"/>
          <w:lang w:val="es-ES" w:eastAsia="en-US"/>
        </w:rPr>
      </w:pPr>
      <w:r w:rsidRPr="00461D9C">
        <w:rPr>
          <w:rFonts w:ascii="Arial" w:eastAsiaTheme="minorHAnsi" w:hAnsi="Arial" w:cs="Arial"/>
          <w:noProof/>
          <w:sz w:val="20"/>
          <w:szCs w:val="20"/>
          <w:bdr w:val="none" w:sz="0" w:space="0" w:color="auto"/>
          <w:lang w:val="es-ES" w:eastAsia="en-US"/>
        </w:rPr>
        <w:lastRenderedPageBreak/>
        <w:drawing>
          <wp:anchor distT="0" distB="0" distL="114300" distR="114300" simplePos="0" relativeHeight="251661312" behindDoc="0" locked="0" layoutInCell="1" allowOverlap="1" wp14:anchorId="0FC8986F" wp14:editId="41F16FE4">
            <wp:simplePos x="0" y="0"/>
            <wp:positionH relativeFrom="page">
              <wp:posOffset>1181100</wp:posOffset>
            </wp:positionH>
            <wp:positionV relativeFrom="paragraph">
              <wp:posOffset>958215</wp:posOffset>
            </wp:positionV>
            <wp:extent cx="5391150" cy="3689985"/>
            <wp:effectExtent l="0" t="0" r="0" b="5715"/>
            <wp:wrapTopAndBottom/>
            <wp:docPr id="6423487"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423487" name="Imagen 1"/>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391150" cy="3689985"/>
                    </a:xfrm>
                    <a:prstGeom prst="rect">
                      <a:avLst/>
                    </a:prstGeom>
                    <a:noFill/>
                  </pic:spPr>
                </pic:pic>
              </a:graphicData>
            </a:graphic>
            <wp14:sizeRelH relativeFrom="page">
              <wp14:pctWidth>0</wp14:pctWidth>
            </wp14:sizeRelH>
            <wp14:sizeRelV relativeFrom="page">
              <wp14:pctHeight>0</wp14:pctHeight>
            </wp14:sizeRelV>
          </wp:anchor>
        </w:drawing>
      </w:r>
      <w:r w:rsidRPr="00461D9C">
        <w:rPr>
          <w:rFonts w:ascii="Arial" w:eastAsiaTheme="minorHAnsi" w:hAnsi="Arial" w:cs="Arial"/>
          <w:sz w:val="20"/>
          <w:szCs w:val="20"/>
          <w:bdr w:val="none" w:sz="0" w:space="0" w:color="auto"/>
          <w:lang w:val="es-ES" w:eastAsia="en-US"/>
        </w:rPr>
        <w:t>Concretamente, el Plan de Actuación definido para el ejercicio 2024 y aprobado en Consejo de Administración con fecha 22 de marzo del 2024, establece un Presupuesto por Programas para el que se presenta a continuación su seguimiento real con cifras cerradas al 31 de diciembre de 2024 (Fuentes: GESTION PROYECTOS “PENTAHO” Y CONTABILIDAD “NEWGEN”):</w:t>
      </w:r>
    </w:p>
    <w:p w14:paraId="6F6ED7A8" w14:textId="77777777" w:rsidR="00461D9C" w:rsidRDefault="00461D9C" w:rsidP="00A20126">
      <w:pPr>
        <w:pStyle w:val="CuerpoA"/>
        <w:widowControl w:val="0"/>
        <w:spacing w:before="240" w:after="120" w:line="260" w:lineRule="exact"/>
        <w:jc w:val="both"/>
        <w:rPr>
          <w:sz w:val="23"/>
          <w:szCs w:val="23"/>
        </w:rPr>
      </w:pPr>
      <w:r>
        <w:rPr>
          <w:sz w:val="23"/>
          <w:szCs w:val="23"/>
        </w:rPr>
        <w:br w:type="page"/>
      </w:r>
    </w:p>
    <w:p w14:paraId="5F91A801" w14:textId="203A161B" w:rsidR="00765A93" w:rsidRPr="00461D9C" w:rsidRDefault="00765A93" w:rsidP="00A20126">
      <w:pPr>
        <w:pStyle w:val="CuerpoA"/>
        <w:widowControl w:val="0"/>
        <w:spacing w:before="240" w:after="120" w:line="260" w:lineRule="exact"/>
        <w:jc w:val="both"/>
        <w:rPr>
          <w:rFonts w:ascii="Arial" w:eastAsiaTheme="minorHAnsi" w:hAnsi="Arial" w:cs="Arial"/>
          <w:sz w:val="20"/>
          <w:szCs w:val="20"/>
          <w:highlight w:val="red"/>
          <w:bdr w:val="none" w:sz="0" w:space="0" w:color="auto"/>
          <w:lang w:val="es-ES" w:eastAsia="en-US"/>
        </w:rPr>
      </w:pPr>
      <w:r w:rsidRPr="00461D9C">
        <w:rPr>
          <w:rFonts w:ascii="Arial" w:hAnsi="Arial" w:cs="Arial"/>
          <w:sz w:val="20"/>
          <w:szCs w:val="20"/>
        </w:rPr>
        <w:lastRenderedPageBreak/>
        <w:t>Se adjunta desglosada la misma información anterior con detalle por programa de actuación y planes:</w:t>
      </w:r>
    </w:p>
    <w:p w14:paraId="1598D3EA" w14:textId="74110115" w:rsidR="00765A93" w:rsidRDefault="00765A93" w:rsidP="00A20126">
      <w:pPr>
        <w:pStyle w:val="CuerpoA"/>
        <w:widowControl w:val="0"/>
        <w:spacing w:before="240" w:after="120" w:line="260" w:lineRule="exact"/>
        <w:jc w:val="both"/>
        <w:rPr>
          <w:rFonts w:ascii="Arial" w:eastAsiaTheme="minorHAnsi" w:hAnsi="Arial" w:cs="Arial"/>
          <w:sz w:val="20"/>
          <w:szCs w:val="20"/>
          <w:highlight w:val="red"/>
          <w:bdr w:val="none" w:sz="0" w:space="0" w:color="auto"/>
          <w:lang w:val="es-ES" w:eastAsia="en-US"/>
        </w:rPr>
      </w:pPr>
      <w:r>
        <w:rPr>
          <w:noProof/>
          <w:sz w:val="23"/>
          <w:szCs w:val="23"/>
        </w:rPr>
        <w:drawing>
          <wp:anchor distT="0" distB="0" distL="114300" distR="114300" simplePos="0" relativeHeight="251662336" behindDoc="0" locked="0" layoutInCell="1" allowOverlap="1" wp14:anchorId="4B638202" wp14:editId="024033A2">
            <wp:simplePos x="0" y="0"/>
            <wp:positionH relativeFrom="column">
              <wp:posOffset>-3810</wp:posOffset>
            </wp:positionH>
            <wp:positionV relativeFrom="paragraph">
              <wp:posOffset>0</wp:posOffset>
            </wp:positionV>
            <wp:extent cx="5553355" cy="7056000"/>
            <wp:effectExtent l="0" t="0" r="0" b="0"/>
            <wp:wrapTopAndBottom/>
            <wp:docPr id="311407776" name="Imagen 2" descr="Imagen que contiene Texto&#10;&#10;El contenido generado por IA puede ser incorrec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1407776" name="Imagen 2" descr="Imagen que contiene Texto&#10;&#10;El contenido generado por IA puede ser incorrecto."/>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553355" cy="7056000"/>
                    </a:xfrm>
                    <a:prstGeom prst="rect">
                      <a:avLst/>
                    </a:prstGeom>
                    <a:noFill/>
                  </pic:spPr>
                </pic:pic>
              </a:graphicData>
            </a:graphic>
            <wp14:sizeRelH relativeFrom="page">
              <wp14:pctWidth>0</wp14:pctWidth>
            </wp14:sizeRelH>
            <wp14:sizeRelV relativeFrom="page">
              <wp14:pctHeight>0</wp14:pctHeight>
            </wp14:sizeRelV>
          </wp:anchor>
        </w:drawing>
      </w:r>
    </w:p>
    <w:p w14:paraId="34FAD380" w14:textId="77777777" w:rsidR="00765A93" w:rsidRPr="00461D9C" w:rsidRDefault="00765A93" w:rsidP="00765A93">
      <w:pPr>
        <w:pStyle w:val="CuerpoA"/>
        <w:keepNext/>
        <w:keepLines/>
        <w:widowControl w:val="0"/>
        <w:spacing w:before="120" w:after="120" w:line="288" w:lineRule="auto"/>
        <w:jc w:val="both"/>
        <w:rPr>
          <w:rFonts w:ascii="Arial" w:eastAsiaTheme="minorHAnsi" w:hAnsi="Arial" w:cs="Arial"/>
          <w:sz w:val="20"/>
          <w:szCs w:val="20"/>
          <w:highlight w:val="yellow"/>
          <w:bdr w:val="none" w:sz="0" w:space="0" w:color="auto"/>
          <w:lang w:val="es-ES" w:eastAsia="en-US"/>
        </w:rPr>
      </w:pPr>
      <w:r w:rsidRPr="00461D9C">
        <w:rPr>
          <w:rFonts w:ascii="Arial" w:eastAsiaTheme="minorHAnsi" w:hAnsi="Arial" w:cs="Arial"/>
          <w:sz w:val="20"/>
          <w:szCs w:val="20"/>
          <w:bdr w:val="none" w:sz="0" w:space="0" w:color="auto"/>
          <w:lang w:val="es-ES" w:eastAsia="en-US"/>
        </w:rPr>
        <w:lastRenderedPageBreak/>
        <w:t xml:space="preserve">Es muy destacable para este ejercicio 2024, la capacidad que ha tenido Turismo de Islas Canarias para poder llegar al cliente final en 23 mercados en 18 idiomas. Concretamente y gracias al talento de su equipo humano, las innovaciones tecnológicas desplegadas y el gran ecosistema de las empresas colaboradores han permitido lanzar a potenciales turistas </w:t>
      </w:r>
      <w:r w:rsidRPr="00461D9C">
        <w:rPr>
          <w:rFonts w:ascii="Arial" w:eastAsiaTheme="minorHAnsi" w:hAnsi="Arial" w:cs="Arial"/>
          <w:b/>
          <w:bCs/>
          <w:sz w:val="20"/>
          <w:szCs w:val="20"/>
          <w:bdr w:val="none" w:sz="0" w:space="0" w:color="auto"/>
          <w:lang w:val="es-ES" w:eastAsia="en-US"/>
        </w:rPr>
        <w:t xml:space="preserve">2.004 millones de impactos publicitarios y 10 millones de impactos a público profesional </w:t>
      </w:r>
      <w:r w:rsidRPr="00461D9C">
        <w:rPr>
          <w:rFonts w:ascii="Arial" w:eastAsiaTheme="minorHAnsi" w:hAnsi="Arial" w:cs="Arial"/>
          <w:sz w:val="20"/>
          <w:szCs w:val="20"/>
          <w:bdr w:val="none" w:sz="0" w:space="0" w:color="auto"/>
          <w:lang w:val="es-ES" w:eastAsia="en-US"/>
        </w:rPr>
        <w:t xml:space="preserve">(Fuente: </w:t>
      </w:r>
      <w:proofErr w:type="spellStart"/>
      <w:r w:rsidRPr="00461D9C">
        <w:rPr>
          <w:rFonts w:ascii="Arial" w:eastAsiaTheme="minorHAnsi" w:hAnsi="Arial" w:cs="Arial"/>
          <w:sz w:val="20"/>
          <w:szCs w:val="20"/>
          <w:bdr w:val="none" w:sz="0" w:space="0" w:color="auto"/>
          <w:lang w:val="es-ES" w:eastAsia="en-US"/>
        </w:rPr>
        <w:t>Eulerian</w:t>
      </w:r>
      <w:proofErr w:type="spellEnd"/>
      <w:r w:rsidRPr="00461D9C">
        <w:rPr>
          <w:rFonts w:ascii="Arial" w:eastAsiaTheme="minorHAnsi" w:hAnsi="Arial" w:cs="Arial"/>
          <w:sz w:val="20"/>
          <w:szCs w:val="20"/>
          <w:bdr w:val="none" w:sz="0" w:space="0" w:color="auto"/>
          <w:lang w:val="es-ES" w:eastAsia="en-US"/>
        </w:rPr>
        <w:t xml:space="preserve"> 2024), de forma segmentada y con los contenidos más afines para cada audiencia. La web </w:t>
      </w:r>
      <w:proofErr w:type="spellStart"/>
      <w:r w:rsidRPr="00461D9C">
        <w:rPr>
          <w:rFonts w:ascii="Arial" w:eastAsiaTheme="minorHAnsi" w:hAnsi="Arial" w:cs="Arial"/>
          <w:sz w:val="20"/>
          <w:szCs w:val="20"/>
          <w:bdr w:val="none" w:sz="0" w:space="0" w:color="auto"/>
          <w:lang w:val="es-ES" w:eastAsia="en-US"/>
        </w:rPr>
        <w:t>holaislascanarias</w:t>
      </w:r>
      <w:proofErr w:type="spellEnd"/>
      <w:r w:rsidRPr="00461D9C">
        <w:rPr>
          <w:rFonts w:ascii="Arial" w:eastAsiaTheme="minorHAnsi" w:hAnsi="Arial" w:cs="Arial"/>
          <w:sz w:val="20"/>
          <w:szCs w:val="20"/>
          <w:bdr w:val="none" w:sz="0" w:space="0" w:color="auto"/>
          <w:lang w:val="es-ES" w:eastAsia="en-US"/>
        </w:rPr>
        <w:t xml:space="preserve"> creció un </w:t>
      </w:r>
      <w:r w:rsidRPr="00461D9C">
        <w:rPr>
          <w:rFonts w:ascii="Arial" w:eastAsiaTheme="minorHAnsi" w:hAnsi="Arial" w:cs="Arial"/>
          <w:b/>
          <w:bCs/>
          <w:sz w:val="20"/>
          <w:szCs w:val="20"/>
          <w:bdr w:val="none" w:sz="0" w:space="0" w:color="auto"/>
          <w:lang w:val="es-ES" w:eastAsia="en-US"/>
        </w:rPr>
        <w:t>56% en tráfico orgánico</w:t>
      </w:r>
      <w:r w:rsidRPr="00461D9C">
        <w:rPr>
          <w:rFonts w:ascii="Arial" w:eastAsiaTheme="minorHAnsi" w:hAnsi="Arial" w:cs="Arial"/>
          <w:sz w:val="20"/>
          <w:szCs w:val="20"/>
          <w:bdr w:val="none" w:sz="0" w:space="0" w:color="auto"/>
          <w:lang w:val="es-ES" w:eastAsia="en-US"/>
        </w:rPr>
        <w:t xml:space="preserve"> y sumó la isla de La Palma, a través de un convenio de colaboración, a su ecosistema digital, cerrando el año con 16 millones de visitas.</w:t>
      </w:r>
    </w:p>
    <w:p w14:paraId="1590B3B0" w14:textId="77777777" w:rsidR="00765A93" w:rsidRPr="00461D9C" w:rsidRDefault="00765A93" w:rsidP="00765A93">
      <w:pPr>
        <w:pStyle w:val="CuerpoA"/>
        <w:keepNext/>
        <w:keepLines/>
        <w:widowControl w:val="0"/>
        <w:spacing w:before="120" w:after="120" w:line="288" w:lineRule="auto"/>
        <w:jc w:val="both"/>
        <w:rPr>
          <w:rFonts w:ascii="Arial" w:eastAsiaTheme="minorHAnsi" w:hAnsi="Arial" w:cs="Arial"/>
          <w:sz w:val="20"/>
          <w:szCs w:val="20"/>
          <w:bdr w:val="none" w:sz="0" w:space="0" w:color="auto"/>
          <w:lang w:val="es-ES" w:eastAsia="en-US"/>
        </w:rPr>
      </w:pPr>
      <w:r w:rsidRPr="00461D9C">
        <w:rPr>
          <w:rFonts w:ascii="Arial" w:eastAsiaTheme="minorHAnsi" w:hAnsi="Arial" w:cs="Arial"/>
          <w:sz w:val="20"/>
          <w:szCs w:val="20"/>
          <w:bdr w:val="none" w:sz="0" w:space="0" w:color="auto"/>
          <w:lang w:val="es-ES" w:eastAsia="en-US"/>
        </w:rPr>
        <w:t xml:space="preserve">Muestra de la gran eficacia de la promoción turística realizada por TIC son los </w:t>
      </w:r>
      <w:r w:rsidRPr="00461D9C">
        <w:rPr>
          <w:rFonts w:ascii="Arial" w:eastAsiaTheme="minorHAnsi" w:hAnsi="Arial" w:cs="Arial"/>
          <w:b/>
          <w:bCs/>
          <w:sz w:val="20"/>
          <w:szCs w:val="20"/>
          <w:bdr w:val="none" w:sz="0" w:space="0" w:color="auto"/>
          <w:lang w:val="es-ES" w:eastAsia="en-US"/>
        </w:rPr>
        <w:t>10 reconocimientos nacionales e internacionales</w:t>
      </w:r>
      <w:r w:rsidRPr="00461D9C">
        <w:rPr>
          <w:rFonts w:ascii="Arial" w:eastAsiaTheme="minorHAnsi" w:hAnsi="Arial" w:cs="Arial"/>
          <w:sz w:val="20"/>
          <w:szCs w:val="20"/>
          <w:bdr w:val="none" w:sz="0" w:space="0" w:color="auto"/>
          <w:lang w:val="es-ES" w:eastAsia="en-US"/>
        </w:rPr>
        <w:t xml:space="preserve"> que las diferentes campañas promocionales han recibido durante el ejercicio de 2024 </w:t>
      </w:r>
      <w:bookmarkStart w:id="14" w:name="_Hlk161654490"/>
      <w:r w:rsidRPr="00461D9C">
        <w:fldChar w:fldCharType="begin"/>
      </w:r>
      <w:r w:rsidRPr="00461D9C">
        <w:rPr>
          <w:rFonts w:ascii="Arial" w:hAnsi="Arial" w:cs="Arial"/>
          <w:sz w:val="20"/>
          <w:szCs w:val="20"/>
        </w:rPr>
        <w:instrText>HYPERLINK "https://turismodeislascanarias.com/es/premios/"</w:instrText>
      </w:r>
      <w:r w:rsidRPr="00461D9C">
        <w:fldChar w:fldCharType="separate"/>
      </w:r>
      <w:r w:rsidRPr="00461D9C">
        <w:rPr>
          <w:rStyle w:val="Hipervnculo"/>
          <w:rFonts w:ascii="Arial" w:eastAsiaTheme="minorHAnsi" w:hAnsi="Arial" w:cs="Arial"/>
          <w:sz w:val="20"/>
          <w:szCs w:val="20"/>
          <w:bdr w:val="none" w:sz="0" w:space="0" w:color="auto"/>
          <w:lang w:eastAsia="en-US"/>
        </w:rPr>
        <w:t>Consultar turismoislascanarias.com</w:t>
      </w:r>
      <w:r w:rsidRPr="00461D9C">
        <w:rPr>
          <w:rStyle w:val="Hipervnculo"/>
          <w:rFonts w:ascii="Arial" w:eastAsiaTheme="minorHAnsi" w:hAnsi="Arial" w:cs="Arial"/>
          <w:sz w:val="20"/>
          <w:szCs w:val="20"/>
          <w:bdr w:val="none" w:sz="0" w:space="0" w:color="auto"/>
          <w:lang w:eastAsia="en-US"/>
        </w:rPr>
        <w:fldChar w:fldCharType="end"/>
      </w:r>
      <w:r w:rsidRPr="00461D9C">
        <w:rPr>
          <w:rFonts w:ascii="Arial" w:eastAsiaTheme="minorHAnsi" w:hAnsi="Arial" w:cs="Arial"/>
          <w:sz w:val="20"/>
          <w:szCs w:val="20"/>
          <w:bdr w:val="none" w:sz="0" w:space="0" w:color="auto"/>
          <w:lang w:val="es-ES" w:eastAsia="en-US"/>
        </w:rPr>
        <w:t xml:space="preserve"> </w:t>
      </w:r>
      <w:bookmarkEnd w:id="14"/>
    </w:p>
    <w:p w14:paraId="6B4A26C6" w14:textId="77777777" w:rsidR="00765A93" w:rsidRPr="00461D9C" w:rsidRDefault="00765A93" w:rsidP="00765A93">
      <w:pPr>
        <w:pStyle w:val="CuerpoA"/>
        <w:keepNext/>
        <w:keepLines/>
        <w:widowControl w:val="0"/>
        <w:spacing w:before="120" w:after="120" w:line="288" w:lineRule="auto"/>
        <w:jc w:val="both"/>
        <w:rPr>
          <w:rFonts w:ascii="Arial" w:eastAsiaTheme="minorHAnsi" w:hAnsi="Arial" w:cs="Arial"/>
          <w:sz w:val="20"/>
          <w:szCs w:val="20"/>
          <w:bdr w:val="none" w:sz="0" w:space="0" w:color="auto"/>
          <w:lang w:val="es-ES" w:eastAsia="en-US"/>
        </w:rPr>
      </w:pPr>
      <w:r w:rsidRPr="00461D9C">
        <w:rPr>
          <w:rFonts w:ascii="Arial" w:eastAsiaTheme="minorHAnsi" w:hAnsi="Arial" w:cs="Arial"/>
          <w:sz w:val="20"/>
          <w:szCs w:val="20"/>
          <w:bdr w:val="none" w:sz="0" w:space="0" w:color="auto"/>
          <w:lang w:val="es-ES" w:eastAsia="en-US"/>
        </w:rPr>
        <w:t xml:space="preserve">Los planes desarrollados para la </w:t>
      </w:r>
      <w:r w:rsidRPr="00461D9C">
        <w:rPr>
          <w:rFonts w:ascii="Arial" w:eastAsiaTheme="minorHAnsi" w:hAnsi="Arial" w:cs="Arial"/>
          <w:b/>
          <w:bCs/>
          <w:sz w:val="20"/>
          <w:szCs w:val="20"/>
          <w:bdr w:val="none" w:sz="0" w:space="0" w:color="auto"/>
          <w:lang w:val="es-ES" w:eastAsia="en-US"/>
        </w:rPr>
        <w:t>Promoción</w:t>
      </w:r>
      <w:r w:rsidRPr="00461D9C">
        <w:rPr>
          <w:rFonts w:ascii="Arial" w:eastAsiaTheme="minorHAnsi" w:hAnsi="Arial" w:cs="Arial"/>
          <w:sz w:val="20"/>
          <w:szCs w:val="20"/>
          <w:bdr w:val="none" w:sz="0" w:space="0" w:color="auto"/>
          <w:lang w:val="es-ES" w:eastAsia="en-US"/>
        </w:rPr>
        <w:t xml:space="preserve"> en </w:t>
      </w:r>
      <w:r w:rsidRPr="00461D9C">
        <w:rPr>
          <w:rFonts w:ascii="Arial" w:eastAsiaTheme="minorHAnsi" w:hAnsi="Arial" w:cs="Arial"/>
          <w:b/>
          <w:bCs/>
          <w:sz w:val="20"/>
          <w:szCs w:val="20"/>
          <w:bdr w:val="none" w:sz="0" w:space="0" w:color="auto"/>
          <w:lang w:val="es-ES" w:eastAsia="en-US"/>
        </w:rPr>
        <w:t>Sol y Playa +</w:t>
      </w:r>
      <w:r w:rsidRPr="00461D9C">
        <w:rPr>
          <w:rFonts w:ascii="Arial" w:eastAsiaTheme="minorHAnsi" w:hAnsi="Arial" w:cs="Arial"/>
          <w:sz w:val="20"/>
          <w:szCs w:val="20"/>
          <w:bdr w:val="none" w:sz="0" w:space="0" w:color="auto"/>
          <w:lang w:val="es-ES" w:eastAsia="en-US"/>
        </w:rPr>
        <w:t xml:space="preserve"> han mantenido una inversión muy importante, siempre mejorando la notoriedad y la imagen del destino Islas Canarias, la promoción de la reserva y contratación de servicios y productos turísticos de las Islas y la generación de visitas a los medios propios de Promotur Turismo Canarias S.A., todo ello a través de la realización de campañas directas al cliente final, principalmente. Destacan campañas como “Campaña </w:t>
      </w:r>
      <w:proofErr w:type="spellStart"/>
      <w:r w:rsidRPr="00461D9C">
        <w:rPr>
          <w:rFonts w:ascii="Arial" w:eastAsiaTheme="minorHAnsi" w:hAnsi="Arial" w:cs="Arial"/>
          <w:sz w:val="20"/>
          <w:szCs w:val="20"/>
          <w:bdr w:val="none" w:sz="0" w:space="0" w:color="auto"/>
          <w:lang w:val="es-ES" w:eastAsia="en-US"/>
        </w:rPr>
        <w:t>Discovering</w:t>
      </w:r>
      <w:proofErr w:type="spellEnd"/>
      <w:r w:rsidRPr="00461D9C">
        <w:rPr>
          <w:rFonts w:ascii="Arial" w:eastAsiaTheme="minorHAnsi" w:hAnsi="Arial" w:cs="Arial"/>
          <w:sz w:val="20"/>
          <w:szCs w:val="20"/>
          <w:bdr w:val="none" w:sz="0" w:space="0" w:color="auto"/>
          <w:lang w:val="es-ES" w:eastAsia="en-US"/>
        </w:rPr>
        <w:t xml:space="preserve"> </w:t>
      </w:r>
      <w:proofErr w:type="spellStart"/>
      <w:r w:rsidRPr="00461D9C">
        <w:rPr>
          <w:rFonts w:ascii="Arial" w:eastAsiaTheme="minorHAnsi" w:hAnsi="Arial" w:cs="Arial"/>
          <w:sz w:val="20"/>
          <w:szCs w:val="20"/>
          <w:bdr w:val="none" w:sz="0" w:space="0" w:color="auto"/>
          <w:lang w:val="es-ES" w:eastAsia="en-US"/>
        </w:rPr>
        <w:t>Canary</w:t>
      </w:r>
      <w:proofErr w:type="spellEnd"/>
      <w:r w:rsidRPr="00461D9C">
        <w:rPr>
          <w:rFonts w:ascii="Arial" w:eastAsiaTheme="minorHAnsi" w:hAnsi="Arial" w:cs="Arial"/>
          <w:sz w:val="20"/>
          <w:szCs w:val="20"/>
          <w:bdr w:val="none" w:sz="0" w:space="0" w:color="auto"/>
          <w:lang w:val="es-ES" w:eastAsia="en-US"/>
        </w:rPr>
        <w:t xml:space="preserve"> </w:t>
      </w:r>
      <w:proofErr w:type="spellStart"/>
      <w:r w:rsidRPr="00461D9C">
        <w:rPr>
          <w:rFonts w:ascii="Arial" w:eastAsiaTheme="minorHAnsi" w:hAnsi="Arial" w:cs="Arial"/>
          <w:sz w:val="20"/>
          <w:szCs w:val="20"/>
          <w:bdr w:val="none" w:sz="0" w:space="0" w:color="auto"/>
          <w:lang w:val="es-ES" w:eastAsia="en-US"/>
        </w:rPr>
        <w:t>Islands</w:t>
      </w:r>
      <w:proofErr w:type="spellEnd"/>
      <w:r w:rsidRPr="00461D9C">
        <w:rPr>
          <w:rFonts w:ascii="Arial" w:eastAsiaTheme="minorHAnsi" w:hAnsi="Arial" w:cs="Arial"/>
          <w:sz w:val="20"/>
          <w:szCs w:val="20"/>
          <w:bdr w:val="none" w:sz="0" w:space="0" w:color="auto"/>
          <w:lang w:val="es-ES" w:eastAsia="en-US"/>
        </w:rPr>
        <w:t xml:space="preserve"> 2024”, “Campaña de Invierno” y la “Campaña de verano”, con resultados muy positivos tanto en número de visualizaciones como en impresiones digitales, radio, exteriores entre otros.</w:t>
      </w:r>
    </w:p>
    <w:p w14:paraId="16BE70D8" w14:textId="77777777" w:rsidR="00765A93" w:rsidRPr="00461D9C" w:rsidRDefault="00765A93" w:rsidP="00765A93">
      <w:pPr>
        <w:pStyle w:val="CuerpoA"/>
        <w:keepNext/>
        <w:keepLines/>
        <w:widowControl w:val="0"/>
        <w:spacing w:before="120" w:after="120" w:line="288" w:lineRule="auto"/>
        <w:jc w:val="both"/>
        <w:rPr>
          <w:rFonts w:ascii="Arial" w:eastAsiaTheme="minorHAnsi" w:hAnsi="Arial" w:cs="Arial"/>
          <w:sz w:val="20"/>
          <w:szCs w:val="20"/>
          <w:bdr w:val="none" w:sz="0" w:space="0" w:color="auto"/>
          <w:lang w:val="es-ES" w:eastAsia="en-US"/>
        </w:rPr>
      </w:pPr>
      <w:r w:rsidRPr="00461D9C">
        <w:rPr>
          <w:rFonts w:ascii="Arial" w:eastAsiaTheme="minorHAnsi" w:hAnsi="Arial" w:cs="Arial"/>
          <w:sz w:val="20"/>
          <w:szCs w:val="20"/>
          <w:bdr w:val="none" w:sz="0" w:space="0" w:color="auto"/>
          <w:lang w:val="es-ES" w:eastAsia="en-US"/>
        </w:rPr>
        <w:t xml:space="preserve">Se destaca la primera inmersión en juegos con el proyecto </w:t>
      </w:r>
      <w:r w:rsidRPr="00461D9C">
        <w:rPr>
          <w:rFonts w:ascii="Arial" w:eastAsiaTheme="minorHAnsi" w:hAnsi="Arial" w:cs="Arial"/>
          <w:b/>
          <w:bCs/>
          <w:sz w:val="20"/>
          <w:szCs w:val="20"/>
          <w:bdr w:val="none" w:sz="0" w:space="0" w:color="auto"/>
          <w:lang w:val="es-ES" w:eastAsia="en-US"/>
        </w:rPr>
        <w:t>“</w:t>
      </w:r>
      <w:proofErr w:type="spellStart"/>
      <w:r w:rsidRPr="00461D9C">
        <w:rPr>
          <w:rFonts w:ascii="Arial" w:eastAsiaTheme="minorHAnsi" w:hAnsi="Arial" w:cs="Arial"/>
          <w:b/>
          <w:bCs/>
          <w:sz w:val="20"/>
          <w:szCs w:val="20"/>
          <w:bdr w:val="none" w:sz="0" w:space="0" w:color="auto"/>
          <w:lang w:val="es-ES" w:eastAsia="en-US"/>
        </w:rPr>
        <w:t>Find</w:t>
      </w:r>
      <w:proofErr w:type="spellEnd"/>
      <w:r w:rsidRPr="00461D9C">
        <w:rPr>
          <w:rFonts w:ascii="Arial" w:eastAsiaTheme="minorHAnsi" w:hAnsi="Arial" w:cs="Arial"/>
          <w:b/>
          <w:bCs/>
          <w:sz w:val="20"/>
          <w:szCs w:val="20"/>
          <w:bdr w:val="none" w:sz="0" w:space="0" w:color="auto"/>
          <w:lang w:val="es-ES" w:eastAsia="en-US"/>
        </w:rPr>
        <w:t xml:space="preserve"> </w:t>
      </w:r>
      <w:proofErr w:type="spellStart"/>
      <w:r w:rsidRPr="00461D9C">
        <w:rPr>
          <w:rFonts w:ascii="Arial" w:eastAsiaTheme="minorHAnsi" w:hAnsi="Arial" w:cs="Arial"/>
          <w:b/>
          <w:bCs/>
          <w:sz w:val="20"/>
          <w:szCs w:val="20"/>
          <w:bdr w:val="none" w:sz="0" w:space="0" w:color="auto"/>
          <w:lang w:val="es-ES" w:eastAsia="en-US"/>
        </w:rPr>
        <w:t>the</w:t>
      </w:r>
      <w:proofErr w:type="spellEnd"/>
      <w:r w:rsidRPr="00461D9C">
        <w:rPr>
          <w:rFonts w:ascii="Arial" w:eastAsiaTheme="minorHAnsi" w:hAnsi="Arial" w:cs="Arial"/>
          <w:b/>
          <w:bCs/>
          <w:sz w:val="20"/>
          <w:szCs w:val="20"/>
          <w:bdr w:val="none" w:sz="0" w:space="0" w:color="auto"/>
          <w:lang w:val="es-ES" w:eastAsia="en-US"/>
        </w:rPr>
        <w:t xml:space="preserve"> </w:t>
      </w:r>
      <w:proofErr w:type="spellStart"/>
      <w:r w:rsidRPr="00461D9C">
        <w:rPr>
          <w:rFonts w:ascii="Arial" w:eastAsiaTheme="minorHAnsi" w:hAnsi="Arial" w:cs="Arial"/>
          <w:b/>
          <w:bCs/>
          <w:sz w:val="20"/>
          <w:szCs w:val="20"/>
          <w:bdr w:val="none" w:sz="0" w:space="0" w:color="auto"/>
          <w:lang w:val="es-ES" w:eastAsia="en-US"/>
        </w:rPr>
        <w:t>Seasouls</w:t>
      </w:r>
      <w:proofErr w:type="spellEnd"/>
      <w:r w:rsidRPr="00461D9C">
        <w:rPr>
          <w:rFonts w:ascii="Arial" w:eastAsiaTheme="minorHAnsi" w:hAnsi="Arial" w:cs="Arial"/>
          <w:b/>
          <w:bCs/>
          <w:sz w:val="20"/>
          <w:szCs w:val="20"/>
          <w:bdr w:val="none" w:sz="0" w:space="0" w:color="auto"/>
          <w:lang w:val="es-ES" w:eastAsia="en-US"/>
        </w:rPr>
        <w:t>”</w:t>
      </w:r>
      <w:r w:rsidRPr="00461D9C">
        <w:rPr>
          <w:rFonts w:ascii="Arial" w:eastAsiaTheme="minorHAnsi" w:hAnsi="Arial" w:cs="Arial"/>
          <w:sz w:val="20"/>
          <w:szCs w:val="20"/>
          <w:bdr w:val="none" w:sz="0" w:space="0" w:color="auto"/>
          <w:lang w:val="es-ES" w:eastAsia="en-US"/>
        </w:rPr>
        <w:t xml:space="preserve">, una excelente experiencia interactiva en </w:t>
      </w:r>
      <w:proofErr w:type="spellStart"/>
      <w:r w:rsidRPr="00461D9C">
        <w:rPr>
          <w:rFonts w:ascii="Arial" w:eastAsiaTheme="minorHAnsi" w:hAnsi="Arial" w:cs="Arial"/>
          <w:b/>
          <w:bCs/>
          <w:sz w:val="20"/>
          <w:szCs w:val="20"/>
          <w:bdr w:val="none" w:sz="0" w:space="0" w:color="auto"/>
          <w:lang w:val="es-ES" w:eastAsia="en-US"/>
        </w:rPr>
        <w:t>Roblox</w:t>
      </w:r>
      <w:proofErr w:type="spellEnd"/>
      <w:r w:rsidRPr="00461D9C">
        <w:rPr>
          <w:rFonts w:ascii="Arial" w:eastAsiaTheme="minorHAnsi" w:hAnsi="Arial" w:cs="Arial"/>
          <w:sz w:val="20"/>
          <w:szCs w:val="20"/>
          <w:bdr w:val="none" w:sz="0" w:space="0" w:color="auto"/>
          <w:lang w:val="es-ES" w:eastAsia="en-US"/>
        </w:rPr>
        <w:t xml:space="preserve">. Y el </w:t>
      </w:r>
      <w:r w:rsidRPr="00461D9C">
        <w:rPr>
          <w:rFonts w:ascii="Arial" w:eastAsiaTheme="minorHAnsi" w:hAnsi="Arial" w:cs="Arial"/>
          <w:b/>
          <w:bCs/>
          <w:sz w:val="20"/>
          <w:szCs w:val="20"/>
          <w:bdr w:val="none" w:sz="0" w:space="0" w:color="auto"/>
          <w:lang w:val="es-ES" w:eastAsia="en-US"/>
        </w:rPr>
        <w:t>Premio Ondas al mejor Podcast de marca a Simulacro</w:t>
      </w:r>
      <w:r w:rsidRPr="00461D9C">
        <w:rPr>
          <w:rFonts w:ascii="Arial" w:eastAsiaTheme="minorHAnsi" w:hAnsi="Arial" w:cs="Arial"/>
          <w:sz w:val="20"/>
          <w:szCs w:val="20"/>
          <w:bdr w:val="none" w:sz="0" w:space="0" w:color="auto"/>
          <w:lang w:val="es-ES" w:eastAsia="en-US"/>
        </w:rPr>
        <w:t>, nuestro podcast de ficción sonora, consolidándose como una de las producciones más innovadoras y reconocidas en el ámbito del contenido de marca en español.</w:t>
      </w:r>
    </w:p>
    <w:p w14:paraId="22FBCC23" w14:textId="77777777" w:rsidR="00765A93" w:rsidRPr="00461D9C" w:rsidRDefault="00765A93" w:rsidP="00765A93">
      <w:pPr>
        <w:pStyle w:val="CuerpoA"/>
        <w:keepNext/>
        <w:keepLines/>
        <w:widowControl w:val="0"/>
        <w:spacing w:before="120" w:after="120" w:line="288" w:lineRule="auto"/>
        <w:jc w:val="both"/>
        <w:rPr>
          <w:rFonts w:ascii="Arial" w:hAnsi="Arial" w:cs="Arial"/>
          <w:color w:val="auto"/>
          <w:sz w:val="20"/>
          <w:szCs w:val="20"/>
        </w:rPr>
      </w:pPr>
      <w:r w:rsidRPr="00461D9C">
        <w:rPr>
          <w:rFonts w:ascii="Arial" w:hAnsi="Arial" w:cs="Arial"/>
          <w:color w:val="auto"/>
          <w:sz w:val="20"/>
          <w:szCs w:val="20"/>
        </w:rPr>
        <w:t xml:space="preserve">Durante el año 2024 y como parte también del Programa de promoción, se ha continuado trabajando con toda la actividad en </w:t>
      </w:r>
      <w:r w:rsidRPr="00461D9C">
        <w:rPr>
          <w:rFonts w:ascii="Arial" w:hAnsi="Arial" w:cs="Arial"/>
          <w:b/>
          <w:bCs/>
          <w:color w:val="auto"/>
          <w:sz w:val="20"/>
          <w:szCs w:val="20"/>
        </w:rPr>
        <w:t>ferias y eventos</w:t>
      </w:r>
      <w:r w:rsidRPr="00461D9C">
        <w:rPr>
          <w:rFonts w:ascii="Arial" w:hAnsi="Arial" w:cs="Arial"/>
          <w:color w:val="auto"/>
          <w:sz w:val="20"/>
          <w:szCs w:val="20"/>
        </w:rPr>
        <w:t xml:space="preserve"> profesionales, con la participación en más de 29 ferias o jornadas profesionales.</w:t>
      </w:r>
    </w:p>
    <w:p w14:paraId="30D32100" w14:textId="77777777" w:rsidR="00765A93" w:rsidRPr="00461D9C" w:rsidRDefault="00765A93" w:rsidP="00765A93">
      <w:pPr>
        <w:pStyle w:val="CuerpoA"/>
        <w:keepNext/>
        <w:keepLines/>
        <w:widowControl w:val="0"/>
        <w:spacing w:before="120" w:after="120" w:line="288" w:lineRule="auto"/>
        <w:jc w:val="both"/>
        <w:rPr>
          <w:rFonts w:ascii="Arial" w:eastAsiaTheme="minorHAnsi" w:hAnsi="Arial" w:cs="Arial"/>
          <w:sz w:val="20"/>
          <w:szCs w:val="20"/>
          <w:bdr w:val="none" w:sz="0" w:space="0" w:color="auto"/>
          <w:lang w:val="es-ES" w:eastAsia="en-US"/>
        </w:rPr>
      </w:pPr>
      <w:r w:rsidRPr="00461D9C">
        <w:rPr>
          <w:rFonts w:ascii="Arial" w:eastAsiaTheme="minorHAnsi" w:hAnsi="Arial" w:cs="Arial"/>
          <w:sz w:val="20"/>
          <w:szCs w:val="20"/>
          <w:bdr w:val="none" w:sz="0" w:space="0" w:color="auto"/>
          <w:lang w:eastAsia="en-US"/>
        </w:rPr>
        <w:t>Por otro lado,</w:t>
      </w:r>
      <w:r w:rsidRPr="00461D9C">
        <w:rPr>
          <w:rFonts w:ascii="Arial" w:eastAsiaTheme="minorHAnsi" w:hAnsi="Arial" w:cs="Arial"/>
          <w:sz w:val="20"/>
          <w:szCs w:val="20"/>
          <w:bdr w:val="none" w:sz="0" w:space="0" w:color="auto"/>
          <w:lang w:val="es-ES" w:eastAsia="en-US"/>
        </w:rPr>
        <w:t xml:space="preserve"> se llevaron a cabo diversas acciones promocionales en Europa en </w:t>
      </w:r>
      <w:r w:rsidRPr="00461D9C">
        <w:rPr>
          <w:rFonts w:ascii="Arial" w:eastAsiaTheme="minorHAnsi" w:hAnsi="Arial" w:cs="Arial"/>
          <w:b/>
          <w:bCs/>
          <w:sz w:val="20"/>
          <w:szCs w:val="20"/>
          <w:bdr w:val="none" w:sz="0" w:space="0" w:color="auto"/>
          <w:lang w:val="es-ES" w:eastAsia="en-US"/>
        </w:rPr>
        <w:t>segmentos estratégicos</w:t>
      </w:r>
      <w:r w:rsidRPr="00461D9C">
        <w:rPr>
          <w:rFonts w:ascii="Arial" w:eastAsiaTheme="minorHAnsi" w:hAnsi="Arial" w:cs="Arial"/>
          <w:sz w:val="20"/>
          <w:szCs w:val="20"/>
          <w:bdr w:val="none" w:sz="0" w:space="0" w:color="auto"/>
          <w:lang w:val="es-ES" w:eastAsia="en-US"/>
        </w:rPr>
        <w:t xml:space="preserve"> como la naturaleza (39 millones de usuarios impactados en 15 países de marzo a mayo) y el patrimonio (67 millones de usuarios impactados en 14 países de febrero a noviembre). En total, estas campañas impactaron a más de 106 millones de usuarios en 15 países, contribuyendo a la visibilidad de las Islas Canarias y a su posicionamiento en mercados clave. Se destacan dos campañas: “Islas con mucho que contar, un viaje con historia” destinadas al turista cultural y amante del patrimonio y la campaña, “el secreto está en el interior” que persigue un turista de naturaleza.</w:t>
      </w:r>
    </w:p>
    <w:p w14:paraId="7C44471E" w14:textId="2EA5BF03" w:rsidR="00765A93" w:rsidRPr="00461D9C" w:rsidRDefault="00765A93" w:rsidP="00765A93">
      <w:pPr>
        <w:pStyle w:val="CuerpoA"/>
        <w:widowControl w:val="0"/>
        <w:spacing w:before="240" w:after="120" w:line="260" w:lineRule="exact"/>
        <w:jc w:val="both"/>
        <w:rPr>
          <w:rFonts w:ascii="Arial" w:eastAsiaTheme="minorHAnsi" w:hAnsi="Arial" w:cs="Arial"/>
          <w:sz w:val="20"/>
          <w:szCs w:val="20"/>
          <w:highlight w:val="red"/>
          <w:bdr w:val="none" w:sz="0" w:space="0" w:color="auto"/>
          <w:lang w:val="es-ES" w:eastAsia="en-US"/>
        </w:rPr>
      </w:pPr>
      <w:r w:rsidRPr="00461D9C">
        <w:rPr>
          <w:rFonts w:ascii="Arial" w:eastAsiaTheme="minorHAnsi" w:hAnsi="Arial" w:cs="Arial"/>
          <w:sz w:val="20"/>
          <w:szCs w:val="20"/>
          <w:bdr w:val="none" w:sz="0" w:space="0" w:color="auto"/>
          <w:lang w:val="es-ES" w:eastAsia="en-US"/>
        </w:rPr>
        <w:t>Se realizaron dos procesos de selección de eventos presenciales organizado por entidades privadas y públicas respectivamente, que generaban un “retorno publicitario” a la Marca “ISLAS CANARIAS” y al destino, de los que posteriormente derivaron en contratos de Patrocinio.</w:t>
      </w:r>
    </w:p>
    <w:p w14:paraId="7AC5AAC7" w14:textId="3EB02FD3" w:rsidR="00E43D87" w:rsidRDefault="00E43D87">
      <w:pPr>
        <w:pBdr>
          <w:top w:val="none" w:sz="0" w:space="0" w:color="auto"/>
          <w:left w:val="none" w:sz="0" w:space="0" w:color="auto"/>
          <w:bottom w:val="none" w:sz="0" w:space="0" w:color="auto"/>
          <w:right w:val="none" w:sz="0" w:space="0" w:color="auto"/>
          <w:between w:val="none" w:sz="0" w:space="0" w:color="auto"/>
          <w:bar w:val="none" w:sz="0" w:color="auto"/>
        </w:pBdr>
        <w:outlineLvl w:val="9"/>
        <w:rPr>
          <w:rFonts w:eastAsiaTheme="minorHAnsi"/>
          <w:sz w:val="20"/>
          <w:szCs w:val="20"/>
          <w:highlight w:val="red"/>
          <w:bdr w:val="none" w:sz="0" w:space="0" w:color="auto"/>
          <w:lang w:eastAsia="en-US"/>
          <w14:textOutline w14:w="12700" w14:cap="flat" w14:cmpd="sng" w14:algn="ctr">
            <w14:noFill/>
            <w14:prstDash w14:val="solid"/>
            <w14:miter w14:lim="400000"/>
          </w14:textOutline>
        </w:rPr>
      </w:pPr>
      <w:r>
        <w:rPr>
          <w:rFonts w:eastAsiaTheme="minorHAnsi"/>
          <w:sz w:val="20"/>
          <w:szCs w:val="20"/>
          <w:highlight w:val="red"/>
          <w:bdr w:val="none" w:sz="0" w:space="0" w:color="auto"/>
          <w:lang w:eastAsia="en-US"/>
        </w:rPr>
        <w:br w:type="page"/>
      </w:r>
    </w:p>
    <w:p w14:paraId="3CB18ECC" w14:textId="429154CB" w:rsidR="00765A93" w:rsidRPr="00461D9C" w:rsidRDefault="00E43D87" w:rsidP="00E43D87">
      <w:pPr>
        <w:pStyle w:val="CuerpoA"/>
        <w:widowControl w:val="0"/>
        <w:spacing w:before="240" w:after="120" w:line="260" w:lineRule="exact"/>
        <w:jc w:val="both"/>
        <w:rPr>
          <w:rFonts w:ascii="Arial" w:eastAsiaTheme="minorHAnsi" w:hAnsi="Arial" w:cs="Arial"/>
          <w:sz w:val="20"/>
          <w:szCs w:val="20"/>
          <w:bdr w:val="none" w:sz="0" w:space="0" w:color="auto"/>
          <w:lang w:val="es-ES" w:eastAsia="en-US"/>
        </w:rPr>
      </w:pPr>
      <w:r w:rsidRPr="00E311DF">
        <w:rPr>
          <w:rFonts w:ascii="Arial" w:hAnsi="Arial" w:cs="Arial"/>
          <w:noProof/>
          <w:sz w:val="20"/>
          <w:szCs w:val="20"/>
        </w:rPr>
        <w:lastRenderedPageBreak/>
        <w:drawing>
          <wp:anchor distT="0" distB="0" distL="114300" distR="114300" simplePos="0" relativeHeight="251665408" behindDoc="0" locked="0" layoutInCell="1" allowOverlap="1" wp14:anchorId="75489DD2" wp14:editId="79823D0F">
            <wp:simplePos x="0" y="0"/>
            <wp:positionH relativeFrom="column">
              <wp:posOffset>520</wp:posOffset>
            </wp:positionH>
            <wp:positionV relativeFrom="paragraph">
              <wp:posOffset>-8</wp:posOffset>
            </wp:positionV>
            <wp:extent cx="5575935" cy="2701925"/>
            <wp:effectExtent l="0" t="0" r="5715" b="3175"/>
            <wp:wrapTopAndBottom/>
            <wp:docPr id="25558582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5575935" cy="2701925"/>
                    </a:xfrm>
                    <a:prstGeom prst="rect">
                      <a:avLst/>
                    </a:prstGeom>
                    <a:noFill/>
                    <a:ln>
                      <a:noFill/>
                    </a:ln>
                  </pic:spPr>
                </pic:pic>
              </a:graphicData>
            </a:graphic>
            <wp14:sizeRelH relativeFrom="page">
              <wp14:pctWidth>0</wp14:pctWidth>
            </wp14:sizeRelH>
            <wp14:sizeRelV relativeFrom="page">
              <wp14:pctHeight>0</wp14:pctHeight>
            </wp14:sizeRelV>
          </wp:anchor>
        </w:drawing>
      </w:r>
      <w:r w:rsidR="00765A93" w:rsidRPr="00461D9C">
        <w:rPr>
          <w:rFonts w:ascii="Arial" w:eastAsiaTheme="minorHAnsi" w:hAnsi="Arial" w:cs="Arial"/>
          <w:sz w:val="20"/>
          <w:szCs w:val="20"/>
          <w:bdr w:val="none" w:sz="0" w:space="0" w:color="auto"/>
          <w:lang w:val="es-ES" w:eastAsia="en-US"/>
        </w:rPr>
        <w:t xml:space="preserve">Asimismo, se publicó proceso de selección de </w:t>
      </w:r>
      <w:r w:rsidR="00765A93" w:rsidRPr="00461D9C">
        <w:rPr>
          <w:rFonts w:ascii="Arial" w:eastAsiaTheme="minorHAnsi" w:hAnsi="Arial" w:cs="Arial"/>
          <w:b/>
          <w:bCs/>
          <w:sz w:val="20"/>
          <w:szCs w:val="20"/>
          <w:bdr w:val="none" w:sz="0" w:space="0" w:color="auto"/>
          <w:lang w:val="es-ES" w:eastAsia="en-US"/>
        </w:rPr>
        <w:t>obras audiovisuales</w:t>
      </w:r>
      <w:r w:rsidR="00765A93" w:rsidRPr="00461D9C">
        <w:rPr>
          <w:rFonts w:ascii="Arial" w:eastAsiaTheme="minorHAnsi" w:hAnsi="Arial" w:cs="Arial"/>
          <w:sz w:val="20"/>
          <w:szCs w:val="20"/>
          <w:bdr w:val="none" w:sz="0" w:space="0" w:color="auto"/>
          <w:lang w:val="es-ES" w:eastAsia="en-US"/>
        </w:rPr>
        <w:t xml:space="preserve"> que generaran un retorno publicitario a la marca ““ISLAS CANARIAS” y al destino turístico islas canarias en el proceso de dinamización turística del archipiélago canario para su posterior formalización en contratos de patrocinio financiados con el mismo instrumento. A la fecha de este informe, se presentaron un total de 17 solicitudes y aún están pendiente de resolver.</w:t>
      </w:r>
    </w:p>
    <w:p w14:paraId="02BFEC99" w14:textId="77777777" w:rsidR="00765A93" w:rsidRPr="00461D9C" w:rsidRDefault="00765A93" w:rsidP="00461D9C">
      <w:pPr>
        <w:pStyle w:val="CuerpoA"/>
        <w:keepNext/>
        <w:keepLines/>
        <w:widowControl w:val="0"/>
        <w:spacing w:before="120" w:after="120" w:line="276" w:lineRule="auto"/>
        <w:jc w:val="both"/>
        <w:rPr>
          <w:rFonts w:ascii="Arial" w:eastAsiaTheme="minorHAnsi" w:hAnsi="Arial" w:cs="Arial"/>
          <w:sz w:val="20"/>
          <w:szCs w:val="20"/>
          <w:bdr w:val="none" w:sz="0" w:space="0" w:color="auto"/>
          <w:lang w:val="es-ES" w:eastAsia="en-US"/>
        </w:rPr>
      </w:pPr>
      <w:r w:rsidRPr="00461D9C">
        <w:rPr>
          <w:rFonts w:ascii="Arial" w:eastAsiaTheme="minorHAnsi" w:hAnsi="Arial" w:cs="Arial"/>
          <w:sz w:val="20"/>
          <w:szCs w:val="20"/>
          <w:bdr w:val="none" w:sz="0" w:space="0" w:color="auto"/>
          <w:lang w:val="es-ES" w:eastAsia="en-US"/>
        </w:rPr>
        <w:t>Todas estas selecciones se financiaron a través del PLAN DE RECUPERACIÓN, TRANSFORMACIÓN Y RESILIENCIA, INTEGRADO EN EL MECANISMO DE RECUPERACIÓN Y RESILIENCIA («FONDOS NEXT GENERATION EU»).</w:t>
      </w:r>
    </w:p>
    <w:p w14:paraId="7D49CC92" w14:textId="17E45DCF" w:rsidR="00765A93" w:rsidRPr="00461D9C" w:rsidRDefault="00765A93" w:rsidP="00461D9C">
      <w:pPr>
        <w:pStyle w:val="CuerpoA"/>
        <w:widowControl w:val="0"/>
        <w:spacing w:before="240" w:after="120" w:line="276" w:lineRule="auto"/>
        <w:jc w:val="both"/>
        <w:rPr>
          <w:rFonts w:ascii="Arial" w:eastAsiaTheme="minorHAnsi" w:hAnsi="Arial" w:cs="Arial"/>
          <w:sz w:val="20"/>
          <w:szCs w:val="20"/>
          <w:highlight w:val="red"/>
          <w:bdr w:val="none" w:sz="0" w:space="0" w:color="auto"/>
          <w:lang w:val="es-ES" w:eastAsia="en-US"/>
        </w:rPr>
      </w:pPr>
      <w:r w:rsidRPr="00461D9C">
        <w:rPr>
          <w:rFonts w:ascii="Arial" w:eastAsiaTheme="minorHAnsi" w:hAnsi="Arial" w:cs="Arial"/>
          <w:sz w:val="20"/>
          <w:szCs w:val="20"/>
          <w:bdr w:val="none" w:sz="0" w:space="0" w:color="auto"/>
          <w:lang w:val="es-ES" w:eastAsia="en-US"/>
        </w:rPr>
        <w:t xml:space="preserve">Promotur ha continuado su labor de colaboración y comunicación en el Plan activado para la Conectividad que ha sido enormemente enriquecedora y ha contribuido al entendimiento afín al nexo total de la empresa turística de Canarias. Incluye la asistencia a foros especializados de conectividad aérea, donde ha sido posible conocer de primera mano, en reuniones bilaterales, los planes a medio plazo de las aerolíneas e intercambiar información relevante con ellas. Cabe destacar los foros realizados de CONNECT (en Turín, Italia), </w:t>
      </w:r>
      <w:proofErr w:type="spellStart"/>
      <w:r w:rsidRPr="00461D9C">
        <w:rPr>
          <w:rFonts w:ascii="Arial" w:eastAsiaTheme="minorHAnsi" w:hAnsi="Arial" w:cs="Arial"/>
          <w:sz w:val="20"/>
          <w:szCs w:val="20"/>
          <w:bdr w:val="none" w:sz="0" w:space="0" w:color="auto"/>
          <w:lang w:val="es-ES" w:eastAsia="en-US"/>
        </w:rPr>
        <w:t>Routes</w:t>
      </w:r>
      <w:proofErr w:type="spellEnd"/>
      <w:r w:rsidRPr="00461D9C">
        <w:rPr>
          <w:rFonts w:ascii="Arial" w:eastAsiaTheme="minorHAnsi" w:hAnsi="Arial" w:cs="Arial"/>
          <w:sz w:val="20"/>
          <w:szCs w:val="20"/>
          <w:bdr w:val="none" w:sz="0" w:space="0" w:color="auto"/>
          <w:lang w:val="es-ES" w:eastAsia="en-US"/>
        </w:rPr>
        <w:t xml:space="preserve"> </w:t>
      </w:r>
      <w:proofErr w:type="spellStart"/>
      <w:r w:rsidRPr="00461D9C">
        <w:rPr>
          <w:rFonts w:ascii="Arial" w:eastAsiaTheme="minorHAnsi" w:hAnsi="Arial" w:cs="Arial"/>
          <w:sz w:val="20"/>
          <w:szCs w:val="20"/>
          <w:bdr w:val="none" w:sz="0" w:space="0" w:color="auto"/>
          <w:lang w:val="es-ES" w:eastAsia="en-US"/>
        </w:rPr>
        <w:t>Europe</w:t>
      </w:r>
      <w:proofErr w:type="spellEnd"/>
      <w:r w:rsidRPr="00461D9C">
        <w:rPr>
          <w:rFonts w:ascii="Arial" w:eastAsiaTheme="minorHAnsi" w:hAnsi="Arial" w:cs="Arial"/>
          <w:sz w:val="20"/>
          <w:szCs w:val="20"/>
          <w:bdr w:val="none" w:sz="0" w:space="0" w:color="auto"/>
          <w:lang w:val="es-ES" w:eastAsia="en-US"/>
        </w:rPr>
        <w:t xml:space="preserve"> (</w:t>
      </w:r>
      <w:proofErr w:type="spellStart"/>
      <w:r w:rsidRPr="00461D9C">
        <w:rPr>
          <w:rFonts w:ascii="Arial" w:eastAsiaTheme="minorHAnsi" w:hAnsi="Arial" w:cs="Arial"/>
          <w:sz w:val="20"/>
          <w:szCs w:val="20"/>
          <w:bdr w:val="none" w:sz="0" w:space="0" w:color="auto"/>
          <w:lang w:val="es-ES" w:eastAsia="en-US"/>
        </w:rPr>
        <w:t>Aharus</w:t>
      </w:r>
      <w:proofErr w:type="spellEnd"/>
      <w:r w:rsidRPr="00461D9C">
        <w:rPr>
          <w:rFonts w:ascii="Arial" w:eastAsiaTheme="minorHAnsi" w:hAnsi="Arial" w:cs="Arial"/>
          <w:sz w:val="20"/>
          <w:szCs w:val="20"/>
          <w:bdr w:val="none" w:sz="0" w:space="0" w:color="auto"/>
          <w:lang w:val="es-ES" w:eastAsia="en-US"/>
        </w:rPr>
        <w:t xml:space="preserve">, Dinamarca) y </w:t>
      </w:r>
      <w:proofErr w:type="spellStart"/>
      <w:r w:rsidRPr="00461D9C">
        <w:rPr>
          <w:rFonts w:ascii="Arial" w:eastAsiaTheme="minorHAnsi" w:hAnsi="Arial" w:cs="Arial"/>
          <w:sz w:val="20"/>
          <w:szCs w:val="20"/>
          <w:bdr w:val="none" w:sz="0" w:space="0" w:color="auto"/>
          <w:lang w:val="es-ES" w:eastAsia="en-US"/>
        </w:rPr>
        <w:t>Routes</w:t>
      </w:r>
      <w:proofErr w:type="spellEnd"/>
      <w:r w:rsidRPr="00461D9C">
        <w:rPr>
          <w:rFonts w:ascii="Arial" w:eastAsiaTheme="minorHAnsi" w:hAnsi="Arial" w:cs="Arial"/>
          <w:sz w:val="20"/>
          <w:szCs w:val="20"/>
          <w:bdr w:val="none" w:sz="0" w:space="0" w:color="auto"/>
          <w:lang w:val="es-ES" w:eastAsia="en-US"/>
        </w:rPr>
        <w:t xml:space="preserve"> </w:t>
      </w:r>
      <w:proofErr w:type="spellStart"/>
      <w:r w:rsidRPr="00461D9C">
        <w:rPr>
          <w:rFonts w:ascii="Arial" w:eastAsiaTheme="minorHAnsi" w:hAnsi="Arial" w:cs="Arial"/>
          <w:sz w:val="20"/>
          <w:szCs w:val="20"/>
          <w:bdr w:val="none" w:sz="0" w:space="0" w:color="auto"/>
          <w:lang w:val="es-ES" w:eastAsia="en-US"/>
        </w:rPr>
        <w:t>World</w:t>
      </w:r>
      <w:proofErr w:type="spellEnd"/>
      <w:r w:rsidRPr="00461D9C">
        <w:rPr>
          <w:rFonts w:ascii="Arial" w:eastAsiaTheme="minorHAnsi" w:hAnsi="Arial" w:cs="Arial"/>
          <w:sz w:val="20"/>
          <w:szCs w:val="20"/>
          <w:bdr w:val="none" w:sz="0" w:space="0" w:color="auto"/>
          <w:lang w:val="es-ES" w:eastAsia="en-US"/>
        </w:rPr>
        <w:t xml:space="preserve"> (</w:t>
      </w:r>
      <w:proofErr w:type="spellStart"/>
      <w:r w:rsidRPr="00461D9C">
        <w:rPr>
          <w:rFonts w:ascii="Arial" w:eastAsiaTheme="minorHAnsi" w:hAnsi="Arial" w:cs="Arial"/>
          <w:sz w:val="20"/>
          <w:szCs w:val="20"/>
          <w:bdr w:val="none" w:sz="0" w:space="0" w:color="auto"/>
          <w:lang w:val="es-ES" w:eastAsia="en-US"/>
        </w:rPr>
        <w:t>Bahrein</w:t>
      </w:r>
      <w:proofErr w:type="spellEnd"/>
      <w:r w:rsidRPr="00461D9C">
        <w:rPr>
          <w:rFonts w:ascii="Arial" w:eastAsiaTheme="minorHAnsi" w:hAnsi="Arial" w:cs="Arial"/>
          <w:sz w:val="20"/>
          <w:szCs w:val="20"/>
          <w:bdr w:val="none" w:sz="0" w:space="0" w:color="auto"/>
          <w:lang w:val="es-ES" w:eastAsia="en-US"/>
        </w:rPr>
        <w:t xml:space="preserve">). En términos de resultados, podemos decir que hoy día Canarias tiene la mejor conectividad de su historia ya que cuenta con conexiones con 34 países, 152 destinos (aeropuertos que conectan con Canarias), </w:t>
      </w:r>
      <w:r w:rsidRPr="00461D9C">
        <w:rPr>
          <w:rFonts w:ascii="Arial" w:eastAsiaTheme="minorHAnsi" w:hAnsi="Arial" w:cs="Arial"/>
          <w:sz w:val="20"/>
          <w:szCs w:val="20"/>
          <w:bdr w:val="none" w:sz="0" w:space="0" w:color="auto"/>
          <w:lang w:val="es-ES" w:eastAsia="en-US"/>
        </w:rPr>
        <w:tab/>
        <w:t>49 aerolíneas, 419 “</w:t>
      </w:r>
      <w:proofErr w:type="spellStart"/>
      <w:r w:rsidRPr="00461D9C">
        <w:rPr>
          <w:rFonts w:ascii="Arial" w:eastAsiaTheme="minorHAnsi" w:hAnsi="Arial" w:cs="Arial"/>
          <w:sz w:val="20"/>
          <w:szCs w:val="20"/>
          <w:bdr w:val="none" w:sz="0" w:space="0" w:color="auto"/>
          <w:lang w:val="es-ES" w:eastAsia="en-US"/>
        </w:rPr>
        <w:t>city-pairs</w:t>
      </w:r>
      <w:proofErr w:type="spellEnd"/>
      <w:r w:rsidRPr="00461D9C">
        <w:rPr>
          <w:rFonts w:ascii="Arial" w:eastAsiaTheme="minorHAnsi" w:hAnsi="Arial" w:cs="Arial"/>
          <w:sz w:val="20"/>
          <w:szCs w:val="20"/>
          <w:bdr w:val="none" w:sz="0" w:space="0" w:color="auto"/>
          <w:lang w:val="es-ES" w:eastAsia="en-US"/>
        </w:rPr>
        <w:t>” (suma de aeropuertos que conectan con cada aeropuerto canario) y 723 rutas (suma de las rutas de cada aerolínea con las Islas Canarias). En este ámbito, es destacable el esfuerzo que se está realizando para mejorar la conectividad en los países del Este de Europa y hacia el oeste. De hecho, en 2024 asistimos a una ronda de visitas a las oficinas centrales de las principales aerolíneas americanas y canadienses donde les ofrecimos información de interés sobre nuestras islas y conocimos de primera mano los planes a corto y medio plazo de estas aerolíneas. En estos planes, su estrategia está supeditada a la recepción de nuevos aviones y Canarias tiene grandes posibilidades, sobre todo en los inviernos.</w:t>
      </w:r>
    </w:p>
    <w:p w14:paraId="138F063A" w14:textId="77777777" w:rsidR="00765A93" w:rsidRPr="00461D9C" w:rsidRDefault="00765A93" w:rsidP="00461D9C">
      <w:pPr>
        <w:pStyle w:val="CuerpoA"/>
        <w:widowControl w:val="0"/>
        <w:spacing w:before="120" w:after="120" w:line="288" w:lineRule="auto"/>
        <w:jc w:val="both"/>
        <w:rPr>
          <w:rFonts w:ascii="Arial" w:eastAsiaTheme="minorHAnsi" w:hAnsi="Arial" w:cs="Arial"/>
          <w:sz w:val="20"/>
          <w:szCs w:val="20"/>
          <w:bdr w:val="none" w:sz="0" w:space="0" w:color="auto"/>
          <w:lang w:val="es-ES" w:eastAsia="en-US"/>
        </w:rPr>
      </w:pPr>
      <w:r w:rsidRPr="00461D9C">
        <w:rPr>
          <w:rFonts w:ascii="Arial" w:eastAsiaTheme="minorHAnsi" w:hAnsi="Arial" w:cs="Arial"/>
          <w:sz w:val="20"/>
          <w:szCs w:val="20"/>
          <w:bdr w:val="none" w:sz="0" w:space="0" w:color="auto"/>
          <w:lang w:val="es-ES" w:eastAsia="en-US"/>
        </w:rPr>
        <w:t xml:space="preserve">En el ámbito de la </w:t>
      </w:r>
      <w:r w:rsidRPr="00461D9C">
        <w:rPr>
          <w:rFonts w:ascii="Arial" w:eastAsiaTheme="minorHAnsi" w:hAnsi="Arial" w:cs="Arial"/>
          <w:b/>
          <w:bCs/>
          <w:sz w:val="20"/>
          <w:szCs w:val="20"/>
          <w:bdr w:val="none" w:sz="0" w:space="0" w:color="auto"/>
          <w:lang w:val="es-ES" w:eastAsia="en-US"/>
        </w:rPr>
        <w:t>Sostenibilidad ambiental</w:t>
      </w:r>
      <w:r w:rsidRPr="00461D9C">
        <w:rPr>
          <w:rFonts w:ascii="Arial" w:eastAsiaTheme="minorHAnsi" w:hAnsi="Arial" w:cs="Arial"/>
          <w:sz w:val="20"/>
          <w:szCs w:val="20"/>
          <w:bdr w:val="none" w:sz="0" w:space="0" w:color="auto"/>
          <w:lang w:val="es-ES" w:eastAsia="en-US"/>
        </w:rPr>
        <w:t xml:space="preserve"> se distingue de forma excepcional el avance realizado en la ejecución del Plan de Acción Climático del destino Islas Canarias singularizado la solución digital “El Viaje a la Descarbonización”. Durante el año 2024, se ha avanzado en el </w:t>
      </w:r>
      <w:proofErr w:type="spellStart"/>
      <w:r w:rsidRPr="00461D9C">
        <w:rPr>
          <w:rFonts w:ascii="Arial" w:eastAsiaTheme="minorHAnsi" w:hAnsi="Arial" w:cs="Arial"/>
          <w:sz w:val="20"/>
          <w:szCs w:val="20"/>
          <w:bdr w:val="none" w:sz="0" w:space="0" w:color="auto"/>
          <w:lang w:val="es-ES" w:eastAsia="en-US"/>
        </w:rPr>
        <w:t>on-boarding</w:t>
      </w:r>
      <w:proofErr w:type="spellEnd"/>
      <w:r w:rsidRPr="00461D9C">
        <w:rPr>
          <w:rFonts w:ascii="Arial" w:eastAsiaTheme="minorHAnsi" w:hAnsi="Arial" w:cs="Arial"/>
          <w:sz w:val="20"/>
          <w:szCs w:val="20"/>
          <w:bdr w:val="none" w:sz="0" w:space="0" w:color="auto"/>
          <w:lang w:val="es-ES" w:eastAsia="en-US"/>
        </w:rPr>
        <w:t xml:space="preserve"> de empresas y la mejora de esta herramienta digital gratuita, donde ya trabajan 120 empresas de las cuales han finalizado la medición de su </w:t>
      </w:r>
      <w:proofErr w:type="spellStart"/>
      <w:r w:rsidRPr="00461D9C">
        <w:rPr>
          <w:rFonts w:ascii="Arial" w:eastAsiaTheme="minorHAnsi" w:hAnsi="Arial" w:cs="Arial"/>
          <w:sz w:val="20"/>
          <w:szCs w:val="20"/>
          <w:bdr w:val="none" w:sz="0" w:space="0" w:color="auto"/>
          <w:lang w:val="es-ES" w:eastAsia="en-US"/>
        </w:rPr>
        <w:t>HdC</w:t>
      </w:r>
      <w:proofErr w:type="spellEnd"/>
      <w:r w:rsidRPr="00461D9C">
        <w:rPr>
          <w:rFonts w:ascii="Arial" w:eastAsiaTheme="minorHAnsi" w:hAnsi="Arial" w:cs="Arial"/>
          <w:sz w:val="20"/>
          <w:szCs w:val="20"/>
          <w:bdr w:val="none" w:sz="0" w:space="0" w:color="auto"/>
          <w:lang w:val="es-ES" w:eastAsia="en-US"/>
        </w:rPr>
        <w:t xml:space="preserve"> 43. Se realizaron 11 talleres online y 7 talleres presenciales en diferentes islas en los que participaron más de 292 asistentes.</w:t>
      </w:r>
    </w:p>
    <w:p w14:paraId="70EE9970" w14:textId="77777777" w:rsidR="00765A93" w:rsidRPr="00461D9C" w:rsidRDefault="00765A93" w:rsidP="00765A93">
      <w:pPr>
        <w:pStyle w:val="CuerpoA"/>
        <w:keepNext/>
        <w:keepLines/>
        <w:widowControl w:val="0"/>
        <w:spacing w:before="120" w:after="120" w:line="288" w:lineRule="auto"/>
        <w:jc w:val="both"/>
        <w:rPr>
          <w:rFonts w:ascii="Arial" w:eastAsiaTheme="minorHAnsi" w:hAnsi="Arial" w:cs="Arial"/>
          <w:sz w:val="20"/>
          <w:szCs w:val="20"/>
          <w:bdr w:val="none" w:sz="0" w:space="0" w:color="auto"/>
          <w:lang w:eastAsia="en-US"/>
        </w:rPr>
      </w:pPr>
      <w:r w:rsidRPr="00461D9C">
        <w:rPr>
          <w:rFonts w:ascii="Arial" w:eastAsiaTheme="minorHAnsi" w:hAnsi="Arial" w:cs="Arial"/>
          <w:sz w:val="20"/>
          <w:szCs w:val="20"/>
          <w:bdr w:val="none" w:sz="0" w:space="0" w:color="auto"/>
          <w:lang w:eastAsia="en-US"/>
        </w:rPr>
        <w:lastRenderedPageBreak/>
        <w:t xml:space="preserve">Los proyectos de </w:t>
      </w:r>
      <w:r w:rsidRPr="00461D9C">
        <w:rPr>
          <w:rFonts w:ascii="Arial" w:eastAsiaTheme="minorHAnsi" w:hAnsi="Arial" w:cs="Arial"/>
          <w:b/>
          <w:bCs/>
          <w:sz w:val="20"/>
          <w:szCs w:val="20"/>
          <w:bdr w:val="none" w:sz="0" w:space="0" w:color="auto"/>
          <w:lang w:eastAsia="en-US"/>
        </w:rPr>
        <w:t>Dinamización y gestión de redes sociales</w:t>
      </w:r>
      <w:r w:rsidRPr="00461D9C">
        <w:rPr>
          <w:rFonts w:ascii="Arial" w:eastAsiaTheme="minorHAnsi" w:hAnsi="Arial" w:cs="Arial"/>
          <w:sz w:val="20"/>
          <w:szCs w:val="20"/>
          <w:bdr w:val="none" w:sz="0" w:space="0" w:color="auto"/>
          <w:lang w:eastAsia="en-US"/>
        </w:rPr>
        <w:t xml:space="preserve"> de la marca Islas Canarias nos ha llevado a mantener perfiles de redes sociales dirigidos a nuestros principales mercados emisores y en diferentes idiomas en Instagram y Facebook en español e inglés en alemán, italiano, francés, sueco, noruego, neerlandés y polaco. Estratégicamente mantuvimos un perfil social en chino activo por ser un mercado en prospección para la marca. Asimismo, hemos consolidado dos canales de </w:t>
      </w:r>
      <w:proofErr w:type="spellStart"/>
      <w:r w:rsidRPr="00461D9C">
        <w:rPr>
          <w:rFonts w:ascii="Arial" w:eastAsiaTheme="minorHAnsi" w:hAnsi="Arial" w:cs="Arial"/>
          <w:sz w:val="20"/>
          <w:szCs w:val="20"/>
          <w:bdr w:val="none" w:sz="0" w:space="0" w:color="auto"/>
          <w:lang w:eastAsia="en-US"/>
        </w:rPr>
        <w:t>Tiktok</w:t>
      </w:r>
      <w:proofErr w:type="spellEnd"/>
      <w:r w:rsidRPr="00461D9C">
        <w:rPr>
          <w:rFonts w:ascii="Arial" w:eastAsiaTheme="minorHAnsi" w:hAnsi="Arial" w:cs="Arial"/>
          <w:sz w:val="20"/>
          <w:szCs w:val="20"/>
          <w:bdr w:val="none" w:sz="0" w:space="0" w:color="auto"/>
          <w:lang w:eastAsia="en-US"/>
        </w:rPr>
        <w:t xml:space="preserve"> en español e inglés con la mente puesta en nuevas generaciones.</w:t>
      </w:r>
    </w:p>
    <w:p w14:paraId="2FC6C71A" w14:textId="0C814AA3" w:rsidR="00765A93" w:rsidRPr="00461D9C" w:rsidRDefault="00765A93" w:rsidP="00D41577">
      <w:pPr>
        <w:pStyle w:val="CuerpoA"/>
        <w:widowControl w:val="0"/>
        <w:spacing w:before="120" w:after="120" w:line="260" w:lineRule="exact"/>
        <w:jc w:val="both"/>
        <w:rPr>
          <w:rFonts w:ascii="Arial" w:eastAsiaTheme="minorHAnsi" w:hAnsi="Arial" w:cs="Arial"/>
          <w:sz w:val="20"/>
          <w:szCs w:val="20"/>
          <w:highlight w:val="red"/>
          <w:bdr w:val="none" w:sz="0" w:space="0" w:color="auto"/>
          <w:lang w:val="es-ES" w:eastAsia="en-US"/>
        </w:rPr>
      </w:pPr>
      <w:r w:rsidRPr="00461D9C">
        <w:rPr>
          <w:rFonts w:ascii="Arial" w:eastAsiaTheme="minorHAnsi" w:hAnsi="Arial" w:cs="Arial"/>
          <w:sz w:val="20"/>
          <w:szCs w:val="20"/>
          <w:bdr w:val="none" w:sz="0" w:space="0" w:color="auto"/>
          <w:lang w:eastAsia="en-US"/>
        </w:rPr>
        <w:t xml:space="preserve">Paralelamente, y en consonancia con la estrategia </w:t>
      </w:r>
      <w:proofErr w:type="spellStart"/>
      <w:r w:rsidRPr="00461D9C">
        <w:rPr>
          <w:rFonts w:ascii="Arial" w:eastAsiaTheme="minorHAnsi" w:hAnsi="Arial" w:cs="Arial"/>
          <w:sz w:val="20"/>
          <w:szCs w:val="20"/>
          <w:bdr w:val="none" w:sz="0" w:space="0" w:color="auto"/>
          <w:lang w:eastAsia="en-US"/>
        </w:rPr>
        <w:t>always</w:t>
      </w:r>
      <w:proofErr w:type="spellEnd"/>
      <w:r w:rsidRPr="00461D9C">
        <w:rPr>
          <w:rFonts w:ascii="Arial" w:eastAsiaTheme="minorHAnsi" w:hAnsi="Arial" w:cs="Arial"/>
          <w:sz w:val="20"/>
          <w:szCs w:val="20"/>
          <w:bdr w:val="none" w:sz="0" w:space="0" w:color="auto"/>
          <w:lang w:eastAsia="en-US"/>
        </w:rPr>
        <w:t xml:space="preserve"> </w:t>
      </w:r>
      <w:proofErr w:type="spellStart"/>
      <w:r w:rsidRPr="00461D9C">
        <w:rPr>
          <w:rFonts w:ascii="Arial" w:eastAsiaTheme="minorHAnsi" w:hAnsi="Arial" w:cs="Arial"/>
          <w:sz w:val="20"/>
          <w:szCs w:val="20"/>
          <w:bdr w:val="none" w:sz="0" w:space="0" w:color="auto"/>
          <w:lang w:eastAsia="en-US"/>
        </w:rPr>
        <w:t>on</w:t>
      </w:r>
      <w:proofErr w:type="spellEnd"/>
      <w:r w:rsidRPr="00461D9C">
        <w:rPr>
          <w:rFonts w:ascii="Arial" w:eastAsiaTheme="minorHAnsi" w:hAnsi="Arial" w:cs="Arial"/>
          <w:sz w:val="20"/>
          <w:szCs w:val="20"/>
          <w:bdr w:val="none" w:sz="0" w:space="0" w:color="auto"/>
          <w:lang w:eastAsia="en-US"/>
        </w:rPr>
        <w:t xml:space="preserve">, se lanzaron campañas con el objetivo táctico de derivar tráfico cualitativo a la web oficial del destino Islas Canarias, se lanzaron campañas de publicidad en principales motores de búsqueda (Google) y en las redes de anuncios de META (Instagram y Facebook) con enfoque </w:t>
      </w:r>
      <w:proofErr w:type="spellStart"/>
      <w:r w:rsidRPr="00461D9C">
        <w:rPr>
          <w:rFonts w:ascii="Arial" w:eastAsiaTheme="minorHAnsi" w:hAnsi="Arial" w:cs="Arial"/>
          <w:sz w:val="20"/>
          <w:szCs w:val="20"/>
          <w:bdr w:val="none" w:sz="0" w:space="0" w:color="auto"/>
          <w:lang w:eastAsia="en-US"/>
        </w:rPr>
        <w:t>pull-inbound</w:t>
      </w:r>
      <w:proofErr w:type="spellEnd"/>
      <w:r w:rsidRPr="00461D9C">
        <w:rPr>
          <w:rFonts w:ascii="Arial" w:eastAsiaTheme="minorHAnsi" w:hAnsi="Arial" w:cs="Arial"/>
          <w:sz w:val="20"/>
          <w:szCs w:val="20"/>
          <w:bdr w:val="none" w:sz="0" w:space="0" w:color="auto"/>
          <w:lang w:eastAsia="en-US"/>
        </w:rPr>
        <w:t xml:space="preserve">, priorizando los formatos nativos y apoyando el consumo orgánico de contenidos. Las campañas iban dirigidas principalmente a potenciales turistas interesados en información específica de calidad sobre las Islas Canarias, en su fase de descubrimiento y/o planificación del viaje y se realizaron en los mercados de Península, Irlanda, </w:t>
      </w:r>
      <w:proofErr w:type="spellStart"/>
      <w:r w:rsidRPr="00461D9C">
        <w:rPr>
          <w:rFonts w:ascii="Arial" w:eastAsiaTheme="minorHAnsi" w:hAnsi="Arial" w:cs="Arial"/>
          <w:sz w:val="20"/>
          <w:szCs w:val="20"/>
          <w:bdr w:val="none" w:sz="0" w:space="0" w:color="auto"/>
          <w:lang w:eastAsia="en-US"/>
        </w:rPr>
        <w:t>Uk</w:t>
      </w:r>
      <w:proofErr w:type="spellEnd"/>
      <w:r w:rsidRPr="00461D9C">
        <w:rPr>
          <w:rFonts w:ascii="Arial" w:eastAsiaTheme="minorHAnsi" w:hAnsi="Arial" w:cs="Arial"/>
          <w:sz w:val="20"/>
          <w:szCs w:val="20"/>
          <w:bdr w:val="none" w:sz="0" w:space="0" w:color="auto"/>
          <w:lang w:eastAsia="en-US"/>
        </w:rPr>
        <w:t>, Suiza, Francia, Polonia, Suecia, Noruega, Holanda, Italia, Alemania, Bélgica y Austria. Se lanzaron durante los meses de enero a diciembre con diferentes piezas creativas en función de la motivación de viaje de los usuarios (sol y playa, naturaleza, turismo activo).</w:t>
      </w:r>
    </w:p>
    <w:p w14:paraId="25A321E7" w14:textId="77777777" w:rsidR="00765A93" w:rsidRPr="00461D9C" w:rsidRDefault="00765A93" w:rsidP="00765A93">
      <w:pPr>
        <w:pStyle w:val="CuerpoA"/>
        <w:keepNext/>
        <w:keepLines/>
        <w:widowControl w:val="0"/>
        <w:spacing w:before="120" w:after="120" w:line="288" w:lineRule="auto"/>
        <w:jc w:val="both"/>
        <w:rPr>
          <w:rFonts w:ascii="Arial" w:eastAsiaTheme="minorHAnsi" w:hAnsi="Arial" w:cs="Arial"/>
          <w:sz w:val="20"/>
          <w:szCs w:val="20"/>
          <w:bdr w:val="none" w:sz="0" w:space="0" w:color="auto"/>
          <w:lang w:eastAsia="en-US"/>
        </w:rPr>
      </w:pPr>
      <w:r w:rsidRPr="00461D9C">
        <w:rPr>
          <w:rFonts w:ascii="Arial" w:eastAsiaTheme="minorHAnsi" w:hAnsi="Arial" w:cs="Arial"/>
          <w:sz w:val="20"/>
          <w:szCs w:val="20"/>
          <w:bdr w:val="none" w:sz="0" w:space="0" w:color="auto"/>
          <w:lang w:eastAsia="en-US"/>
        </w:rPr>
        <w:t xml:space="preserve">Para el </w:t>
      </w:r>
      <w:r w:rsidRPr="00461D9C">
        <w:rPr>
          <w:rFonts w:ascii="Arial" w:eastAsiaTheme="minorHAnsi" w:hAnsi="Arial" w:cs="Arial"/>
          <w:b/>
          <w:bCs/>
          <w:sz w:val="20"/>
          <w:szCs w:val="20"/>
          <w:bdr w:val="none" w:sz="0" w:space="0" w:color="auto"/>
          <w:lang w:eastAsia="en-US"/>
        </w:rPr>
        <w:t>Programa de digitalización</w:t>
      </w:r>
      <w:r w:rsidRPr="00461D9C">
        <w:rPr>
          <w:rFonts w:ascii="Arial" w:eastAsiaTheme="minorHAnsi" w:hAnsi="Arial" w:cs="Arial"/>
          <w:sz w:val="20"/>
          <w:szCs w:val="20"/>
          <w:bdr w:val="none" w:sz="0" w:space="0" w:color="auto"/>
          <w:lang w:eastAsia="en-US"/>
        </w:rPr>
        <w:t xml:space="preserve">, tecnología e innovación, Promotur ha desplegado todos los activos digitales en una infraestructura híbrida, combinando la nube y </w:t>
      </w:r>
      <w:proofErr w:type="spellStart"/>
      <w:r w:rsidRPr="00461D9C">
        <w:rPr>
          <w:rFonts w:ascii="Arial" w:eastAsiaTheme="minorHAnsi" w:hAnsi="Arial" w:cs="Arial"/>
          <w:sz w:val="20"/>
          <w:szCs w:val="20"/>
          <w:bdr w:val="none" w:sz="0" w:space="0" w:color="auto"/>
          <w:lang w:eastAsia="en-US"/>
        </w:rPr>
        <w:t>on</w:t>
      </w:r>
      <w:proofErr w:type="spellEnd"/>
      <w:r w:rsidRPr="00461D9C">
        <w:rPr>
          <w:rFonts w:ascii="Arial" w:eastAsiaTheme="minorHAnsi" w:hAnsi="Arial" w:cs="Arial"/>
          <w:sz w:val="20"/>
          <w:szCs w:val="20"/>
          <w:bdr w:val="none" w:sz="0" w:space="0" w:color="auto"/>
          <w:lang w:eastAsia="en-US"/>
        </w:rPr>
        <w:t>-premise, de forma que garantice alta disponibilidad, escalabilidad, manejo de tráfico significativo, recursos dedicados, en constante evolución, optimización de costos, seguridad, cumplimiento y capacidad de innovación. El proyecto de datos (</w:t>
      </w:r>
      <w:proofErr w:type="spellStart"/>
      <w:r w:rsidRPr="00461D9C">
        <w:rPr>
          <w:rFonts w:ascii="Arial" w:eastAsiaTheme="minorHAnsi" w:hAnsi="Arial" w:cs="Arial"/>
          <w:sz w:val="20"/>
          <w:szCs w:val="20"/>
          <w:bdr w:val="none" w:sz="0" w:space="0" w:color="auto"/>
          <w:lang w:eastAsia="en-US"/>
        </w:rPr>
        <w:t>datalake</w:t>
      </w:r>
      <w:proofErr w:type="spellEnd"/>
      <w:r w:rsidRPr="00461D9C">
        <w:rPr>
          <w:rFonts w:ascii="Arial" w:eastAsiaTheme="minorHAnsi" w:hAnsi="Arial" w:cs="Arial"/>
          <w:sz w:val="20"/>
          <w:szCs w:val="20"/>
          <w:bdr w:val="none" w:sz="0" w:space="0" w:color="auto"/>
          <w:lang w:eastAsia="en-US"/>
        </w:rPr>
        <w:t xml:space="preserve">) se ha desplegado en infraestructura basada en la nube de Google Cloud </w:t>
      </w:r>
      <w:proofErr w:type="spellStart"/>
      <w:r w:rsidRPr="00461D9C">
        <w:rPr>
          <w:rFonts w:ascii="Arial" w:eastAsiaTheme="minorHAnsi" w:hAnsi="Arial" w:cs="Arial"/>
          <w:sz w:val="20"/>
          <w:szCs w:val="20"/>
          <w:bdr w:val="none" w:sz="0" w:space="0" w:color="auto"/>
          <w:lang w:eastAsia="en-US"/>
        </w:rPr>
        <w:t>Plattform</w:t>
      </w:r>
      <w:proofErr w:type="spellEnd"/>
      <w:r w:rsidRPr="00461D9C">
        <w:rPr>
          <w:rFonts w:ascii="Arial" w:eastAsiaTheme="minorHAnsi" w:hAnsi="Arial" w:cs="Arial"/>
          <w:sz w:val="20"/>
          <w:szCs w:val="20"/>
          <w:bdr w:val="none" w:sz="0" w:space="0" w:color="auto"/>
          <w:lang w:eastAsia="en-US"/>
        </w:rPr>
        <w:t>, activando los servicios necesarios para almacenamiento y procesamiento de los datos sobre la que se construye el sistema de Información Turística de Canarias.</w:t>
      </w:r>
    </w:p>
    <w:p w14:paraId="7E586B63" w14:textId="77777777" w:rsidR="00765A93" w:rsidRPr="00461D9C" w:rsidRDefault="00765A93" w:rsidP="00765A93">
      <w:pPr>
        <w:pStyle w:val="CuerpoA"/>
        <w:keepNext/>
        <w:keepLines/>
        <w:widowControl w:val="0"/>
        <w:spacing w:before="120" w:after="120" w:line="288" w:lineRule="auto"/>
        <w:jc w:val="both"/>
        <w:rPr>
          <w:rFonts w:ascii="Arial" w:eastAsiaTheme="minorHAnsi" w:hAnsi="Arial" w:cs="Arial"/>
          <w:sz w:val="20"/>
          <w:szCs w:val="20"/>
          <w:bdr w:val="none" w:sz="0" w:space="0" w:color="auto"/>
          <w:lang w:eastAsia="en-US"/>
        </w:rPr>
      </w:pPr>
      <w:r w:rsidRPr="00461D9C">
        <w:rPr>
          <w:rFonts w:ascii="Arial" w:eastAsiaTheme="minorHAnsi" w:hAnsi="Arial" w:cs="Arial"/>
          <w:sz w:val="20"/>
          <w:szCs w:val="20"/>
          <w:bdr w:val="none" w:sz="0" w:space="0" w:color="auto"/>
          <w:lang w:eastAsia="en-US"/>
        </w:rPr>
        <w:t xml:space="preserve">El </w:t>
      </w:r>
      <w:r w:rsidRPr="00461D9C">
        <w:rPr>
          <w:rFonts w:ascii="Arial" w:eastAsiaTheme="minorHAnsi" w:hAnsi="Arial" w:cs="Arial"/>
          <w:b/>
          <w:bCs/>
          <w:sz w:val="20"/>
          <w:szCs w:val="20"/>
          <w:bdr w:val="none" w:sz="0" w:space="0" w:color="auto"/>
          <w:lang w:eastAsia="en-US"/>
        </w:rPr>
        <w:t>Programa de explotación</w:t>
      </w:r>
      <w:r w:rsidRPr="00461D9C">
        <w:rPr>
          <w:rFonts w:ascii="Arial" w:eastAsiaTheme="minorHAnsi" w:hAnsi="Arial" w:cs="Arial"/>
          <w:sz w:val="20"/>
          <w:szCs w:val="20"/>
          <w:bdr w:val="none" w:sz="0" w:space="0" w:color="auto"/>
          <w:lang w:eastAsia="en-US"/>
        </w:rPr>
        <w:t xml:space="preserve"> ha ejecutado todos aquellos gastos necesarios para el mantenimiento de la estructura organizativa de esta empresa, entre los que destacan los gastos de personal y sus relacionados, alquileres, reparaciones y conservaciones, los servicios de profesionales independientes, primas de seguro, servicios bancarios y similares, publicidad, propaganda y relaciones públicas, suministros, tributos, gastos de licencias, aplicaciones, servicios webs, gestión de marcas, gastos relacionados con la investigación y planificación estratégica y, en general, todos los gastos de gestión necesarios para el buen funcionamiento de la empresa.</w:t>
      </w:r>
    </w:p>
    <w:p w14:paraId="2600ACAC" w14:textId="211CB851" w:rsidR="00765A93" w:rsidRPr="00461D9C" w:rsidRDefault="00765A93" w:rsidP="00765A93">
      <w:pPr>
        <w:pStyle w:val="CuerpoA"/>
        <w:widowControl w:val="0"/>
        <w:spacing w:before="240" w:after="120" w:line="260" w:lineRule="exact"/>
        <w:jc w:val="both"/>
        <w:rPr>
          <w:rFonts w:ascii="Arial" w:eastAsiaTheme="minorHAnsi" w:hAnsi="Arial" w:cs="Arial"/>
          <w:sz w:val="20"/>
          <w:szCs w:val="20"/>
          <w:highlight w:val="red"/>
          <w:bdr w:val="none" w:sz="0" w:space="0" w:color="auto"/>
          <w:lang w:val="es-ES" w:eastAsia="en-US"/>
        </w:rPr>
      </w:pPr>
      <w:r w:rsidRPr="00461D9C">
        <w:rPr>
          <w:rFonts w:ascii="Arial" w:eastAsiaTheme="minorHAnsi" w:hAnsi="Arial" w:cs="Arial"/>
          <w:b/>
          <w:bCs/>
          <w:sz w:val="20"/>
          <w:szCs w:val="20"/>
          <w:bdr w:val="none" w:sz="0" w:space="0" w:color="auto"/>
          <w:lang w:eastAsia="en-US"/>
        </w:rPr>
        <w:t xml:space="preserve">De todo ello se desprende que el grado de ejecución general del Plan de Actuaciones 2024 por el equipo humano de Promotur, Turismo Canarias, S.A. ha sido de un </w:t>
      </w:r>
      <w:r w:rsidRPr="00461D9C">
        <w:rPr>
          <w:rFonts w:ascii="Arial" w:eastAsiaTheme="minorHAnsi" w:hAnsi="Arial" w:cs="Arial"/>
          <w:b/>
          <w:bCs/>
          <w:sz w:val="20"/>
          <w:szCs w:val="20"/>
          <w:u w:val="single"/>
          <w:bdr w:val="none" w:sz="0" w:space="0" w:color="auto"/>
          <w:lang w:eastAsia="en-US"/>
        </w:rPr>
        <w:t>85,10 %</w:t>
      </w:r>
      <w:r w:rsidRPr="00461D9C">
        <w:rPr>
          <w:rFonts w:ascii="Arial" w:eastAsiaTheme="minorHAnsi" w:hAnsi="Arial" w:cs="Arial"/>
          <w:b/>
          <w:bCs/>
          <w:sz w:val="20"/>
          <w:szCs w:val="20"/>
          <w:bdr w:val="none" w:sz="0" w:space="0" w:color="auto"/>
          <w:lang w:eastAsia="en-US"/>
        </w:rPr>
        <w:t xml:space="preserve"> (2022 83,60 % y 2023 84,80 %).</w:t>
      </w:r>
    </w:p>
    <w:p w14:paraId="446C43BF" w14:textId="7E675487" w:rsidR="00765A93" w:rsidRPr="00461D9C" w:rsidRDefault="00765A93" w:rsidP="00765A93">
      <w:pPr>
        <w:pStyle w:val="CuerpoA"/>
        <w:keepNext/>
        <w:keepLines/>
        <w:widowControl w:val="0"/>
        <w:spacing w:before="120" w:after="120" w:line="288" w:lineRule="auto"/>
        <w:jc w:val="both"/>
        <w:rPr>
          <w:rFonts w:ascii="Arial" w:eastAsiaTheme="minorHAnsi" w:hAnsi="Arial" w:cs="Arial"/>
          <w:sz w:val="20"/>
          <w:szCs w:val="20"/>
          <w:bdr w:val="none" w:sz="0" w:space="0" w:color="auto"/>
          <w:lang w:val="es-ES" w:eastAsia="en-US"/>
        </w:rPr>
      </w:pPr>
      <w:r w:rsidRPr="00461D9C">
        <w:rPr>
          <w:rFonts w:ascii="Arial" w:eastAsiaTheme="minorHAnsi" w:hAnsi="Arial" w:cs="Arial"/>
          <w:b/>
          <w:bCs/>
          <w:sz w:val="20"/>
          <w:szCs w:val="20"/>
          <w:u w:val="single"/>
          <w:bdr w:val="none" w:sz="0" w:space="0" w:color="auto"/>
          <w:lang w:val="es-ES" w:eastAsia="en-US"/>
        </w:rPr>
        <w:lastRenderedPageBreak/>
        <w:t>Por líneas de financiación</w:t>
      </w:r>
      <w:r w:rsidRPr="00461D9C">
        <w:rPr>
          <w:rFonts w:ascii="Arial" w:eastAsiaTheme="minorHAnsi" w:hAnsi="Arial" w:cs="Arial"/>
          <w:sz w:val="20"/>
          <w:szCs w:val="20"/>
          <w:bdr w:val="none" w:sz="0" w:space="0" w:color="auto"/>
          <w:lang w:val="es-ES" w:eastAsia="en-US"/>
        </w:rPr>
        <w:t xml:space="preserve"> (Aportaciones, Convenios, Encomiendas, Ferias y otros), la consecución de objetivos se muestra como sigue para el ejercicio 2024:</w:t>
      </w:r>
    </w:p>
    <w:p w14:paraId="175F9E1F" w14:textId="6F735132" w:rsidR="00E43D87" w:rsidRPr="00E311DF" w:rsidRDefault="00765A93" w:rsidP="00E43D87">
      <w:pPr>
        <w:pStyle w:val="CuerpoA"/>
        <w:keepNext/>
        <w:keepLines/>
        <w:widowControl w:val="0"/>
        <w:spacing w:before="360" w:after="120" w:line="260" w:lineRule="exact"/>
        <w:jc w:val="both"/>
        <w:rPr>
          <w:rFonts w:ascii="Arial" w:eastAsiaTheme="minorHAnsi" w:hAnsi="Arial" w:cs="Arial"/>
          <w:sz w:val="20"/>
          <w:szCs w:val="20"/>
          <w:bdr w:val="none" w:sz="0" w:space="0" w:color="auto"/>
          <w:lang w:eastAsia="en-US"/>
        </w:rPr>
      </w:pPr>
      <w:r w:rsidRPr="00977D05">
        <w:rPr>
          <w:noProof/>
        </w:rPr>
        <w:drawing>
          <wp:anchor distT="0" distB="0" distL="114300" distR="114300" simplePos="0" relativeHeight="251664384" behindDoc="0" locked="0" layoutInCell="1" allowOverlap="1" wp14:anchorId="53D9FB3B" wp14:editId="6F140EB7">
            <wp:simplePos x="0" y="0"/>
            <wp:positionH relativeFrom="column">
              <wp:posOffset>-3810</wp:posOffset>
            </wp:positionH>
            <wp:positionV relativeFrom="paragraph">
              <wp:posOffset>215900</wp:posOffset>
            </wp:positionV>
            <wp:extent cx="5575935" cy="4215765"/>
            <wp:effectExtent l="0" t="0" r="5715" b="0"/>
            <wp:wrapTopAndBottom/>
            <wp:docPr id="1648815643"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5575935" cy="4215765"/>
                    </a:xfrm>
                    <a:prstGeom prst="rect">
                      <a:avLst/>
                    </a:prstGeom>
                    <a:noFill/>
                    <a:ln>
                      <a:noFill/>
                    </a:ln>
                  </pic:spPr>
                </pic:pic>
              </a:graphicData>
            </a:graphic>
            <wp14:sizeRelH relativeFrom="page">
              <wp14:pctWidth>0</wp14:pctWidth>
            </wp14:sizeRelH>
            <wp14:sizeRelV relativeFrom="page">
              <wp14:pctHeight>0</wp14:pctHeight>
            </wp14:sizeRelV>
          </wp:anchor>
        </w:drawing>
      </w:r>
      <w:r w:rsidR="00E43D87" w:rsidRPr="00E311DF">
        <w:rPr>
          <w:rFonts w:ascii="Arial" w:eastAsiaTheme="minorHAnsi" w:hAnsi="Arial" w:cs="Arial"/>
          <w:sz w:val="20"/>
          <w:szCs w:val="20"/>
          <w:bdr w:val="none" w:sz="0" w:space="0" w:color="auto"/>
          <w:lang w:eastAsia="en-US"/>
        </w:rPr>
        <w:t xml:space="preserve">De acuerdo con este detalle de Aportaciones y sus ejecuciones para 2024, la empresa ha ejecutado </w:t>
      </w:r>
      <w:r w:rsidR="00E43D87" w:rsidRPr="00E43D87">
        <w:rPr>
          <w:rFonts w:ascii="Arial" w:eastAsiaTheme="minorHAnsi" w:hAnsi="Arial" w:cs="Arial"/>
          <w:sz w:val="20"/>
          <w:szCs w:val="20"/>
          <w:bdr w:val="none" w:sz="0" w:space="0" w:color="auto"/>
          <w:lang w:eastAsia="en-US"/>
        </w:rPr>
        <w:t xml:space="preserve">fondos por </w:t>
      </w:r>
      <w:r w:rsidR="00E43D87" w:rsidRPr="00E43D87">
        <w:rPr>
          <w:rFonts w:ascii="Arial" w:eastAsiaTheme="minorHAnsi" w:hAnsi="Arial" w:cs="Arial"/>
          <w:b/>
          <w:bCs/>
          <w:sz w:val="20"/>
          <w:szCs w:val="20"/>
          <w:bdr w:val="none" w:sz="0" w:space="0" w:color="auto"/>
          <w:lang w:eastAsia="en-US"/>
        </w:rPr>
        <w:t>53,3 millones de euros, 2,3 millones de euros más que en 2023</w:t>
      </w:r>
      <w:r w:rsidR="00E43D87" w:rsidRPr="00E43D87">
        <w:rPr>
          <w:rFonts w:ascii="Arial" w:eastAsiaTheme="minorHAnsi" w:hAnsi="Arial" w:cs="Arial"/>
          <w:sz w:val="20"/>
          <w:szCs w:val="20"/>
          <w:bdr w:val="none" w:sz="0" w:space="0" w:color="auto"/>
          <w:lang w:eastAsia="en-US"/>
        </w:rPr>
        <w:t xml:space="preserve"> (51 millones de euros), lo que supone un incremento del </w:t>
      </w:r>
      <w:r w:rsidR="00E43D87" w:rsidRPr="00E43D87">
        <w:rPr>
          <w:rFonts w:ascii="Arial" w:eastAsiaTheme="minorHAnsi" w:hAnsi="Arial" w:cs="Arial"/>
          <w:b/>
          <w:bCs/>
          <w:sz w:val="20"/>
          <w:szCs w:val="20"/>
          <w:bdr w:val="none" w:sz="0" w:space="0" w:color="auto"/>
          <w:lang w:eastAsia="en-US"/>
        </w:rPr>
        <w:t>4,5 %</w:t>
      </w:r>
      <w:r w:rsidR="00E43D87" w:rsidRPr="00E43D87">
        <w:rPr>
          <w:rFonts w:ascii="Arial" w:eastAsiaTheme="minorHAnsi" w:hAnsi="Arial" w:cs="Arial"/>
          <w:sz w:val="20"/>
          <w:szCs w:val="20"/>
          <w:bdr w:val="none" w:sz="0" w:space="0" w:color="auto"/>
          <w:lang w:eastAsia="en-US"/>
        </w:rPr>
        <w:t xml:space="preserve"> con respecto a dicho ejercicio económico.</w:t>
      </w:r>
    </w:p>
    <w:p w14:paraId="565E3E99" w14:textId="77777777" w:rsidR="00765A93" w:rsidRPr="00461D9C" w:rsidRDefault="00765A93" w:rsidP="00765A93">
      <w:pPr>
        <w:pStyle w:val="CuerpoA"/>
        <w:keepNext/>
        <w:keepLines/>
        <w:widowControl w:val="0"/>
        <w:spacing w:before="120" w:after="120" w:line="288" w:lineRule="auto"/>
        <w:jc w:val="both"/>
        <w:rPr>
          <w:rFonts w:ascii="Arial" w:eastAsiaTheme="minorHAnsi" w:hAnsi="Arial" w:cs="Arial"/>
          <w:sz w:val="20"/>
          <w:szCs w:val="20"/>
          <w:bdr w:val="none" w:sz="0" w:space="0" w:color="auto"/>
          <w:lang w:val="es-ES" w:eastAsia="en-US"/>
        </w:rPr>
      </w:pPr>
      <w:r w:rsidRPr="00461D9C">
        <w:rPr>
          <w:rFonts w:ascii="Arial" w:eastAsiaTheme="minorHAnsi" w:hAnsi="Arial" w:cs="Arial"/>
          <w:sz w:val="20"/>
          <w:szCs w:val="20"/>
          <w:bdr w:val="none" w:sz="0" w:space="0" w:color="auto"/>
          <w:lang w:val="es-ES" w:eastAsia="en-US"/>
        </w:rPr>
        <w:t>La situación Financiera de la empresa sigue mostrando indicadores positivos que aseguran la sostenibilidad financiera y su capacidad para financiar compromisos de gastos presentes y futuros dentro de los límites de patrimoniales (equilibrio financiero), deuda financiera y morosidad de deuda comercial (periodo medio de pago a proveedores PMP) conforme a los establecido en la Ley Orgánica 2/2012, de 27 de abril, la normativa de morosidad y la normativa europea.</w:t>
      </w:r>
    </w:p>
    <w:p w14:paraId="78945EA7" w14:textId="77777777" w:rsidR="00765A93" w:rsidRPr="00461D9C" w:rsidRDefault="00765A93" w:rsidP="00765A93">
      <w:pPr>
        <w:pStyle w:val="CuerpoA"/>
        <w:keepNext/>
        <w:keepLines/>
        <w:widowControl w:val="0"/>
        <w:spacing w:before="120" w:after="120" w:line="288" w:lineRule="auto"/>
        <w:jc w:val="both"/>
        <w:rPr>
          <w:rFonts w:ascii="Arial" w:eastAsiaTheme="minorHAnsi" w:hAnsi="Arial" w:cs="Arial"/>
          <w:sz w:val="20"/>
          <w:szCs w:val="20"/>
          <w:bdr w:val="none" w:sz="0" w:space="0" w:color="auto"/>
          <w:lang w:val="es-ES" w:eastAsia="en-US"/>
        </w:rPr>
      </w:pPr>
      <w:r w:rsidRPr="00461D9C">
        <w:rPr>
          <w:rFonts w:ascii="Arial" w:eastAsiaTheme="minorHAnsi" w:hAnsi="Arial" w:cs="Arial"/>
          <w:sz w:val="20"/>
          <w:szCs w:val="20"/>
          <w:bdr w:val="none" w:sz="0" w:space="0" w:color="auto"/>
          <w:lang w:val="es-ES" w:eastAsia="en-US"/>
        </w:rPr>
        <w:t>A continuación, se muestra los principales indicadores de esta sociedad mercantil, entendido estos para una empresa cuyo nivel de ingresos esta soportado por aportaciones anuales o plurianuales desde la Consejería tutelante:</w:t>
      </w:r>
    </w:p>
    <w:p w14:paraId="6F001C29" w14:textId="77777777" w:rsidR="00765A93" w:rsidRPr="00461D9C" w:rsidRDefault="00765A93" w:rsidP="00D41577">
      <w:pPr>
        <w:pStyle w:val="CuerpoA"/>
        <w:numPr>
          <w:ilvl w:val="0"/>
          <w:numId w:val="30"/>
        </w:numPr>
        <w:spacing w:before="120" w:after="120" w:line="288" w:lineRule="auto"/>
        <w:ind w:left="567" w:hanging="567"/>
        <w:jc w:val="both"/>
        <w:rPr>
          <w:rFonts w:ascii="Arial" w:eastAsia="Cambria" w:hAnsi="Arial" w:cs="Arial"/>
          <w:bCs/>
          <w:color w:val="auto"/>
          <w:sz w:val="20"/>
          <w:szCs w:val="20"/>
        </w:rPr>
      </w:pPr>
      <w:r w:rsidRPr="00461D9C">
        <w:rPr>
          <w:rFonts w:ascii="Arial" w:eastAsia="Cambria" w:hAnsi="Arial" w:cs="Arial"/>
          <w:bCs/>
          <w:color w:val="auto"/>
          <w:sz w:val="20"/>
          <w:szCs w:val="20"/>
          <w:u w:val="single"/>
        </w:rPr>
        <w:t>Equilibrio patrimonial</w:t>
      </w:r>
      <w:r w:rsidRPr="00461D9C">
        <w:rPr>
          <w:rFonts w:ascii="Arial" w:eastAsia="Cambria" w:hAnsi="Arial" w:cs="Arial"/>
          <w:bCs/>
          <w:color w:val="auto"/>
          <w:sz w:val="20"/>
          <w:szCs w:val="20"/>
        </w:rPr>
        <w:t xml:space="preserve"> </w:t>
      </w:r>
      <w:r w:rsidRPr="00461D9C">
        <w:rPr>
          <w:rFonts w:ascii="Arial" w:eastAsia="Cambria" w:hAnsi="Arial" w:cs="Arial"/>
          <w:b/>
          <w:color w:val="00B050"/>
          <w:sz w:val="20"/>
          <w:szCs w:val="20"/>
        </w:rPr>
        <w:t>ESTABLE</w:t>
      </w:r>
      <w:r w:rsidRPr="00461D9C">
        <w:rPr>
          <w:rFonts w:ascii="Arial" w:eastAsia="Cambria" w:hAnsi="Arial" w:cs="Arial"/>
          <w:bCs/>
          <w:color w:val="auto"/>
          <w:sz w:val="20"/>
          <w:szCs w:val="20"/>
        </w:rPr>
        <w:t xml:space="preserve"> (activo corriente sobre patrimonio neto) 2024 0,58% (2023 0,36%).</w:t>
      </w:r>
    </w:p>
    <w:p w14:paraId="72453585" w14:textId="77777777" w:rsidR="00765A93" w:rsidRPr="00461D9C" w:rsidRDefault="00765A93" w:rsidP="00D41577">
      <w:pPr>
        <w:pStyle w:val="CuerpoA"/>
        <w:numPr>
          <w:ilvl w:val="0"/>
          <w:numId w:val="30"/>
        </w:numPr>
        <w:spacing w:before="120" w:after="120" w:line="288" w:lineRule="auto"/>
        <w:ind w:left="567" w:hanging="567"/>
        <w:jc w:val="both"/>
        <w:rPr>
          <w:rFonts w:ascii="Arial" w:eastAsia="Cambria" w:hAnsi="Arial" w:cs="Arial"/>
          <w:bCs/>
          <w:color w:val="auto"/>
          <w:sz w:val="20"/>
          <w:szCs w:val="20"/>
        </w:rPr>
      </w:pPr>
      <w:r w:rsidRPr="00461D9C">
        <w:rPr>
          <w:rFonts w:ascii="Arial" w:eastAsia="Cambria" w:hAnsi="Arial" w:cs="Arial"/>
          <w:bCs/>
          <w:color w:val="auto"/>
          <w:sz w:val="20"/>
          <w:szCs w:val="20"/>
        </w:rPr>
        <w:t xml:space="preserve">Situación patrimonial (miles de euros) </w:t>
      </w:r>
      <w:r w:rsidRPr="00461D9C">
        <w:rPr>
          <w:rFonts w:ascii="Arial" w:eastAsia="Cambria" w:hAnsi="Arial" w:cs="Arial"/>
          <w:b/>
          <w:color w:val="00B050"/>
          <w:sz w:val="20"/>
          <w:szCs w:val="20"/>
        </w:rPr>
        <w:t>ESTABLE</w:t>
      </w:r>
      <w:r w:rsidRPr="00461D9C">
        <w:rPr>
          <w:rFonts w:ascii="Arial" w:eastAsia="Cambria" w:hAnsi="Arial" w:cs="Arial"/>
          <w:bCs/>
          <w:color w:val="auto"/>
          <w:sz w:val="20"/>
          <w:szCs w:val="20"/>
        </w:rPr>
        <w:t xml:space="preserve"> 2024 600K euros (2023 600K euros).</w:t>
      </w:r>
    </w:p>
    <w:p w14:paraId="64232D6B" w14:textId="77777777" w:rsidR="00765A93" w:rsidRPr="00461D9C" w:rsidRDefault="00765A93" w:rsidP="00D41577">
      <w:pPr>
        <w:pStyle w:val="CuerpoA"/>
        <w:numPr>
          <w:ilvl w:val="0"/>
          <w:numId w:val="30"/>
        </w:numPr>
        <w:spacing w:before="120" w:after="120" w:line="288" w:lineRule="auto"/>
        <w:ind w:left="567" w:hanging="567"/>
        <w:jc w:val="both"/>
        <w:rPr>
          <w:rFonts w:ascii="Arial" w:eastAsia="Cambria" w:hAnsi="Arial" w:cs="Arial"/>
          <w:bCs/>
          <w:color w:val="auto"/>
          <w:sz w:val="20"/>
          <w:szCs w:val="20"/>
        </w:rPr>
      </w:pPr>
      <w:r w:rsidRPr="00461D9C">
        <w:rPr>
          <w:rFonts w:ascii="Arial" w:eastAsia="Cambria" w:hAnsi="Arial" w:cs="Arial"/>
          <w:bCs/>
          <w:color w:val="auto"/>
          <w:sz w:val="20"/>
          <w:szCs w:val="20"/>
        </w:rPr>
        <w:t xml:space="preserve">Deuda Financiera </w:t>
      </w:r>
      <w:r w:rsidRPr="00461D9C">
        <w:rPr>
          <w:rFonts w:ascii="Arial" w:eastAsia="Cambria" w:hAnsi="Arial" w:cs="Arial"/>
          <w:b/>
          <w:color w:val="00B050"/>
          <w:sz w:val="20"/>
          <w:szCs w:val="20"/>
        </w:rPr>
        <w:t>MUY BUENA</w:t>
      </w:r>
      <w:r w:rsidRPr="00461D9C">
        <w:rPr>
          <w:rFonts w:ascii="Arial" w:eastAsia="Cambria" w:hAnsi="Arial" w:cs="Arial"/>
          <w:bCs/>
          <w:color w:val="00B050"/>
          <w:sz w:val="20"/>
          <w:szCs w:val="20"/>
        </w:rPr>
        <w:t xml:space="preserve"> </w:t>
      </w:r>
      <w:r w:rsidRPr="00461D9C">
        <w:rPr>
          <w:rFonts w:ascii="Arial" w:eastAsia="Cambria" w:hAnsi="Arial" w:cs="Arial"/>
          <w:bCs/>
          <w:color w:val="auto"/>
          <w:sz w:val="20"/>
          <w:szCs w:val="20"/>
        </w:rPr>
        <w:t>2024 0% (2023 0%).</w:t>
      </w:r>
    </w:p>
    <w:p w14:paraId="349256AF" w14:textId="77777777" w:rsidR="00765A93" w:rsidRPr="00461D9C" w:rsidRDefault="00765A93" w:rsidP="00D41577">
      <w:pPr>
        <w:pStyle w:val="CuerpoA"/>
        <w:numPr>
          <w:ilvl w:val="0"/>
          <w:numId w:val="30"/>
        </w:numPr>
        <w:spacing w:before="120" w:after="120" w:line="288" w:lineRule="auto"/>
        <w:ind w:left="567" w:hanging="567"/>
        <w:jc w:val="both"/>
        <w:rPr>
          <w:rFonts w:ascii="Arial" w:eastAsia="Cambria" w:hAnsi="Arial" w:cs="Arial"/>
          <w:bCs/>
          <w:color w:val="auto"/>
          <w:sz w:val="20"/>
          <w:szCs w:val="20"/>
        </w:rPr>
      </w:pPr>
      <w:r w:rsidRPr="00461D9C">
        <w:rPr>
          <w:rFonts w:ascii="Arial" w:eastAsia="Cambria" w:hAnsi="Arial" w:cs="Arial"/>
          <w:bCs/>
          <w:color w:val="auto"/>
          <w:sz w:val="20"/>
          <w:szCs w:val="20"/>
        </w:rPr>
        <w:t xml:space="preserve">PMP (desde la fecha de conformidad de la factura) </w:t>
      </w:r>
      <w:r w:rsidRPr="00461D9C">
        <w:rPr>
          <w:rFonts w:ascii="Arial" w:eastAsia="Cambria" w:hAnsi="Arial" w:cs="Arial"/>
          <w:b/>
          <w:color w:val="00B050"/>
          <w:sz w:val="20"/>
          <w:szCs w:val="20"/>
        </w:rPr>
        <w:t>MUY BUENA</w:t>
      </w:r>
      <w:r w:rsidRPr="00461D9C">
        <w:rPr>
          <w:rFonts w:ascii="Arial" w:eastAsia="Cambria" w:hAnsi="Arial" w:cs="Arial"/>
          <w:bCs/>
          <w:color w:val="00B050"/>
          <w:sz w:val="20"/>
          <w:szCs w:val="20"/>
        </w:rPr>
        <w:t xml:space="preserve"> </w:t>
      </w:r>
      <w:r w:rsidRPr="00461D9C">
        <w:rPr>
          <w:rFonts w:ascii="Arial" w:eastAsia="Cambria" w:hAnsi="Arial" w:cs="Arial"/>
          <w:bCs/>
          <w:color w:val="auto"/>
          <w:sz w:val="20"/>
          <w:szCs w:val="20"/>
        </w:rPr>
        <w:t>2024 4,07 días (2023 3,44 días).</w:t>
      </w:r>
    </w:p>
    <w:p w14:paraId="6D14583B" w14:textId="77777777" w:rsidR="00765A93" w:rsidRPr="00461D9C" w:rsidRDefault="00765A93" w:rsidP="00D41577">
      <w:pPr>
        <w:pStyle w:val="CuerpoA"/>
        <w:numPr>
          <w:ilvl w:val="0"/>
          <w:numId w:val="30"/>
        </w:numPr>
        <w:spacing w:before="120" w:after="120" w:line="288" w:lineRule="auto"/>
        <w:ind w:left="567" w:hanging="567"/>
        <w:jc w:val="both"/>
        <w:rPr>
          <w:rFonts w:ascii="Arial" w:eastAsia="Cambria" w:hAnsi="Arial" w:cs="Arial"/>
          <w:bCs/>
          <w:color w:val="auto"/>
          <w:sz w:val="20"/>
          <w:szCs w:val="20"/>
        </w:rPr>
      </w:pPr>
      <w:r w:rsidRPr="00461D9C">
        <w:rPr>
          <w:rFonts w:ascii="Arial" w:eastAsia="Cambria" w:hAnsi="Arial" w:cs="Arial"/>
          <w:bCs/>
          <w:color w:val="auto"/>
          <w:sz w:val="20"/>
          <w:szCs w:val="20"/>
        </w:rPr>
        <w:t xml:space="preserve">Liquidez (millones de euros) </w:t>
      </w:r>
      <w:r w:rsidRPr="00461D9C">
        <w:rPr>
          <w:rFonts w:ascii="Arial" w:eastAsia="Cambria" w:hAnsi="Arial" w:cs="Arial"/>
          <w:b/>
          <w:color w:val="00B050"/>
          <w:sz w:val="20"/>
          <w:szCs w:val="20"/>
        </w:rPr>
        <w:t>ALTA</w:t>
      </w:r>
      <w:r w:rsidRPr="00461D9C">
        <w:rPr>
          <w:rFonts w:ascii="Arial" w:eastAsia="Cambria" w:hAnsi="Arial" w:cs="Arial"/>
          <w:bCs/>
          <w:color w:val="auto"/>
          <w:sz w:val="20"/>
          <w:szCs w:val="20"/>
        </w:rPr>
        <w:t xml:space="preserve"> 2024 13.5M euros (2023 15M euros).</w:t>
      </w:r>
    </w:p>
    <w:p w14:paraId="4089B569" w14:textId="77777777" w:rsidR="00765A93" w:rsidRPr="00461D9C" w:rsidRDefault="00765A93" w:rsidP="00D41577">
      <w:pPr>
        <w:pStyle w:val="CuerpoA"/>
        <w:numPr>
          <w:ilvl w:val="0"/>
          <w:numId w:val="30"/>
        </w:numPr>
        <w:spacing w:before="120" w:after="120" w:line="288" w:lineRule="auto"/>
        <w:ind w:left="567" w:hanging="567"/>
        <w:jc w:val="both"/>
        <w:rPr>
          <w:rFonts w:ascii="Arial" w:eastAsia="Cambria" w:hAnsi="Arial" w:cs="Arial"/>
          <w:bCs/>
          <w:color w:val="auto"/>
          <w:sz w:val="20"/>
          <w:szCs w:val="20"/>
        </w:rPr>
      </w:pPr>
      <w:r w:rsidRPr="00461D9C">
        <w:rPr>
          <w:rFonts w:ascii="Arial" w:eastAsia="Cambria" w:hAnsi="Arial" w:cs="Arial"/>
          <w:bCs/>
          <w:color w:val="auto"/>
          <w:sz w:val="20"/>
          <w:szCs w:val="20"/>
        </w:rPr>
        <w:lastRenderedPageBreak/>
        <w:t xml:space="preserve">Solvencia (capacidad de pago sobre pasivo a corto) </w:t>
      </w:r>
      <w:r w:rsidRPr="00461D9C">
        <w:rPr>
          <w:rFonts w:ascii="Arial" w:eastAsia="Cambria" w:hAnsi="Arial" w:cs="Arial"/>
          <w:b/>
          <w:color w:val="00B050"/>
          <w:sz w:val="20"/>
          <w:szCs w:val="20"/>
        </w:rPr>
        <w:t>MUY BUENA</w:t>
      </w:r>
      <w:r w:rsidRPr="00461D9C">
        <w:rPr>
          <w:rFonts w:ascii="Arial" w:eastAsia="Cambria" w:hAnsi="Arial" w:cs="Arial"/>
          <w:bCs/>
          <w:color w:val="00B050"/>
          <w:sz w:val="20"/>
          <w:szCs w:val="20"/>
        </w:rPr>
        <w:t xml:space="preserve"> </w:t>
      </w:r>
      <w:r w:rsidRPr="00461D9C">
        <w:rPr>
          <w:rFonts w:ascii="Arial" w:eastAsia="Cambria" w:hAnsi="Arial" w:cs="Arial"/>
          <w:bCs/>
          <w:color w:val="auto"/>
          <w:sz w:val="20"/>
          <w:szCs w:val="20"/>
        </w:rPr>
        <w:t>2024 1,42% (2023 0,93%).</w:t>
      </w:r>
    </w:p>
    <w:p w14:paraId="2786B5DC" w14:textId="23B622AC" w:rsidR="0021610B" w:rsidRPr="00461D9C" w:rsidRDefault="0021610B" w:rsidP="00DF4773">
      <w:pPr>
        <w:spacing w:before="240" w:after="120" w:line="260" w:lineRule="exact"/>
        <w:rPr>
          <w:b/>
          <w:color w:val="auto"/>
          <w:sz w:val="20"/>
          <w:szCs w:val="20"/>
        </w:rPr>
      </w:pPr>
      <w:r w:rsidRPr="00461D9C">
        <w:rPr>
          <w:b/>
          <w:color w:val="auto"/>
          <w:sz w:val="20"/>
          <w:szCs w:val="20"/>
        </w:rPr>
        <w:t>2.2 DATOS Y PERSPECTIVAS PARA 20</w:t>
      </w:r>
      <w:r w:rsidR="00765A93" w:rsidRPr="00461D9C">
        <w:rPr>
          <w:b/>
          <w:color w:val="auto"/>
          <w:sz w:val="20"/>
          <w:szCs w:val="20"/>
        </w:rPr>
        <w:t>25</w:t>
      </w:r>
      <w:r w:rsidRPr="00461D9C">
        <w:rPr>
          <w:b/>
          <w:color w:val="auto"/>
          <w:sz w:val="20"/>
          <w:szCs w:val="20"/>
        </w:rPr>
        <w:t xml:space="preserve"> </w:t>
      </w:r>
    </w:p>
    <w:p w14:paraId="45754A40" w14:textId="77777777" w:rsidR="00765A93" w:rsidRPr="00461D9C" w:rsidRDefault="00765A93" w:rsidP="00765A93">
      <w:pPr>
        <w:spacing w:before="120" w:after="120" w:line="288" w:lineRule="auto"/>
        <w:jc w:val="both"/>
        <w:rPr>
          <w:rFonts w:eastAsiaTheme="minorHAnsi"/>
          <w:sz w:val="20"/>
          <w:szCs w:val="20"/>
          <w:bdr w:val="none" w:sz="0" w:space="0" w:color="auto"/>
          <w:lang w:eastAsia="en-US"/>
        </w:rPr>
      </w:pPr>
      <w:r w:rsidRPr="00461D9C">
        <w:rPr>
          <w:rFonts w:eastAsiaTheme="minorHAnsi"/>
          <w:sz w:val="20"/>
          <w:szCs w:val="20"/>
          <w:bdr w:val="none" w:sz="0" w:space="0" w:color="auto"/>
          <w:lang w:eastAsia="en-US"/>
        </w:rPr>
        <w:t>Las perspectivas, no exentas de incertidumbre ante la situación económica y geopolítica internacional, no pueden ser más favorables, de acuerdo con las impresiones descritas en el apartado 1.2 de este informe y, por tanto, será en este año 2025 donde el equipo humano de Promotur Turismo Canarias, S.A. emprenderá y complementará con ilusión nuevos retos.</w:t>
      </w:r>
    </w:p>
    <w:p w14:paraId="178109C9" w14:textId="6BF0D885" w:rsidR="00E43D87" w:rsidRPr="00E43D87" w:rsidRDefault="00E43D87" w:rsidP="00E43D87">
      <w:pPr>
        <w:spacing w:before="120" w:after="120" w:line="288" w:lineRule="auto"/>
        <w:jc w:val="both"/>
        <w:rPr>
          <w:rFonts w:eastAsiaTheme="minorHAnsi"/>
          <w:b/>
          <w:bCs/>
          <w:sz w:val="20"/>
          <w:szCs w:val="20"/>
          <w:bdr w:val="none" w:sz="0" w:space="0" w:color="auto"/>
          <w:lang w:eastAsia="en-US"/>
        </w:rPr>
      </w:pPr>
      <w:r w:rsidRPr="00E43D87">
        <w:rPr>
          <w:rFonts w:eastAsiaTheme="minorHAnsi"/>
          <w:sz w:val="20"/>
          <w:szCs w:val="20"/>
          <w:bdr w:val="none" w:sz="0" w:space="0" w:color="auto"/>
          <w:lang w:eastAsia="en-US"/>
        </w:rPr>
        <w:t xml:space="preserve">A la fecha de este informe, la sociedad ya tiene aprobado en los Presupuestos Generales de la Comunidad Autónoma de Canarias para 2025 (Ley 5/2024, de 26 de diciembre), varias partidas que sumadas a otras aportaciones plurianuales y Convenio hacen un total </w:t>
      </w:r>
      <w:r w:rsidRPr="00E43D87">
        <w:rPr>
          <w:rFonts w:eastAsiaTheme="minorHAnsi"/>
          <w:b/>
          <w:bCs/>
          <w:sz w:val="20"/>
          <w:szCs w:val="20"/>
          <w:bdr w:val="none" w:sz="0" w:space="0" w:color="auto"/>
          <w:lang w:eastAsia="en-US"/>
        </w:rPr>
        <w:t>de 45.907.124,08 euros, lo que supone una reducción en cifras de financiación de un 32 %, que traducido a euros alcanza 21,56 M de euros menos que el año 2024.</w:t>
      </w:r>
    </w:p>
    <w:p w14:paraId="47F9A4D4" w14:textId="77777777" w:rsidR="00E43D87" w:rsidRPr="00E311DF" w:rsidRDefault="00E43D87" w:rsidP="00E43D87">
      <w:pPr>
        <w:spacing w:before="120" w:after="120" w:line="288" w:lineRule="auto"/>
        <w:jc w:val="both"/>
        <w:rPr>
          <w:rFonts w:eastAsiaTheme="minorHAnsi"/>
          <w:sz w:val="20"/>
          <w:szCs w:val="20"/>
          <w:bdr w:val="none" w:sz="0" w:space="0" w:color="auto"/>
          <w:lang w:eastAsia="en-US"/>
        </w:rPr>
      </w:pPr>
      <w:r w:rsidRPr="00E43D87">
        <w:rPr>
          <w:rFonts w:eastAsiaTheme="minorHAnsi"/>
          <w:sz w:val="20"/>
          <w:szCs w:val="20"/>
          <w:bdr w:val="none" w:sz="0" w:space="0" w:color="auto"/>
          <w:lang w:eastAsia="en-US"/>
        </w:rPr>
        <w:t xml:space="preserve">Se ha de poner en valor que esta sociedad mercantil </w:t>
      </w:r>
      <w:r w:rsidRPr="00E43D87">
        <w:rPr>
          <w:rFonts w:eastAsiaTheme="minorHAnsi"/>
          <w:b/>
          <w:bCs/>
          <w:sz w:val="20"/>
          <w:szCs w:val="20"/>
          <w:bdr w:val="none" w:sz="0" w:space="0" w:color="auto"/>
          <w:lang w:eastAsia="en-US"/>
        </w:rPr>
        <w:t>tiene capacidad de ejecución muy superior</w:t>
      </w:r>
      <w:r w:rsidRPr="00E43D87">
        <w:rPr>
          <w:rFonts w:eastAsiaTheme="minorHAnsi"/>
          <w:sz w:val="20"/>
          <w:szCs w:val="20"/>
          <w:bdr w:val="none" w:sz="0" w:space="0" w:color="auto"/>
          <w:lang w:eastAsia="en-US"/>
        </w:rPr>
        <w:t>, tal y como ha demostrado en estos últimos años y es por ello por lo que se trabajará para completar las financiaciones detalladas a continuación, todo ello dentro del marco del principio de estabilidad presupuestaria con un excelente valor de eficiencia que se corroboran a través de su estabilidad financiera y su alto nivel de cumplimiento en ejecución de gasto.</w:t>
      </w:r>
    </w:p>
    <w:p w14:paraId="1C5D7A8D" w14:textId="77777777" w:rsidR="00765A93" w:rsidRPr="00461D9C" w:rsidRDefault="00765A93" w:rsidP="00765A93">
      <w:pPr>
        <w:spacing w:before="120" w:after="120" w:line="288" w:lineRule="auto"/>
        <w:jc w:val="both"/>
        <w:rPr>
          <w:rFonts w:eastAsiaTheme="minorHAnsi"/>
          <w:sz w:val="20"/>
          <w:szCs w:val="20"/>
          <w:bdr w:val="none" w:sz="0" w:space="0" w:color="auto"/>
          <w:lang w:eastAsia="en-US"/>
        </w:rPr>
      </w:pPr>
      <w:r w:rsidRPr="00461D9C">
        <w:rPr>
          <w:rFonts w:eastAsiaTheme="minorHAnsi"/>
          <w:sz w:val="20"/>
          <w:szCs w:val="20"/>
          <w:bdr w:val="none" w:sz="0" w:space="0" w:color="auto"/>
          <w:lang w:eastAsia="en-US"/>
        </w:rPr>
        <w:t>A continuación, se desglosa la naturaleza de cada una de ellas:</w:t>
      </w:r>
    </w:p>
    <w:p w14:paraId="49AE3AB8" w14:textId="77777777" w:rsidR="00765A93" w:rsidRDefault="00765A93" w:rsidP="00765A93">
      <w:pPr>
        <w:spacing w:before="120" w:after="120" w:line="288" w:lineRule="auto"/>
        <w:jc w:val="center"/>
        <w:rPr>
          <w:rFonts w:ascii="Calibri" w:eastAsiaTheme="minorHAnsi" w:hAnsi="Calibri" w:cs="Calibri"/>
          <w:sz w:val="23"/>
          <w:szCs w:val="23"/>
          <w:bdr w:val="none" w:sz="0" w:space="0" w:color="auto"/>
          <w:lang w:eastAsia="en-US"/>
        </w:rPr>
      </w:pPr>
      <w:r w:rsidRPr="009237BB">
        <w:rPr>
          <w:noProof/>
        </w:rPr>
        <w:drawing>
          <wp:inline distT="0" distB="0" distL="0" distR="0" wp14:anchorId="37766887" wp14:editId="5494C2F5">
            <wp:extent cx="4324350" cy="3891915"/>
            <wp:effectExtent l="0" t="0" r="0" b="0"/>
            <wp:docPr id="1284505528"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4327365" cy="3894629"/>
                    </a:xfrm>
                    <a:prstGeom prst="rect">
                      <a:avLst/>
                    </a:prstGeom>
                    <a:noFill/>
                    <a:ln>
                      <a:noFill/>
                    </a:ln>
                  </pic:spPr>
                </pic:pic>
              </a:graphicData>
            </a:graphic>
          </wp:inline>
        </w:drawing>
      </w:r>
    </w:p>
    <w:p w14:paraId="67AFF925" w14:textId="6E4E2C73" w:rsidR="00461D9C" w:rsidRDefault="00765A93" w:rsidP="00765A93">
      <w:pPr>
        <w:spacing w:before="120" w:after="120" w:line="260" w:lineRule="exact"/>
        <w:jc w:val="both"/>
        <w:rPr>
          <w:rFonts w:eastAsiaTheme="minorHAnsi"/>
          <w:sz w:val="20"/>
          <w:szCs w:val="20"/>
          <w:bdr w:val="none" w:sz="0" w:space="0" w:color="auto"/>
          <w:lang w:eastAsia="en-US"/>
        </w:rPr>
      </w:pPr>
      <w:r w:rsidRPr="00461D9C">
        <w:rPr>
          <w:rFonts w:eastAsiaTheme="minorHAnsi"/>
          <w:sz w:val="20"/>
          <w:szCs w:val="20"/>
          <w:bdr w:val="none" w:sz="0" w:space="0" w:color="auto"/>
          <w:lang w:eastAsia="en-US"/>
        </w:rPr>
        <w:t xml:space="preserve">La definición de estas aportaciones se reflejará en un </w:t>
      </w:r>
      <w:r w:rsidRPr="00461D9C">
        <w:rPr>
          <w:rFonts w:eastAsiaTheme="minorHAnsi"/>
          <w:b/>
          <w:bCs/>
          <w:sz w:val="20"/>
          <w:szCs w:val="20"/>
          <w:bdr w:val="none" w:sz="0" w:space="0" w:color="auto"/>
          <w:lang w:eastAsia="en-US"/>
        </w:rPr>
        <w:t xml:space="preserve">Plan de Acción para el 2025 </w:t>
      </w:r>
      <w:r w:rsidRPr="00461D9C">
        <w:rPr>
          <w:rFonts w:eastAsiaTheme="minorHAnsi"/>
          <w:sz w:val="20"/>
          <w:szCs w:val="20"/>
          <w:bdr w:val="none" w:sz="0" w:space="0" w:color="auto"/>
          <w:lang w:eastAsia="en-US"/>
        </w:rPr>
        <w:t>y definirá las líneas de actuación para cada departamento estructural de la entidad.</w:t>
      </w:r>
    </w:p>
    <w:p w14:paraId="480C20E7" w14:textId="77777777" w:rsidR="00461D9C" w:rsidRDefault="00461D9C">
      <w:pPr>
        <w:pBdr>
          <w:top w:val="none" w:sz="0" w:space="0" w:color="auto"/>
          <w:left w:val="none" w:sz="0" w:space="0" w:color="auto"/>
          <w:bottom w:val="none" w:sz="0" w:space="0" w:color="auto"/>
          <w:right w:val="none" w:sz="0" w:space="0" w:color="auto"/>
          <w:between w:val="none" w:sz="0" w:space="0" w:color="auto"/>
          <w:bar w:val="none" w:sz="0" w:color="auto"/>
        </w:pBdr>
        <w:outlineLvl w:val="9"/>
        <w:rPr>
          <w:rFonts w:eastAsiaTheme="minorHAnsi"/>
          <w:sz w:val="20"/>
          <w:szCs w:val="20"/>
          <w:bdr w:val="none" w:sz="0" w:space="0" w:color="auto"/>
          <w:lang w:eastAsia="en-US"/>
        </w:rPr>
      </w:pPr>
      <w:r>
        <w:rPr>
          <w:rFonts w:eastAsiaTheme="minorHAnsi"/>
          <w:sz w:val="20"/>
          <w:szCs w:val="20"/>
          <w:bdr w:val="none" w:sz="0" w:space="0" w:color="auto"/>
          <w:lang w:eastAsia="en-US"/>
        </w:rPr>
        <w:br w:type="page"/>
      </w:r>
    </w:p>
    <w:p w14:paraId="45C1024A" w14:textId="77777777" w:rsidR="0021610B" w:rsidRPr="00461D9C" w:rsidRDefault="0021610B" w:rsidP="00765A93">
      <w:pPr>
        <w:pStyle w:val="Prrafodelista"/>
        <w:numPr>
          <w:ilvl w:val="0"/>
          <w:numId w:val="27"/>
        </w:numPr>
        <w:spacing w:before="120" w:after="120" w:line="260" w:lineRule="exact"/>
        <w:contextualSpacing/>
        <w:outlineLvl w:val="2"/>
        <w:rPr>
          <w:rFonts w:ascii="Arial" w:hAnsi="Arial" w:cs="Arial"/>
          <w:b/>
          <w:color w:val="auto"/>
          <w:sz w:val="20"/>
          <w:szCs w:val="20"/>
        </w:rPr>
      </w:pPr>
      <w:r w:rsidRPr="00461D9C">
        <w:rPr>
          <w:rFonts w:ascii="Arial" w:hAnsi="Arial" w:cs="Arial"/>
          <w:b/>
          <w:color w:val="auto"/>
          <w:sz w:val="20"/>
          <w:szCs w:val="20"/>
        </w:rPr>
        <w:lastRenderedPageBreak/>
        <w:t>ACONTECIMIENTOS POSTERIORES AL CIERRE</w:t>
      </w:r>
    </w:p>
    <w:p w14:paraId="3EB3988C" w14:textId="4B9DAB92" w:rsidR="0021610B" w:rsidRPr="00461D9C" w:rsidRDefault="0021610B" w:rsidP="00765A93">
      <w:pPr>
        <w:spacing w:before="120" w:after="120" w:line="260" w:lineRule="exact"/>
        <w:jc w:val="both"/>
        <w:rPr>
          <w:rFonts w:eastAsiaTheme="minorHAnsi"/>
          <w:sz w:val="20"/>
          <w:szCs w:val="20"/>
          <w:bdr w:val="none" w:sz="0" w:space="0" w:color="auto"/>
          <w:lang w:eastAsia="en-US"/>
        </w:rPr>
      </w:pPr>
      <w:r w:rsidRPr="00461D9C">
        <w:rPr>
          <w:rFonts w:eastAsiaTheme="minorHAnsi"/>
          <w:sz w:val="20"/>
          <w:szCs w:val="20"/>
          <w:bdr w:val="none" w:sz="0" w:space="0" w:color="auto"/>
          <w:lang w:eastAsia="en-US"/>
        </w:rPr>
        <w:t>En el tiempo transcurrido desde el 31 de diciembre de 20</w:t>
      </w:r>
      <w:r w:rsidR="00765A93" w:rsidRPr="00461D9C">
        <w:rPr>
          <w:rFonts w:eastAsiaTheme="minorHAnsi"/>
          <w:sz w:val="20"/>
          <w:szCs w:val="20"/>
          <w:bdr w:val="none" w:sz="0" w:space="0" w:color="auto"/>
          <w:lang w:eastAsia="en-US"/>
        </w:rPr>
        <w:t>24</w:t>
      </w:r>
      <w:r w:rsidRPr="00461D9C">
        <w:rPr>
          <w:rFonts w:eastAsiaTheme="minorHAnsi"/>
          <w:sz w:val="20"/>
          <w:szCs w:val="20"/>
          <w:bdr w:val="none" w:sz="0" w:space="0" w:color="auto"/>
          <w:lang w:eastAsia="en-US"/>
        </w:rPr>
        <w:t xml:space="preserve"> hasta la formulación de las cuentas anuales, los hechos acaecidos ya han sido puestos de manifiesto a lo largo de la Memoria, no habiendo más que reseñar salvo lo allí incluido.</w:t>
      </w:r>
    </w:p>
    <w:p w14:paraId="6AE9EB5C" w14:textId="77777777" w:rsidR="0021610B" w:rsidRPr="00461D9C" w:rsidRDefault="0021610B" w:rsidP="00765A93">
      <w:pPr>
        <w:pStyle w:val="Prrafodelista"/>
        <w:numPr>
          <w:ilvl w:val="0"/>
          <w:numId w:val="27"/>
        </w:numPr>
        <w:spacing w:before="120" w:after="120" w:line="260" w:lineRule="exact"/>
        <w:contextualSpacing/>
        <w:outlineLvl w:val="2"/>
        <w:rPr>
          <w:rFonts w:ascii="Arial" w:hAnsi="Arial" w:cs="Arial"/>
          <w:b/>
          <w:color w:val="auto"/>
          <w:sz w:val="20"/>
          <w:szCs w:val="20"/>
        </w:rPr>
      </w:pPr>
      <w:r w:rsidRPr="00461D9C">
        <w:rPr>
          <w:rFonts w:ascii="Arial" w:hAnsi="Arial" w:cs="Arial"/>
          <w:b/>
          <w:color w:val="auto"/>
          <w:sz w:val="20"/>
          <w:szCs w:val="20"/>
        </w:rPr>
        <w:t>INVESTIGACIÓN Y DESARROLLO</w:t>
      </w:r>
    </w:p>
    <w:p w14:paraId="633AFDC6" w14:textId="211DC798" w:rsidR="0021610B" w:rsidRPr="00461D9C" w:rsidRDefault="0021610B" w:rsidP="00765A93">
      <w:pPr>
        <w:spacing w:before="120" w:after="120" w:line="260" w:lineRule="exact"/>
        <w:jc w:val="both"/>
        <w:rPr>
          <w:rFonts w:eastAsiaTheme="minorHAnsi"/>
          <w:sz w:val="20"/>
          <w:szCs w:val="20"/>
          <w:bdr w:val="none" w:sz="0" w:space="0" w:color="auto"/>
          <w:lang w:eastAsia="en-US"/>
        </w:rPr>
      </w:pPr>
      <w:r w:rsidRPr="00461D9C">
        <w:rPr>
          <w:rFonts w:eastAsiaTheme="minorHAnsi"/>
          <w:sz w:val="20"/>
          <w:szCs w:val="20"/>
          <w:bdr w:val="none" w:sz="0" w:space="0" w:color="auto"/>
          <w:lang w:eastAsia="en-US"/>
        </w:rPr>
        <w:t xml:space="preserve">Durante el ejercicio </w:t>
      </w:r>
      <w:r w:rsidR="00765A93" w:rsidRPr="00461D9C">
        <w:rPr>
          <w:rFonts w:eastAsiaTheme="minorHAnsi"/>
          <w:sz w:val="20"/>
          <w:szCs w:val="20"/>
          <w:bdr w:val="none" w:sz="0" w:space="0" w:color="auto"/>
          <w:lang w:eastAsia="en-US"/>
        </w:rPr>
        <w:t>2024</w:t>
      </w:r>
      <w:r w:rsidRPr="00461D9C">
        <w:rPr>
          <w:rFonts w:eastAsiaTheme="minorHAnsi"/>
          <w:sz w:val="20"/>
          <w:szCs w:val="20"/>
          <w:bdr w:val="none" w:sz="0" w:space="0" w:color="auto"/>
          <w:lang w:eastAsia="en-US"/>
        </w:rPr>
        <w:t xml:space="preserve"> la Sociedad no ha realizado actividad alguna en materia de Investigación y Desarrollo.</w:t>
      </w:r>
    </w:p>
    <w:p w14:paraId="024EEEEC" w14:textId="77777777" w:rsidR="0021610B" w:rsidRPr="00765A93" w:rsidRDefault="0021610B" w:rsidP="00765A93">
      <w:pPr>
        <w:pStyle w:val="Prrafodelista"/>
        <w:numPr>
          <w:ilvl w:val="0"/>
          <w:numId w:val="27"/>
        </w:numPr>
        <w:spacing w:before="120" w:after="120" w:line="260" w:lineRule="exact"/>
        <w:contextualSpacing/>
        <w:outlineLvl w:val="2"/>
        <w:rPr>
          <w:rFonts w:ascii="Arial" w:hAnsi="Arial" w:cs="Arial"/>
          <w:b/>
          <w:color w:val="auto"/>
          <w:sz w:val="20"/>
          <w:szCs w:val="20"/>
        </w:rPr>
      </w:pPr>
      <w:r w:rsidRPr="00765A93">
        <w:rPr>
          <w:rFonts w:ascii="Arial" w:hAnsi="Arial" w:cs="Arial"/>
          <w:b/>
          <w:color w:val="auto"/>
          <w:sz w:val="20"/>
          <w:szCs w:val="20"/>
        </w:rPr>
        <w:t xml:space="preserve"> ACCIONES PROPIAS</w:t>
      </w:r>
    </w:p>
    <w:p w14:paraId="47F63AD0" w14:textId="155DDCF1" w:rsidR="0021610B" w:rsidRPr="00765A93" w:rsidRDefault="0021610B" w:rsidP="00765A93">
      <w:pPr>
        <w:spacing w:before="120" w:after="120" w:line="260" w:lineRule="exact"/>
        <w:jc w:val="both"/>
        <w:outlineLvl w:val="9"/>
        <w:rPr>
          <w:rFonts w:eastAsiaTheme="minorHAnsi"/>
          <w:sz w:val="20"/>
          <w:szCs w:val="20"/>
          <w:bdr w:val="none" w:sz="0" w:space="0" w:color="auto"/>
          <w:lang w:eastAsia="en-US"/>
        </w:rPr>
      </w:pPr>
      <w:r w:rsidRPr="00765A93">
        <w:rPr>
          <w:rFonts w:eastAsiaTheme="minorHAnsi"/>
          <w:sz w:val="20"/>
          <w:szCs w:val="20"/>
          <w:bdr w:val="none" w:sz="0" w:space="0" w:color="auto"/>
          <w:lang w:eastAsia="en-US"/>
        </w:rPr>
        <w:t>La Sociedad no tiene ni ha realizado operaciones con acciones propias durante el ejercicio 202</w:t>
      </w:r>
      <w:r w:rsidR="00765A93" w:rsidRPr="00765A93">
        <w:rPr>
          <w:rFonts w:eastAsiaTheme="minorHAnsi"/>
          <w:sz w:val="20"/>
          <w:szCs w:val="20"/>
          <w:bdr w:val="none" w:sz="0" w:space="0" w:color="auto"/>
          <w:lang w:eastAsia="en-US"/>
        </w:rPr>
        <w:t>4.</w:t>
      </w:r>
      <w:r w:rsidRPr="00765A93">
        <w:rPr>
          <w:rFonts w:eastAsiaTheme="minorHAnsi"/>
          <w:sz w:val="20"/>
          <w:szCs w:val="20"/>
          <w:bdr w:val="none" w:sz="0" w:space="0" w:color="auto"/>
          <w:lang w:eastAsia="en-US"/>
        </w:rPr>
        <w:t xml:space="preserve"> </w:t>
      </w:r>
    </w:p>
    <w:p w14:paraId="14703FE6" w14:textId="77777777" w:rsidR="0021610B" w:rsidRPr="00765A93" w:rsidRDefault="0021610B" w:rsidP="00765A93">
      <w:pPr>
        <w:pStyle w:val="Prrafodelista"/>
        <w:numPr>
          <w:ilvl w:val="0"/>
          <w:numId w:val="27"/>
        </w:numPr>
        <w:spacing w:before="120" w:after="120" w:line="260" w:lineRule="exact"/>
        <w:contextualSpacing/>
        <w:outlineLvl w:val="2"/>
        <w:rPr>
          <w:rFonts w:ascii="Arial" w:hAnsi="Arial" w:cs="Arial"/>
          <w:b/>
          <w:color w:val="auto"/>
          <w:sz w:val="20"/>
          <w:szCs w:val="20"/>
        </w:rPr>
      </w:pPr>
      <w:r w:rsidRPr="00765A93">
        <w:rPr>
          <w:rFonts w:ascii="Arial" w:hAnsi="Arial" w:cs="Arial"/>
          <w:b/>
          <w:color w:val="auto"/>
          <w:sz w:val="20"/>
          <w:szCs w:val="20"/>
        </w:rPr>
        <w:t>INSTRUMENTOS FINANCIEROS</w:t>
      </w:r>
    </w:p>
    <w:p w14:paraId="6A7E74D0" w14:textId="7479DE58" w:rsidR="0021610B" w:rsidRPr="00765A93" w:rsidRDefault="0021610B" w:rsidP="00765A93">
      <w:pPr>
        <w:spacing w:before="120" w:after="120" w:line="260" w:lineRule="exact"/>
        <w:jc w:val="both"/>
        <w:outlineLvl w:val="9"/>
        <w:rPr>
          <w:rFonts w:eastAsiaTheme="minorHAnsi"/>
          <w:sz w:val="20"/>
          <w:szCs w:val="20"/>
          <w:bdr w:val="none" w:sz="0" w:space="0" w:color="auto"/>
          <w:lang w:eastAsia="en-US"/>
        </w:rPr>
      </w:pPr>
      <w:r w:rsidRPr="00765A93">
        <w:rPr>
          <w:rFonts w:eastAsiaTheme="minorHAnsi"/>
          <w:sz w:val="20"/>
          <w:szCs w:val="20"/>
          <w:bdr w:val="none" w:sz="0" w:space="0" w:color="auto"/>
          <w:lang w:eastAsia="en-US"/>
        </w:rPr>
        <w:t>La Sociedad no tiene ni ha realizado operaciones con derivados financieros durante el ejercicio 202</w:t>
      </w:r>
      <w:r w:rsidR="00765A93" w:rsidRPr="00765A93">
        <w:rPr>
          <w:rFonts w:eastAsiaTheme="minorHAnsi"/>
          <w:sz w:val="20"/>
          <w:szCs w:val="20"/>
          <w:bdr w:val="none" w:sz="0" w:space="0" w:color="auto"/>
          <w:lang w:eastAsia="en-US"/>
        </w:rPr>
        <w:t>4</w:t>
      </w:r>
      <w:r w:rsidRPr="00765A93">
        <w:rPr>
          <w:rFonts w:eastAsiaTheme="minorHAnsi"/>
          <w:sz w:val="20"/>
          <w:szCs w:val="20"/>
          <w:bdr w:val="none" w:sz="0" w:space="0" w:color="auto"/>
          <w:lang w:eastAsia="en-US"/>
        </w:rPr>
        <w:t>.</w:t>
      </w:r>
    </w:p>
    <w:p w14:paraId="0B573CF8" w14:textId="77777777" w:rsidR="0021610B" w:rsidRPr="00765A93" w:rsidRDefault="0021610B" w:rsidP="00765A93">
      <w:pPr>
        <w:pStyle w:val="Prrafodelista"/>
        <w:numPr>
          <w:ilvl w:val="0"/>
          <w:numId w:val="27"/>
        </w:numPr>
        <w:spacing w:before="120" w:after="120" w:line="260" w:lineRule="exact"/>
        <w:contextualSpacing/>
        <w:outlineLvl w:val="2"/>
        <w:rPr>
          <w:rFonts w:ascii="Arial" w:hAnsi="Arial" w:cs="Arial"/>
          <w:b/>
          <w:color w:val="auto"/>
          <w:sz w:val="20"/>
          <w:szCs w:val="20"/>
        </w:rPr>
      </w:pPr>
      <w:r w:rsidRPr="00765A93">
        <w:rPr>
          <w:rFonts w:ascii="Arial" w:hAnsi="Arial" w:cs="Arial"/>
          <w:b/>
          <w:color w:val="auto"/>
          <w:sz w:val="20"/>
          <w:szCs w:val="20"/>
        </w:rPr>
        <w:t>INFORMACIÓN SOBRE EL MEDIO AMBIENTE</w:t>
      </w:r>
    </w:p>
    <w:p w14:paraId="003EEFEA" w14:textId="77777777" w:rsidR="00765A93" w:rsidRPr="00765A93" w:rsidRDefault="00765A93" w:rsidP="00765A93">
      <w:pPr>
        <w:spacing w:before="120" w:after="120" w:line="276" w:lineRule="auto"/>
        <w:jc w:val="both"/>
        <w:outlineLvl w:val="9"/>
        <w:rPr>
          <w:rFonts w:eastAsiaTheme="minorHAnsi"/>
          <w:sz w:val="20"/>
          <w:szCs w:val="20"/>
          <w:bdr w:val="none" w:sz="0" w:space="0" w:color="auto"/>
          <w:lang w:eastAsia="en-US"/>
        </w:rPr>
      </w:pPr>
      <w:r w:rsidRPr="00765A93">
        <w:rPr>
          <w:rFonts w:eastAsiaTheme="minorHAnsi"/>
          <w:sz w:val="20"/>
          <w:szCs w:val="20"/>
          <w:bdr w:val="none" w:sz="0" w:space="0" w:color="auto"/>
          <w:lang w:eastAsia="en-US"/>
        </w:rPr>
        <w:t>La Sociedad mantiene sus instalaciones constantemente en un estado que permite cumplir con todas las normas referentes al Medio Ambiente. No ha sido necesario incurrir en gastos particulares y tampoco fue necesaria la dotación de provisiones.</w:t>
      </w:r>
    </w:p>
    <w:p w14:paraId="098698C3" w14:textId="77777777" w:rsidR="00765A93" w:rsidRPr="00765A93" w:rsidRDefault="00765A93" w:rsidP="00765A93">
      <w:pPr>
        <w:spacing w:before="120" w:after="120" w:line="276" w:lineRule="auto"/>
        <w:jc w:val="both"/>
        <w:outlineLvl w:val="9"/>
        <w:rPr>
          <w:rFonts w:eastAsiaTheme="minorHAnsi"/>
          <w:sz w:val="20"/>
          <w:szCs w:val="20"/>
          <w:bdr w:val="none" w:sz="0" w:space="0" w:color="auto"/>
          <w:lang w:eastAsia="en-US"/>
        </w:rPr>
      </w:pPr>
      <w:r w:rsidRPr="00765A93">
        <w:rPr>
          <w:rFonts w:eastAsiaTheme="minorHAnsi"/>
          <w:sz w:val="20"/>
          <w:szCs w:val="20"/>
          <w:bdr w:val="none" w:sz="0" w:space="0" w:color="auto"/>
          <w:lang w:eastAsia="en-US"/>
        </w:rPr>
        <w:t>Y más allá del ámbito de la sociedad, esta ha realizado y aprobado en su Consejo de Administración y en el seno del Consejo Canario de Turismo, El Plan Maestro de Acción Climática 2022-2030 del destino Islas Canarias</w:t>
      </w:r>
    </w:p>
    <w:p w14:paraId="15DE1422" w14:textId="0F3F4DD6" w:rsidR="0021610B" w:rsidRPr="00E46CA0" w:rsidRDefault="0021610B" w:rsidP="0021610B">
      <w:pPr>
        <w:spacing w:before="120" w:after="120" w:line="260" w:lineRule="exact"/>
        <w:jc w:val="both"/>
        <w:outlineLvl w:val="9"/>
        <w:rPr>
          <w:rFonts w:ascii="Calibri" w:eastAsiaTheme="minorHAnsi" w:hAnsi="Calibri" w:cs="Calibri"/>
          <w:sz w:val="23"/>
          <w:szCs w:val="23"/>
          <w:bdr w:val="none" w:sz="0" w:space="0" w:color="auto"/>
          <w:lang w:eastAsia="en-US"/>
        </w:rPr>
      </w:pPr>
    </w:p>
    <w:p w14:paraId="188D1044" w14:textId="77777777" w:rsidR="00D03D56" w:rsidRDefault="00D03D56" w:rsidP="00D03D56">
      <w:pPr>
        <w:tabs>
          <w:tab w:val="left" w:pos="567"/>
          <w:tab w:val="left" w:pos="1134"/>
          <w:tab w:val="left" w:pos="1587"/>
        </w:tabs>
        <w:jc w:val="both"/>
        <w:rPr>
          <w:sz w:val="20"/>
          <w:szCs w:val="22"/>
        </w:rPr>
      </w:pPr>
    </w:p>
    <w:p w14:paraId="0D31ECA6" w14:textId="77777777" w:rsidR="00841182" w:rsidRPr="0083433F" w:rsidRDefault="00841182" w:rsidP="006220A2">
      <w:pPr>
        <w:tabs>
          <w:tab w:val="left" w:pos="567"/>
          <w:tab w:val="left" w:pos="1134"/>
          <w:tab w:val="left" w:pos="1587"/>
        </w:tabs>
        <w:jc w:val="both"/>
        <w:rPr>
          <w:sz w:val="20"/>
          <w:szCs w:val="22"/>
        </w:rPr>
        <w:sectPr w:rsidR="00841182" w:rsidRPr="0083433F" w:rsidSect="00F62F4D">
          <w:headerReference w:type="default" r:id="rId19"/>
          <w:pgSz w:w="11900" w:h="16840" w:code="9"/>
          <w:pgMar w:top="1701" w:right="1418" w:bottom="1418" w:left="1701" w:header="1020" w:footer="680" w:gutter="0"/>
          <w:cols w:space="708"/>
          <w:docGrid w:linePitch="360"/>
        </w:sectPr>
      </w:pPr>
    </w:p>
    <w:p w14:paraId="4F5045BD" w14:textId="233B52E8" w:rsidR="00841182" w:rsidRPr="0083433F" w:rsidRDefault="00841182" w:rsidP="006220A2">
      <w:pPr>
        <w:tabs>
          <w:tab w:val="left" w:pos="567"/>
          <w:tab w:val="left" w:pos="1134"/>
          <w:tab w:val="left" w:pos="1587"/>
        </w:tabs>
        <w:jc w:val="both"/>
        <w:rPr>
          <w:b/>
          <w:sz w:val="20"/>
          <w:szCs w:val="22"/>
        </w:rPr>
      </w:pPr>
      <w:r w:rsidRPr="0083433F">
        <w:rPr>
          <w:b/>
          <w:sz w:val="20"/>
          <w:szCs w:val="22"/>
        </w:rPr>
        <w:lastRenderedPageBreak/>
        <w:t>FORMULACIÓN CUENTAS ANUALES EJERCICIO 20</w:t>
      </w:r>
      <w:r w:rsidR="00A42A87">
        <w:rPr>
          <w:b/>
          <w:sz w:val="20"/>
          <w:szCs w:val="22"/>
        </w:rPr>
        <w:t>2</w:t>
      </w:r>
      <w:r w:rsidR="00201C8A">
        <w:rPr>
          <w:b/>
          <w:sz w:val="20"/>
          <w:szCs w:val="22"/>
        </w:rPr>
        <w:t>4</w:t>
      </w:r>
      <w:r w:rsidRPr="0083433F">
        <w:rPr>
          <w:b/>
          <w:sz w:val="20"/>
          <w:szCs w:val="22"/>
        </w:rPr>
        <w:t xml:space="preserve"> E INFORME DE GESTIÓN</w:t>
      </w:r>
    </w:p>
    <w:p w14:paraId="1C266B8F" w14:textId="6B51497E" w:rsidR="006220A2" w:rsidRPr="0033416B" w:rsidRDefault="006220A2" w:rsidP="00E34164">
      <w:pPr>
        <w:tabs>
          <w:tab w:val="left" w:pos="567"/>
          <w:tab w:val="left" w:pos="1134"/>
          <w:tab w:val="left" w:pos="1587"/>
        </w:tabs>
        <w:spacing w:before="120" w:after="120" w:line="260" w:lineRule="exact"/>
        <w:jc w:val="both"/>
        <w:rPr>
          <w:sz w:val="20"/>
          <w:szCs w:val="22"/>
        </w:rPr>
      </w:pPr>
      <w:r w:rsidRPr="00532D57">
        <w:rPr>
          <w:sz w:val="20"/>
          <w:szCs w:val="22"/>
        </w:rPr>
        <w:t xml:space="preserve">Reunidos los administradores </w:t>
      </w:r>
      <w:r w:rsidRPr="0033416B">
        <w:rPr>
          <w:sz w:val="20"/>
          <w:szCs w:val="22"/>
        </w:rPr>
        <w:t xml:space="preserve">de </w:t>
      </w:r>
      <w:r w:rsidRPr="0033416B">
        <w:rPr>
          <w:b/>
          <w:caps/>
          <w:sz w:val="20"/>
          <w:szCs w:val="22"/>
        </w:rPr>
        <w:t>Promotur Turismo Canarias S.A.</w:t>
      </w:r>
      <w:r w:rsidRPr="0033416B">
        <w:rPr>
          <w:caps/>
          <w:sz w:val="20"/>
          <w:szCs w:val="22"/>
        </w:rPr>
        <w:t>,</w:t>
      </w:r>
      <w:r w:rsidRPr="0033416B">
        <w:rPr>
          <w:sz w:val="20"/>
          <w:szCs w:val="22"/>
        </w:rPr>
        <w:t xml:space="preserve"> en fecha </w:t>
      </w:r>
      <w:r w:rsidR="0033416B" w:rsidRPr="0033416B">
        <w:rPr>
          <w:sz w:val="20"/>
          <w:szCs w:val="22"/>
        </w:rPr>
        <w:t>27</w:t>
      </w:r>
      <w:r w:rsidRPr="0033416B">
        <w:rPr>
          <w:sz w:val="20"/>
          <w:szCs w:val="22"/>
        </w:rPr>
        <w:t xml:space="preserve"> de marzo de 20</w:t>
      </w:r>
      <w:r w:rsidR="007A7245" w:rsidRPr="0033416B">
        <w:rPr>
          <w:sz w:val="20"/>
          <w:szCs w:val="22"/>
        </w:rPr>
        <w:t>2</w:t>
      </w:r>
      <w:r w:rsidR="0033416B" w:rsidRPr="0033416B">
        <w:rPr>
          <w:sz w:val="20"/>
          <w:szCs w:val="22"/>
        </w:rPr>
        <w:t>5</w:t>
      </w:r>
      <w:r w:rsidRPr="0033416B">
        <w:rPr>
          <w:sz w:val="20"/>
          <w:szCs w:val="22"/>
        </w:rPr>
        <w:t xml:space="preserve"> y en cumplimiento de los requisitos establecidos en los artículos 253 de la Ley de Sociedades de Capital y del artículo 31 del Código de Comercio, proceden a formular las cuentas anuales y el informe de gestión del ejercicio anual terminado el 31 de diciembre de 20</w:t>
      </w:r>
      <w:r w:rsidR="000E5182" w:rsidRPr="0033416B">
        <w:rPr>
          <w:sz w:val="20"/>
          <w:szCs w:val="22"/>
        </w:rPr>
        <w:t>2</w:t>
      </w:r>
      <w:r w:rsidR="00201C8A" w:rsidRPr="0033416B">
        <w:rPr>
          <w:sz w:val="20"/>
          <w:szCs w:val="22"/>
        </w:rPr>
        <w:t>4</w:t>
      </w:r>
      <w:r w:rsidRPr="0033416B">
        <w:rPr>
          <w:sz w:val="20"/>
          <w:szCs w:val="22"/>
        </w:rPr>
        <w:t xml:space="preserve">, las cuales vienen constituidas por los documentos anexos que preceden a este escrito, cuyas hojas se presentan ordenadas correlativamente de la 1 a la </w:t>
      </w:r>
      <w:r w:rsidR="00EB2CFB" w:rsidRPr="0033416B">
        <w:rPr>
          <w:sz w:val="20"/>
          <w:szCs w:val="22"/>
        </w:rPr>
        <w:t>4</w:t>
      </w:r>
      <w:r w:rsidR="00461D9C">
        <w:rPr>
          <w:sz w:val="20"/>
          <w:szCs w:val="22"/>
        </w:rPr>
        <w:t>9</w:t>
      </w:r>
      <w:r w:rsidRPr="0033416B">
        <w:rPr>
          <w:sz w:val="20"/>
          <w:szCs w:val="22"/>
        </w:rPr>
        <w:t>.</w:t>
      </w:r>
    </w:p>
    <w:p w14:paraId="55CE2D88" w14:textId="77777777" w:rsidR="006220A2" w:rsidRPr="0033416B" w:rsidRDefault="006220A2" w:rsidP="006220A2">
      <w:pPr>
        <w:tabs>
          <w:tab w:val="left" w:pos="567"/>
          <w:tab w:val="left" w:pos="1134"/>
          <w:tab w:val="left" w:pos="1587"/>
        </w:tabs>
        <w:jc w:val="both"/>
        <w:rPr>
          <w:sz w:val="20"/>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85"/>
        <w:gridCol w:w="4386"/>
      </w:tblGrid>
      <w:tr w:rsidR="006220A2" w:rsidRPr="0033416B" w14:paraId="45F0ED1E" w14:textId="77777777" w:rsidTr="006E6F4D">
        <w:trPr>
          <w:trHeight w:val="1361"/>
        </w:trPr>
        <w:tc>
          <w:tcPr>
            <w:tcW w:w="2500" w:type="pct"/>
          </w:tcPr>
          <w:p w14:paraId="61B5ABB2" w14:textId="7B5EFC95" w:rsidR="006220A2" w:rsidRPr="0033416B" w:rsidRDefault="00040D6A" w:rsidP="00C01236">
            <w:pPr>
              <w:jc w:val="center"/>
              <w:rPr>
                <w:sz w:val="20"/>
                <w:szCs w:val="20"/>
              </w:rPr>
            </w:pPr>
            <w:proofErr w:type="spellStart"/>
            <w:r w:rsidRPr="0033416B">
              <w:rPr>
                <w:sz w:val="20"/>
                <w:szCs w:val="20"/>
                <w:lang w:val="pt-BR"/>
              </w:rPr>
              <w:t>Dª</w:t>
            </w:r>
            <w:proofErr w:type="spellEnd"/>
            <w:r w:rsidRPr="0033416B">
              <w:rPr>
                <w:sz w:val="20"/>
                <w:szCs w:val="20"/>
                <w:lang w:val="pt-BR"/>
              </w:rPr>
              <w:t>.</w:t>
            </w:r>
            <w:r w:rsidR="00E34164" w:rsidRPr="0033416B">
              <w:rPr>
                <w:sz w:val="20"/>
                <w:szCs w:val="20"/>
                <w:lang w:val="pt-BR"/>
              </w:rPr>
              <w:t xml:space="preserve"> </w:t>
            </w:r>
            <w:r w:rsidR="00540221" w:rsidRPr="0033416B">
              <w:rPr>
                <w:sz w:val="20"/>
                <w:szCs w:val="20"/>
              </w:rPr>
              <w:t>Jéssica del Carmen de León Verdugo</w:t>
            </w:r>
          </w:p>
        </w:tc>
        <w:tc>
          <w:tcPr>
            <w:tcW w:w="2500" w:type="pct"/>
          </w:tcPr>
          <w:p w14:paraId="1188BE15" w14:textId="4ED775C7" w:rsidR="006220A2" w:rsidRPr="0033416B" w:rsidRDefault="00040D6A" w:rsidP="00E8209A">
            <w:pPr>
              <w:jc w:val="center"/>
              <w:rPr>
                <w:sz w:val="20"/>
                <w:szCs w:val="20"/>
              </w:rPr>
            </w:pPr>
            <w:r w:rsidRPr="0033416B">
              <w:rPr>
                <w:sz w:val="20"/>
                <w:szCs w:val="20"/>
              </w:rPr>
              <w:t xml:space="preserve">D. </w:t>
            </w:r>
            <w:r w:rsidR="00540221" w:rsidRPr="0033416B">
              <w:rPr>
                <w:sz w:val="20"/>
                <w:szCs w:val="20"/>
              </w:rPr>
              <w:t>José Manuel Sanabria Díaz</w:t>
            </w:r>
          </w:p>
        </w:tc>
      </w:tr>
      <w:tr w:rsidR="006220A2" w:rsidRPr="0033416B" w14:paraId="722E450B" w14:textId="77777777" w:rsidTr="006E6F4D">
        <w:trPr>
          <w:trHeight w:val="1361"/>
        </w:trPr>
        <w:tc>
          <w:tcPr>
            <w:tcW w:w="2500" w:type="pct"/>
          </w:tcPr>
          <w:p w14:paraId="46C5684C" w14:textId="77777777" w:rsidR="006220A2" w:rsidRPr="0033416B" w:rsidRDefault="00040D6A" w:rsidP="00C01236">
            <w:pPr>
              <w:jc w:val="center"/>
              <w:rPr>
                <w:sz w:val="20"/>
                <w:szCs w:val="20"/>
              </w:rPr>
            </w:pPr>
            <w:r w:rsidRPr="0033416B">
              <w:rPr>
                <w:sz w:val="20"/>
                <w:szCs w:val="20"/>
              </w:rPr>
              <w:t xml:space="preserve">D. José María </w:t>
            </w:r>
            <w:proofErr w:type="spellStart"/>
            <w:r w:rsidRPr="0033416B">
              <w:rPr>
                <w:sz w:val="20"/>
                <w:szCs w:val="20"/>
              </w:rPr>
              <w:t>Mañaricúa</w:t>
            </w:r>
            <w:proofErr w:type="spellEnd"/>
            <w:r w:rsidRPr="0033416B">
              <w:rPr>
                <w:sz w:val="20"/>
                <w:szCs w:val="20"/>
              </w:rPr>
              <w:t xml:space="preserve"> Aristondo</w:t>
            </w:r>
          </w:p>
        </w:tc>
        <w:tc>
          <w:tcPr>
            <w:tcW w:w="2500" w:type="pct"/>
          </w:tcPr>
          <w:p w14:paraId="1E3F01A1" w14:textId="5FE5E21D" w:rsidR="006220A2" w:rsidRPr="0033416B" w:rsidRDefault="00040D6A" w:rsidP="00C01236">
            <w:pPr>
              <w:jc w:val="center"/>
              <w:rPr>
                <w:sz w:val="20"/>
                <w:szCs w:val="20"/>
              </w:rPr>
            </w:pPr>
            <w:proofErr w:type="spellStart"/>
            <w:r w:rsidRPr="0033416B">
              <w:rPr>
                <w:sz w:val="20"/>
                <w:szCs w:val="20"/>
                <w:lang w:val="pt-BR"/>
              </w:rPr>
              <w:t>D</w:t>
            </w:r>
            <w:r w:rsidR="00BB1445" w:rsidRPr="0033416B">
              <w:rPr>
                <w:sz w:val="20"/>
                <w:szCs w:val="20"/>
                <w:lang w:val="pt-BR"/>
              </w:rPr>
              <w:t>ª</w:t>
            </w:r>
            <w:proofErr w:type="spellEnd"/>
            <w:r w:rsidRPr="0033416B">
              <w:rPr>
                <w:sz w:val="20"/>
                <w:szCs w:val="20"/>
                <w:lang w:val="pt-BR"/>
              </w:rPr>
              <w:t>. Susana Pérez Represa</w:t>
            </w:r>
          </w:p>
        </w:tc>
      </w:tr>
      <w:tr w:rsidR="006220A2" w:rsidRPr="0033416B" w14:paraId="0AD3DE96" w14:textId="77777777" w:rsidTr="006E6F4D">
        <w:trPr>
          <w:trHeight w:val="1361"/>
        </w:trPr>
        <w:tc>
          <w:tcPr>
            <w:tcW w:w="2500" w:type="pct"/>
            <w:shd w:val="clear" w:color="auto" w:fill="auto"/>
          </w:tcPr>
          <w:p w14:paraId="741BA2BD" w14:textId="04FDBBDE" w:rsidR="006220A2" w:rsidRPr="0033416B" w:rsidRDefault="0033416B" w:rsidP="00C01236">
            <w:pPr>
              <w:jc w:val="center"/>
              <w:rPr>
                <w:sz w:val="20"/>
                <w:szCs w:val="20"/>
                <w:lang w:val="pt-BR"/>
              </w:rPr>
            </w:pPr>
            <w:r w:rsidRPr="0033416B">
              <w:rPr>
                <w:sz w:val="20"/>
                <w:szCs w:val="20"/>
                <w:lang w:val="pt-BR"/>
              </w:rPr>
              <w:t xml:space="preserve">D. Antonio </w:t>
            </w:r>
            <w:proofErr w:type="spellStart"/>
            <w:r w:rsidRPr="0033416B">
              <w:rPr>
                <w:sz w:val="20"/>
                <w:szCs w:val="20"/>
                <w:lang w:val="pt-BR"/>
              </w:rPr>
              <w:t>Hormiga</w:t>
            </w:r>
            <w:proofErr w:type="spellEnd"/>
            <w:r w:rsidRPr="0033416B">
              <w:rPr>
                <w:sz w:val="20"/>
                <w:szCs w:val="20"/>
                <w:lang w:val="pt-BR"/>
              </w:rPr>
              <w:t xml:space="preserve"> Alonso</w:t>
            </w:r>
          </w:p>
        </w:tc>
        <w:tc>
          <w:tcPr>
            <w:tcW w:w="2500" w:type="pct"/>
          </w:tcPr>
          <w:p w14:paraId="633F34A7" w14:textId="0BEB4B57" w:rsidR="006220A2" w:rsidRPr="0033416B" w:rsidRDefault="0033416B" w:rsidP="00C01236">
            <w:pPr>
              <w:jc w:val="center"/>
              <w:rPr>
                <w:sz w:val="20"/>
                <w:szCs w:val="20"/>
              </w:rPr>
            </w:pPr>
            <w:proofErr w:type="spellStart"/>
            <w:r w:rsidRPr="0033416B">
              <w:rPr>
                <w:sz w:val="20"/>
                <w:szCs w:val="20"/>
                <w:lang w:val="pt-BR"/>
              </w:rPr>
              <w:t>Dª</w:t>
            </w:r>
            <w:proofErr w:type="spellEnd"/>
            <w:r w:rsidRPr="0033416B">
              <w:rPr>
                <w:sz w:val="20"/>
                <w:szCs w:val="20"/>
                <w:lang w:val="pt-BR"/>
              </w:rPr>
              <w:t xml:space="preserve">. </w:t>
            </w:r>
            <w:r w:rsidRPr="0033416B">
              <w:rPr>
                <w:sz w:val="20"/>
                <w:szCs w:val="20"/>
              </w:rPr>
              <w:t>María Belén Díaz Elías</w:t>
            </w:r>
          </w:p>
        </w:tc>
      </w:tr>
      <w:tr w:rsidR="00040D6A" w:rsidRPr="0033416B" w14:paraId="08B8A8C8" w14:textId="77777777" w:rsidTr="006E6F4D">
        <w:trPr>
          <w:trHeight w:val="1361"/>
        </w:trPr>
        <w:tc>
          <w:tcPr>
            <w:tcW w:w="2500" w:type="pct"/>
          </w:tcPr>
          <w:p w14:paraId="7D0ED3E4" w14:textId="77777777" w:rsidR="00040D6A" w:rsidRPr="0033416B" w:rsidRDefault="00040D6A" w:rsidP="00C01236">
            <w:pPr>
              <w:jc w:val="center"/>
              <w:rPr>
                <w:sz w:val="20"/>
                <w:szCs w:val="20"/>
              </w:rPr>
            </w:pPr>
            <w:r w:rsidRPr="0033416B">
              <w:rPr>
                <w:sz w:val="20"/>
                <w:szCs w:val="20"/>
                <w:lang w:val="pt-BR"/>
              </w:rPr>
              <w:t>D. José Gilberto Moreno García</w:t>
            </w:r>
          </w:p>
        </w:tc>
        <w:tc>
          <w:tcPr>
            <w:tcW w:w="2500" w:type="pct"/>
          </w:tcPr>
          <w:p w14:paraId="3CE3C2E5" w14:textId="7A203D55" w:rsidR="00040D6A" w:rsidRPr="0033416B" w:rsidRDefault="0033416B" w:rsidP="00C01236">
            <w:pPr>
              <w:jc w:val="center"/>
              <w:rPr>
                <w:sz w:val="20"/>
                <w:szCs w:val="20"/>
              </w:rPr>
            </w:pPr>
            <w:proofErr w:type="spellStart"/>
            <w:r w:rsidRPr="0033416B">
              <w:rPr>
                <w:sz w:val="20"/>
                <w:szCs w:val="20"/>
                <w:lang w:val="pt-BR"/>
              </w:rPr>
              <w:t>Dª</w:t>
            </w:r>
            <w:proofErr w:type="spellEnd"/>
            <w:r w:rsidRPr="0033416B">
              <w:rPr>
                <w:sz w:val="20"/>
                <w:szCs w:val="20"/>
                <w:lang w:val="pt-BR"/>
              </w:rPr>
              <w:t xml:space="preserve">. </w:t>
            </w:r>
            <w:r w:rsidRPr="0033416B">
              <w:rPr>
                <w:sz w:val="20"/>
                <w:szCs w:val="20"/>
              </w:rPr>
              <w:t>María Méndez Castro</w:t>
            </w:r>
          </w:p>
        </w:tc>
      </w:tr>
      <w:tr w:rsidR="00040D6A" w:rsidRPr="00EA4BDD" w14:paraId="4D365EE5" w14:textId="77777777" w:rsidTr="006E6F4D">
        <w:trPr>
          <w:trHeight w:val="1361"/>
        </w:trPr>
        <w:tc>
          <w:tcPr>
            <w:tcW w:w="2500" w:type="pct"/>
          </w:tcPr>
          <w:p w14:paraId="2F2FAF1D" w14:textId="4BB48B4F" w:rsidR="00040D6A" w:rsidRPr="0033416B" w:rsidRDefault="00540221">
            <w:pPr>
              <w:pStyle w:val="Prrafodelista"/>
              <w:numPr>
                <w:ilvl w:val="0"/>
                <w:numId w:val="17"/>
              </w:numPr>
              <w:pBdr>
                <w:top w:val="none" w:sz="0" w:space="0" w:color="auto"/>
                <w:left w:val="none" w:sz="0" w:space="0" w:color="auto"/>
                <w:bottom w:val="none" w:sz="0" w:space="0" w:color="auto"/>
                <w:right w:val="none" w:sz="0" w:space="0" w:color="auto"/>
                <w:between w:val="none" w:sz="0" w:space="0" w:color="auto"/>
                <w:bar w:val="none" w:sz="0" w:color="auto"/>
              </w:pBdr>
              <w:ind w:left="348"/>
              <w:contextualSpacing/>
              <w:jc w:val="center"/>
              <w:rPr>
                <w:rFonts w:ascii="Arial" w:hAnsi="Arial" w:cs="Arial"/>
                <w:sz w:val="20"/>
                <w:szCs w:val="20"/>
              </w:rPr>
            </w:pPr>
            <w:r w:rsidRPr="0033416B">
              <w:rPr>
                <w:rFonts w:ascii="Arial" w:hAnsi="Arial" w:cs="Arial"/>
                <w:sz w:val="20"/>
                <w:szCs w:val="20"/>
              </w:rPr>
              <w:t xml:space="preserve">Héctor Mateo </w:t>
            </w:r>
            <w:proofErr w:type="spellStart"/>
            <w:r w:rsidRPr="0033416B">
              <w:rPr>
                <w:rFonts w:ascii="Arial" w:hAnsi="Arial" w:cs="Arial"/>
                <w:sz w:val="20"/>
                <w:szCs w:val="20"/>
              </w:rPr>
              <w:t>Castañeyra</w:t>
            </w:r>
            <w:proofErr w:type="spellEnd"/>
          </w:p>
        </w:tc>
        <w:tc>
          <w:tcPr>
            <w:tcW w:w="2500" w:type="pct"/>
          </w:tcPr>
          <w:p w14:paraId="535DB6B0" w14:textId="348D2321" w:rsidR="00040D6A" w:rsidRPr="00EA4BDD" w:rsidRDefault="00040D6A" w:rsidP="00C01236">
            <w:pPr>
              <w:jc w:val="center"/>
              <w:rPr>
                <w:sz w:val="20"/>
                <w:szCs w:val="20"/>
              </w:rPr>
            </w:pPr>
            <w:r w:rsidRPr="0033416B">
              <w:rPr>
                <w:sz w:val="20"/>
                <w:szCs w:val="20"/>
              </w:rPr>
              <w:t xml:space="preserve">D. </w:t>
            </w:r>
            <w:r w:rsidR="00540221" w:rsidRPr="0033416B">
              <w:rPr>
                <w:sz w:val="20"/>
                <w:szCs w:val="20"/>
              </w:rPr>
              <w:t>Miguel Ángel Rodríguez Martínez</w:t>
            </w:r>
          </w:p>
        </w:tc>
      </w:tr>
      <w:tr w:rsidR="00FC3F6D" w:rsidRPr="00EA4BDD" w14:paraId="1EA8023C" w14:textId="77777777" w:rsidTr="00FC3F6D">
        <w:trPr>
          <w:trHeight w:val="1361"/>
        </w:trPr>
        <w:tc>
          <w:tcPr>
            <w:tcW w:w="2500" w:type="pct"/>
          </w:tcPr>
          <w:p w14:paraId="3C3553D2" w14:textId="18BC0A9E" w:rsidR="00FC3F6D" w:rsidRPr="00FC3F6D" w:rsidRDefault="00FC3F6D" w:rsidP="00FC3F6D">
            <w:pPr>
              <w:pBdr>
                <w:top w:val="none" w:sz="0" w:space="0" w:color="auto"/>
                <w:left w:val="none" w:sz="0" w:space="0" w:color="auto"/>
                <w:bottom w:val="none" w:sz="0" w:space="0" w:color="auto"/>
                <w:right w:val="none" w:sz="0" w:space="0" w:color="auto"/>
                <w:between w:val="none" w:sz="0" w:space="0" w:color="auto"/>
                <w:bar w:val="none" w:sz="0" w:color="auto"/>
              </w:pBdr>
              <w:contextualSpacing/>
              <w:jc w:val="center"/>
              <w:rPr>
                <w:sz w:val="20"/>
                <w:szCs w:val="20"/>
              </w:rPr>
            </w:pPr>
            <w:r>
              <w:rPr>
                <w:sz w:val="20"/>
                <w:szCs w:val="20"/>
              </w:rPr>
              <w:t>D. Jorge Marichal González</w:t>
            </w:r>
          </w:p>
        </w:tc>
        <w:tc>
          <w:tcPr>
            <w:tcW w:w="2500" w:type="pct"/>
          </w:tcPr>
          <w:p w14:paraId="64DD7395" w14:textId="55C6E005" w:rsidR="00FC3F6D" w:rsidRPr="0033416B" w:rsidRDefault="00FC3F6D" w:rsidP="00FC3F6D">
            <w:pPr>
              <w:jc w:val="center"/>
              <w:rPr>
                <w:sz w:val="20"/>
                <w:szCs w:val="20"/>
              </w:rPr>
            </w:pPr>
            <w:r>
              <w:rPr>
                <w:sz w:val="20"/>
                <w:szCs w:val="20"/>
              </w:rPr>
              <w:t>D. Luis López Chapi</w:t>
            </w:r>
          </w:p>
        </w:tc>
      </w:tr>
    </w:tbl>
    <w:p w14:paraId="01112712" w14:textId="77777777" w:rsidR="00D95B27" w:rsidRPr="00852114" w:rsidRDefault="00D95B27" w:rsidP="00040D6A">
      <w:pPr>
        <w:pStyle w:val="bullet"/>
        <w:numPr>
          <w:ilvl w:val="0"/>
          <w:numId w:val="0"/>
        </w:numPr>
        <w:rPr>
          <w:sz w:val="20"/>
          <w:szCs w:val="20"/>
          <w:lang w:val="es-ES"/>
        </w:rPr>
      </w:pPr>
    </w:p>
    <w:sectPr w:rsidR="00D95B27" w:rsidRPr="00852114" w:rsidSect="00064105">
      <w:headerReference w:type="default" r:id="rId20"/>
      <w:footerReference w:type="default" r:id="rId21"/>
      <w:pgSz w:w="11900" w:h="16840" w:code="9"/>
      <w:pgMar w:top="1701" w:right="1418" w:bottom="1418" w:left="1701" w:header="1020" w:footer="68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0FA81A0" w14:textId="77777777" w:rsidR="00EC4F07" w:rsidRDefault="00EC4F07" w:rsidP="00A06021">
      <w:r>
        <w:separator/>
      </w:r>
    </w:p>
  </w:endnote>
  <w:endnote w:type="continuationSeparator" w:id="0">
    <w:p w14:paraId="6D7E6E36" w14:textId="77777777" w:rsidR="00EC4F07" w:rsidRDefault="00EC4F07" w:rsidP="00A060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 w:name="CG Omega">
    <w:altName w:val="Candara"/>
    <w:charset w:val="00"/>
    <w:family w:val="swiss"/>
    <w:pitch w:val="variable"/>
    <w:sig w:usb0="00000001" w:usb1="00000000" w:usb2="00000000" w:usb3="00000000" w:csb0="00000093" w:csb1="00000000"/>
  </w:font>
  <w:font w:name="Calibri Light">
    <w:panose1 w:val="020F0302020204030204"/>
    <w:charset w:val="00"/>
    <w:family w:val="swiss"/>
    <w:pitch w:val="variable"/>
    <w:sig w:usb0="E4002EFF" w:usb1="C000247B" w:usb2="00000009" w:usb3="00000000" w:csb0="000001FF" w:csb1="00000000"/>
  </w:font>
  <w:font w:name="Helvetica Neue">
    <w:altName w:val="Sylfaen"/>
    <w:charset w:val="00"/>
    <w:family w:val="auto"/>
    <w:pitch w:val="variable"/>
    <w:sig w:usb0="E50002FF" w:usb1="500079DB" w:usb2="00000010" w:usb3="00000000" w:csb0="00000001"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Frutiger-Light">
    <w:altName w:val="Times New Roman"/>
    <w:panose1 w:val="00000000000000000000"/>
    <w:charset w:val="00"/>
    <w:family w:val="auto"/>
    <w:notTrueType/>
    <w:pitch w:val="variable"/>
    <w:sig w:usb0="00000003" w:usb1="00000000" w:usb2="00000000" w:usb3="00000000" w:csb0="00000001" w:csb1="00000000"/>
  </w:font>
  <w:font w:name="Frutiger-Bold">
    <w:altName w:val="Times New Roman"/>
    <w:charset w:val="00"/>
    <w:family w:val="auto"/>
    <w:pitch w:val="variable"/>
    <w:sig w:usb0="800000A3" w:usb1="00000000" w:usb2="00000000" w:usb3="00000000" w:csb0="00000009" w:csb1="00000000"/>
  </w:font>
  <w:font w:name="Univers">
    <w:charset w:val="00"/>
    <w:family w:val="swiss"/>
    <w:pitch w:val="variable"/>
    <w:sig w:usb0="80000287" w:usb1="00000000" w:usb2="00000000" w:usb3="00000000" w:csb0="0000000F" w:csb1="00000000"/>
  </w:font>
  <w:font w:name="Book Antiqua">
    <w:panose1 w:val="02040602050305030304"/>
    <w:charset w:val="00"/>
    <w:family w:val="roman"/>
    <w:pitch w:val="variable"/>
    <w:sig w:usb0="00000287" w:usb1="00000000" w:usb2="00000000" w:usb3="00000000" w:csb0="0000009F" w:csb1="00000000"/>
  </w:font>
  <w:font w:name="Trebuchet MS">
    <w:panose1 w:val="020B0603020202020204"/>
    <w:charset w:val="00"/>
    <w:family w:val="swiss"/>
    <w:pitch w:val="variable"/>
    <w:sig w:usb0="000006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4842BF" w14:textId="77777777" w:rsidR="003B71C8" w:rsidRDefault="003B71C8">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20"/>
        <w:szCs w:val="20"/>
      </w:rPr>
      <w:id w:val="73022615"/>
      <w:docPartObj>
        <w:docPartGallery w:val="Page Numbers (Bottom of Page)"/>
        <w:docPartUnique/>
      </w:docPartObj>
    </w:sdtPr>
    <w:sdtEndPr>
      <w:rPr>
        <w:sz w:val="18"/>
        <w:szCs w:val="18"/>
      </w:rPr>
    </w:sdtEndPr>
    <w:sdtContent>
      <w:sdt>
        <w:sdtPr>
          <w:rPr>
            <w:sz w:val="18"/>
            <w:szCs w:val="18"/>
          </w:rPr>
          <w:id w:val="-1259218990"/>
          <w:docPartObj>
            <w:docPartGallery w:val="Page Numbers (Top of Page)"/>
            <w:docPartUnique/>
          </w:docPartObj>
        </w:sdtPr>
        <w:sdtEndPr/>
        <w:sdtContent>
          <w:p w14:paraId="00751285" w14:textId="20F988E5" w:rsidR="004A2576" w:rsidRPr="002E3C11" w:rsidRDefault="004A2576" w:rsidP="0045206D">
            <w:pPr>
              <w:pStyle w:val="Piedepgina"/>
              <w:jc w:val="right"/>
              <w:rPr>
                <w:sz w:val="18"/>
                <w:szCs w:val="18"/>
              </w:rPr>
            </w:pPr>
            <w:r w:rsidRPr="002E3C11">
              <w:rPr>
                <w:b/>
                <w:noProof/>
                <w:sz w:val="18"/>
                <w:szCs w:val="18"/>
                <w:lang w:eastAsia="es-ES"/>
              </w:rPr>
              <w:drawing>
                <wp:anchor distT="0" distB="0" distL="114300" distR="114300" simplePos="0" relativeHeight="251689984" behindDoc="1" locked="0" layoutInCell="1" allowOverlap="1" wp14:anchorId="5F69B0A1" wp14:editId="74AA03F3">
                  <wp:simplePos x="0" y="0"/>
                  <wp:positionH relativeFrom="page">
                    <wp:posOffset>-124970</wp:posOffset>
                  </wp:positionH>
                  <wp:positionV relativeFrom="paragraph">
                    <wp:posOffset>975581</wp:posOffset>
                  </wp:positionV>
                  <wp:extent cx="7679055" cy="1078230"/>
                  <wp:effectExtent l="0" t="0" r="0" b="0"/>
                  <wp:wrapTight wrapText="bothSides">
                    <wp:wrapPolygon edited="0">
                      <wp:start x="3161" y="6106"/>
                      <wp:lineTo x="3161" y="16792"/>
                      <wp:lineTo x="3483" y="16792"/>
                      <wp:lineTo x="18219" y="15265"/>
                      <wp:lineTo x="18219" y="12212"/>
                      <wp:lineTo x="17415" y="9541"/>
                      <wp:lineTo x="16075" y="6106"/>
                      <wp:lineTo x="3161" y="6106"/>
                    </wp:wrapPolygon>
                  </wp:wrapTight>
                  <wp:docPr id="14" name="Imagen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lantillaCabecera2020-2-01.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679055" cy="1078230"/>
                          </a:xfrm>
                          <a:prstGeom prst="rect">
                            <a:avLst/>
                          </a:prstGeom>
                        </pic:spPr>
                      </pic:pic>
                    </a:graphicData>
                  </a:graphic>
                  <wp14:sizeRelH relativeFrom="page">
                    <wp14:pctWidth>0</wp14:pctWidth>
                  </wp14:sizeRelH>
                  <wp14:sizeRelV relativeFrom="page">
                    <wp14:pctHeight>0</wp14:pctHeight>
                  </wp14:sizeRelV>
                </wp:anchor>
              </w:drawing>
            </w:r>
            <w:r w:rsidRPr="002E3C11">
              <w:rPr>
                <w:sz w:val="18"/>
                <w:szCs w:val="18"/>
              </w:rPr>
              <w:t xml:space="preserve">Página </w:t>
            </w:r>
            <w:r w:rsidRPr="002E3C11">
              <w:rPr>
                <w:sz w:val="18"/>
                <w:szCs w:val="18"/>
              </w:rPr>
              <w:fldChar w:fldCharType="begin"/>
            </w:r>
            <w:r w:rsidRPr="002E3C11">
              <w:rPr>
                <w:sz w:val="18"/>
                <w:szCs w:val="18"/>
              </w:rPr>
              <w:instrText>PAGE</w:instrText>
            </w:r>
            <w:r w:rsidRPr="002E3C11">
              <w:rPr>
                <w:sz w:val="18"/>
                <w:szCs w:val="18"/>
              </w:rPr>
              <w:fldChar w:fldCharType="separate"/>
            </w:r>
            <w:r w:rsidRPr="002E3C11">
              <w:rPr>
                <w:noProof/>
                <w:sz w:val="18"/>
                <w:szCs w:val="18"/>
              </w:rPr>
              <w:t>35</w:t>
            </w:r>
            <w:r w:rsidRPr="002E3C11">
              <w:rPr>
                <w:sz w:val="18"/>
                <w:szCs w:val="18"/>
              </w:rPr>
              <w:fldChar w:fldCharType="end"/>
            </w:r>
            <w:r w:rsidRPr="002E3C11">
              <w:rPr>
                <w:sz w:val="18"/>
                <w:szCs w:val="18"/>
              </w:rPr>
              <w:t xml:space="preserve"> de </w:t>
            </w:r>
            <w:r>
              <w:rPr>
                <w:sz w:val="18"/>
                <w:szCs w:val="18"/>
              </w:rPr>
              <w:t>4</w:t>
            </w:r>
            <w:r w:rsidR="00461D9C">
              <w:rPr>
                <w:sz w:val="18"/>
                <w:szCs w:val="18"/>
              </w:rPr>
              <w:t>9</w:t>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35919B" w14:textId="09FF7735" w:rsidR="004A2576" w:rsidRDefault="003B71C8" w:rsidP="001E00FD">
    <w:pPr>
      <w:pStyle w:val="Piedepgina"/>
    </w:pPr>
    <w:r>
      <w:rPr>
        <w:noProof/>
      </w:rPr>
      <w:drawing>
        <wp:inline distT="0" distB="0" distL="0" distR="0" wp14:anchorId="288CD2EB" wp14:editId="3D8450B8">
          <wp:extent cx="5464175" cy="459316"/>
          <wp:effectExtent l="0" t="0" r="0" b="0"/>
          <wp:docPr id="452056627"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2056627" name="Imagen 452056627"/>
                  <pic:cNvPicPr/>
                </pic:nvPicPr>
                <pic:blipFill>
                  <a:blip r:embed="rId1">
                    <a:extLst>
                      <a:ext uri="{28A0092B-C50C-407E-A947-70E740481C1C}">
                        <a14:useLocalDpi xmlns:a14="http://schemas.microsoft.com/office/drawing/2010/main" val="0"/>
                      </a:ext>
                    </a:extLst>
                  </a:blip>
                  <a:stretch>
                    <a:fillRect/>
                  </a:stretch>
                </pic:blipFill>
                <pic:spPr>
                  <a:xfrm>
                    <a:off x="0" y="0"/>
                    <a:ext cx="5603295" cy="471010"/>
                  </a:xfrm>
                  <a:prstGeom prst="rect">
                    <a:avLst/>
                  </a:prstGeom>
                </pic:spPr>
              </pic:pic>
            </a:graphicData>
          </a:graphic>
        </wp:inline>
      </w:drawing>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18"/>
        <w:szCs w:val="18"/>
      </w:rPr>
      <w:id w:val="50206407"/>
      <w:docPartObj>
        <w:docPartGallery w:val="Page Numbers (Bottom of Page)"/>
        <w:docPartUnique/>
      </w:docPartObj>
    </w:sdtPr>
    <w:sdtEndPr/>
    <w:sdtContent>
      <w:p w14:paraId="6A53E1AC" w14:textId="341D0BD7" w:rsidR="004A2576" w:rsidRPr="00E34164" w:rsidRDefault="003B71C8" w:rsidP="0073325C">
        <w:pPr>
          <w:pStyle w:val="Piedepgina"/>
          <w:jc w:val="right"/>
          <w:rPr>
            <w:sz w:val="18"/>
            <w:szCs w:val="18"/>
          </w:rPr>
        </w:pPr>
        <w:sdt>
          <w:sdtPr>
            <w:rPr>
              <w:sz w:val="18"/>
              <w:szCs w:val="18"/>
            </w:rPr>
            <w:id w:val="365097293"/>
            <w:docPartObj>
              <w:docPartGallery w:val="Page Numbers (Top of Page)"/>
              <w:docPartUnique/>
            </w:docPartObj>
          </w:sdtPr>
          <w:sdtEndPr/>
          <w:sdtContent>
            <w:r w:rsidR="004A2576" w:rsidRPr="00E34164">
              <w:rPr>
                <w:b/>
                <w:noProof/>
                <w:sz w:val="18"/>
                <w:szCs w:val="18"/>
                <w:lang w:eastAsia="es-ES"/>
              </w:rPr>
              <w:drawing>
                <wp:anchor distT="0" distB="0" distL="114300" distR="114300" simplePos="0" relativeHeight="251694080" behindDoc="1" locked="0" layoutInCell="1" allowOverlap="1" wp14:anchorId="7DBBE055" wp14:editId="2B9A0C60">
                  <wp:simplePos x="0" y="0"/>
                  <wp:positionH relativeFrom="page">
                    <wp:posOffset>-124970</wp:posOffset>
                  </wp:positionH>
                  <wp:positionV relativeFrom="paragraph">
                    <wp:posOffset>975581</wp:posOffset>
                  </wp:positionV>
                  <wp:extent cx="7679055" cy="1078230"/>
                  <wp:effectExtent l="0" t="0" r="0" b="0"/>
                  <wp:wrapTight wrapText="bothSides">
                    <wp:wrapPolygon edited="0">
                      <wp:start x="3161" y="6106"/>
                      <wp:lineTo x="3161" y="16792"/>
                      <wp:lineTo x="3483" y="16792"/>
                      <wp:lineTo x="18219" y="15265"/>
                      <wp:lineTo x="18219" y="12212"/>
                      <wp:lineTo x="17415" y="9541"/>
                      <wp:lineTo x="16075" y="6106"/>
                      <wp:lineTo x="3161" y="6106"/>
                    </wp:wrapPolygon>
                  </wp:wrapTight>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lantillaCabecera2020-2-01.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679055" cy="1078230"/>
                          </a:xfrm>
                          <a:prstGeom prst="rect">
                            <a:avLst/>
                          </a:prstGeom>
                        </pic:spPr>
                      </pic:pic>
                    </a:graphicData>
                  </a:graphic>
                  <wp14:sizeRelH relativeFrom="page">
                    <wp14:pctWidth>0</wp14:pctWidth>
                  </wp14:sizeRelH>
                  <wp14:sizeRelV relativeFrom="page">
                    <wp14:pctHeight>0</wp14:pctHeight>
                  </wp14:sizeRelV>
                </wp:anchor>
              </w:drawing>
            </w:r>
            <w:r w:rsidR="004A2576" w:rsidRPr="00E34164">
              <w:rPr>
                <w:sz w:val="18"/>
                <w:szCs w:val="18"/>
              </w:rPr>
              <w:t xml:space="preserve">Página </w:t>
            </w:r>
            <w:r w:rsidR="004A2576" w:rsidRPr="00E34164">
              <w:rPr>
                <w:sz w:val="18"/>
                <w:szCs w:val="18"/>
              </w:rPr>
              <w:fldChar w:fldCharType="begin"/>
            </w:r>
            <w:r w:rsidR="004A2576" w:rsidRPr="00E34164">
              <w:rPr>
                <w:sz w:val="18"/>
                <w:szCs w:val="18"/>
              </w:rPr>
              <w:instrText>PAGE</w:instrText>
            </w:r>
            <w:r w:rsidR="004A2576" w:rsidRPr="00E34164">
              <w:rPr>
                <w:sz w:val="18"/>
                <w:szCs w:val="18"/>
              </w:rPr>
              <w:fldChar w:fldCharType="separate"/>
            </w:r>
            <w:r w:rsidR="004A2576" w:rsidRPr="00E34164">
              <w:rPr>
                <w:noProof/>
                <w:sz w:val="18"/>
                <w:szCs w:val="18"/>
              </w:rPr>
              <w:t>36</w:t>
            </w:r>
            <w:r w:rsidR="004A2576" w:rsidRPr="00E34164">
              <w:rPr>
                <w:sz w:val="18"/>
                <w:szCs w:val="18"/>
              </w:rPr>
              <w:fldChar w:fldCharType="end"/>
            </w:r>
            <w:r w:rsidR="004A2576" w:rsidRPr="00E34164">
              <w:rPr>
                <w:sz w:val="18"/>
                <w:szCs w:val="18"/>
              </w:rPr>
              <w:t xml:space="preserve"> de </w:t>
            </w:r>
            <w:r w:rsidR="004A2576">
              <w:rPr>
                <w:sz w:val="18"/>
                <w:szCs w:val="18"/>
              </w:rPr>
              <w:t>4</w:t>
            </w:r>
            <w:r w:rsidR="00461D9C">
              <w:rPr>
                <w:sz w:val="18"/>
                <w:szCs w:val="18"/>
              </w:rPr>
              <w:t>9</w:t>
            </w:r>
          </w:sdtContent>
        </w:sdt>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5F4496B" w14:textId="77777777" w:rsidR="00EC4F07" w:rsidRDefault="00EC4F07" w:rsidP="00A06021">
      <w:r>
        <w:separator/>
      </w:r>
    </w:p>
  </w:footnote>
  <w:footnote w:type="continuationSeparator" w:id="0">
    <w:p w14:paraId="2F683A50" w14:textId="77777777" w:rsidR="00EC4F07" w:rsidRDefault="00EC4F07" w:rsidP="00A0602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FFBD1A" w14:textId="77777777" w:rsidR="003B71C8" w:rsidRDefault="003B71C8">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0EA4D4" w14:textId="77777777" w:rsidR="004A2576" w:rsidRDefault="004A2576" w:rsidP="003849D9">
    <w:pPr>
      <w:pStyle w:val="Encabezado"/>
      <w:rPr>
        <w:b/>
        <w:snapToGrid w:val="0"/>
        <w:sz w:val="20"/>
      </w:rPr>
    </w:pPr>
    <w:r>
      <w:rPr>
        <w:b/>
        <w:noProof/>
        <w:lang w:eastAsia="es-ES"/>
      </w:rPr>
      <w:drawing>
        <wp:anchor distT="0" distB="0" distL="114300" distR="114300" simplePos="0" relativeHeight="251686911" behindDoc="1" locked="0" layoutInCell="1" allowOverlap="1" wp14:anchorId="065374C5" wp14:editId="629195F4">
          <wp:simplePos x="0" y="0"/>
          <wp:positionH relativeFrom="page">
            <wp:posOffset>120361</wp:posOffset>
          </wp:positionH>
          <wp:positionV relativeFrom="paragraph">
            <wp:posOffset>-749126</wp:posOffset>
          </wp:positionV>
          <wp:extent cx="6972300" cy="1081720"/>
          <wp:effectExtent l="0" t="0" r="0" b="0"/>
          <wp:wrapNone/>
          <wp:docPr id="11" name="Imagen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lantillaCabecera2020-2-01.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6972300" cy="1081720"/>
                  </a:xfrm>
                  <a:prstGeom prst="rect">
                    <a:avLst/>
                  </a:prstGeom>
                </pic:spPr>
              </pic:pic>
            </a:graphicData>
          </a:graphic>
          <wp14:sizeRelH relativeFrom="page">
            <wp14:pctWidth>0</wp14:pctWidth>
          </wp14:sizeRelH>
          <wp14:sizeRelV relativeFrom="page">
            <wp14:pctHeight>0</wp14:pctHeight>
          </wp14:sizeRelV>
        </wp:anchor>
      </w:drawing>
    </w:r>
  </w:p>
  <w:p w14:paraId="18D63D59" w14:textId="7324349E" w:rsidR="004A2576" w:rsidRPr="004A41D6" w:rsidRDefault="004A2576" w:rsidP="003849D9">
    <w:pPr>
      <w:pStyle w:val="Encabezado"/>
      <w:rPr>
        <w:iCs/>
        <w:sz w:val="16"/>
        <w:szCs w:val="16"/>
      </w:rPr>
    </w:pPr>
    <w:r w:rsidRPr="004A41D6">
      <w:rPr>
        <w:iCs/>
        <w:snapToGrid w:val="0"/>
        <w:sz w:val="16"/>
        <w:szCs w:val="16"/>
      </w:rPr>
      <w:t xml:space="preserve">Cuentas </w:t>
    </w:r>
    <w:r w:rsidR="001B5A15">
      <w:rPr>
        <w:iCs/>
        <w:snapToGrid w:val="0"/>
        <w:sz w:val="16"/>
        <w:szCs w:val="16"/>
      </w:rPr>
      <w:t>a</w:t>
    </w:r>
    <w:r w:rsidRPr="004A41D6">
      <w:rPr>
        <w:iCs/>
        <w:snapToGrid w:val="0"/>
        <w:sz w:val="16"/>
        <w:szCs w:val="16"/>
      </w:rPr>
      <w:t>nuales de PROMOTUR TURISMO CANARIAS, S.A. – Ejercicio 202</w:t>
    </w:r>
    <w:r w:rsidR="003F79E8">
      <w:rPr>
        <w:iCs/>
        <w:snapToGrid w:val="0"/>
        <w:sz w:val="16"/>
        <w:szCs w:val="16"/>
      </w:rPr>
      <w:t>4</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829807" w14:textId="77777777" w:rsidR="004A2576" w:rsidRDefault="004A2576" w:rsidP="00A06021">
    <w:pPr>
      <w:pStyle w:val="Encabezado"/>
    </w:pPr>
    <w:r>
      <w:rPr>
        <w:b/>
        <w:noProof/>
        <w:lang w:eastAsia="es-ES"/>
      </w:rPr>
      <w:drawing>
        <wp:anchor distT="0" distB="0" distL="114300" distR="114300" simplePos="0" relativeHeight="251679744" behindDoc="1" locked="0" layoutInCell="1" allowOverlap="1" wp14:anchorId="39667DF5" wp14:editId="2BFB036F">
          <wp:simplePos x="0" y="0"/>
          <wp:positionH relativeFrom="page">
            <wp:align>right</wp:align>
          </wp:positionH>
          <wp:positionV relativeFrom="paragraph">
            <wp:posOffset>-1015776</wp:posOffset>
          </wp:positionV>
          <wp:extent cx="7679055" cy="1078230"/>
          <wp:effectExtent l="0" t="0" r="0" b="0"/>
          <wp:wrapTight wrapText="bothSides">
            <wp:wrapPolygon edited="0">
              <wp:start x="3161" y="6106"/>
              <wp:lineTo x="3161" y="16792"/>
              <wp:lineTo x="3483" y="16792"/>
              <wp:lineTo x="18219" y="15265"/>
              <wp:lineTo x="18219" y="12212"/>
              <wp:lineTo x="17415" y="9541"/>
              <wp:lineTo x="16075" y="6106"/>
              <wp:lineTo x="3161" y="6106"/>
            </wp:wrapPolygon>
          </wp:wrapTight>
          <wp:docPr id="8"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lantillaCabecera2020-2-01.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679055" cy="1078230"/>
                  </a:xfrm>
                  <a:prstGeom prst="rect">
                    <a:avLst/>
                  </a:prstGeom>
                </pic:spPr>
              </pic:pic>
            </a:graphicData>
          </a:graphic>
          <wp14:sizeRelH relativeFrom="page">
            <wp14:pctWidth>0</wp14:pctWidth>
          </wp14:sizeRelH>
          <wp14:sizeRelV relativeFrom="page">
            <wp14:pctHeight>0</wp14:pctHeight>
          </wp14:sizeRelV>
        </wp:anchor>
      </w:drawing>
    </w:r>
    <w:r>
      <w:rPr>
        <w:b/>
        <w:noProof/>
        <w:lang w:eastAsia="es-ES"/>
      </w:rPr>
      <w:drawing>
        <wp:anchor distT="0" distB="0" distL="114300" distR="114300" simplePos="0" relativeHeight="251666432" behindDoc="1" locked="1" layoutInCell="1" allowOverlap="1" wp14:anchorId="57BF9496" wp14:editId="6BB42178">
          <wp:simplePos x="0" y="0"/>
          <wp:positionH relativeFrom="column">
            <wp:posOffset>-1102995</wp:posOffset>
          </wp:positionH>
          <wp:positionV relativeFrom="page">
            <wp:posOffset>1697990</wp:posOffset>
          </wp:positionV>
          <wp:extent cx="640715" cy="6947535"/>
          <wp:effectExtent l="0" t="0" r="0" b="0"/>
          <wp:wrapNone/>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direccion-04-04.jpg"/>
                  <pic:cNvPicPr/>
                </pic:nvPicPr>
                <pic:blipFill rotWithShape="1">
                  <a:blip r:embed="rId2">
                    <a:extLst>
                      <a:ext uri="{28A0092B-C50C-407E-A947-70E740481C1C}">
                        <a14:useLocalDpi xmlns:a14="http://schemas.microsoft.com/office/drawing/2010/main" val="0"/>
                      </a:ext>
                    </a:extLst>
                  </a:blip>
                  <a:srcRect r="22461"/>
                  <a:stretch/>
                </pic:blipFill>
                <pic:spPr bwMode="auto">
                  <a:xfrm>
                    <a:off x="0" y="0"/>
                    <a:ext cx="640715" cy="694753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84A38E" w14:textId="37310A17" w:rsidR="004A2576" w:rsidRPr="00D41577" w:rsidRDefault="004A2576" w:rsidP="003849D9">
    <w:pPr>
      <w:pStyle w:val="Encabezado"/>
      <w:rPr>
        <w:iCs/>
        <w:snapToGrid w:val="0"/>
        <w:sz w:val="16"/>
        <w:szCs w:val="16"/>
      </w:rPr>
    </w:pPr>
    <w:r>
      <w:rPr>
        <w:b/>
        <w:noProof/>
        <w:lang w:eastAsia="es-ES"/>
      </w:rPr>
      <w:drawing>
        <wp:anchor distT="0" distB="0" distL="114300" distR="114300" simplePos="0" relativeHeight="251687936" behindDoc="1" locked="0" layoutInCell="1" allowOverlap="1" wp14:anchorId="62BD342C" wp14:editId="5B486D50">
          <wp:simplePos x="0" y="0"/>
          <wp:positionH relativeFrom="page">
            <wp:posOffset>-100965</wp:posOffset>
          </wp:positionH>
          <wp:positionV relativeFrom="paragraph">
            <wp:posOffset>-842645</wp:posOffset>
          </wp:positionV>
          <wp:extent cx="7531100" cy="1057455"/>
          <wp:effectExtent l="0" t="0" r="0" b="0"/>
          <wp:wrapNone/>
          <wp:docPr id="13" name="Imagen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lantillaCabecera2020-2-01.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31100" cy="1057455"/>
                  </a:xfrm>
                  <a:prstGeom prst="rect">
                    <a:avLst/>
                  </a:prstGeom>
                </pic:spPr>
              </pic:pic>
            </a:graphicData>
          </a:graphic>
          <wp14:sizeRelH relativeFrom="page">
            <wp14:pctWidth>0</wp14:pctWidth>
          </wp14:sizeRelH>
          <wp14:sizeRelV relativeFrom="page">
            <wp14:pctHeight>0</wp14:pctHeight>
          </wp14:sizeRelV>
        </wp:anchor>
      </w:drawing>
    </w:r>
    <w:r w:rsidRPr="00064105">
      <w:rPr>
        <w:iCs/>
        <w:snapToGrid w:val="0"/>
        <w:sz w:val="16"/>
        <w:szCs w:val="16"/>
      </w:rPr>
      <w:t xml:space="preserve">Informe de Gestión de </w:t>
    </w:r>
    <w:r w:rsidRPr="004A41D6">
      <w:rPr>
        <w:iCs/>
        <w:snapToGrid w:val="0"/>
        <w:sz w:val="16"/>
        <w:szCs w:val="16"/>
      </w:rPr>
      <w:t>PROMOTUR TURISMO CANARIAS, S.A. – Ejercicio 202</w:t>
    </w:r>
    <w:r w:rsidR="000F7435">
      <w:rPr>
        <w:iCs/>
        <w:snapToGrid w:val="0"/>
        <w:sz w:val="16"/>
        <w:szCs w:val="16"/>
      </w:rPr>
      <w:t>4</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CB19FD" w14:textId="77777777" w:rsidR="004A2576" w:rsidRDefault="004A2576" w:rsidP="003849D9">
    <w:pPr>
      <w:pStyle w:val="Encabezado"/>
    </w:pPr>
    <w:r>
      <w:rPr>
        <w:b/>
        <w:noProof/>
        <w:lang w:eastAsia="es-ES"/>
      </w:rPr>
      <w:drawing>
        <wp:anchor distT="0" distB="0" distL="114300" distR="114300" simplePos="0" relativeHeight="251692032" behindDoc="1" locked="0" layoutInCell="1" allowOverlap="1" wp14:anchorId="56D1A75D" wp14:editId="5F22D9E5">
          <wp:simplePos x="0" y="0"/>
          <wp:positionH relativeFrom="page">
            <wp:posOffset>-132715</wp:posOffset>
          </wp:positionH>
          <wp:positionV relativeFrom="paragraph">
            <wp:posOffset>-787400</wp:posOffset>
          </wp:positionV>
          <wp:extent cx="7435850" cy="1043940"/>
          <wp:effectExtent l="0" t="0" r="0" b="0"/>
          <wp:wrapTight wrapText="bothSides">
            <wp:wrapPolygon edited="0">
              <wp:start x="3154" y="6307"/>
              <wp:lineTo x="3154" y="16555"/>
              <wp:lineTo x="3542" y="16555"/>
              <wp:lineTo x="18206" y="14978"/>
              <wp:lineTo x="18206" y="11825"/>
              <wp:lineTo x="17653" y="10248"/>
              <wp:lineTo x="16103" y="6307"/>
              <wp:lineTo x="3154" y="6307"/>
            </wp:wrapPolygon>
          </wp:wrapTight>
          <wp:docPr id="15" name="Imagen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lantillaCabecera2020-2-01.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435850" cy="104394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99F95946"/>
    <w:multiLevelType w:val="hybridMultilevel"/>
    <w:tmpl w:val="3086D8F4"/>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61B6790"/>
    <w:multiLevelType w:val="multilevel"/>
    <w:tmpl w:val="07860056"/>
    <w:lvl w:ilvl="0">
      <w:start w:val="1"/>
      <w:numFmt w:val="decimal"/>
      <w:lvlText w:val="%1"/>
      <w:lvlJc w:val="left"/>
      <w:pPr>
        <w:ind w:left="405" w:hanging="405"/>
      </w:pPr>
      <w:rPr>
        <w:rFonts w:hint="default"/>
        <w:b/>
        <w:sz w:val="24"/>
      </w:rPr>
    </w:lvl>
    <w:lvl w:ilvl="1">
      <w:start w:val="1"/>
      <w:numFmt w:val="decimal"/>
      <w:lvlText w:val="%1.%2"/>
      <w:lvlJc w:val="left"/>
      <w:pPr>
        <w:ind w:left="405" w:hanging="405"/>
      </w:pPr>
      <w:rPr>
        <w:rFonts w:ascii="Arial" w:hAnsi="Arial" w:cs="Arial" w:hint="default"/>
        <w:b/>
        <w:sz w:val="20"/>
        <w:szCs w:val="20"/>
      </w:rPr>
    </w:lvl>
    <w:lvl w:ilvl="2">
      <w:start w:val="1"/>
      <w:numFmt w:val="decimal"/>
      <w:lvlText w:val="%1.%2.%3"/>
      <w:lvlJc w:val="left"/>
      <w:pPr>
        <w:ind w:left="720" w:hanging="720"/>
      </w:pPr>
      <w:rPr>
        <w:rFonts w:hint="default"/>
        <w:b/>
        <w:sz w:val="24"/>
      </w:rPr>
    </w:lvl>
    <w:lvl w:ilvl="3">
      <w:start w:val="1"/>
      <w:numFmt w:val="decimal"/>
      <w:lvlText w:val="%1.%2.%3.%4"/>
      <w:lvlJc w:val="left"/>
      <w:pPr>
        <w:ind w:left="1080" w:hanging="1080"/>
      </w:pPr>
      <w:rPr>
        <w:rFonts w:hint="default"/>
        <w:b/>
        <w:sz w:val="24"/>
      </w:rPr>
    </w:lvl>
    <w:lvl w:ilvl="4">
      <w:start w:val="1"/>
      <w:numFmt w:val="decimal"/>
      <w:lvlText w:val="%1.%2.%3.%4.%5"/>
      <w:lvlJc w:val="left"/>
      <w:pPr>
        <w:ind w:left="1080" w:hanging="1080"/>
      </w:pPr>
      <w:rPr>
        <w:rFonts w:hint="default"/>
        <w:b/>
        <w:sz w:val="24"/>
      </w:rPr>
    </w:lvl>
    <w:lvl w:ilvl="5">
      <w:start w:val="1"/>
      <w:numFmt w:val="decimal"/>
      <w:lvlText w:val="%1.%2.%3.%4.%5.%6"/>
      <w:lvlJc w:val="left"/>
      <w:pPr>
        <w:ind w:left="1440" w:hanging="1440"/>
      </w:pPr>
      <w:rPr>
        <w:rFonts w:hint="default"/>
        <w:b/>
        <w:sz w:val="24"/>
      </w:rPr>
    </w:lvl>
    <w:lvl w:ilvl="6">
      <w:start w:val="1"/>
      <w:numFmt w:val="decimal"/>
      <w:lvlText w:val="%1.%2.%3.%4.%5.%6.%7"/>
      <w:lvlJc w:val="left"/>
      <w:pPr>
        <w:ind w:left="1440" w:hanging="1440"/>
      </w:pPr>
      <w:rPr>
        <w:rFonts w:hint="default"/>
        <w:b/>
        <w:sz w:val="24"/>
      </w:rPr>
    </w:lvl>
    <w:lvl w:ilvl="7">
      <w:start w:val="1"/>
      <w:numFmt w:val="decimal"/>
      <w:lvlText w:val="%1.%2.%3.%4.%5.%6.%7.%8"/>
      <w:lvlJc w:val="left"/>
      <w:pPr>
        <w:ind w:left="1800" w:hanging="1800"/>
      </w:pPr>
      <w:rPr>
        <w:rFonts w:hint="default"/>
        <w:b/>
        <w:sz w:val="24"/>
      </w:rPr>
    </w:lvl>
    <w:lvl w:ilvl="8">
      <w:start w:val="1"/>
      <w:numFmt w:val="decimal"/>
      <w:lvlText w:val="%1.%2.%3.%4.%5.%6.%7.%8.%9"/>
      <w:lvlJc w:val="left"/>
      <w:pPr>
        <w:ind w:left="1800" w:hanging="1800"/>
      </w:pPr>
      <w:rPr>
        <w:rFonts w:hint="default"/>
        <w:b/>
        <w:sz w:val="24"/>
      </w:rPr>
    </w:lvl>
  </w:abstractNum>
  <w:abstractNum w:abstractNumId="2" w15:restartNumberingAfterBreak="0">
    <w:nsid w:val="07B431FF"/>
    <w:multiLevelType w:val="hybridMultilevel"/>
    <w:tmpl w:val="8A2EB29E"/>
    <w:lvl w:ilvl="0" w:tplc="2A3CB45A">
      <w:start w:val="1"/>
      <w:numFmt w:val="lowerLetter"/>
      <w:lvlText w:val="%1)"/>
      <w:lvlJc w:val="left"/>
      <w:pPr>
        <w:tabs>
          <w:tab w:val="num" w:pos="720"/>
        </w:tabs>
        <w:ind w:left="720" w:hanging="360"/>
      </w:pPr>
      <w:rPr>
        <w:rFonts w:hint="default"/>
        <w:u w:val="none"/>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 w15:restartNumberingAfterBreak="0">
    <w:nsid w:val="09384BC0"/>
    <w:multiLevelType w:val="hybridMultilevel"/>
    <w:tmpl w:val="873ED2AA"/>
    <w:lvl w:ilvl="0" w:tplc="63760D82">
      <w:numFmt w:val="bullet"/>
      <w:lvlText w:val="-"/>
      <w:lvlJc w:val="left"/>
      <w:pPr>
        <w:ind w:left="1068" w:hanging="360"/>
      </w:pPr>
      <w:rPr>
        <w:rFonts w:ascii="Calibri" w:eastAsiaTheme="minorHAnsi" w:hAnsi="Calibri" w:cs="Calibri" w:hint="default"/>
      </w:rPr>
    </w:lvl>
    <w:lvl w:ilvl="1" w:tplc="0C0A0003" w:tentative="1">
      <w:start w:val="1"/>
      <w:numFmt w:val="bullet"/>
      <w:lvlText w:val="o"/>
      <w:lvlJc w:val="left"/>
      <w:pPr>
        <w:ind w:left="1788" w:hanging="360"/>
      </w:pPr>
      <w:rPr>
        <w:rFonts w:ascii="Courier New" w:hAnsi="Courier New" w:cs="Courier New" w:hint="default"/>
      </w:rPr>
    </w:lvl>
    <w:lvl w:ilvl="2" w:tplc="0C0A0005" w:tentative="1">
      <w:start w:val="1"/>
      <w:numFmt w:val="bullet"/>
      <w:lvlText w:val=""/>
      <w:lvlJc w:val="left"/>
      <w:pPr>
        <w:ind w:left="2508" w:hanging="360"/>
      </w:pPr>
      <w:rPr>
        <w:rFonts w:ascii="Wingdings" w:hAnsi="Wingdings" w:hint="default"/>
      </w:rPr>
    </w:lvl>
    <w:lvl w:ilvl="3" w:tplc="0C0A0001" w:tentative="1">
      <w:start w:val="1"/>
      <w:numFmt w:val="bullet"/>
      <w:lvlText w:val=""/>
      <w:lvlJc w:val="left"/>
      <w:pPr>
        <w:ind w:left="3228" w:hanging="360"/>
      </w:pPr>
      <w:rPr>
        <w:rFonts w:ascii="Symbol" w:hAnsi="Symbol" w:hint="default"/>
      </w:rPr>
    </w:lvl>
    <w:lvl w:ilvl="4" w:tplc="0C0A0003" w:tentative="1">
      <w:start w:val="1"/>
      <w:numFmt w:val="bullet"/>
      <w:lvlText w:val="o"/>
      <w:lvlJc w:val="left"/>
      <w:pPr>
        <w:ind w:left="3948" w:hanging="360"/>
      </w:pPr>
      <w:rPr>
        <w:rFonts w:ascii="Courier New" w:hAnsi="Courier New" w:cs="Courier New" w:hint="default"/>
      </w:rPr>
    </w:lvl>
    <w:lvl w:ilvl="5" w:tplc="0C0A0005" w:tentative="1">
      <w:start w:val="1"/>
      <w:numFmt w:val="bullet"/>
      <w:lvlText w:val=""/>
      <w:lvlJc w:val="left"/>
      <w:pPr>
        <w:ind w:left="4668" w:hanging="360"/>
      </w:pPr>
      <w:rPr>
        <w:rFonts w:ascii="Wingdings" w:hAnsi="Wingdings" w:hint="default"/>
      </w:rPr>
    </w:lvl>
    <w:lvl w:ilvl="6" w:tplc="0C0A0001" w:tentative="1">
      <w:start w:val="1"/>
      <w:numFmt w:val="bullet"/>
      <w:lvlText w:val=""/>
      <w:lvlJc w:val="left"/>
      <w:pPr>
        <w:ind w:left="5388" w:hanging="360"/>
      </w:pPr>
      <w:rPr>
        <w:rFonts w:ascii="Symbol" w:hAnsi="Symbol" w:hint="default"/>
      </w:rPr>
    </w:lvl>
    <w:lvl w:ilvl="7" w:tplc="0C0A0003" w:tentative="1">
      <w:start w:val="1"/>
      <w:numFmt w:val="bullet"/>
      <w:lvlText w:val="o"/>
      <w:lvlJc w:val="left"/>
      <w:pPr>
        <w:ind w:left="6108" w:hanging="360"/>
      </w:pPr>
      <w:rPr>
        <w:rFonts w:ascii="Courier New" w:hAnsi="Courier New" w:cs="Courier New" w:hint="default"/>
      </w:rPr>
    </w:lvl>
    <w:lvl w:ilvl="8" w:tplc="0C0A0005" w:tentative="1">
      <w:start w:val="1"/>
      <w:numFmt w:val="bullet"/>
      <w:lvlText w:val=""/>
      <w:lvlJc w:val="left"/>
      <w:pPr>
        <w:ind w:left="6828" w:hanging="360"/>
      </w:pPr>
      <w:rPr>
        <w:rFonts w:ascii="Wingdings" w:hAnsi="Wingdings" w:hint="default"/>
      </w:rPr>
    </w:lvl>
  </w:abstractNum>
  <w:abstractNum w:abstractNumId="4" w15:restartNumberingAfterBreak="0">
    <w:nsid w:val="09E71ED4"/>
    <w:multiLevelType w:val="singleLevel"/>
    <w:tmpl w:val="5B762884"/>
    <w:lvl w:ilvl="0">
      <w:start w:val="1"/>
      <w:numFmt w:val="bullet"/>
      <w:pStyle w:val="TableBullet"/>
      <w:lvlText w:val="§"/>
      <w:lvlJc w:val="left"/>
      <w:pPr>
        <w:tabs>
          <w:tab w:val="num" w:pos="298"/>
        </w:tabs>
        <w:ind w:left="298" w:hanging="298"/>
      </w:pPr>
      <w:rPr>
        <w:rFonts w:ascii="Wingdings" w:hAnsi="Wingdings" w:hint="default"/>
        <w:sz w:val="18"/>
      </w:rPr>
    </w:lvl>
  </w:abstractNum>
  <w:abstractNum w:abstractNumId="5" w15:restartNumberingAfterBreak="0">
    <w:nsid w:val="0EA628A0"/>
    <w:multiLevelType w:val="hybridMultilevel"/>
    <w:tmpl w:val="59D0188C"/>
    <w:styleLink w:val="Estiloimportado6"/>
    <w:lvl w:ilvl="0" w:tplc="3BA46934">
      <w:start w:val="1"/>
      <w:numFmt w:val="bullet"/>
      <w:lvlText w:val="•"/>
      <w:lvlJc w:val="left"/>
      <w:pPr>
        <w:ind w:left="283" w:hanging="283"/>
      </w:pPr>
      <w:rPr>
        <w:rFonts w:hAnsi="Arial Unicode MS"/>
        <w:caps w:val="0"/>
        <w:smallCaps w:val="0"/>
        <w:strike w:val="0"/>
        <w:dstrike w:val="0"/>
        <w:outline w:val="0"/>
        <w:emboss w:val="0"/>
        <w:imprint w:val="0"/>
        <w:spacing w:val="0"/>
        <w:w w:val="100"/>
        <w:kern w:val="0"/>
        <w:position w:val="0"/>
        <w:highlight w:val="none"/>
        <w:vertAlign w:val="baseline"/>
      </w:rPr>
    </w:lvl>
    <w:lvl w:ilvl="1" w:tplc="8AB4900A">
      <w:start w:val="1"/>
      <w:numFmt w:val="bullet"/>
      <w:lvlText w:val="•"/>
      <w:lvlJc w:val="left"/>
      <w:pPr>
        <w:ind w:left="1003" w:hanging="283"/>
      </w:pPr>
      <w:rPr>
        <w:rFonts w:hAnsi="Arial Unicode MS"/>
        <w:caps w:val="0"/>
        <w:smallCaps w:val="0"/>
        <w:strike w:val="0"/>
        <w:dstrike w:val="0"/>
        <w:outline w:val="0"/>
        <w:emboss w:val="0"/>
        <w:imprint w:val="0"/>
        <w:spacing w:val="0"/>
        <w:w w:val="100"/>
        <w:kern w:val="0"/>
        <w:position w:val="0"/>
        <w:highlight w:val="none"/>
        <w:vertAlign w:val="baseline"/>
      </w:rPr>
    </w:lvl>
    <w:lvl w:ilvl="2" w:tplc="5DF85DB4">
      <w:start w:val="1"/>
      <w:numFmt w:val="bullet"/>
      <w:lvlText w:val="•"/>
      <w:lvlJc w:val="left"/>
      <w:pPr>
        <w:ind w:left="1723" w:hanging="283"/>
      </w:pPr>
      <w:rPr>
        <w:rFonts w:hAnsi="Arial Unicode MS"/>
        <w:caps w:val="0"/>
        <w:smallCaps w:val="0"/>
        <w:strike w:val="0"/>
        <w:dstrike w:val="0"/>
        <w:outline w:val="0"/>
        <w:emboss w:val="0"/>
        <w:imprint w:val="0"/>
        <w:spacing w:val="0"/>
        <w:w w:val="100"/>
        <w:kern w:val="0"/>
        <w:position w:val="0"/>
        <w:highlight w:val="none"/>
        <w:vertAlign w:val="baseline"/>
      </w:rPr>
    </w:lvl>
    <w:lvl w:ilvl="3" w:tplc="21F62E6C">
      <w:start w:val="1"/>
      <w:numFmt w:val="bullet"/>
      <w:lvlText w:val="•"/>
      <w:lvlJc w:val="left"/>
      <w:pPr>
        <w:ind w:left="2443" w:hanging="283"/>
      </w:pPr>
      <w:rPr>
        <w:rFonts w:hAnsi="Arial Unicode MS"/>
        <w:caps w:val="0"/>
        <w:smallCaps w:val="0"/>
        <w:strike w:val="0"/>
        <w:dstrike w:val="0"/>
        <w:outline w:val="0"/>
        <w:emboss w:val="0"/>
        <w:imprint w:val="0"/>
        <w:spacing w:val="0"/>
        <w:w w:val="100"/>
        <w:kern w:val="0"/>
        <w:position w:val="0"/>
        <w:highlight w:val="none"/>
        <w:vertAlign w:val="baseline"/>
      </w:rPr>
    </w:lvl>
    <w:lvl w:ilvl="4" w:tplc="49D0318E">
      <w:start w:val="1"/>
      <w:numFmt w:val="bullet"/>
      <w:lvlText w:val="•"/>
      <w:lvlJc w:val="left"/>
      <w:pPr>
        <w:ind w:left="3163" w:hanging="283"/>
      </w:pPr>
      <w:rPr>
        <w:rFonts w:hAnsi="Arial Unicode MS"/>
        <w:caps w:val="0"/>
        <w:smallCaps w:val="0"/>
        <w:strike w:val="0"/>
        <w:dstrike w:val="0"/>
        <w:outline w:val="0"/>
        <w:emboss w:val="0"/>
        <w:imprint w:val="0"/>
        <w:spacing w:val="0"/>
        <w:w w:val="100"/>
        <w:kern w:val="0"/>
        <w:position w:val="0"/>
        <w:highlight w:val="none"/>
        <w:vertAlign w:val="baseline"/>
      </w:rPr>
    </w:lvl>
    <w:lvl w:ilvl="5" w:tplc="9604A5F0">
      <w:start w:val="1"/>
      <w:numFmt w:val="bullet"/>
      <w:lvlText w:val="•"/>
      <w:lvlJc w:val="left"/>
      <w:pPr>
        <w:ind w:left="3883" w:hanging="283"/>
      </w:pPr>
      <w:rPr>
        <w:rFonts w:hAnsi="Arial Unicode MS"/>
        <w:caps w:val="0"/>
        <w:smallCaps w:val="0"/>
        <w:strike w:val="0"/>
        <w:dstrike w:val="0"/>
        <w:outline w:val="0"/>
        <w:emboss w:val="0"/>
        <w:imprint w:val="0"/>
        <w:spacing w:val="0"/>
        <w:w w:val="100"/>
        <w:kern w:val="0"/>
        <w:position w:val="0"/>
        <w:highlight w:val="none"/>
        <w:vertAlign w:val="baseline"/>
      </w:rPr>
    </w:lvl>
    <w:lvl w:ilvl="6" w:tplc="84240324">
      <w:start w:val="1"/>
      <w:numFmt w:val="bullet"/>
      <w:lvlText w:val="•"/>
      <w:lvlJc w:val="left"/>
      <w:pPr>
        <w:ind w:left="4603" w:hanging="283"/>
      </w:pPr>
      <w:rPr>
        <w:rFonts w:hAnsi="Arial Unicode MS"/>
        <w:caps w:val="0"/>
        <w:smallCaps w:val="0"/>
        <w:strike w:val="0"/>
        <w:dstrike w:val="0"/>
        <w:outline w:val="0"/>
        <w:emboss w:val="0"/>
        <w:imprint w:val="0"/>
        <w:spacing w:val="0"/>
        <w:w w:val="100"/>
        <w:kern w:val="0"/>
        <w:position w:val="0"/>
        <w:highlight w:val="none"/>
        <w:vertAlign w:val="baseline"/>
      </w:rPr>
    </w:lvl>
    <w:lvl w:ilvl="7" w:tplc="E820C29C">
      <w:start w:val="1"/>
      <w:numFmt w:val="bullet"/>
      <w:lvlText w:val="•"/>
      <w:lvlJc w:val="left"/>
      <w:pPr>
        <w:ind w:left="5323" w:hanging="283"/>
      </w:pPr>
      <w:rPr>
        <w:rFonts w:hAnsi="Arial Unicode MS"/>
        <w:caps w:val="0"/>
        <w:smallCaps w:val="0"/>
        <w:strike w:val="0"/>
        <w:dstrike w:val="0"/>
        <w:outline w:val="0"/>
        <w:emboss w:val="0"/>
        <w:imprint w:val="0"/>
        <w:spacing w:val="0"/>
        <w:w w:val="100"/>
        <w:kern w:val="0"/>
        <w:position w:val="0"/>
        <w:highlight w:val="none"/>
        <w:vertAlign w:val="baseline"/>
      </w:rPr>
    </w:lvl>
    <w:lvl w:ilvl="8" w:tplc="68AC22F2">
      <w:start w:val="1"/>
      <w:numFmt w:val="bullet"/>
      <w:lvlText w:val="•"/>
      <w:lvlJc w:val="left"/>
      <w:pPr>
        <w:ind w:left="6043" w:hanging="283"/>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6" w15:restartNumberingAfterBreak="0">
    <w:nsid w:val="11505932"/>
    <w:multiLevelType w:val="hybridMultilevel"/>
    <w:tmpl w:val="2F24D73C"/>
    <w:styleLink w:val="Estiloimportado10"/>
    <w:lvl w:ilvl="0" w:tplc="DB0AA314">
      <w:start w:val="1"/>
      <w:numFmt w:val="bullet"/>
      <w:lvlText w:val="-"/>
      <w:lvlJc w:val="left"/>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283" w:hanging="283"/>
      </w:pPr>
      <w:rPr>
        <w:rFonts w:hAnsi="Arial Unicode MS"/>
        <w:b/>
        <w:bCs/>
        <w:caps w:val="0"/>
        <w:smallCaps w:val="0"/>
        <w:strike w:val="0"/>
        <w:dstrike w:val="0"/>
        <w:outline w:val="0"/>
        <w:emboss w:val="0"/>
        <w:imprint w:val="0"/>
        <w:color w:val="000000"/>
        <w:spacing w:val="0"/>
        <w:w w:val="100"/>
        <w:kern w:val="0"/>
        <w:position w:val="0"/>
        <w:sz w:val="19"/>
        <w:szCs w:val="19"/>
        <w:highlight w:val="none"/>
        <w:vertAlign w:val="baseline"/>
      </w:rPr>
    </w:lvl>
    <w:lvl w:ilvl="1" w:tplc="E618BD1E">
      <w:start w:val="1"/>
      <w:numFmt w:val="bullet"/>
      <w:lvlText w:val="-"/>
      <w:lvlJc w:val="left"/>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1003" w:hanging="283"/>
      </w:pPr>
      <w:rPr>
        <w:rFonts w:hAnsi="Arial Unicode MS"/>
        <w:b/>
        <w:bCs/>
        <w:caps w:val="0"/>
        <w:smallCaps w:val="0"/>
        <w:strike w:val="0"/>
        <w:dstrike w:val="0"/>
        <w:outline w:val="0"/>
        <w:emboss w:val="0"/>
        <w:imprint w:val="0"/>
        <w:color w:val="000000"/>
        <w:spacing w:val="0"/>
        <w:w w:val="100"/>
        <w:kern w:val="0"/>
        <w:position w:val="0"/>
        <w:sz w:val="19"/>
        <w:szCs w:val="19"/>
        <w:highlight w:val="none"/>
        <w:vertAlign w:val="baseline"/>
      </w:rPr>
    </w:lvl>
    <w:lvl w:ilvl="2" w:tplc="E172881A">
      <w:start w:val="1"/>
      <w:numFmt w:val="bullet"/>
      <w:lvlText w:val="-"/>
      <w:lvlJc w:val="left"/>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1723" w:hanging="283"/>
      </w:pPr>
      <w:rPr>
        <w:rFonts w:hAnsi="Arial Unicode MS"/>
        <w:b/>
        <w:bCs/>
        <w:caps w:val="0"/>
        <w:smallCaps w:val="0"/>
        <w:strike w:val="0"/>
        <w:dstrike w:val="0"/>
        <w:outline w:val="0"/>
        <w:emboss w:val="0"/>
        <w:imprint w:val="0"/>
        <w:color w:val="000000"/>
        <w:spacing w:val="0"/>
        <w:w w:val="100"/>
        <w:kern w:val="0"/>
        <w:position w:val="0"/>
        <w:sz w:val="19"/>
        <w:szCs w:val="19"/>
        <w:highlight w:val="none"/>
        <w:vertAlign w:val="baseline"/>
      </w:rPr>
    </w:lvl>
    <w:lvl w:ilvl="3" w:tplc="ECC25C32">
      <w:start w:val="1"/>
      <w:numFmt w:val="bullet"/>
      <w:lvlText w:val="-"/>
      <w:lvlJc w:val="left"/>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2443" w:hanging="283"/>
      </w:pPr>
      <w:rPr>
        <w:rFonts w:hAnsi="Arial Unicode MS"/>
        <w:b/>
        <w:bCs/>
        <w:caps w:val="0"/>
        <w:smallCaps w:val="0"/>
        <w:strike w:val="0"/>
        <w:dstrike w:val="0"/>
        <w:outline w:val="0"/>
        <w:emboss w:val="0"/>
        <w:imprint w:val="0"/>
        <w:color w:val="000000"/>
        <w:spacing w:val="0"/>
        <w:w w:val="100"/>
        <w:kern w:val="0"/>
        <w:position w:val="0"/>
        <w:sz w:val="19"/>
        <w:szCs w:val="19"/>
        <w:highlight w:val="none"/>
        <w:vertAlign w:val="baseline"/>
      </w:rPr>
    </w:lvl>
    <w:lvl w:ilvl="4" w:tplc="531E2D16">
      <w:start w:val="1"/>
      <w:numFmt w:val="bullet"/>
      <w:lvlText w:val="-"/>
      <w:lvlJc w:val="left"/>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3163" w:hanging="283"/>
      </w:pPr>
      <w:rPr>
        <w:rFonts w:hAnsi="Arial Unicode MS"/>
        <w:b/>
        <w:bCs/>
        <w:caps w:val="0"/>
        <w:smallCaps w:val="0"/>
        <w:strike w:val="0"/>
        <w:dstrike w:val="0"/>
        <w:outline w:val="0"/>
        <w:emboss w:val="0"/>
        <w:imprint w:val="0"/>
        <w:color w:val="000000"/>
        <w:spacing w:val="0"/>
        <w:w w:val="100"/>
        <w:kern w:val="0"/>
        <w:position w:val="0"/>
        <w:sz w:val="19"/>
        <w:szCs w:val="19"/>
        <w:highlight w:val="none"/>
        <w:vertAlign w:val="baseline"/>
      </w:rPr>
    </w:lvl>
    <w:lvl w:ilvl="5" w:tplc="1756899C">
      <w:start w:val="1"/>
      <w:numFmt w:val="bullet"/>
      <w:lvlText w:val="-"/>
      <w:lvlJc w:val="left"/>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3883" w:hanging="283"/>
      </w:pPr>
      <w:rPr>
        <w:rFonts w:hAnsi="Arial Unicode MS"/>
        <w:b/>
        <w:bCs/>
        <w:caps w:val="0"/>
        <w:smallCaps w:val="0"/>
        <w:strike w:val="0"/>
        <w:dstrike w:val="0"/>
        <w:outline w:val="0"/>
        <w:emboss w:val="0"/>
        <w:imprint w:val="0"/>
        <w:color w:val="000000"/>
        <w:spacing w:val="0"/>
        <w:w w:val="100"/>
        <w:kern w:val="0"/>
        <w:position w:val="0"/>
        <w:sz w:val="19"/>
        <w:szCs w:val="19"/>
        <w:highlight w:val="none"/>
        <w:vertAlign w:val="baseline"/>
      </w:rPr>
    </w:lvl>
    <w:lvl w:ilvl="6" w:tplc="BA7A6C56">
      <w:start w:val="1"/>
      <w:numFmt w:val="bullet"/>
      <w:lvlText w:val="-"/>
      <w:lvlJc w:val="left"/>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4603" w:hanging="283"/>
      </w:pPr>
      <w:rPr>
        <w:rFonts w:hAnsi="Arial Unicode MS"/>
        <w:b/>
        <w:bCs/>
        <w:caps w:val="0"/>
        <w:smallCaps w:val="0"/>
        <w:strike w:val="0"/>
        <w:dstrike w:val="0"/>
        <w:outline w:val="0"/>
        <w:emboss w:val="0"/>
        <w:imprint w:val="0"/>
        <w:color w:val="000000"/>
        <w:spacing w:val="0"/>
        <w:w w:val="100"/>
        <w:kern w:val="0"/>
        <w:position w:val="0"/>
        <w:sz w:val="19"/>
        <w:szCs w:val="19"/>
        <w:highlight w:val="none"/>
        <w:vertAlign w:val="baseline"/>
      </w:rPr>
    </w:lvl>
    <w:lvl w:ilvl="7" w:tplc="A45A9D24">
      <w:start w:val="1"/>
      <w:numFmt w:val="bullet"/>
      <w:lvlText w:val="-"/>
      <w:lvlJc w:val="left"/>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5323" w:hanging="283"/>
      </w:pPr>
      <w:rPr>
        <w:rFonts w:hAnsi="Arial Unicode MS"/>
        <w:b/>
        <w:bCs/>
        <w:caps w:val="0"/>
        <w:smallCaps w:val="0"/>
        <w:strike w:val="0"/>
        <w:dstrike w:val="0"/>
        <w:outline w:val="0"/>
        <w:emboss w:val="0"/>
        <w:imprint w:val="0"/>
        <w:color w:val="000000"/>
        <w:spacing w:val="0"/>
        <w:w w:val="100"/>
        <w:kern w:val="0"/>
        <w:position w:val="0"/>
        <w:sz w:val="19"/>
        <w:szCs w:val="19"/>
        <w:highlight w:val="none"/>
        <w:vertAlign w:val="baseline"/>
      </w:rPr>
    </w:lvl>
    <w:lvl w:ilvl="8" w:tplc="11DEE6A8">
      <w:start w:val="1"/>
      <w:numFmt w:val="bullet"/>
      <w:lvlText w:val="-"/>
      <w:lvlJc w:val="left"/>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6043" w:hanging="283"/>
      </w:pPr>
      <w:rPr>
        <w:rFonts w:hAnsi="Arial Unicode MS"/>
        <w:b/>
        <w:bCs/>
        <w:caps w:val="0"/>
        <w:smallCaps w:val="0"/>
        <w:strike w:val="0"/>
        <w:dstrike w:val="0"/>
        <w:outline w:val="0"/>
        <w:emboss w:val="0"/>
        <w:imprint w:val="0"/>
        <w:color w:val="000000"/>
        <w:spacing w:val="0"/>
        <w:w w:val="100"/>
        <w:kern w:val="0"/>
        <w:position w:val="0"/>
        <w:sz w:val="19"/>
        <w:szCs w:val="19"/>
        <w:highlight w:val="none"/>
        <w:vertAlign w:val="baseline"/>
      </w:rPr>
    </w:lvl>
  </w:abstractNum>
  <w:abstractNum w:abstractNumId="7" w15:restartNumberingAfterBreak="0">
    <w:nsid w:val="12B60594"/>
    <w:multiLevelType w:val="multilevel"/>
    <w:tmpl w:val="02F0F144"/>
    <w:lvl w:ilvl="0">
      <w:start w:val="1"/>
      <w:numFmt w:val="decimal"/>
      <w:lvlText w:val="%1"/>
      <w:lvlJc w:val="left"/>
      <w:pPr>
        <w:tabs>
          <w:tab w:val="num" w:pos="595"/>
        </w:tabs>
        <w:ind w:left="595" w:hanging="595"/>
      </w:pPr>
    </w:lvl>
    <w:lvl w:ilvl="1">
      <w:start w:val="1"/>
      <w:numFmt w:val="decimal"/>
      <w:pStyle w:val="Listaconnmeros4"/>
      <w:lvlText w:val="%2"/>
      <w:lvlJc w:val="left"/>
      <w:pPr>
        <w:tabs>
          <w:tab w:val="num" w:pos="1191"/>
        </w:tabs>
        <w:ind w:left="1191" w:hanging="595"/>
      </w:pPr>
    </w:lvl>
    <w:lvl w:ilvl="2">
      <w:start w:val="1"/>
      <w:numFmt w:val="decimal"/>
      <w:pStyle w:val="Listaconnmeros5"/>
      <w:lvlText w:val="%3"/>
      <w:lvlJc w:val="left"/>
      <w:pPr>
        <w:tabs>
          <w:tab w:val="num" w:pos="1786"/>
        </w:tabs>
        <w:ind w:left="1786" w:hanging="595"/>
      </w:pPr>
    </w:lvl>
    <w:lvl w:ilvl="3">
      <w:start w:val="1"/>
      <w:numFmt w:val="decimal"/>
      <w:pStyle w:val="Listaconnmeros4"/>
      <w:lvlText w:val="%4"/>
      <w:lvlJc w:val="left"/>
      <w:pPr>
        <w:tabs>
          <w:tab w:val="num" w:pos="2381"/>
        </w:tabs>
        <w:ind w:left="2381" w:hanging="595"/>
      </w:pPr>
    </w:lvl>
    <w:lvl w:ilvl="4">
      <w:start w:val="1"/>
      <w:numFmt w:val="decimal"/>
      <w:pStyle w:val="Listaconnmeros5"/>
      <w:lvlText w:val="%5"/>
      <w:lvlJc w:val="left"/>
      <w:pPr>
        <w:tabs>
          <w:tab w:val="num" w:pos="2976"/>
        </w:tabs>
        <w:ind w:left="2976" w:hanging="595"/>
      </w:pPr>
    </w:lvl>
    <w:lvl w:ilvl="5">
      <w:start w:val="1"/>
      <w:numFmt w:val="decimal"/>
      <w:lvlText w:val="%6"/>
      <w:lvlJc w:val="left"/>
      <w:pPr>
        <w:tabs>
          <w:tab w:val="num" w:pos="3572"/>
        </w:tabs>
        <w:ind w:left="3572" w:hanging="595"/>
      </w:pPr>
    </w:lvl>
    <w:lvl w:ilvl="6">
      <w:start w:val="1"/>
      <w:numFmt w:val="decimal"/>
      <w:lvlText w:val="%7"/>
      <w:lvlJc w:val="left"/>
      <w:pPr>
        <w:tabs>
          <w:tab w:val="num" w:pos="4167"/>
        </w:tabs>
        <w:ind w:left="4167" w:hanging="595"/>
      </w:pPr>
    </w:lvl>
    <w:lvl w:ilvl="7">
      <w:start w:val="1"/>
      <w:numFmt w:val="decimal"/>
      <w:lvlText w:val="%8"/>
      <w:lvlJc w:val="left"/>
      <w:pPr>
        <w:tabs>
          <w:tab w:val="num" w:pos="4762"/>
        </w:tabs>
        <w:ind w:left="4762" w:hanging="595"/>
      </w:pPr>
    </w:lvl>
    <w:lvl w:ilvl="8">
      <w:start w:val="1"/>
      <w:numFmt w:val="decimal"/>
      <w:lvlText w:val="%9"/>
      <w:lvlJc w:val="left"/>
      <w:pPr>
        <w:tabs>
          <w:tab w:val="num" w:pos="4762"/>
        </w:tabs>
        <w:ind w:left="4762" w:hanging="595"/>
      </w:pPr>
    </w:lvl>
  </w:abstractNum>
  <w:abstractNum w:abstractNumId="8" w15:restartNumberingAfterBreak="0">
    <w:nsid w:val="12CC4C02"/>
    <w:multiLevelType w:val="hybridMultilevel"/>
    <w:tmpl w:val="696E1272"/>
    <w:styleLink w:val="Estiloimportado7"/>
    <w:lvl w:ilvl="0" w:tplc="060C7BB0">
      <w:start w:val="1"/>
      <w:numFmt w:val="bullet"/>
      <w:lvlText w:val="·"/>
      <w:lvlJc w:val="left"/>
      <w:pPr>
        <w:ind w:left="36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B1686AAC">
      <w:start w:val="1"/>
      <w:numFmt w:val="bullet"/>
      <w:lvlText w:val="o"/>
      <w:lvlJc w:val="left"/>
      <w:pPr>
        <w:ind w:left="10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B4CEB816">
      <w:start w:val="1"/>
      <w:numFmt w:val="bullet"/>
      <w:lvlText w:val="▪"/>
      <w:lvlJc w:val="left"/>
      <w:pPr>
        <w:ind w:left="18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964C4A9A">
      <w:start w:val="1"/>
      <w:numFmt w:val="bullet"/>
      <w:lvlText w:val="·"/>
      <w:lvlJc w:val="left"/>
      <w:pPr>
        <w:ind w:left="25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619AB8E0">
      <w:start w:val="1"/>
      <w:numFmt w:val="bullet"/>
      <w:lvlText w:val="o"/>
      <w:lvlJc w:val="left"/>
      <w:pPr>
        <w:ind w:left="32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02C0BE04">
      <w:start w:val="1"/>
      <w:numFmt w:val="bullet"/>
      <w:lvlText w:val="▪"/>
      <w:lvlJc w:val="left"/>
      <w:pPr>
        <w:ind w:left="39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454E0F22">
      <w:start w:val="1"/>
      <w:numFmt w:val="bullet"/>
      <w:lvlText w:val="·"/>
      <w:lvlJc w:val="left"/>
      <w:pPr>
        <w:ind w:left="46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E6DAD526">
      <w:start w:val="1"/>
      <w:numFmt w:val="bullet"/>
      <w:lvlText w:val="o"/>
      <w:lvlJc w:val="left"/>
      <w:pPr>
        <w:ind w:left="54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9DD45C7A">
      <w:start w:val="1"/>
      <w:numFmt w:val="bullet"/>
      <w:lvlText w:val="▪"/>
      <w:lvlJc w:val="left"/>
      <w:pPr>
        <w:ind w:left="61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9" w15:restartNumberingAfterBreak="0">
    <w:nsid w:val="13A67DC1"/>
    <w:multiLevelType w:val="hybridMultilevel"/>
    <w:tmpl w:val="EA08F104"/>
    <w:lvl w:ilvl="0" w:tplc="7BB8A4B2">
      <w:start w:val="1"/>
      <w:numFmt w:val="lowerLetter"/>
      <w:lvlText w:val="%1)"/>
      <w:lvlJc w:val="left"/>
      <w:pPr>
        <w:tabs>
          <w:tab w:val="num" w:pos="360"/>
        </w:tabs>
        <w:ind w:left="360" w:hanging="360"/>
      </w:pPr>
      <w:rPr>
        <w:rFonts w:hint="default"/>
        <w:u w:val="none"/>
      </w:rPr>
    </w:lvl>
    <w:lvl w:ilvl="1" w:tplc="0C0A0019" w:tentative="1">
      <w:start w:val="1"/>
      <w:numFmt w:val="lowerLetter"/>
      <w:lvlText w:val="%2."/>
      <w:lvlJc w:val="left"/>
      <w:pPr>
        <w:tabs>
          <w:tab w:val="num" w:pos="1080"/>
        </w:tabs>
        <w:ind w:left="1080" w:hanging="360"/>
      </w:pPr>
    </w:lvl>
    <w:lvl w:ilvl="2" w:tplc="0C0A001B" w:tentative="1">
      <w:start w:val="1"/>
      <w:numFmt w:val="lowerRoman"/>
      <w:lvlText w:val="%3."/>
      <w:lvlJc w:val="right"/>
      <w:pPr>
        <w:tabs>
          <w:tab w:val="num" w:pos="1800"/>
        </w:tabs>
        <w:ind w:left="1800" w:hanging="180"/>
      </w:pPr>
    </w:lvl>
    <w:lvl w:ilvl="3" w:tplc="0C0A000F" w:tentative="1">
      <w:start w:val="1"/>
      <w:numFmt w:val="decimal"/>
      <w:lvlText w:val="%4."/>
      <w:lvlJc w:val="left"/>
      <w:pPr>
        <w:tabs>
          <w:tab w:val="num" w:pos="2520"/>
        </w:tabs>
        <w:ind w:left="2520" w:hanging="360"/>
      </w:pPr>
    </w:lvl>
    <w:lvl w:ilvl="4" w:tplc="0C0A0019" w:tentative="1">
      <w:start w:val="1"/>
      <w:numFmt w:val="lowerLetter"/>
      <w:lvlText w:val="%5."/>
      <w:lvlJc w:val="left"/>
      <w:pPr>
        <w:tabs>
          <w:tab w:val="num" w:pos="3240"/>
        </w:tabs>
        <w:ind w:left="3240" w:hanging="360"/>
      </w:pPr>
    </w:lvl>
    <w:lvl w:ilvl="5" w:tplc="0C0A001B" w:tentative="1">
      <w:start w:val="1"/>
      <w:numFmt w:val="lowerRoman"/>
      <w:lvlText w:val="%6."/>
      <w:lvlJc w:val="right"/>
      <w:pPr>
        <w:tabs>
          <w:tab w:val="num" w:pos="3960"/>
        </w:tabs>
        <w:ind w:left="3960" w:hanging="180"/>
      </w:pPr>
    </w:lvl>
    <w:lvl w:ilvl="6" w:tplc="0C0A000F" w:tentative="1">
      <w:start w:val="1"/>
      <w:numFmt w:val="decimal"/>
      <w:lvlText w:val="%7."/>
      <w:lvlJc w:val="left"/>
      <w:pPr>
        <w:tabs>
          <w:tab w:val="num" w:pos="4680"/>
        </w:tabs>
        <w:ind w:left="4680" w:hanging="360"/>
      </w:pPr>
    </w:lvl>
    <w:lvl w:ilvl="7" w:tplc="0C0A0019" w:tentative="1">
      <w:start w:val="1"/>
      <w:numFmt w:val="lowerLetter"/>
      <w:lvlText w:val="%8."/>
      <w:lvlJc w:val="left"/>
      <w:pPr>
        <w:tabs>
          <w:tab w:val="num" w:pos="5400"/>
        </w:tabs>
        <w:ind w:left="5400" w:hanging="360"/>
      </w:pPr>
    </w:lvl>
    <w:lvl w:ilvl="8" w:tplc="0C0A001B" w:tentative="1">
      <w:start w:val="1"/>
      <w:numFmt w:val="lowerRoman"/>
      <w:lvlText w:val="%9."/>
      <w:lvlJc w:val="right"/>
      <w:pPr>
        <w:tabs>
          <w:tab w:val="num" w:pos="6120"/>
        </w:tabs>
        <w:ind w:left="6120" w:hanging="180"/>
      </w:pPr>
    </w:lvl>
  </w:abstractNum>
  <w:abstractNum w:abstractNumId="10" w15:restartNumberingAfterBreak="0">
    <w:nsid w:val="1D8B1681"/>
    <w:multiLevelType w:val="multilevel"/>
    <w:tmpl w:val="5DF4EF00"/>
    <w:lvl w:ilvl="0">
      <w:start w:val="1"/>
      <w:numFmt w:val="decimal"/>
      <w:pStyle w:val="Ttulo1"/>
      <w:lvlText w:val="%1."/>
      <w:lvlJc w:val="left"/>
      <w:pPr>
        <w:ind w:left="360" w:hanging="360"/>
      </w:pPr>
    </w:lvl>
    <w:lvl w:ilvl="1">
      <w:start w:val="1"/>
      <w:numFmt w:val="decimal"/>
      <w:pStyle w:val="Ttulo2"/>
      <w:lvlText w:val="%1.%2."/>
      <w:lvlJc w:val="left"/>
      <w:pPr>
        <w:ind w:left="792" w:hanging="432"/>
      </w:pPr>
    </w:lvl>
    <w:lvl w:ilvl="2">
      <w:start w:val="1"/>
      <w:numFmt w:val="decimal"/>
      <w:pStyle w:val="Ttulo3"/>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1EB11AF5"/>
    <w:multiLevelType w:val="hybridMultilevel"/>
    <w:tmpl w:val="CE6CAF38"/>
    <w:styleLink w:val="Estiloimportado2"/>
    <w:lvl w:ilvl="0" w:tplc="7442A434">
      <w:start w:val="1"/>
      <w:numFmt w:val="bullet"/>
      <w:lvlText w:val="·"/>
      <w:lvlJc w:val="left"/>
      <w:pPr>
        <w:ind w:left="36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09846BC6">
      <w:start w:val="1"/>
      <w:numFmt w:val="bullet"/>
      <w:lvlText w:val="o"/>
      <w:lvlJc w:val="left"/>
      <w:pPr>
        <w:ind w:left="10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025E4034">
      <w:start w:val="1"/>
      <w:numFmt w:val="bullet"/>
      <w:lvlText w:val="▪"/>
      <w:lvlJc w:val="left"/>
      <w:pPr>
        <w:ind w:left="18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88BE55B0">
      <w:start w:val="1"/>
      <w:numFmt w:val="bullet"/>
      <w:lvlText w:val="·"/>
      <w:lvlJc w:val="left"/>
      <w:pPr>
        <w:ind w:left="25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A3DE09B4">
      <w:start w:val="1"/>
      <w:numFmt w:val="bullet"/>
      <w:lvlText w:val="o"/>
      <w:lvlJc w:val="left"/>
      <w:pPr>
        <w:ind w:left="32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C110FCCE">
      <w:start w:val="1"/>
      <w:numFmt w:val="bullet"/>
      <w:lvlText w:val="▪"/>
      <w:lvlJc w:val="left"/>
      <w:pPr>
        <w:ind w:left="39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12849436">
      <w:start w:val="1"/>
      <w:numFmt w:val="bullet"/>
      <w:lvlText w:val="·"/>
      <w:lvlJc w:val="left"/>
      <w:pPr>
        <w:ind w:left="46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8092E196">
      <w:start w:val="1"/>
      <w:numFmt w:val="bullet"/>
      <w:lvlText w:val="o"/>
      <w:lvlJc w:val="left"/>
      <w:pPr>
        <w:ind w:left="54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B3D463D0">
      <w:start w:val="1"/>
      <w:numFmt w:val="bullet"/>
      <w:lvlText w:val="▪"/>
      <w:lvlJc w:val="left"/>
      <w:pPr>
        <w:ind w:left="61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2" w15:restartNumberingAfterBreak="0">
    <w:nsid w:val="23773580"/>
    <w:multiLevelType w:val="hybridMultilevel"/>
    <w:tmpl w:val="A848855C"/>
    <w:lvl w:ilvl="0" w:tplc="A77A6FE8">
      <w:start w:val="1"/>
      <w:numFmt w:val="bullet"/>
      <w:pStyle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3" w15:restartNumberingAfterBreak="0">
    <w:nsid w:val="30A86429"/>
    <w:multiLevelType w:val="hybridMultilevel"/>
    <w:tmpl w:val="6A7A424E"/>
    <w:styleLink w:val="Nmero"/>
    <w:lvl w:ilvl="0" w:tplc="FFFFFFFF">
      <w:start w:val="1"/>
      <w:numFmt w:val="decimal"/>
      <w:lvlText w:val="%1."/>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283" w:hanging="283"/>
      </w:pPr>
      <w:rPr>
        <w:b/>
        <w:bCs/>
        <w:caps w:val="0"/>
        <w:smallCaps w:val="0"/>
        <w:strike w:val="0"/>
        <w:dstrike w:val="0"/>
        <w:outline w:val="0"/>
        <w:emboss w:val="0"/>
        <w:imprint w:val="0"/>
        <w:spacing w:val="0"/>
        <w:w w:val="100"/>
        <w:kern w:val="0"/>
        <w:position w:val="0"/>
        <w:highlight w:val="none"/>
        <w:vertAlign w:val="baseline"/>
      </w:rPr>
    </w:lvl>
    <w:lvl w:ilvl="1" w:tplc="26863B9E">
      <w:start w:val="1"/>
      <w:numFmt w:val="decimal"/>
      <w:lvlText w:val="%2."/>
      <w:lvlJc w:val="left"/>
      <w:pPr>
        <w:tabs>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72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2" w:tplc="8C841ADA">
      <w:start w:val="1"/>
      <w:numFmt w:val="decimal"/>
      <w:lvlText w:val="%3."/>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108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3" w:tplc="697666B8">
      <w:start w:val="1"/>
      <w:numFmt w:val="decimal"/>
      <w:lvlText w:val="%4."/>
      <w:lvlJc w:val="left"/>
      <w:pPr>
        <w:tabs>
          <w:tab w:val="left" w:pos="708"/>
          <w:tab w:val="left" w:pos="2124"/>
          <w:tab w:val="left" w:pos="2832"/>
          <w:tab w:val="left" w:pos="3540"/>
          <w:tab w:val="left" w:pos="4248"/>
          <w:tab w:val="left" w:pos="4956"/>
          <w:tab w:val="left" w:pos="5664"/>
          <w:tab w:val="left" w:pos="6372"/>
          <w:tab w:val="left" w:pos="7080"/>
          <w:tab w:val="left" w:pos="7788"/>
          <w:tab w:val="left" w:pos="8496"/>
          <w:tab w:val="left" w:pos="9204"/>
        </w:tabs>
        <w:ind w:left="144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4" w:tplc="23DC3AA6">
      <w:start w:val="1"/>
      <w:numFmt w:val="decimal"/>
      <w:lvlText w:val="%5."/>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180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5" w:tplc="7FB0F1DC">
      <w:start w:val="1"/>
      <w:numFmt w:val="decimal"/>
      <w:lvlText w:val="%6."/>
      <w:lvlJc w:val="left"/>
      <w:pPr>
        <w:tabs>
          <w:tab w:val="left" w:pos="708"/>
          <w:tab w:val="left" w:pos="1416"/>
          <w:tab w:val="left" w:pos="2832"/>
          <w:tab w:val="left" w:pos="3540"/>
          <w:tab w:val="left" w:pos="4248"/>
          <w:tab w:val="left" w:pos="4956"/>
          <w:tab w:val="left" w:pos="5664"/>
          <w:tab w:val="left" w:pos="6372"/>
          <w:tab w:val="left" w:pos="7080"/>
          <w:tab w:val="left" w:pos="7788"/>
          <w:tab w:val="left" w:pos="8496"/>
          <w:tab w:val="left" w:pos="9204"/>
        </w:tabs>
        <w:ind w:left="216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6" w:tplc="127A1A30">
      <w:start w:val="1"/>
      <w:numFmt w:val="decimal"/>
      <w:lvlText w:val="%7."/>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252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7" w:tplc="16A653AE">
      <w:start w:val="1"/>
      <w:numFmt w:val="decimal"/>
      <w:lvlText w:val="%8."/>
      <w:lvlJc w:val="left"/>
      <w:pPr>
        <w:tabs>
          <w:tab w:val="left" w:pos="708"/>
          <w:tab w:val="left" w:pos="1416"/>
          <w:tab w:val="left" w:pos="2124"/>
          <w:tab w:val="left" w:pos="3540"/>
          <w:tab w:val="left" w:pos="4248"/>
          <w:tab w:val="left" w:pos="4956"/>
          <w:tab w:val="left" w:pos="5664"/>
          <w:tab w:val="left" w:pos="6372"/>
          <w:tab w:val="left" w:pos="7080"/>
          <w:tab w:val="left" w:pos="7788"/>
          <w:tab w:val="left" w:pos="8496"/>
          <w:tab w:val="left" w:pos="9204"/>
        </w:tabs>
        <w:ind w:left="288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8" w:tplc="9CBC5D38">
      <w:start w:val="1"/>
      <w:numFmt w:val="decimal"/>
      <w:lvlText w:val="%9."/>
      <w:lvlJc w:val="lef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3240" w:hanging="360"/>
      </w:pPr>
      <w:rPr>
        <w:rFonts w:hAnsi="Arial Unicode MS"/>
        <w:b/>
        <w:bCs/>
        <w:caps w:val="0"/>
        <w:smallCaps w:val="0"/>
        <w:strike w:val="0"/>
        <w:dstrike w:val="0"/>
        <w:outline w:val="0"/>
        <w:emboss w:val="0"/>
        <w:imprint w:val="0"/>
        <w:spacing w:val="0"/>
        <w:w w:val="100"/>
        <w:kern w:val="0"/>
        <w:position w:val="0"/>
        <w:highlight w:val="none"/>
        <w:vertAlign w:val="baseline"/>
      </w:rPr>
    </w:lvl>
  </w:abstractNum>
  <w:abstractNum w:abstractNumId="14" w15:restartNumberingAfterBreak="0">
    <w:nsid w:val="31C754A7"/>
    <w:multiLevelType w:val="hybridMultilevel"/>
    <w:tmpl w:val="C69CF8E0"/>
    <w:styleLink w:val="Estiloimportado8"/>
    <w:lvl w:ilvl="0" w:tplc="6C2ADE76">
      <w:start w:val="1"/>
      <w:numFmt w:val="bullet"/>
      <w:lvlText w:val="•"/>
      <w:lvlJc w:val="left"/>
      <w:pPr>
        <w:ind w:left="283" w:hanging="283"/>
      </w:pPr>
      <w:rPr>
        <w:rFonts w:hAnsi="Arial Unicode MS"/>
        <w:caps w:val="0"/>
        <w:smallCaps w:val="0"/>
        <w:strike w:val="0"/>
        <w:dstrike w:val="0"/>
        <w:outline w:val="0"/>
        <w:emboss w:val="0"/>
        <w:imprint w:val="0"/>
        <w:spacing w:val="0"/>
        <w:w w:val="100"/>
        <w:kern w:val="0"/>
        <w:position w:val="0"/>
        <w:highlight w:val="none"/>
        <w:vertAlign w:val="baseline"/>
      </w:rPr>
    </w:lvl>
    <w:lvl w:ilvl="1" w:tplc="12C22086">
      <w:start w:val="1"/>
      <w:numFmt w:val="bullet"/>
      <w:lvlText w:val="•"/>
      <w:lvlJc w:val="left"/>
      <w:pPr>
        <w:ind w:left="1003" w:hanging="283"/>
      </w:pPr>
      <w:rPr>
        <w:rFonts w:hAnsi="Arial Unicode MS"/>
        <w:caps w:val="0"/>
        <w:smallCaps w:val="0"/>
        <w:strike w:val="0"/>
        <w:dstrike w:val="0"/>
        <w:outline w:val="0"/>
        <w:emboss w:val="0"/>
        <w:imprint w:val="0"/>
        <w:spacing w:val="0"/>
        <w:w w:val="100"/>
        <w:kern w:val="0"/>
        <w:position w:val="0"/>
        <w:highlight w:val="none"/>
        <w:vertAlign w:val="baseline"/>
      </w:rPr>
    </w:lvl>
    <w:lvl w:ilvl="2" w:tplc="0E1A5CBC">
      <w:start w:val="1"/>
      <w:numFmt w:val="bullet"/>
      <w:lvlText w:val="•"/>
      <w:lvlJc w:val="left"/>
      <w:pPr>
        <w:ind w:left="1723" w:hanging="283"/>
      </w:pPr>
      <w:rPr>
        <w:rFonts w:hAnsi="Arial Unicode MS"/>
        <w:caps w:val="0"/>
        <w:smallCaps w:val="0"/>
        <w:strike w:val="0"/>
        <w:dstrike w:val="0"/>
        <w:outline w:val="0"/>
        <w:emboss w:val="0"/>
        <w:imprint w:val="0"/>
        <w:spacing w:val="0"/>
        <w:w w:val="100"/>
        <w:kern w:val="0"/>
        <w:position w:val="0"/>
        <w:highlight w:val="none"/>
        <w:vertAlign w:val="baseline"/>
      </w:rPr>
    </w:lvl>
    <w:lvl w:ilvl="3" w:tplc="1E4C93EA">
      <w:start w:val="1"/>
      <w:numFmt w:val="bullet"/>
      <w:lvlText w:val="•"/>
      <w:lvlJc w:val="left"/>
      <w:pPr>
        <w:ind w:left="2443" w:hanging="283"/>
      </w:pPr>
      <w:rPr>
        <w:rFonts w:hAnsi="Arial Unicode MS"/>
        <w:caps w:val="0"/>
        <w:smallCaps w:val="0"/>
        <w:strike w:val="0"/>
        <w:dstrike w:val="0"/>
        <w:outline w:val="0"/>
        <w:emboss w:val="0"/>
        <w:imprint w:val="0"/>
        <w:spacing w:val="0"/>
        <w:w w:val="100"/>
        <w:kern w:val="0"/>
        <w:position w:val="0"/>
        <w:highlight w:val="none"/>
        <w:vertAlign w:val="baseline"/>
      </w:rPr>
    </w:lvl>
    <w:lvl w:ilvl="4" w:tplc="E9E22054">
      <w:start w:val="1"/>
      <w:numFmt w:val="bullet"/>
      <w:lvlText w:val="•"/>
      <w:lvlJc w:val="left"/>
      <w:pPr>
        <w:ind w:left="3163" w:hanging="283"/>
      </w:pPr>
      <w:rPr>
        <w:rFonts w:hAnsi="Arial Unicode MS"/>
        <w:caps w:val="0"/>
        <w:smallCaps w:val="0"/>
        <w:strike w:val="0"/>
        <w:dstrike w:val="0"/>
        <w:outline w:val="0"/>
        <w:emboss w:val="0"/>
        <w:imprint w:val="0"/>
        <w:spacing w:val="0"/>
        <w:w w:val="100"/>
        <w:kern w:val="0"/>
        <w:position w:val="0"/>
        <w:highlight w:val="none"/>
        <w:vertAlign w:val="baseline"/>
      </w:rPr>
    </w:lvl>
    <w:lvl w:ilvl="5" w:tplc="AC1E9474">
      <w:start w:val="1"/>
      <w:numFmt w:val="bullet"/>
      <w:lvlText w:val="•"/>
      <w:lvlJc w:val="left"/>
      <w:pPr>
        <w:ind w:left="3883" w:hanging="283"/>
      </w:pPr>
      <w:rPr>
        <w:rFonts w:hAnsi="Arial Unicode MS"/>
        <w:caps w:val="0"/>
        <w:smallCaps w:val="0"/>
        <w:strike w:val="0"/>
        <w:dstrike w:val="0"/>
        <w:outline w:val="0"/>
        <w:emboss w:val="0"/>
        <w:imprint w:val="0"/>
        <w:spacing w:val="0"/>
        <w:w w:val="100"/>
        <w:kern w:val="0"/>
        <w:position w:val="0"/>
        <w:highlight w:val="none"/>
        <w:vertAlign w:val="baseline"/>
      </w:rPr>
    </w:lvl>
    <w:lvl w:ilvl="6" w:tplc="BB089FBE">
      <w:start w:val="1"/>
      <w:numFmt w:val="bullet"/>
      <w:lvlText w:val="•"/>
      <w:lvlJc w:val="left"/>
      <w:pPr>
        <w:ind w:left="4603" w:hanging="283"/>
      </w:pPr>
      <w:rPr>
        <w:rFonts w:hAnsi="Arial Unicode MS"/>
        <w:caps w:val="0"/>
        <w:smallCaps w:val="0"/>
        <w:strike w:val="0"/>
        <w:dstrike w:val="0"/>
        <w:outline w:val="0"/>
        <w:emboss w:val="0"/>
        <w:imprint w:val="0"/>
        <w:spacing w:val="0"/>
        <w:w w:val="100"/>
        <w:kern w:val="0"/>
        <w:position w:val="0"/>
        <w:highlight w:val="none"/>
        <w:vertAlign w:val="baseline"/>
      </w:rPr>
    </w:lvl>
    <w:lvl w:ilvl="7" w:tplc="BEAE9666">
      <w:start w:val="1"/>
      <w:numFmt w:val="bullet"/>
      <w:lvlText w:val="•"/>
      <w:lvlJc w:val="left"/>
      <w:pPr>
        <w:ind w:left="5323" w:hanging="283"/>
      </w:pPr>
      <w:rPr>
        <w:rFonts w:hAnsi="Arial Unicode MS"/>
        <w:caps w:val="0"/>
        <w:smallCaps w:val="0"/>
        <w:strike w:val="0"/>
        <w:dstrike w:val="0"/>
        <w:outline w:val="0"/>
        <w:emboss w:val="0"/>
        <w:imprint w:val="0"/>
        <w:spacing w:val="0"/>
        <w:w w:val="100"/>
        <w:kern w:val="0"/>
        <w:position w:val="0"/>
        <w:highlight w:val="none"/>
        <w:vertAlign w:val="baseline"/>
      </w:rPr>
    </w:lvl>
    <w:lvl w:ilvl="8" w:tplc="5BF2B138">
      <w:start w:val="1"/>
      <w:numFmt w:val="bullet"/>
      <w:lvlText w:val="•"/>
      <w:lvlJc w:val="left"/>
      <w:pPr>
        <w:ind w:left="6043" w:hanging="283"/>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5" w15:restartNumberingAfterBreak="0">
    <w:nsid w:val="31CD3AF1"/>
    <w:multiLevelType w:val="hybridMultilevel"/>
    <w:tmpl w:val="EA569B2C"/>
    <w:lvl w:ilvl="0" w:tplc="CA74425E">
      <w:start w:val="3"/>
      <w:numFmt w:val="lowerLetter"/>
      <w:lvlText w:val="%1)"/>
      <w:lvlJc w:val="left"/>
      <w:pPr>
        <w:ind w:left="644" w:hanging="360"/>
      </w:pPr>
      <w:rPr>
        <w:rFonts w:hint="default"/>
        <w:i/>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6" w15:restartNumberingAfterBreak="0">
    <w:nsid w:val="35D6230E"/>
    <w:multiLevelType w:val="singleLevel"/>
    <w:tmpl w:val="DA0CB540"/>
    <w:lvl w:ilvl="0">
      <w:start w:val="1"/>
      <w:numFmt w:val="decimal"/>
      <w:pStyle w:val="TableListNumber"/>
      <w:lvlText w:val="%1."/>
      <w:lvlJc w:val="left"/>
      <w:pPr>
        <w:tabs>
          <w:tab w:val="num" w:pos="360"/>
        </w:tabs>
        <w:ind w:left="298" w:hanging="298"/>
      </w:pPr>
    </w:lvl>
  </w:abstractNum>
  <w:abstractNum w:abstractNumId="17" w15:restartNumberingAfterBreak="0">
    <w:nsid w:val="40D61C80"/>
    <w:multiLevelType w:val="hybridMultilevel"/>
    <w:tmpl w:val="02E45DD0"/>
    <w:styleLink w:val="Estiloimportado1"/>
    <w:lvl w:ilvl="0" w:tplc="73BC6A76">
      <w:start w:val="1"/>
      <w:numFmt w:val="decimal"/>
      <w:lvlText w:val="%1."/>
      <w:lvlJc w:val="left"/>
      <w:pPr>
        <w:ind w:left="283" w:hanging="283"/>
      </w:pPr>
      <w:rPr>
        <w:rFonts w:hAnsi="Arial Unicode MS"/>
        <w:b/>
        <w:bCs/>
        <w:caps w:val="0"/>
        <w:smallCaps w:val="0"/>
        <w:strike w:val="0"/>
        <w:dstrike w:val="0"/>
        <w:outline w:val="0"/>
        <w:emboss w:val="0"/>
        <w:imprint w:val="0"/>
        <w:spacing w:val="0"/>
        <w:w w:val="100"/>
        <w:kern w:val="0"/>
        <w:position w:val="0"/>
        <w:highlight w:val="none"/>
        <w:vertAlign w:val="baseline"/>
      </w:rPr>
    </w:lvl>
    <w:lvl w:ilvl="1" w:tplc="C3C8824A">
      <w:start w:val="1"/>
      <w:numFmt w:val="lowerLetter"/>
      <w:lvlText w:val="%2."/>
      <w:lvlJc w:val="left"/>
      <w:pPr>
        <w:ind w:left="108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2" w:tplc="B5F0367E">
      <w:start w:val="1"/>
      <w:numFmt w:val="lowerRoman"/>
      <w:lvlText w:val="%3."/>
      <w:lvlJc w:val="left"/>
      <w:pPr>
        <w:ind w:left="1800" w:hanging="356"/>
      </w:pPr>
      <w:rPr>
        <w:rFonts w:hAnsi="Arial Unicode MS"/>
        <w:b/>
        <w:bCs/>
        <w:caps w:val="0"/>
        <w:smallCaps w:val="0"/>
        <w:strike w:val="0"/>
        <w:dstrike w:val="0"/>
        <w:outline w:val="0"/>
        <w:emboss w:val="0"/>
        <w:imprint w:val="0"/>
        <w:spacing w:val="0"/>
        <w:w w:val="100"/>
        <w:kern w:val="0"/>
        <w:position w:val="0"/>
        <w:highlight w:val="none"/>
        <w:vertAlign w:val="baseline"/>
      </w:rPr>
    </w:lvl>
    <w:lvl w:ilvl="3" w:tplc="0CB265F8">
      <w:start w:val="1"/>
      <w:numFmt w:val="decimal"/>
      <w:lvlText w:val="%4."/>
      <w:lvlJc w:val="left"/>
      <w:pPr>
        <w:ind w:left="252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4" w:tplc="53EE6C9A">
      <w:start w:val="1"/>
      <w:numFmt w:val="lowerLetter"/>
      <w:lvlText w:val="%5."/>
      <w:lvlJc w:val="left"/>
      <w:pPr>
        <w:ind w:left="324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5" w:tplc="C09223C4">
      <w:start w:val="1"/>
      <w:numFmt w:val="lowerRoman"/>
      <w:lvlText w:val="%6."/>
      <w:lvlJc w:val="left"/>
      <w:pPr>
        <w:ind w:left="3960" w:hanging="356"/>
      </w:pPr>
      <w:rPr>
        <w:rFonts w:hAnsi="Arial Unicode MS"/>
        <w:b/>
        <w:bCs/>
        <w:caps w:val="0"/>
        <w:smallCaps w:val="0"/>
        <w:strike w:val="0"/>
        <w:dstrike w:val="0"/>
        <w:outline w:val="0"/>
        <w:emboss w:val="0"/>
        <w:imprint w:val="0"/>
        <w:spacing w:val="0"/>
        <w:w w:val="100"/>
        <w:kern w:val="0"/>
        <w:position w:val="0"/>
        <w:highlight w:val="none"/>
        <w:vertAlign w:val="baseline"/>
      </w:rPr>
    </w:lvl>
    <w:lvl w:ilvl="6" w:tplc="9F66899E">
      <w:start w:val="1"/>
      <w:numFmt w:val="decimal"/>
      <w:lvlText w:val="%7."/>
      <w:lvlJc w:val="left"/>
      <w:pPr>
        <w:ind w:left="468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7" w:tplc="DDBE56F0">
      <w:start w:val="1"/>
      <w:numFmt w:val="lowerLetter"/>
      <w:lvlText w:val="%8."/>
      <w:lvlJc w:val="left"/>
      <w:pPr>
        <w:ind w:left="540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8" w:tplc="B3EC11C0">
      <w:start w:val="1"/>
      <w:numFmt w:val="lowerRoman"/>
      <w:lvlText w:val="%9."/>
      <w:lvlJc w:val="left"/>
      <w:pPr>
        <w:ind w:left="6120" w:hanging="356"/>
      </w:pPr>
      <w:rPr>
        <w:rFonts w:hAnsi="Arial Unicode MS"/>
        <w:b/>
        <w:bCs/>
        <w:caps w:val="0"/>
        <w:smallCaps w:val="0"/>
        <w:strike w:val="0"/>
        <w:dstrike w:val="0"/>
        <w:outline w:val="0"/>
        <w:emboss w:val="0"/>
        <w:imprint w:val="0"/>
        <w:spacing w:val="0"/>
        <w:w w:val="100"/>
        <w:kern w:val="0"/>
        <w:position w:val="0"/>
        <w:highlight w:val="none"/>
        <w:vertAlign w:val="baseline"/>
      </w:rPr>
    </w:lvl>
  </w:abstractNum>
  <w:abstractNum w:abstractNumId="18" w15:restartNumberingAfterBreak="0">
    <w:nsid w:val="494652A0"/>
    <w:multiLevelType w:val="hybridMultilevel"/>
    <w:tmpl w:val="37AC1ABA"/>
    <w:lvl w:ilvl="0" w:tplc="0C0A0019">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9" w15:restartNumberingAfterBreak="0">
    <w:nsid w:val="521F439E"/>
    <w:multiLevelType w:val="hybridMultilevel"/>
    <w:tmpl w:val="9F56135C"/>
    <w:styleLink w:val="Estiloimportado5"/>
    <w:lvl w:ilvl="0" w:tplc="08342426">
      <w:start w:val="1"/>
      <w:numFmt w:val="bullet"/>
      <w:lvlText w:val="·"/>
      <w:lvlJc w:val="left"/>
      <w:pPr>
        <w:ind w:left="36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49DE3918">
      <w:start w:val="1"/>
      <w:numFmt w:val="bullet"/>
      <w:lvlText w:val="o"/>
      <w:lvlJc w:val="left"/>
      <w:pPr>
        <w:ind w:left="10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C638E39E">
      <w:start w:val="1"/>
      <w:numFmt w:val="bullet"/>
      <w:lvlText w:val="▪"/>
      <w:lvlJc w:val="left"/>
      <w:pPr>
        <w:ind w:left="18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C0589F62">
      <w:start w:val="1"/>
      <w:numFmt w:val="bullet"/>
      <w:lvlText w:val="·"/>
      <w:lvlJc w:val="left"/>
      <w:pPr>
        <w:ind w:left="25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20501980">
      <w:start w:val="1"/>
      <w:numFmt w:val="bullet"/>
      <w:lvlText w:val="o"/>
      <w:lvlJc w:val="left"/>
      <w:pPr>
        <w:ind w:left="32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BFF807C8">
      <w:start w:val="1"/>
      <w:numFmt w:val="bullet"/>
      <w:lvlText w:val="▪"/>
      <w:lvlJc w:val="left"/>
      <w:pPr>
        <w:ind w:left="39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EC02C2BC">
      <w:start w:val="1"/>
      <w:numFmt w:val="bullet"/>
      <w:lvlText w:val="·"/>
      <w:lvlJc w:val="left"/>
      <w:pPr>
        <w:ind w:left="46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493AB5D2">
      <w:start w:val="1"/>
      <w:numFmt w:val="bullet"/>
      <w:lvlText w:val="o"/>
      <w:lvlJc w:val="left"/>
      <w:pPr>
        <w:ind w:left="54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AFEEB316">
      <w:start w:val="1"/>
      <w:numFmt w:val="bullet"/>
      <w:lvlText w:val="▪"/>
      <w:lvlJc w:val="left"/>
      <w:pPr>
        <w:ind w:left="61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20" w15:restartNumberingAfterBreak="0">
    <w:nsid w:val="585D330C"/>
    <w:multiLevelType w:val="hybridMultilevel"/>
    <w:tmpl w:val="689E0556"/>
    <w:lvl w:ilvl="0" w:tplc="BE623DA2">
      <w:start w:val="1"/>
      <w:numFmt w:val="decimal"/>
      <w:lvlText w:val="%1."/>
      <w:lvlJc w:val="left"/>
      <w:pPr>
        <w:tabs>
          <w:tab w:val="num" w:pos="360"/>
        </w:tabs>
        <w:ind w:left="360" w:hanging="360"/>
      </w:pPr>
      <w:rPr>
        <w:rFonts w:hint="default"/>
        <w:b/>
        <w:i w:val="0"/>
        <w:sz w:val="20"/>
        <w:szCs w:val="22"/>
      </w:rPr>
    </w:lvl>
    <w:lvl w:ilvl="1" w:tplc="E8443EE8">
      <w:start w:val="1"/>
      <w:numFmt w:val="lowerRoman"/>
      <w:lvlText w:val="(%2)"/>
      <w:lvlJc w:val="left"/>
      <w:pPr>
        <w:tabs>
          <w:tab w:val="num" w:pos="1800"/>
        </w:tabs>
        <w:ind w:left="1800" w:hanging="720"/>
      </w:pPr>
      <w:rPr>
        <w:rFonts w:hint="default"/>
        <w:b w:val="0"/>
        <w:i/>
        <w:sz w:val="20"/>
        <w:szCs w:val="20"/>
      </w:rPr>
    </w:lvl>
    <w:lvl w:ilvl="2" w:tplc="7C52E0C4">
      <w:start w:val="1"/>
      <w:numFmt w:val="lowerRoman"/>
      <w:lvlText w:val="(%3)"/>
      <w:lvlJc w:val="left"/>
      <w:pPr>
        <w:tabs>
          <w:tab w:val="num" w:pos="2700"/>
        </w:tabs>
        <w:ind w:left="2700" w:hanging="720"/>
      </w:pPr>
      <w:rPr>
        <w:rFonts w:hint="default"/>
        <w:b w:val="0"/>
        <w:i/>
        <w:sz w:val="20"/>
        <w:szCs w:val="20"/>
      </w:rPr>
    </w:lvl>
    <w:lvl w:ilvl="3" w:tplc="303CB2E4">
      <w:start w:val="1"/>
      <w:numFmt w:val="lowerLetter"/>
      <w:lvlText w:val="%4)"/>
      <w:lvlJc w:val="left"/>
      <w:pPr>
        <w:ind w:left="2880" w:hanging="360"/>
      </w:pPr>
      <w:rPr>
        <w:rFonts w:hint="default"/>
      </w:rPr>
    </w:lvl>
    <w:lvl w:ilvl="4" w:tplc="0C0A0019">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1" w15:restartNumberingAfterBreak="0">
    <w:nsid w:val="5B8C6330"/>
    <w:multiLevelType w:val="hybridMultilevel"/>
    <w:tmpl w:val="2506D886"/>
    <w:lvl w:ilvl="0" w:tplc="0BEA6550">
      <w:start w:val="1"/>
      <w:numFmt w:val="lowerLetter"/>
      <w:lvlText w:val="%1)"/>
      <w:lvlJc w:val="left"/>
      <w:pPr>
        <w:ind w:left="644" w:hanging="360"/>
      </w:pPr>
      <w:rPr>
        <w:rFonts w:hint="default"/>
        <w:i/>
      </w:rPr>
    </w:lvl>
    <w:lvl w:ilvl="1" w:tplc="0C0A0019" w:tentative="1">
      <w:start w:val="1"/>
      <w:numFmt w:val="lowerLetter"/>
      <w:lvlText w:val="%2."/>
      <w:lvlJc w:val="left"/>
      <w:pPr>
        <w:ind w:left="1364" w:hanging="360"/>
      </w:pPr>
    </w:lvl>
    <w:lvl w:ilvl="2" w:tplc="0C0A001B" w:tentative="1">
      <w:start w:val="1"/>
      <w:numFmt w:val="lowerRoman"/>
      <w:lvlText w:val="%3."/>
      <w:lvlJc w:val="right"/>
      <w:pPr>
        <w:ind w:left="2084" w:hanging="180"/>
      </w:pPr>
    </w:lvl>
    <w:lvl w:ilvl="3" w:tplc="0C0A000F" w:tentative="1">
      <w:start w:val="1"/>
      <w:numFmt w:val="decimal"/>
      <w:lvlText w:val="%4."/>
      <w:lvlJc w:val="left"/>
      <w:pPr>
        <w:ind w:left="2804" w:hanging="360"/>
      </w:pPr>
    </w:lvl>
    <w:lvl w:ilvl="4" w:tplc="0C0A0019" w:tentative="1">
      <w:start w:val="1"/>
      <w:numFmt w:val="lowerLetter"/>
      <w:lvlText w:val="%5."/>
      <w:lvlJc w:val="left"/>
      <w:pPr>
        <w:ind w:left="3524" w:hanging="360"/>
      </w:pPr>
    </w:lvl>
    <w:lvl w:ilvl="5" w:tplc="0C0A001B" w:tentative="1">
      <w:start w:val="1"/>
      <w:numFmt w:val="lowerRoman"/>
      <w:lvlText w:val="%6."/>
      <w:lvlJc w:val="right"/>
      <w:pPr>
        <w:ind w:left="4244" w:hanging="180"/>
      </w:pPr>
    </w:lvl>
    <w:lvl w:ilvl="6" w:tplc="0C0A000F" w:tentative="1">
      <w:start w:val="1"/>
      <w:numFmt w:val="decimal"/>
      <w:lvlText w:val="%7."/>
      <w:lvlJc w:val="left"/>
      <w:pPr>
        <w:ind w:left="4964" w:hanging="360"/>
      </w:pPr>
    </w:lvl>
    <w:lvl w:ilvl="7" w:tplc="0C0A0019" w:tentative="1">
      <w:start w:val="1"/>
      <w:numFmt w:val="lowerLetter"/>
      <w:lvlText w:val="%8."/>
      <w:lvlJc w:val="left"/>
      <w:pPr>
        <w:ind w:left="5684" w:hanging="360"/>
      </w:pPr>
    </w:lvl>
    <w:lvl w:ilvl="8" w:tplc="0C0A001B" w:tentative="1">
      <w:start w:val="1"/>
      <w:numFmt w:val="lowerRoman"/>
      <w:lvlText w:val="%9."/>
      <w:lvlJc w:val="right"/>
      <w:pPr>
        <w:ind w:left="6404" w:hanging="180"/>
      </w:pPr>
    </w:lvl>
  </w:abstractNum>
  <w:abstractNum w:abstractNumId="22" w15:restartNumberingAfterBreak="0">
    <w:nsid w:val="5ED962B4"/>
    <w:multiLevelType w:val="multilevel"/>
    <w:tmpl w:val="C2969868"/>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60381ACF"/>
    <w:multiLevelType w:val="hybridMultilevel"/>
    <w:tmpl w:val="73589C56"/>
    <w:lvl w:ilvl="0" w:tplc="7BB8A4B2">
      <w:start w:val="1"/>
      <w:numFmt w:val="lowerLetter"/>
      <w:lvlText w:val="%1)"/>
      <w:lvlJc w:val="left"/>
      <w:pPr>
        <w:tabs>
          <w:tab w:val="num" w:pos="360"/>
        </w:tabs>
        <w:ind w:left="360" w:hanging="360"/>
      </w:pPr>
      <w:rPr>
        <w:rFonts w:hint="default"/>
        <w:u w:val="none"/>
      </w:rPr>
    </w:lvl>
    <w:lvl w:ilvl="1" w:tplc="0C0A0019" w:tentative="1">
      <w:start w:val="1"/>
      <w:numFmt w:val="lowerLetter"/>
      <w:lvlText w:val="%2."/>
      <w:lvlJc w:val="left"/>
      <w:pPr>
        <w:tabs>
          <w:tab w:val="num" w:pos="1080"/>
        </w:tabs>
        <w:ind w:left="1080" w:hanging="360"/>
      </w:pPr>
    </w:lvl>
    <w:lvl w:ilvl="2" w:tplc="0C0A001B" w:tentative="1">
      <w:start w:val="1"/>
      <w:numFmt w:val="lowerRoman"/>
      <w:lvlText w:val="%3."/>
      <w:lvlJc w:val="right"/>
      <w:pPr>
        <w:tabs>
          <w:tab w:val="num" w:pos="1800"/>
        </w:tabs>
        <w:ind w:left="1800" w:hanging="180"/>
      </w:pPr>
    </w:lvl>
    <w:lvl w:ilvl="3" w:tplc="0C0A000F" w:tentative="1">
      <w:start w:val="1"/>
      <w:numFmt w:val="decimal"/>
      <w:lvlText w:val="%4."/>
      <w:lvlJc w:val="left"/>
      <w:pPr>
        <w:tabs>
          <w:tab w:val="num" w:pos="2520"/>
        </w:tabs>
        <w:ind w:left="2520" w:hanging="360"/>
      </w:pPr>
    </w:lvl>
    <w:lvl w:ilvl="4" w:tplc="0C0A0019" w:tentative="1">
      <w:start w:val="1"/>
      <w:numFmt w:val="lowerLetter"/>
      <w:lvlText w:val="%5."/>
      <w:lvlJc w:val="left"/>
      <w:pPr>
        <w:tabs>
          <w:tab w:val="num" w:pos="3240"/>
        </w:tabs>
        <w:ind w:left="3240" w:hanging="360"/>
      </w:pPr>
    </w:lvl>
    <w:lvl w:ilvl="5" w:tplc="0C0A001B" w:tentative="1">
      <w:start w:val="1"/>
      <w:numFmt w:val="lowerRoman"/>
      <w:lvlText w:val="%6."/>
      <w:lvlJc w:val="right"/>
      <w:pPr>
        <w:tabs>
          <w:tab w:val="num" w:pos="3960"/>
        </w:tabs>
        <w:ind w:left="3960" w:hanging="180"/>
      </w:pPr>
    </w:lvl>
    <w:lvl w:ilvl="6" w:tplc="0C0A000F" w:tentative="1">
      <w:start w:val="1"/>
      <w:numFmt w:val="decimal"/>
      <w:lvlText w:val="%7."/>
      <w:lvlJc w:val="left"/>
      <w:pPr>
        <w:tabs>
          <w:tab w:val="num" w:pos="4680"/>
        </w:tabs>
        <w:ind w:left="4680" w:hanging="360"/>
      </w:pPr>
    </w:lvl>
    <w:lvl w:ilvl="7" w:tplc="0C0A0019" w:tentative="1">
      <w:start w:val="1"/>
      <w:numFmt w:val="lowerLetter"/>
      <w:lvlText w:val="%8."/>
      <w:lvlJc w:val="left"/>
      <w:pPr>
        <w:tabs>
          <w:tab w:val="num" w:pos="5400"/>
        </w:tabs>
        <w:ind w:left="5400" w:hanging="360"/>
      </w:pPr>
    </w:lvl>
    <w:lvl w:ilvl="8" w:tplc="0C0A001B" w:tentative="1">
      <w:start w:val="1"/>
      <w:numFmt w:val="lowerRoman"/>
      <w:lvlText w:val="%9."/>
      <w:lvlJc w:val="right"/>
      <w:pPr>
        <w:tabs>
          <w:tab w:val="num" w:pos="6120"/>
        </w:tabs>
        <w:ind w:left="6120" w:hanging="180"/>
      </w:pPr>
    </w:lvl>
  </w:abstractNum>
  <w:abstractNum w:abstractNumId="24" w15:restartNumberingAfterBreak="0">
    <w:nsid w:val="6533332C"/>
    <w:multiLevelType w:val="hybridMultilevel"/>
    <w:tmpl w:val="D200C1D0"/>
    <w:styleLink w:val="Estiloimportado4"/>
    <w:lvl w:ilvl="0" w:tplc="04601734">
      <w:start w:val="1"/>
      <w:numFmt w:val="bullet"/>
      <w:lvlText w:val="·"/>
      <w:lvlJc w:val="left"/>
      <w:pPr>
        <w:ind w:left="36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A6A0DCAA">
      <w:start w:val="1"/>
      <w:numFmt w:val="bullet"/>
      <w:lvlText w:val="o"/>
      <w:lvlJc w:val="left"/>
      <w:pPr>
        <w:ind w:left="10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E084A15E">
      <w:start w:val="1"/>
      <w:numFmt w:val="bullet"/>
      <w:lvlText w:val="▪"/>
      <w:lvlJc w:val="left"/>
      <w:pPr>
        <w:ind w:left="18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2392ED42">
      <w:start w:val="1"/>
      <w:numFmt w:val="bullet"/>
      <w:lvlText w:val="·"/>
      <w:lvlJc w:val="left"/>
      <w:pPr>
        <w:ind w:left="25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8DAC86F0">
      <w:start w:val="1"/>
      <w:numFmt w:val="bullet"/>
      <w:lvlText w:val="o"/>
      <w:lvlJc w:val="left"/>
      <w:pPr>
        <w:ind w:left="32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4606E43A">
      <w:start w:val="1"/>
      <w:numFmt w:val="bullet"/>
      <w:lvlText w:val="▪"/>
      <w:lvlJc w:val="left"/>
      <w:pPr>
        <w:ind w:left="39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27D688A6">
      <w:start w:val="1"/>
      <w:numFmt w:val="bullet"/>
      <w:lvlText w:val="·"/>
      <w:lvlJc w:val="left"/>
      <w:pPr>
        <w:ind w:left="46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E8324774">
      <w:start w:val="1"/>
      <w:numFmt w:val="bullet"/>
      <w:lvlText w:val="o"/>
      <w:lvlJc w:val="left"/>
      <w:pPr>
        <w:ind w:left="54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A3FA2B1C">
      <w:start w:val="1"/>
      <w:numFmt w:val="bullet"/>
      <w:lvlText w:val="▪"/>
      <w:lvlJc w:val="left"/>
      <w:pPr>
        <w:ind w:left="61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25" w15:restartNumberingAfterBreak="0">
    <w:nsid w:val="653A2A41"/>
    <w:multiLevelType w:val="hybridMultilevel"/>
    <w:tmpl w:val="B34E4D14"/>
    <w:lvl w:ilvl="0" w:tplc="0C0A0017">
      <w:start w:val="1"/>
      <w:numFmt w:val="lowerLetter"/>
      <w:lvlText w:val="%1)"/>
      <w:lvlJc w:val="left"/>
      <w:pPr>
        <w:ind w:left="720" w:hanging="360"/>
      </w:pPr>
      <w:rPr>
        <w:rFonts w:hint="default"/>
        <w:u w:val="none"/>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6" w15:restartNumberingAfterBreak="0">
    <w:nsid w:val="6A005ED7"/>
    <w:multiLevelType w:val="hybridMultilevel"/>
    <w:tmpl w:val="3B9EA8DA"/>
    <w:styleLink w:val="Estiloimportado3"/>
    <w:lvl w:ilvl="0" w:tplc="4200485C">
      <w:start w:val="1"/>
      <w:numFmt w:val="bullet"/>
      <w:lvlText w:val="·"/>
      <w:lvlJc w:val="left"/>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567" w:hanging="283"/>
      </w:pPr>
      <w:rPr>
        <w:rFonts w:ascii="Symbol" w:eastAsia="Symbol" w:hAnsi="Symbol" w:cs="Symbol"/>
        <w:b w:val="0"/>
        <w:bCs w:val="0"/>
        <w:i w:val="0"/>
        <w:iCs w:val="0"/>
        <w:caps w:val="0"/>
        <w:smallCaps w:val="0"/>
        <w:strike w:val="0"/>
        <w:dstrike w:val="0"/>
        <w:outline w:val="0"/>
        <w:emboss w:val="0"/>
        <w:imprint w:val="0"/>
        <w:spacing w:val="0"/>
        <w:w w:val="100"/>
        <w:kern w:val="0"/>
        <w:position w:val="0"/>
        <w:sz w:val="19"/>
        <w:szCs w:val="19"/>
        <w:highlight w:val="none"/>
        <w:vertAlign w:val="baseline"/>
      </w:rPr>
    </w:lvl>
    <w:lvl w:ilvl="1" w:tplc="43A0B856">
      <w:start w:val="1"/>
      <w:numFmt w:val="bullet"/>
      <w:lvlText w:val="o"/>
      <w:lvlJc w:val="left"/>
      <w:pPr>
        <w:tabs>
          <w:tab w:val="left" w:pos="720"/>
          <w:tab w:val="left" w:pos="2160"/>
          <w:tab w:val="left" w:pos="2880"/>
          <w:tab w:val="left" w:pos="3600"/>
          <w:tab w:val="left" w:pos="4320"/>
          <w:tab w:val="left" w:pos="5040"/>
          <w:tab w:val="left" w:pos="5760"/>
          <w:tab w:val="left" w:pos="6480"/>
          <w:tab w:val="left" w:pos="7200"/>
          <w:tab w:val="left" w:pos="7920"/>
        </w:tabs>
        <w:ind w:left="1473" w:hanging="393"/>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45F40F96">
      <w:start w:val="1"/>
      <w:numFmt w:val="bullet"/>
      <w:lvlText w:val="▪"/>
      <w:lvlJc w:val="left"/>
      <w:pPr>
        <w:tabs>
          <w:tab w:val="left" w:pos="720"/>
          <w:tab w:val="left" w:pos="1440"/>
          <w:tab w:val="left" w:pos="2880"/>
          <w:tab w:val="left" w:pos="3600"/>
          <w:tab w:val="left" w:pos="4320"/>
          <w:tab w:val="left" w:pos="5040"/>
          <w:tab w:val="left" w:pos="5760"/>
          <w:tab w:val="left" w:pos="6480"/>
          <w:tab w:val="left" w:pos="7200"/>
          <w:tab w:val="left" w:pos="7920"/>
        </w:tabs>
        <w:ind w:left="2193" w:hanging="393"/>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4FE2F376">
      <w:start w:val="1"/>
      <w:numFmt w:val="bullet"/>
      <w:lvlText w:val="·"/>
      <w:lvlJc w:val="left"/>
      <w:pPr>
        <w:tabs>
          <w:tab w:val="left" w:pos="720"/>
          <w:tab w:val="left" w:pos="1440"/>
          <w:tab w:val="left" w:pos="2160"/>
          <w:tab w:val="left" w:pos="3600"/>
          <w:tab w:val="left" w:pos="4320"/>
          <w:tab w:val="left" w:pos="5040"/>
          <w:tab w:val="left" w:pos="5760"/>
          <w:tab w:val="left" w:pos="6480"/>
          <w:tab w:val="left" w:pos="7200"/>
          <w:tab w:val="left" w:pos="7920"/>
        </w:tabs>
        <w:ind w:left="2913" w:hanging="393"/>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9B2EDAC6">
      <w:start w:val="1"/>
      <w:numFmt w:val="bullet"/>
      <w:lvlText w:val="o"/>
      <w:lvlJc w:val="left"/>
      <w:pPr>
        <w:tabs>
          <w:tab w:val="left" w:pos="720"/>
          <w:tab w:val="left" w:pos="1440"/>
          <w:tab w:val="left" w:pos="2160"/>
          <w:tab w:val="left" w:pos="2880"/>
          <w:tab w:val="left" w:pos="4320"/>
          <w:tab w:val="left" w:pos="5040"/>
          <w:tab w:val="left" w:pos="5760"/>
          <w:tab w:val="left" w:pos="6480"/>
          <w:tab w:val="left" w:pos="7200"/>
          <w:tab w:val="left" w:pos="7920"/>
        </w:tabs>
        <w:ind w:left="3633" w:hanging="393"/>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9C7A80E4">
      <w:start w:val="1"/>
      <w:numFmt w:val="bullet"/>
      <w:lvlText w:val="▪"/>
      <w:lvlJc w:val="left"/>
      <w:pPr>
        <w:tabs>
          <w:tab w:val="left" w:pos="720"/>
          <w:tab w:val="left" w:pos="1440"/>
          <w:tab w:val="left" w:pos="2160"/>
          <w:tab w:val="left" w:pos="2880"/>
          <w:tab w:val="left" w:pos="3600"/>
          <w:tab w:val="left" w:pos="5040"/>
          <w:tab w:val="left" w:pos="5760"/>
          <w:tab w:val="left" w:pos="6480"/>
          <w:tab w:val="left" w:pos="7200"/>
          <w:tab w:val="left" w:pos="7920"/>
        </w:tabs>
        <w:ind w:left="4353" w:hanging="393"/>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09EE68A2">
      <w:start w:val="1"/>
      <w:numFmt w:val="bullet"/>
      <w:lvlText w:val="·"/>
      <w:lvlJc w:val="left"/>
      <w:pPr>
        <w:tabs>
          <w:tab w:val="left" w:pos="720"/>
          <w:tab w:val="left" w:pos="1440"/>
          <w:tab w:val="left" w:pos="2160"/>
          <w:tab w:val="left" w:pos="2880"/>
          <w:tab w:val="left" w:pos="3600"/>
          <w:tab w:val="left" w:pos="4320"/>
          <w:tab w:val="left" w:pos="5760"/>
          <w:tab w:val="left" w:pos="6480"/>
          <w:tab w:val="left" w:pos="7200"/>
          <w:tab w:val="left" w:pos="7920"/>
        </w:tabs>
        <w:ind w:left="5073" w:hanging="393"/>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A170D122">
      <w:start w:val="1"/>
      <w:numFmt w:val="bullet"/>
      <w:lvlText w:val="o"/>
      <w:lvlJc w:val="left"/>
      <w:pPr>
        <w:tabs>
          <w:tab w:val="left" w:pos="720"/>
          <w:tab w:val="left" w:pos="1440"/>
          <w:tab w:val="left" w:pos="2160"/>
          <w:tab w:val="left" w:pos="2880"/>
          <w:tab w:val="left" w:pos="3600"/>
          <w:tab w:val="left" w:pos="4320"/>
          <w:tab w:val="left" w:pos="5040"/>
          <w:tab w:val="left" w:pos="6480"/>
          <w:tab w:val="left" w:pos="7200"/>
          <w:tab w:val="left" w:pos="7920"/>
        </w:tabs>
        <w:ind w:left="5793" w:hanging="393"/>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9A3A0F7C">
      <w:start w:val="1"/>
      <w:numFmt w:val="bullet"/>
      <w:lvlText w:val="▪"/>
      <w:lvlJc w:val="left"/>
      <w:pPr>
        <w:tabs>
          <w:tab w:val="left" w:pos="720"/>
          <w:tab w:val="left" w:pos="1440"/>
          <w:tab w:val="left" w:pos="2160"/>
          <w:tab w:val="left" w:pos="2880"/>
          <w:tab w:val="left" w:pos="3600"/>
          <w:tab w:val="left" w:pos="4320"/>
          <w:tab w:val="left" w:pos="5040"/>
          <w:tab w:val="left" w:pos="5760"/>
          <w:tab w:val="left" w:pos="7200"/>
          <w:tab w:val="left" w:pos="7920"/>
        </w:tabs>
        <w:ind w:left="6513" w:hanging="393"/>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27" w15:restartNumberingAfterBreak="0">
    <w:nsid w:val="6A191874"/>
    <w:multiLevelType w:val="hybridMultilevel"/>
    <w:tmpl w:val="7F58D8F8"/>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8" w15:restartNumberingAfterBreak="0">
    <w:nsid w:val="713B263D"/>
    <w:multiLevelType w:val="hybridMultilevel"/>
    <w:tmpl w:val="57A6D806"/>
    <w:lvl w:ilvl="0" w:tplc="0C0A0017">
      <w:start w:val="1"/>
      <w:numFmt w:val="lowerLetter"/>
      <w:lvlText w:val="%1)"/>
      <w:lvlJc w:val="left"/>
      <w:pPr>
        <w:ind w:left="720" w:hanging="360"/>
      </w:pPr>
    </w:lvl>
    <w:lvl w:ilvl="1" w:tplc="DC101188">
      <w:start w:val="1"/>
      <w:numFmt w:val="lowerLetter"/>
      <w:lvlText w:val="%2."/>
      <w:lvlJc w:val="left"/>
      <w:pPr>
        <w:ind w:left="1440" w:hanging="360"/>
      </w:pPr>
      <w:rPr>
        <w:rFonts w:hint="default"/>
      </w:rPr>
    </w:lvl>
    <w:lvl w:ilvl="2" w:tplc="0C0A001B" w:tentative="1">
      <w:start w:val="1"/>
      <w:numFmt w:val="lowerRoman"/>
      <w:lvlText w:val="%3."/>
      <w:lvlJc w:val="right"/>
      <w:pPr>
        <w:ind w:left="2160" w:hanging="180"/>
      </w:pPr>
    </w:lvl>
    <w:lvl w:ilvl="3" w:tplc="0C0A0017">
      <w:start w:val="1"/>
      <w:numFmt w:val="lowerLetter"/>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9" w15:restartNumberingAfterBreak="0">
    <w:nsid w:val="746F1037"/>
    <w:multiLevelType w:val="hybridMultilevel"/>
    <w:tmpl w:val="8C8E9428"/>
    <w:lvl w:ilvl="0" w:tplc="0C0A0019">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0" w15:restartNumberingAfterBreak="0">
    <w:nsid w:val="77486167"/>
    <w:multiLevelType w:val="hybridMultilevel"/>
    <w:tmpl w:val="273C8294"/>
    <w:lvl w:ilvl="0" w:tplc="0C0A0015">
      <w:start w:val="4"/>
      <w:numFmt w:val="upp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1" w15:restartNumberingAfterBreak="0">
    <w:nsid w:val="793113DD"/>
    <w:multiLevelType w:val="hybridMultilevel"/>
    <w:tmpl w:val="EDD8F5B2"/>
    <w:lvl w:ilvl="0" w:tplc="E0969FD4">
      <w:start w:val="1"/>
      <w:numFmt w:val="lowerLetter"/>
      <w:lvlText w:val="%1)"/>
      <w:lvlJc w:val="left"/>
      <w:pPr>
        <w:ind w:left="3479" w:hanging="360"/>
      </w:pPr>
      <w:rPr>
        <w:rFonts w:hint="default"/>
      </w:rPr>
    </w:lvl>
    <w:lvl w:ilvl="1" w:tplc="0C0A0019" w:tentative="1">
      <w:start w:val="1"/>
      <w:numFmt w:val="lowerLetter"/>
      <w:lvlText w:val="%2."/>
      <w:lvlJc w:val="left"/>
      <w:pPr>
        <w:ind w:left="1364" w:hanging="360"/>
      </w:pPr>
    </w:lvl>
    <w:lvl w:ilvl="2" w:tplc="0C0A001B" w:tentative="1">
      <w:start w:val="1"/>
      <w:numFmt w:val="lowerRoman"/>
      <w:lvlText w:val="%3."/>
      <w:lvlJc w:val="right"/>
      <w:pPr>
        <w:ind w:left="2084" w:hanging="180"/>
      </w:pPr>
    </w:lvl>
    <w:lvl w:ilvl="3" w:tplc="0C0A000F" w:tentative="1">
      <w:start w:val="1"/>
      <w:numFmt w:val="decimal"/>
      <w:lvlText w:val="%4."/>
      <w:lvlJc w:val="left"/>
      <w:pPr>
        <w:ind w:left="2804" w:hanging="360"/>
      </w:pPr>
    </w:lvl>
    <w:lvl w:ilvl="4" w:tplc="0C0A0019" w:tentative="1">
      <w:start w:val="1"/>
      <w:numFmt w:val="lowerLetter"/>
      <w:lvlText w:val="%5."/>
      <w:lvlJc w:val="left"/>
      <w:pPr>
        <w:ind w:left="3524" w:hanging="360"/>
      </w:pPr>
    </w:lvl>
    <w:lvl w:ilvl="5" w:tplc="0C0A001B" w:tentative="1">
      <w:start w:val="1"/>
      <w:numFmt w:val="lowerRoman"/>
      <w:lvlText w:val="%6."/>
      <w:lvlJc w:val="right"/>
      <w:pPr>
        <w:ind w:left="4244" w:hanging="180"/>
      </w:pPr>
    </w:lvl>
    <w:lvl w:ilvl="6" w:tplc="0C0A000F" w:tentative="1">
      <w:start w:val="1"/>
      <w:numFmt w:val="decimal"/>
      <w:lvlText w:val="%7."/>
      <w:lvlJc w:val="left"/>
      <w:pPr>
        <w:ind w:left="4964" w:hanging="360"/>
      </w:pPr>
    </w:lvl>
    <w:lvl w:ilvl="7" w:tplc="0C0A0019" w:tentative="1">
      <w:start w:val="1"/>
      <w:numFmt w:val="lowerLetter"/>
      <w:lvlText w:val="%8."/>
      <w:lvlJc w:val="left"/>
      <w:pPr>
        <w:ind w:left="5684" w:hanging="360"/>
      </w:pPr>
    </w:lvl>
    <w:lvl w:ilvl="8" w:tplc="0C0A001B" w:tentative="1">
      <w:start w:val="1"/>
      <w:numFmt w:val="lowerRoman"/>
      <w:lvlText w:val="%9."/>
      <w:lvlJc w:val="right"/>
      <w:pPr>
        <w:ind w:left="6404" w:hanging="180"/>
      </w:pPr>
    </w:lvl>
  </w:abstractNum>
  <w:abstractNum w:abstractNumId="32" w15:restartNumberingAfterBreak="0">
    <w:nsid w:val="7FD97A91"/>
    <w:multiLevelType w:val="multilevel"/>
    <w:tmpl w:val="95763550"/>
    <w:lvl w:ilvl="0">
      <w:numFmt w:val="decimal"/>
      <w:lvlText w:val="%1."/>
      <w:lvlJc w:val="left"/>
      <w:pPr>
        <w:ind w:left="360" w:hanging="360"/>
      </w:pPr>
      <w:rPr>
        <w:rFonts w:hint="default"/>
      </w:rPr>
    </w:lvl>
    <w:lvl w:ilvl="1">
      <w:start w:val="2"/>
      <w:numFmt w:val="decimal"/>
      <w:isLgl/>
      <w:lvlText w:val="%1.%2"/>
      <w:lvlJc w:val="left"/>
      <w:pPr>
        <w:ind w:left="405" w:hanging="405"/>
      </w:pPr>
      <w:rPr>
        <w:rFonts w:ascii="Arial" w:hAnsi="Arial" w:cs="Arial" w:hint="default"/>
        <w:b/>
        <w:sz w:val="20"/>
        <w:szCs w:val="20"/>
      </w:rPr>
    </w:lvl>
    <w:lvl w:ilvl="2">
      <w:start w:val="1"/>
      <w:numFmt w:val="decimal"/>
      <w:isLgl/>
      <w:lvlText w:val="%1.%2.%3"/>
      <w:lvlJc w:val="left"/>
      <w:pPr>
        <w:ind w:left="720" w:hanging="720"/>
      </w:pPr>
      <w:rPr>
        <w:rFonts w:hint="default"/>
        <w:b/>
        <w:sz w:val="24"/>
      </w:rPr>
    </w:lvl>
    <w:lvl w:ilvl="3">
      <w:start w:val="1"/>
      <w:numFmt w:val="decimal"/>
      <w:isLgl/>
      <w:lvlText w:val="%1.%2.%3.%4"/>
      <w:lvlJc w:val="left"/>
      <w:pPr>
        <w:ind w:left="1080" w:hanging="1080"/>
      </w:pPr>
      <w:rPr>
        <w:rFonts w:hint="default"/>
        <w:b/>
        <w:sz w:val="24"/>
      </w:rPr>
    </w:lvl>
    <w:lvl w:ilvl="4">
      <w:start w:val="1"/>
      <w:numFmt w:val="decimal"/>
      <w:isLgl/>
      <w:lvlText w:val="%1.%2.%3.%4.%5"/>
      <w:lvlJc w:val="left"/>
      <w:pPr>
        <w:ind w:left="1080" w:hanging="1080"/>
      </w:pPr>
      <w:rPr>
        <w:rFonts w:hint="default"/>
        <w:b/>
        <w:sz w:val="24"/>
      </w:rPr>
    </w:lvl>
    <w:lvl w:ilvl="5">
      <w:start w:val="1"/>
      <w:numFmt w:val="decimal"/>
      <w:isLgl/>
      <w:lvlText w:val="%1.%2.%3.%4.%5.%6"/>
      <w:lvlJc w:val="left"/>
      <w:pPr>
        <w:ind w:left="1440" w:hanging="1440"/>
      </w:pPr>
      <w:rPr>
        <w:rFonts w:hint="default"/>
        <w:b/>
        <w:sz w:val="24"/>
      </w:rPr>
    </w:lvl>
    <w:lvl w:ilvl="6">
      <w:start w:val="1"/>
      <w:numFmt w:val="decimal"/>
      <w:isLgl/>
      <w:lvlText w:val="%1.%2.%3.%4.%5.%6.%7"/>
      <w:lvlJc w:val="left"/>
      <w:pPr>
        <w:ind w:left="1440" w:hanging="1440"/>
      </w:pPr>
      <w:rPr>
        <w:rFonts w:hint="default"/>
        <w:b/>
        <w:sz w:val="24"/>
      </w:rPr>
    </w:lvl>
    <w:lvl w:ilvl="7">
      <w:start w:val="1"/>
      <w:numFmt w:val="decimal"/>
      <w:isLgl/>
      <w:lvlText w:val="%1.%2.%3.%4.%5.%6.%7.%8"/>
      <w:lvlJc w:val="left"/>
      <w:pPr>
        <w:ind w:left="1800" w:hanging="1800"/>
      </w:pPr>
      <w:rPr>
        <w:rFonts w:hint="default"/>
        <w:b/>
        <w:sz w:val="24"/>
      </w:rPr>
    </w:lvl>
    <w:lvl w:ilvl="8">
      <w:start w:val="1"/>
      <w:numFmt w:val="decimal"/>
      <w:isLgl/>
      <w:lvlText w:val="%1.%2.%3.%4.%5.%6.%7.%8.%9"/>
      <w:lvlJc w:val="left"/>
      <w:pPr>
        <w:ind w:left="1800" w:hanging="1800"/>
      </w:pPr>
      <w:rPr>
        <w:rFonts w:hint="default"/>
        <w:b/>
        <w:sz w:val="24"/>
      </w:rPr>
    </w:lvl>
  </w:abstractNum>
  <w:num w:numId="1" w16cid:durableId="722758381">
    <w:abstractNumId w:val="17"/>
  </w:num>
  <w:num w:numId="2" w16cid:durableId="109053610">
    <w:abstractNumId w:val="6"/>
  </w:num>
  <w:num w:numId="3" w16cid:durableId="387536466">
    <w:abstractNumId w:val="26"/>
  </w:num>
  <w:num w:numId="4" w16cid:durableId="1123885038">
    <w:abstractNumId w:val="10"/>
  </w:num>
  <w:num w:numId="5" w16cid:durableId="297539902">
    <w:abstractNumId w:val="12"/>
  </w:num>
  <w:num w:numId="6" w16cid:durableId="635600114">
    <w:abstractNumId w:val="20"/>
  </w:num>
  <w:num w:numId="7" w16cid:durableId="2045668522">
    <w:abstractNumId w:val="7"/>
  </w:num>
  <w:num w:numId="8" w16cid:durableId="1813327691">
    <w:abstractNumId w:val="4"/>
  </w:num>
  <w:num w:numId="9" w16cid:durableId="1177189884">
    <w:abstractNumId w:val="16"/>
  </w:num>
  <w:num w:numId="10" w16cid:durableId="513110193">
    <w:abstractNumId w:val="9"/>
  </w:num>
  <w:num w:numId="11" w16cid:durableId="214127020">
    <w:abstractNumId w:val="2"/>
  </w:num>
  <w:num w:numId="12" w16cid:durableId="820460788">
    <w:abstractNumId w:val="23"/>
  </w:num>
  <w:num w:numId="13" w16cid:durableId="1352492174">
    <w:abstractNumId w:val="21"/>
  </w:num>
  <w:num w:numId="14" w16cid:durableId="1926185966">
    <w:abstractNumId w:val="31"/>
  </w:num>
  <w:num w:numId="15" w16cid:durableId="847253538">
    <w:abstractNumId w:val="25"/>
  </w:num>
  <w:num w:numId="16" w16cid:durableId="415395877">
    <w:abstractNumId w:val="22"/>
  </w:num>
  <w:num w:numId="17" w16cid:durableId="958072182">
    <w:abstractNumId w:val="30"/>
  </w:num>
  <w:num w:numId="18" w16cid:durableId="168956788">
    <w:abstractNumId w:val="15"/>
  </w:num>
  <w:num w:numId="19" w16cid:durableId="753286434">
    <w:abstractNumId w:val="13"/>
  </w:num>
  <w:num w:numId="20" w16cid:durableId="1906408018">
    <w:abstractNumId w:val="11"/>
  </w:num>
  <w:num w:numId="21" w16cid:durableId="405996981">
    <w:abstractNumId w:val="24"/>
  </w:num>
  <w:num w:numId="22" w16cid:durableId="2023891607">
    <w:abstractNumId w:val="19"/>
  </w:num>
  <w:num w:numId="23" w16cid:durableId="581986252">
    <w:abstractNumId w:val="5"/>
  </w:num>
  <w:num w:numId="24" w16cid:durableId="1844053439">
    <w:abstractNumId w:val="8"/>
  </w:num>
  <w:num w:numId="25" w16cid:durableId="801581117">
    <w:abstractNumId w:val="14"/>
  </w:num>
  <w:num w:numId="26" w16cid:durableId="1994945391">
    <w:abstractNumId w:val="28"/>
  </w:num>
  <w:num w:numId="27" w16cid:durableId="31081225">
    <w:abstractNumId w:val="32"/>
  </w:num>
  <w:num w:numId="28" w16cid:durableId="1653560466">
    <w:abstractNumId w:val="0"/>
  </w:num>
  <w:num w:numId="29" w16cid:durableId="863640442">
    <w:abstractNumId w:val="1"/>
  </w:num>
  <w:num w:numId="30" w16cid:durableId="999046405">
    <w:abstractNumId w:val="27"/>
  </w:num>
  <w:num w:numId="31" w16cid:durableId="773017847">
    <w:abstractNumId w:val="3"/>
  </w:num>
  <w:num w:numId="32" w16cid:durableId="926770582">
    <w:abstractNumId w:val="29"/>
  </w:num>
  <w:num w:numId="33" w16cid:durableId="1382360079">
    <w:abstractNumId w:val="18"/>
  </w:num>
  <w:numIdMacAtCleanup w:val="3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220A2"/>
    <w:rsid w:val="000027F9"/>
    <w:rsid w:val="000047D6"/>
    <w:rsid w:val="00004C93"/>
    <w:rsid w:val="00005631"/>
    <w:rsid w:val="00006A70"/>
    <w:rsid w:val="0000769D"/>
    <w:rsid w:val="0001077B"/>
    <w:rsid w:val="00013C46"/>
    <w:rsid w:val="00014555"/>
    <w:rsid w:val="00017950"/>
    <w:rsid w:val="00022891"/>
    <w:rsid w:val="00022F57"/>
    <w:rsid w:val="00023227"/>
    <w:rsid w:val="00023F96"/>
    <w:rsid w:val="000268CE"/>
    <w:rsid w:val="000269F0"/>
    <w:rsid w:val="00026BFA"/>
    <w:rsid w:val="00030521"/>
    <w:rsid w:val="000322A4"/>
    <w:rsid w:val="00035595"/>
    <w:rsid w:val="00037346"/>
    <w:rsid w:val="00037561"/>
    <w:rsid w:val="00040D0F"/>
    <w:rsid w:val="00040D6A"/>
    <w:rsid w:val="00041856"/>
    <w:rsid w:val="00043DCE"/>
    <w:rsid w:val="000440E6"/>
    <w:rsid w:val="0004659E"/>
    <w:rsid w:val="0004770D"/>
    <w:rsid w:val="00051D20"/>
    <w:rsid w:val="00052BF5"/>
    <w:rsid w:val="00056CDF"/>
    <w:rsid w:val="000612E0"/>
    <w:rsid w:val="00061F97"/>
    <w:rsid w:val="000623EC"/>
    <w:rsid w:val="00063EF4"/>
    <w:rsid w:val="00064105"/>
    <w:rsid w:val="00064F9F"/>
    <w:rsid w:val="00065019"/>
    <w:rsid w:val="00066C08"/>
    <w:rsid w:val="00067147"/>
    <w:rsid w:val="000715CB"/>
    <w:rsid w:val="00071D2C"/>
    <w:rsid w:val="000724EE"/>
    <w:rsid w:val="00074A4F"/>
    <w:rsid w:val="00075944"/>
    <w:rsid w:val="00077070"/>
    <w:rsid w:val="000778A8"/>
    <w:rsid w:val="00077B1B"/>
    <w:rsid w:val="00077FF8"/>
    <w:rsid w:val="00085996"/>
    <w:rsid w:val="000868A4"/>
    <w:rsid w:val="00093D1F"/>
    <w:rsid w:val="0009429D"/>
    <w:rsid w:val="00094A91"/>
    <w:rsid w:val="00094C69"/>
    <w:rsid w:val="000A0387"/>
    <w:rsid w:val="000A1698"/>
    <w:rsid w:val="000A34DD"/>
    <w:rsid w:val="000A3FFB"/>
    <w:rsid w:val="000A6567"/>
    <w:rsid w:val="000A6A90"/>
    <w:rsid w:val="000A70C7"/>
    <w:rsid w:val="000A7F1B"/>
    <w:rsid w:val="000B2D3E"/>
    <w:rsid w:val="000B47C8"/>
    <w:rsid w:val="000B52AE"/>
    <w:rsid w:val="000B5966"/>
    <w:rsid w:val="000B6D98"/>
    <w:rsid w:val="000C2595"/>
    <w:rsid w:val="000C2B02"/>
    <w:rsid w:val="000C3260"/>
    <w:rsid w:val="000C344E"/>
    <w:rsid w:val="000C37FA"/>
    <w:rsid w:val="000C51DB"/>
    <w:rsid w:val="000C7CE0"/>
    <w:rsid w:val="000D187A"/>
    <w:rsid w:val="000D22C1"/>
    <w:rsid w:val="000D23A4"/>
    <w:rsid w:val="000D30D5"/>
    <w:rsid w:val="000D57C6"/>
    <w:rsid w:val="000D720C"/>
    <w:rsid w:val="000D73AE"/>
    <w:rsid w:val="000D76CC"/>
    <w:rsid w:val="000E12D1"/>
    <w:rsid w:val="000E1D9E"/>
    <w:rsid w:val="000E2049"/>
    <w:rsid w:val="000E486B"/>
    <w:rsid w:val="000E5182"/>
    <w:rsid w:val="000E5621"/>
    <w:rsid w:val="000E5AB3"/>
    <w:rsid w:val="000F0A0E"/>
    <w:rsid w:val="000F0BE8"/>
    <w:rsid w:val="000F190D"/>
    <w:rsid w:val="000F1B7D"/>
    <w:rsid w:val="000F3823"/>
    <w:rsid w:val="000F492C"/>
    <w:rsid w:val="000F5366"/>
    <w:rsid w:val="000F7435"/>
    <w:rsid w:val="001024BB"/>
    <w:rsid w:val="001028B8"/>
    <w:rsid w:val="00102B83"/>
    <w:rsid w:val="00104A40"/>
    <w:rsid w:val="00110AC1"/>
    <w:rsid w:val="00111FC7"/>
    <w:rsid w:val="0011273B"/>
    <w:rsid w:val="00112D26"/>
    <w:rsid w:val="001131DF"/>
    <w:rsid w:val="00113A06"/>
    <w:rsid w:val="00113C04"/>
    <w:rsid w:val="001145E6"/>
    <w:rsid w:val="00116267"/>
    <w:rsid w:val="00116AEF"/>
    <w:rsid w:val="0012116C"/>
    <w:rsid w:val="00121E60"/>
    <w:rsid w:val="00125C20"/>
    <w:rsid w:val="00131D27"/>
    <w:rsid w:val="00133239"/>
    <w:rsid w:val="00135E45"/>
    <w:rsid w:val="00136316"/>
    <w:rsid w:val="00136A7F"/>
    <w:rsid w:val="00140586"/>
    <w:rsid w:val="00143155"/>
    <w:rsid w:val="00144303"/>
    <w:rsid w:val="00144FB3"/>
    <w:rsid w:val="0014698A"/>
    <w:rsid w:val="001476DB"/>
    <w:rsid w:val="001504BF"/>
    <w:rsid w:val="00156559"/>
    <w:rsid w:val="00156E4B"/>
    <w:rsid w:val="00157635"/>
    <w:rsid w:val="001604EE"/>
    <w:rsid w:val="00160F6C"/>
    <w:rsid w:val="00162BBD"/>
    <w:rsid w:val="00162C8C"/>
    <w:rsid w:val="0016552F"/>
    <w:rsid w:val="00170181"/>
    <w:rsid w:val="0017030D"/>
    <w:rsid w:val="001715D7"/>
    <w:rsid w:val="00172794"/>
    <w:rsid w:val="00173DFA"/>
    <w:rsid w:val="001743D3"/>
    <w:rsid w:val="00176581"/>
    <w:rsid w:val="00176BA0"/>
    <w:rsid w:val="00181C52"/>
    <w:rsid w:val="001823B1"/>
    <w:rsid w:val="00184908"/>
    <w:rsid w:val="00184A9E"/>
    <w:rsid w:val="001857D8"/>
    <w:rsid w:val="00187B3E"/>
    <w:rsid w:val="001941F7"/>
    <w:rsid w:val="001946E6"/>
    <w:rsid w:val="00195823"/>
    <w:rsid w:val="001958DD"/>
    <w:rsid w:val="001A038E"/>
    <w:rsid w:val="001A4656"/>
    <w:rsid w:val="001A7CD1"/>
    <w:rsid w:val="001B1738"/>
    <w:rsid w:val="001B1D99"/>
    <w:rsid w:val="001B3292"/>
    <w:rsid w:val="001B46F3"/>
    <w:rsid w:val="001B5A15"/>
    <w:rsid w:val="001B79CB"/>
    <w:rsid w:val="001B7D27"/>
    <w:rsid w:val="001B7EC0"/>
    <w:rsid w:val="001C41C7"/>
    <w:rsid w:val="001C58A9"/>
    <w:rsid w:val="001C66D9"/>
    <w:rsid w:val="001C6975"/>
    <w:rsid w:val="001C7151"/>
    <w:rsid w:val="001C7E63"/>
    <w:rsid w:val="001D0C22"/>
    <w:rsid w:val="001D2BE2"/>
    <w:rsid w:val="001D401D"/>
    <w:rsid w:val="001D4E55"/>
    <w:rsid w:val="001D6767"/>
    <w:rsid w:val="001E00FD"/>
    <w:rsid w:val="001E5EC8"/>
    <w:rsid w:val="001F0A62"/>
    <w:rsid w:val="001F26F2"/>
    <w:rsid w:val="001F4757"/>
    <w:rsid w:val="001F4769"/>
    <w:rsid w:val="001F49F8"/>
    <w:rsid w:val="001F5E6C"/>
    <w:rsid w:val="001F7A68"/>
    <w:rsid w:val="00200AD5"/>
    <w:rsid w:val="00200D1B"/>
    <w:rsid w:val="00201C8A"/>
    <w:rsid w:val="00203B25"/>
    <w:rsid w:val="00204098"/>
    <w:rsid w:val="00206243"/>
    <w:rsid w:val="00206334"/>
    <w:rsid w:val="002109C5"/>
    <w:rsid w:val="0021370E"/>
    <w:rsid w:val="00215893"/>
    <w:rsid w:val="0021610B"/>
    <w:rsid w:val="00216CCF"/>
    <w:rsid w:val="002174D8"/>
    <w:rsid w:val="00217CEC"/>
    <w:rsid w:val="00220522"/>
    <w:rsid w:val="00222A9D"/>
    <w:rsid w:val="00222FEE"/>
    <w:rsid w:val="002234E7"/>
    <w:rsid w:val="0022442F"/>
    <w:rsid w:val="00224A31"/>
    <w:rsid w:val="0022661E"/>
    <w:rsid w:val="00232D19"/>
    <w:rsid w:val="00232E4A"/>
    <w:rsid w:val="00232FF9"/>
    <w:rsid w:val="00234252"/>
    <w:rsid w:val="00234CDF"/>
    <w:rsid w:val="00236065"/>
    <w:rsid w:val="002375AD"/>
    <w:rsid w:val="00240C47"/>
    <w:rsid w:val="00240D34"/>
    <w:rsid w:val="00241C65"/>
    <w:rsid w:val="002427AC"/>
    <w:rsid w:val="00242FC2"/>
    <w:rsid w:val="002477D5"/>
    <w:rsid w:val="00247EFE"/>
    <w:rsid w:val="00252876"/>
    <w:rsid w:val="0025368E"/>
    <w:rsid w:val="002536C5"/>
    <w:rsid w:val="002555C0"/>
    <w:rsid w:val="002577AD"/>
    <w:rsid w:val="00261795"/>
    <w:rsid w:val="00263EE8"/>
    <w:rsid w:val="002654AA"/>
    <w:rsid w:val="00267FB3"/>
    <w:rsid w:val="00272FC9"/>
    <w:rsid w:val="00274775"/>
    <w:rsid w:val="00274EE1"/>
    <w:rsid w:val="00280EF8"/>
    <w:rsid w:val="002823AE"/>
    <w:rsid w:val="00282647"/>
    <w:rsid w:val="00282FB1"/>
    <w:rsid w:val="00283801"/>
    <w:rsid w:val="00286D62"/>
    <w:rsid w:val="0028724B"/>
    <w:rsid w:val="0029048A"/>
    <w:rsid w:val="002917C6"/>
    <w:rsid w:val="00292276"/>
    <w:rsid w:val="002926AF"/>
    <w:rsid w:val="0029421E"/>
    <w:rsid w:val="00295A1A"/>
    <w:rsid w:val="00296ADC"/>
    <w:rsid w:val="002972DE"/>
    <w:rsid w:val="00297CBF"/>
    <w:rsid w:val="002A0E51"/>
    <w:rsid w:val="002A12E1"/>
    <w:rsid w:val="002A3D30"/>
    <w:rsid w:val="002A40E8"/>
    <w:rsid w:val="002A444E"/>
    <w:rsid w:val="002A5A80"/>
    <w:rsid w:val="002A61B3"/>
    <w:rsid w:val="002A7AA9"/>
    <w:rsid w:val="002B1377"/>
    <w:rsid w:val="002B29DF"/>
    <w:rsid w:val="002B2E50"/>
    <w:rsid w:val="002B36B3"/>
    <w:rsid w:val="002B422A"/>
    <w:rsid w:val="002B4A4B"/>
    <w:rsid w:val="002B673F"/>
    <w:rsid w:val="002B6C07"/>
    <w:rsid w:val="002B7F89"/>
    <w:rsid w:val="002C0078"/>
    <w:rsid w:val="002C1F0C"/>
    <w:rsid w:val="002C53CE"/>
    <w:rsid w:val="002C7202"/>
    <w:rsid w:val="002D1FCD"/>
    <w:rsid w:val="002D4285"/>
    <w:rsid w:val="002D429A"/>
    <w:rsid w:val="002D46EE"/>
    <w:rsid w:val="002D6427"/>
    <w:rsid w:val="002D73E2"/>
    <w:rsid w:val="002D7E13"/>
    <w:rsid w:val="002E1C4E"/>
    <w:rsid w:val="002E2791"/>
    <w:rsid w:val="002E2D28"/>
    <w:rsid w:val="002E37F9"/>
    <w:rsid w:val="002E3C11"/>
    <w:rsid w:val="002E3DE5"/>
    <w:rsid w:val="002E4354"/>
    <w:rsid w:val="002E7227"/>
    <w:rsid w:val="002F4654"/>
    <w:rsid w:val="002F4CCB"/>
    <w:rsid w:val="002F5FA7"/>
    <w:rsid w:val="002F682F"/>
    <w:rsid w:val="00302391"/>
    <w:rsid w:val="00304D7A"/>
    <w:rsid w:val="0030596B"/>
    <w:rsid w:val="00306A4F"/>
    <w:rsid w:val="00306D4F"/>
    <w:rsid w:val="00306E28"/>
    <w:rsid w:val="0031018D"/>
    <w:rsid w:val="00312C0B"/>
    <w:rsid w:val="00321478"/>
    <w:rsid w:val="003214B8"/>
    <w:rsid w:val="00322988"/>
    <w:rsid w:val="00322D31"/>
    <w:rsid w:val="00322E9D"/>
    <w:rsid w:val="00323C6B"/>
    <w:rsid w:val="003240AC"/>
    <w:rsid w:val="003245BF"/>
    <w:rsid w:val="003254FA"/>
    <w:rsid w:val="003257DD"/>
    <w:rsid w:val="00325C27"/>
    <w:rsid w:val="0033416B"/>
    <w:rsid w:val="0033779A"/>
    <w:rsid w:val="00343211"/>
    <w:rsid w:val="00345259"/>
    <w:rsid w:val="00345D0E"/>
    <w:rsid w:val="00346101"/>
    <w:rsid w:val="00350591"/>
    <w:rsid w:val="00352C5B"/>
    <w:rsid w:val="003539EC"/>
    <w:rsid w:val="00353C75"/>
    <w:rsid w:val="0035534D"/>
    <w:rsid w:val="00355E8C"/>
    <w:rsid w:val="00361A3D"/>
    <w:rsid w:val="00361B34"/>
    <w:rsid w:val="00361C02"/>
    <w:rsid w:val="003626BA"/>
    <w:rsid w:val="0036471A"/>
    <w:rsid w:val="003704B2"/>
    <w:rsid w:val="00371E52"/>
    <w:rsid w:val="003722DE"/>
    <w:rsid w:val="00374E98"/>
    <w:rsid w:val="00374F01"/>
    <w:rsid w:val="00376FAC"/>
    <w:rsid w:val="003801D3"/>
    <w:rsid w:val="0038090B"/>
    <w:rsid w:val="00380D81"/>
    <w:rsid w:val="00381420"/>
    <w:rsid w:val="00382952"/>
    <w:rsid w:val="00382980"/>
    <w:rsid w:val="003849D9"/>
    <w:rsid w:val="00391663"/>
    <w:rsid w:val="0039193B"/>
    <w:rsid w:val="00391C14"/>
    <w:rsid w:val="00392703"/>
    <w:rsid w:val="0039296B"/>
    <w:rsid w:val="00393B00"/>
    <w:rsid w:val="00395ADC"/>
    <w:rsid w:val="00396CA4"/>
    <w:rsid w:val="00396EF8"/>
    <w:rsid w:val="003A0588"/>
    <w:rsid w:val="003A372A"/>
    <w:rsid w:val="003A4111"/>
    <w:rsid w:val="003A50C9"/>
    <w:rsid w:val="003A65CE"/>
    <w:rsid w:val="003A6C51"/>
    <w:rsid w:val="003A749C"/>
    <w:rsid w:val="003A7BAA"/>
    <w:rsid w:val="003A7C0E"/>
    <w:rsid w:val="003B2290"/>
    <w:rsid w:val="003B2544"/>
    <w:rsid w:val="003B2D35"/>
    <w:rsid w:val="003B4D48"/>
    <w:rsid w:val="003B5254"/>
    <w:rsid w:val="003B548A"/>
    <w:rsid w:val="003B5950"/>
    <w:rsid w:val="003B6DBC"/>
    <w:rsid w:val="003B71C8"/>
    <w:rsid w:val="003C0451"/>
    <w:rsid w:val="003C1332"/>
    <w:rsid w:val="003C189C"/>
    <w:rsid w:val="003C1930"/>
    <w:rsid w:val="003D034B"/>
    <w:rsid w:val="003D08A2"/>
    <w:rsid w:val="003D1564"/>
    <w:rsid w:val="003D1B57"/>
    <w:rsid w:val="003D1D1F"/>
    <w:rsid w:val="003D20EB"/>
    <w:rsid w:val="003D3B22"/>
    <w:rsid w:val="003D3F6E"/>
    <w:rsid w:val="003D4867"/>
    <w:rsid w:val="003D6D7D"/>
    <w:rsid w:val="003E127C"/>
    <w:rsid w:val="003E1340"/>
    <w:rsid w:val="003E1A27"/>
    <w:rsid w:val="003E27B2"/>
    <w:rsid w:val="003E5A51"/>
    <w:rsid w:val="003E75F6"/>
    <w:rsid w:val="003F01E0"/>
    <w:rsid w:val="003F5A2E"/>
    <w:rsid w:val="003F79E8"/>
    <w:rsid w:val="00400EF1"/>
    <w:rsid w:val="00401B91"/>
    <w:rsid w:val="0040371E"/>
    <w:rsid w:val="00403785"/>
    <w:rsid w:val="00403F0F"/>
    <w:rsid w:val="00411493"/>
    <w:rsid w:val="0041190B"/>
    <w:rsid w:val="00411C50"/>
    <w:rsid w:val="0041318E"/>
    <w:rsid w:val="00414B3D"/>
    <w:rsid w:val="00415573"/>
    <w:rsid w:val="004161BD"/>
    <w:rsid w:val="00416FC5"/>
    <w:rsid w:val="00417BE6"/>
    <w:rsid w:val="004208BD"/>
    <w:rsid w:val="00421F84"/>
    <w:rsid w:val="004227CE"/>
    <w:rsid w:val="004236F4"/>
    <w:rsid w:val="0042510C"/>
    <w:rsid w:val="004255AF"/>
    <w:rsid w:val="0042598D"/>
    <w:rsid w:val="004261D1"/>
    <w:rsid w:val="004269B8"/>
    <w:rsid w:val="0042745B"/>
    <w:rsid w:val="00430922"/>
    <w:rsid w:val="00430FDA"/>
    <w:rsid w:val="00431141"/>
    <w:rsid w:val="00431587"/>
    <w:rsid w:val="004318A7"/>
    <w:rsid w:val="004331A5"/>
    <w:rsid w:val="00433906"/>
    <w:rsid w:val="00435866"/>
    <w:rsid w:val="00437B1A"/>
    <w:rsid w:val="0044142F"/>
    <w:rsid w:val="00441EB9"/>
    <w:rsid w:val="0044211B"/>
    <w:rsid w:val="0044471E"/>
    <w:rsid w:val="00445336"/>
    <w:rsid w:val="00447408"/>
    <w:rsid w:val="00447C36"/>
    <w:rsid w:val="0045206D"/>
    <w:rsid w:val="0045288C"/>
    <w:rsid w:val="00452A52"/>
    <w:rsid w:val="00452BC9"/>
    <w:rsid w:val="00454A59"/>
    <w:rsid w:val="00456D4B"/>
    <w:rsid w:val="00457C8B"/>
    <w:rsid w:val="00461D9C"/>
    <w:rsid w:val="00462D8D"/>
    <w:rsid w:val="0046371B"/>
    <w:rsid w:val="00463A19"/>
    <w:rsid w:val="0047053A"/>
    <w:rsid w:val="00470F32"/>
    <w:rsid w:val="004720AC"/>
    <w:rsid w:val="00472545"/>
    <w:rsid w:val="00472E15"/>
    <w:rsid w:val="0047349F"/>
    <w:rsid w:val="0047545A"/>
    <w:rsid w:val="004772D1"/>
    <w:rsid w:val="004777E0"/>
    <w:rsid w:val="00484275"/>
    <w:rsid w:val="00485AF2"/>
    <w:rsid w:val="00485EDD"/>
    <w:rsid w:val="00490AC6"/>
    <w:rsid w:val="0049245C"/>
    <w:rsid w:val="004941E4"/>
    <w:rsid w:val="0049584C"/>
    <w:rsid w:val="004959C1"/>
    <w:rsid w:val="004965EB"/>
    <w:rsid w:val="00496A6A"/>
    <w:rsid w:val="00497BA8"/>
    <w:rsid w:val="00497BBB"/>
    <w:rsid w:val="004A104F"/>
    <w:rsid w:val="004A2576"/>
    <w:rsid w:val="004A41D6"/>
    <w:rsid w:val="004A54EC"/>
    <w:rsid w:val="004B1700"/>
    <w:rsid w:val="004B1A17"/>
    <w:rsid w:val="004B46C7"/>
    <w:rsid w:val="004B6690"/>
    <w:rsid w:val="004B7053"/>
    <w:rsid w:val="004C4EE8"/>
    <w:rsid w:val="004C5A43"/>
    <w:rsid w:val="004C62E4"/>
    <w:rsid w:val="004D0B1C"/>
    <w:rsid w:val="004D34CC"/>
    <w:rsid w:val="004D6C8C"/>
    <w:rsid w:val="004E32CD"/>
    <w:rsid w:val="004E5A86"/>
    <w:rsid w:val="004E657A"/>
    <w:rsid w:val="004E7CD6"/>
    <w:rsid w:val="004F02E4"/>
    <w:rsid w:val="004F05A0"/>
    <w:rsid w:val="004F5879"/>
    <w:rsid w:val="004F7552"/>
    <w:rsid w:val="004F7AF3"/>
    <w:rsid w:val="00501020"/>
    <w:rsid w:val="00501BC9"/>
    <w:rsid w:val="005037A8"/>
    <w:rsid w:val="00510137"/>
    <w:rsid w:val="00511FA6"/>
    <w:rsid w:val="00512261"/>
    <w:rsid w:val="00515CDC"/>
    <w:rsid w:val="005255F2"/>
    <w:rsid w:val="00526C3A"/>
    <w:rsid w:val="00531B85"/>
    <w:rsid w:val="00532D57"/>
    <w:rsid w:val="005339D3"/>
    <w:rsid w:val="00536E0F"/>
    <w:rsid w:val="00540221"/>
    <w:rsid w:val="00540FEA"/>
    <w:rsid w:val="005434FC"/>
    <w:rsid w:val="00543507"/>
    <w:rsid w:val="0054621C"/>
    <w:rsid w:val="005462D0"/>
    <w:rsid w:val="0054637F"/>
    <w:rsid w:val="00546AFE"/>
    <w:rsid w:val="00547143"/>
    <w:rsid w:val="00552027"/>
    <w:rsid w:val="0055254B"/>
    <w:rsid w:val="00552684"/>
    <w:rsid w:val="00552936"/>
    <w:rsid w:val="00554C19"/>
    <w:rsid w:val="0055529E"/>
    <w:rsid w:val="00555A06"/>
    <w:rsid w:val="00556E1C"/>
    <w:rsid w:val="00556F48"/>
    <w:rsid w:val="005612DD"/>
    <w:rsid w:val="00562268"/>
    <w:rsid w:val="005644E5"/>
    <w:rsid w:val="00564DB8"/>
    <w:rsid w:val="00565394"/>
    <w:rsid w:val="0056595F"/>
    <w:rsid w:val="00567092"/>
    <w:rsid w:val="005701BA"/>
    <w:rsid w:val="0057127A"/>
    <w:rsid w:val="00571DEB"/>
    <w:rsid w:val="00572031"/>
    <w:rsid w:val="0057231A"/>
    <w:rsid w:val="00573442"/>
    <w:rsid w:val="00575182"/>
    <w:rsid w:val="00575E57"/>
    <w:rsid w:val="00576388"/>
    <w:rsid w:val="0058030F"/>
    <w:rsid w:val="00580F44"/>
    <w:rsid w:val="0058330F"/>
    <w:rsid w:val="00583645"/>
    <w:rsid w:val="005846A3"/>
    <w:rsid w:val="00585227"/>
    <w:rsid w:val="005873E7"/>
    <w:rsid w:val="00590594"/>
    <w:rsid w:val="00590791"/>
    <w:rsid w:val="0059131C"/>
    <w:rsid w:val="00592E6A"/>
    <w:rsid w:val="00593CEC"/>
    <w:rsid w:val="005A0FA3"/>
    <w:rsid w:val="005A1911"/>
    <w:rsid w:val="005A1CFC"/>
    <w:rsid w:val="005A360B"/>
    <w:rsid w:val="005A444E"/>
    <w:rsid w:val="005A6619"/>
    <w:rsid w:val="005A6965"/>
    <w:rsid w:val="005A6FEF"/>
    <w:rsid w:val="005B1141"/>
    <w:rsid w:val="005B2CA4"/>
    <w:rsid w:val="005B6BD0"/>
    <w:rsid w:val="005B7238"/>
    <w:rsid w:val="005C29A2"/>
    <w:rsid w:val="005C4CF5"/>
    <w:rsid w:val="005D19D6"/>
    <w:rsid w:val="005D2B4E"/>
    <w:rsid w:val="005D3D49"/>
    <w:rsid w:val="005D4008"/>
    <w:rsid w:val="005D7621"/>
    <w:rsid w:val="005E0C54"/>
    <w:rsid w:val="005E201B"/>
    <w:rsid w:val="005E23ED"/>
    <w:rsid w:val="005E5AD2"/>
    <w:rsid w:val="005E66DC"/>
    <w:rsid w:val="005E7BDC"/>
    <w:rsid w:val="005F6BBE"/>
    <w:rsid w:val="00601586"/>
    <w:rsid w:val="00601A06"/>
    <w:rsid w:val="00601DB3"/>
    <w:rsid w:val="00603985"/>
    <w:rsid w:val="00603ECD"/>
    <w:rsid w:val="00604402"/>
    <w:rsid w:val="00604430"/>
    <w:rsid w:val="00612A4D"/>
    <w:rsid w:val="00613F70"/>
    <w:rsid w:val="00615565"/>
    <w:rsid w:val="006220A2"/>
    <w:rsid w:val="00623AD4"/>
    <w:rsid w:val="00623FCA"/>
    <w:rsid w:val="006248B7"/>
    <w:rsid w:val="00626633"/>
    <w:rsid w:val="0062683D"/>
    <w:rsid w:val="0063096F"/>
    <w:rsid w:val="0063334D"/>
    <w:rsid w:val="0063457A"/>
    <w:rsid w:val="00634704"/>
    <w:rsid w:val="0063724F"/>
    <w:rsid w:val="00637728"/>
    <w:rsid w:val="00640101"/>
    <w:rsid w:val="0064184F"/>
    <w:rsid w:val="00643910"/>
    <w:rsid w:val="006439D4"/>
    <w:rsid w:val="00644201"/>
    <w:rsid w:val="00646619"/>
    <w:rsid w:val="006523E1"/>
    <w:rsid w:val="00652744"/>
    <w:rsid w:val="00652FA1"/>
    <w:rsid w:val="00653214"/>
    <w:rsid w:val="006543C1"/>
    <w:rsid w:val="006579C4"/>
    <w:rsid w:val="006617F6"/>
    <w:rsid w:val="00661E2A"/>
    <w:rsid w:val="00663F02"/>
    <w:rsid w:val="00664EB9"/>
    <w:rsid w:val="00667183"/>
    <w:rsid w:val="00667463"/>
    <w:rsid w:val="0066765D"/>
    <w:rsid w:val="006748A4"/>
    <w:rsid w:val="00674AB4"/>
    <w:rsid w:val="006801C1"/>
    <w:rsid w:val="00680448"/>
    <w:rsid w:val="00680BE3"/>
    <w:rsid w:val="0068399C"/>
    <w:rsid w:val="00685956"/>
    <w:rsid w:val="00685F35"/>
    <w:rsid w:val="00687716"/>
    <w:rsid w:val="00691B37"/>
    <w:rsid w:val="00691F3B"/>
    <w:rsid w:val="00693BB6"/>
    <w:rsid w:val="00694C46"/>
    <w:rsid w:val="00694E33"/>
    <w:rsid w:val="00694E39"/>
    <w:rsid w:val="0069591A"/>
    <w:rsid w:val="006A1502"/>
    <w:rsid w:val="006A4779"/>
    <w:rsid w:val="006A5379"/>
    <w:rsid w:val="006A5A2C"/>
    <w:rsid w:val="006B0821"/>
    <w:rsid w:val="006B15AE"/>
    <w:rsid w:val="006B31A1"/>
    <w:rsid w:val="006B56B4"/>
    <w:rsid w:val="006B5B03"/>
    <w:rsid w:val="006B7ECA"/>
    <w:rsid w:val="006C2D55"/>
    <w:rsid w:val="006C4782"/>
    <w:rsid w:val="006C61B5"/>
    <w:rsid w:val="006C6979"/>
    <w:rsid w:val="006D2B5D"/>
    <w:rsid w:val="006D30E7"/>
    <w:rsid w:val="006D373F"/>
    <w:rsid w:val="006D37A3"/>
    <w:rsid w:val="006D42A8"/>
    <w:rsid w:val="006D502E"/>
    <w:rsid w:val="006D5571"/>
    <w:rsid w:val="006D5DC1"/>
    <w:rsid w:val="006E21EB"/>
    <w:rsid w:val="006E2A92"/>
    <w:rsid w:val="006E3FEF"/>
    <w:rsid w:val="006E4A4C"/>
    <w:rsid w:val="006E5A24"/>
    <w:rsid w:val="006E6E08"/>
    <w:rsid w:val="006E6F4D"/>
    <w:rsid w:val="006E72F2"/>
    <w:rsid w:val="006F5361"/>
    <w:rsid w:val="006F5F89"/>
    <w:rsid w:val="00701735"/>
    <w:rsid w:val="007022BA"/>
    <w:rsid w:val="00702391"/>
    <w:rsid w:val="0070430A"/>
    <w:rsid w:val="00704907"/>
    <w:rsid w:val="00705976"/>
    <w:rsid w:val="00706DDF"/>
    <w:rsid w:val="007078BF"/>
    <w:rsid w:val="00710A40"/>
    <w:rsid w:val="0071126B"/>
    <w:rsid w:val="00712D3F"/>
    <w:rsid w:val="00714155"/>
    <w:rsid w:val="00715F60"/>
    <w:rsid w:val="00716059"/>
    <w:rsid w:val="00716A99"/>
    <w:rsid w:val="00717F26"/>
    <w:rsid w:val="0072066C"/>
    <w:rsid w:val="00720788"/>
    <w:rsid w:val="007210BA"/>
    <w:rsid w:val="007214D8"/>
    <w:rsid w:val="007233EF"/>
    <w:rsid w:val="00723F3F"/>
    <w:rsid w:val="00724835"/>
    <w:rsid w:val="00724D7B"/>
    <w:rsid w:val="00725815"/>
    <w:rsid w:val="00725A7D"/>
    <w:rsid w:val="00725D74"/>
    <w:rsid w:val="0073325C"/>
    <w:rsid w:val="00734BAD"/>
    <w:rsid w:val="007413EB"/>
    <w:rsid w:val="00743AA4"/>
    <w:rsid w:val="00743C43"/>
    <w:rsid w:val="00744388"/>
    <w:rsid w:val="00746376"/>
    <w:rsid w:val="00746A5E"/>
    <w:rsid w:val="00750A62"/>
    <w:rsid w:val="00754309"/>
    <w:rsid w:val="00754640"/>
    <w:rsid w:val="00754BAD"/>
    <w:rsid w:val="0075517F"/>
    <w:rsid w:val="0075646D"/>
    <w:rsid w:val="00756961"/>
    <w:rsid w:val="0075792A"/>
    <w:rsid w:val="007579CC"/>
    <w:rsid w:val="007639B1"/>
    <w:rsid w:val="00765A93"/>
    <w:rsid w:val="00767602"/>
    <w:rsid w:val="007714E0"/>
    <w:rsid w:val="007753C3"/>
    <w:rsid w:val="007775B2"/>
    <w:rsid w:val="007804E8"/>
    <w:rsid w:val="00781AB7"/>
    <w:rsid w:val="00781F0B"/>
    <w:rsid w:val="007825C6"/>
    <w:rsid w:val="00782DDC"/>
    <w:rsid w:val="00784500"/>
    <w:rsid w:val="00784A95"/>
    <w:rsid w:val="0078563B"/>
    <w:rsid w:val="00785864"/>
    <w:rsid w:val="0078666C"/>
    <w:rsid w:val="00786BBC"/>
    <w:rsid w:val="00787B38"/>
    <w:rsid w:val="00791951"/>
    <w:rsid w:val="00791EA5"/>
    <w:rsid w:val="00792C0E"/>
    <w:rsid w:val="00797DBD"/>
    <w:rsid w:val="007A0365"/>
    <w:rsid w:val="007A0EB8"/>
    <w:rsid w:val="007A3336"/>
    <w:rsid w:val="007A4277"/>
    <w:rsid w:val="007A6B38"/>
    <w:rsid w:val="007A7245"/>
    <w:rsid w:val="007A7F04"/>
    <w:rsid w:val="007B1AD4"/>
    <w:rsid w:val="007B2046"/>
    <w:rsid w:val="007B20B9"/>
    <w:rsid w:val="007B27DA"/>
    <w:rsid w:val="007B4E43"/>
    <w:rsid w:val="007B50EC"/>
    <w:rsid w:val="007B55EF"/>
    <w:rsid w:val="007B6698"/>
    <w:rsid w:val="007B6A11"/>
    <w:rsid w:val="007C425D"/>
    <w:rsid w:val="007C7F1C"/>
    <w:rsid w:val="007D05F9"/>
    <w:rsid w:val="007D28E0"/>
    <w:rsid w:val="007D680E"/>
    <w:rsid w:val="007D7E05"/>
    <w:rsid w:val="007E0B23"/>
    <w:rsid w:val="007E462E"/>
    <w:rsid w:val="007E4C40"/>
    <w:rsid w:val="007E661F"/>
    <w:rsid w:val="007E6D2B"/>
    <w:rsid w:val="007E7835"/>
    <w:rsid w:val="007E7A97"/>
    <w:rsid w:val="007F2865"/>
    <w:rsid w:val="007F28C8"/>
    <w:rsid w:val="007F3953"/>
    <w:rsid w:val="007F40B6"/>
    <w:rsid w:val="007F48B7"/>
    <w:rsid w:val="007F5EAB"/>
    <w:rsid w:val="007F7378"/>
    <w:rsid w:val="008002D2"/>
    <w:rsid w:val="00801015"/>
    <w:rsid w:val="00801980"/>
    <w:rsid w:val="0080257D"/>
    <w:rsid w:val="00803471"/>
    <w:rsid w:val="008046C2"/>
    <w:rsid w:val="00804943"/>
    <w:rsid w:val="008063DC"/>
    <w:rsid w:val="00807933"/>
    <w:rsid w:val="00807D98"/>
    <w:rsid w:val="00811681"/>
    <w:rsid w:val="00813C69"/>
    <w:rsid w:val="00814174"/>
    <w:rsid w:val="00814E7A"/>
    <w:rsid w:val="00821843"/>
    <w:rsid w:val="0082201D"/>
    <w:rsid w:val="008230D3"/>
    <w:rsid w:val="00823399"/>
    <w:rsid w:val="00826EF5"/>
    <w:rsid w:val="0083127F"/>
    <w:rsid w:val="00831BAC"/>
    <w:rsid w:val="00832C26"/>
    <w:rsid w:val="008335C9"/>
    <w:rsid w:val="00833E13"/>
    <w:rsid w:val="0083433F"/>
    <w:rsid w:val="0083711A"/>
    <w:rsid w:val="00840DE8"/>
    <w:rsid w:val="00841182"/>
    <w:rsid w:val="008452AF"/>
    <w:rsid w:val="008459B8"/>
    <w:rsid w:val="00851654"/>
    <w:rsid w:val="00851B1B"/>
    <w:rsid w:val="00852114"/>
    <w:rsid w:val="00852663"/>
    <w:rsid w:val="00856EA0"/>
    <w:rsid w:val="0086380F"/>
    <w:rsid w:val="00865454"/>
    <w:rsid w:val="00865B58"/>
    <w:rsid w:val="00866EC2"/>
    <w:rsid w:val="00870D43"/>
    <w:rsid w:val="0087116E"/>
    <w:rsid w:val="00872E8D"/>
    <w:rsid w:val="00876EB6"/>
    <w:rsid w:val="00877F34"/>
    <w:rsid w:val="00881880"/>
    <w:rsid w:val="0088391B"/>
    <w:rsid w:val="008842B4"/>
    <w:rsid w:val="00886EB1"/>
    <w:rsid w:val="00891AE6"/>
    <w:rsid w:val="00892DE4"/>
    <w:rsid w:val="00897398"/>
    <w:rsid w:val="00897658"/>
    <w:rsid w:val="008A1827"/>
    <w:rsid w:val="008A224F"/>
    <w:rsid w:val="008A2B22"/>
    <w:rsid w:val="008A2FF0"/>
    <w:rsid w:val="008B14CA"/>
    <w:rsid w:val="008B1A55"/>
    <w:rsid w:val="008B2F3D"/>
    <w:rsid w:val="008B4094"/>
    <w:rsid w:val="008B4936"/>
    <w:rsid w:val="008B575B"/>
    <w:rsid w:val="008C0170"/>
    <w:rsid w:val="008C019D"/>
    <w:rsid w:val="008C0A74"/>
    <w:rsid w:val="008C1360"/>
    <w:rsid w:val="008C1BB7"/>
    <w:rsid w:val="008C3607"/>
    <w:rsid w:val="008C5361"/>
    <w:rsid w:val="008C5849"/>
    <w:rsid w:val="008C63CA"/>
    <w:rsid w:val="008C7670"/>
    <w:rsid w:val="008C7C5B"/>
    <w:rsid w:val="008D2705"/>
    <w:rsid w:val="008D275F"/>
    <w:rsid w:val="008D2839"/>
    <w:rsid w:val="008D2CC2"/>
    <w:rsid w:val="008D42A8"/>
    <w:rsid w:val="008D53BF"/>
    <w:rsid w:val="008D73BD"/>
    <w:rsid w:val="008D7FF4"/>
    <w:rsid w:val="008E57E1"/>
    <w:rsid w:val="008E59B0"/>
    <w:rsid w:val="008E62FF"/>
    <w:rsid w:val="008E734E"/>
    <w:rsid w:val="008E73A6"/>
    <w:rsid w:val="008F0420"/>
    <w:rsid w:val="008F08BE"/>
    <w:rsid w:val="008F157F"/>
    <w:rsid w:val="008F20A3"/>
    <w:rsid w:val="008F34A0"/>
    <w:rsid w:val="008F3565"/>
    <w:rsid w:val="008F4B4E"/>
    <w:rsid w:val="008F635C"/>
    <w:rsid w:val="008F72ED"/>
    <w:rsid w:val="00900988"/>
    <w:rsid w:val="00901CFD"/>
    <w:rsid w:val="00903894"/>
    <w:rsid w:val="00903C15"/>
    <w:rsid w:val="00907E84"/>
    <w:rsid w:val="00907EA9"/>
    <w:rsid w:val="00910001"/>
    <w:rsid w:val="00910B13"/>
    <w:rsid w:val="009112F6"/>
    <w:rsid w:val="009123B2"/>
    <w:rsid w:val="00912A10"/>
    <w:rsid w:val="00912E6F"/>
    <w:rsid w:val="0091696E"/>
    <w:rsid w:val="0091748D"/>
    <w:rsid w:val="00920E21"/>
    <w:rsid w:val="009265BC"/>
    <w:rsid w:val="00932392"/>
    <w:rsid w:val="00940461"/>
    <w:rsid w:val="0094063E"/>
    <w:rsid w:val="00940F21"/>
    <w:rsid w:val="00941E50"/>
    <w:rsid w:val="00942070"/>
    <w:rsid w:val="00942AC3"/>
    <w:rsid w:val="00945812"/>
    <w:rsid w:val="009524CA"/>
    <w:rsid w:val="009527C4"/>
    <w:rsid w:val="00954AA6"/>
    <w:rsid w:val="00954BA5"/>
    <w:rsid w:val="00956D35"/>
    <w:rsid w:val="00960471"/>
    <w:rsid w:val="00960E49"/>
    <w:rsid w:val="00961CFD"/>
    <w:rsid w:val="009642FA"/>
    <w:rsid w:val="00964D0D"/>
    <w:rsid w:val="00965BA3"/>
    <w:rsid w:val="00972FA9"/>
    <w:rsid w:val="00973506"/>
    <w:rsid w:val="00973730"/>
    <w:rsid w:val="00973D88"/>
    <w:rsid w:val="0097484D"/>
    <w:rsid w:val="00975FFC"/>
    <w:rsid w:val="00976A40"/>
    <w:rsid w:val="0097726C"/>
    <w:rsid w:val="00977E78"/>
    <w:rsid w:val="0098694D"/>
    <w:rsid w:val="00986F8E"/>
    <w:rsid w:val="00990647"/>
    <w:rsid w:val="00990A3A"/>
    <w:rsid w:val="00990AB7"/>
    <w:rsid w:val="00991F63"/>
    <w:rsid w:val="00992840"/>
    <w:rsid w:val="00992C4B"/>
    <w:rsid w:val="00993E1D"/>
    <w:rsid w:val="009A1CDA"/>
    <w:rsid w:val="009A2A1E"/>
    <w:rsid w:val="009A2F81"/>
    <w:rsid w:val="009A334E"/>
    <w:rsid w:val="009A441A"/>
    <w:rsid w:val="009A4A35"/>
    <w:rsid w:val="009B0773"/>
    <w:rsid w:val="009B444A"/>
    <w:rsid w:val="009B4DA7"/>
    <w:rsid w:val="009B51EF"/>
    <w:rsid w:val="009B6041"/>
    <w:rsid w:val="009B7F99"/>
    <w:rsid w:val="009C202C"/>
    <w:rsid w:val="009C2797"/>
    <w:rsid w:val="009C2A23"/>
    <w:rsid w:val="009C2BAD"/>
    <w:rsid w:val="009C441C"/>
    <w:rsid w:val="009C498D"/>
    <w:rsid w:val="009C5A83"/>
    <w:rsid w:val="009C5B93"/>
    <w:rsid w:val="009C6D31"/>
    <w:rsid w:val="009C718D"/>
    <w:rsid w:val="009C72B4"/>
    <w:rsid w:val="009C7621"/>
    <w:rsid w:val="009D0745"/>
    <w:rsid w:val="009D5C40"/>
    <w:rsid w:val="009E1CF7"/>
    <w:rsid w:val="009E2926"/>
    <w:rsid w:val="009E2F2D"/>
    <w:rsid w:val="009E3346"/>
    <w:rsid w:val="009E3E60"/>
    <w:rsid w:val="009E4433"/>
    <w:rsid w:val="009E45BB"/>
    <w:rsid w:val="009F18C5"/>
    <w:rsid w:val="009F1AC7"/>
    <w:rsid w:val="009F2B4A"/>
    <w:rsid w:val="009F3016"/>
    <w:rsid w:val="009F348E"/>
    <w:rsid w:val="009F5973"/>
    <w:rsid w:val="009F5F97"/>
    <w:rsid w:val="009F6B6F"/>
    <w:rsid w:val="009F6DA0"/>
    <w:rsid w:val="009F7D5D"/>
    <w:rsid w:val="00A009EA"/>
    <w:rsid w:val="00A0199E"/>
    <w:rsid w:val="00A039AB"/>
    <w:rsid w:val="00A03E55"/>
    <w:rsid w:val="00A04128"/>
    <w:rsid w:val="00A05A11"/>
    <w:rsid w:val="00A06021"/>
    <w:rsid w:val="00A063E7"/>
    <w:rsid w:val="00A11A5E"/>
    <w:rsid w:val="00A1201B"/>
    <w:rsid w:val="00A121FF"/>
    <w:rsid w:val="00A14949"/>
    <w:rsid w:val="00A14BC0"/>
    <w:rsid w:val="00A15557"/>
    <w:rsid w:val="00A15B2A"/>
    <w:rsid w:val="00A160CF"/>
    <w:rsid w:val="00A178A6"/>
    <w:rsid w:val="00A20126"/>
    <w:rsid w:val="00A20743"/>
    <w:rsid w:val="00A22B01"/>
    <w:rsid w:val="00A25C02"/>
    <w:rsid w:val="00A25CEC"/>
    <w:rsid w:val="00A304AB"/>
    <w:rsid w:val="00A30AB8"/>
    <w:rsid w:val="00A328B0"/>
    <w:rsid w:val="00A33308"/>
    <w:rsid w:val="00A3343F"/>
    <w:rsid w:val="00A34718"/>
    <w:rsid w:val="00A347E9"/>
    <w:rsid w:val="00A3680E"/>
    <w:rsid w:val="00A40674"/>
    <w:rsid w:val="00A40E6F"/>
    <w:rsid w:val="00A4207B"/>
    <w:rsid w:val="00A4210A"/>
    <w:rsid w:val="00A42A87"/>
    <w:rsid w:val="00A47E7E"/>
    <w:rsid w:val="00A5041E"/>
    <w:rsid w:val="00A50435"/>
    <w:rsid w:val="00A5196F"/>
    <w:rsid w:val="00A526A7"/>
    <w:rsid w:val="00A53B56"/>
    <w:rsid w:val="00A54244"/>
    <w:rsid w:val="00A54830"/>
    <w:rsid w:val="00A55920"/>
    <w:rsid w:val="00A61EB2"/>
    <w:rsid w:val="00A628B2"/>
    <w:rsid w:val="00A62913"/>
    <w:rsid w:val="00A62EFB"/>
    <w:rsid w:val="00A648CF"/>
    <w:rsid w:val="00A6604E"/>
    <w:rsid w:val="00A66166"/>
    <w:rsid w:val="00A6616B"/>
    <w:rsid w:val="00A66774"/>
    <w:rsid w:val="00A679E0"/>
    <w:rsid w:val="00A700C7"/>
    <w:rsid w:val="00A721D1"/>
    <w:rsid w:val="00A75530"/>
    <w:rsid w:val="00A76DB8"/>
    <w:rsid w:val="00A7700C"/>
    <w:rsid w:val="00A77EBF"/>
    <w:rsid w:val="00A8074D"/>
    <w:rsid w:val="00A807E1"/>
    <w:rsid w:val="00A81D0F"/>
    <w:rsid w:val="00A86619"/>
    <w:rsid w:val="00A86B67"/>
    <w:rsid w:val="00A90C6C"/>
    <w:rsid w:val="00A935F4"/>
    <w:rsid w:val="00A95AD9"/>
    <w:rsid w:val="00A95D59"/>
    <w:rsid w:val="00AA190B"/>
    <w:rsid w:val="00AA4EEB"/>
    <w:rsid w:val="00AB4061"/>
    <w:rsid w:val="00AC0D8E"/>
    <w:rsid w:val="00AC0F67"/>
    <w:rsid w:val="00AC38AC"/>
    <w:rsid w:val="00AC40F6"/>
    <w:rsid w:val="00AC52D4"/>
    <w:rsid w:val="00AC7167"/>
    <w:rsid w:val="00AD73A0"/>
    <w:rsid w:val="00AD7E92"/>
    <w:rsid w:val="00AE5CFA"/>
    <w:rsid w:val="00AE6657"/>
    <w:rsid w:val="00AF19D8"/>
    <w:rsid w:val="00AF493F"/>
    <w:rsid w:val="00AF4CD2"/>
    <w:rsid w:val="00B00A6F"/>
    <w:rsid w:val="00B02419"/>
    <w:rsid w:val="00B04211"/>
    <w:rsid w:val="00B055D7"/>
    <w:rsid w:val="00B05CA5"/>
    <w:rsid w:val="00B05E03"/>
    <w:rsid w:val="00B06A04"/>
    <w:rsid w:val="00B10DE7"/>
    <w:rsid w:val="00B1370C"/>
    <w:rsid w:val="00B14396"/>
    <w:rsid w:val="00B144A9"/>
    <w:rsid w:val="00B157EA"/>
    <w:rsid w:val="00B1785B"/>
    <w:rsid w:val="00B17C47"/>
    <w:rsid w:val="00B251C8"/>
    <w:rsid w:val="00B25C3F"/>
    <w:rsid w:val="00B275A3"/>
    <w:rsid w:val="00B30148"/>
    <w:rsid w:val="00B30455"/>
    <w:rsid w:val="00B30832"/>
    <w:rsid w:val="00B31880"/>
    <w:rsid w:val="00B33A26"/>
    <w:rsid w:val="00B3763E"/>
    <w:rsid w:val="00B4079B"/>
    <w:rsid w:val="00B42311"/>
    <w:rsid w:val="00B44AFA"/>
    <w:rsid w:val="00B45634"/>
    <w:rsid w:val="00B46D86"/>
    <w:rsid w:val="00B47627"/>
    <w:rsid w:val="00B546B7"/>
    <w:rsid w:val="00B56472"/>
    <w:rsid w:val="00B60403"/>
    <w:rsid w:val="00B615BF"/>
    <w:rsid w:val="00B6701C"/>
    <w:rsid w:val="00B67903"/>
    <w:rsid w:val="00B709F2"/>
    <w:rsid w:val="00B74897"/>
    <w:rsid w:val="00B74D0B"/>
    <w:rsid w:val="00B809B7"/>
    <w:rsid w:val="00B80F2F"/>
    <w:rsid w:val="00B81A0F"/>
    <w:rsid w:val="00B82BCC"/>
    <w:rsid w:val="00B84071"/>
    <w:rsid w:val="00B847DA"/>
    <w:rsid w:val="00B84CC7"/>
    <w:rsid w:val="00B84DA4"/>
    <w:rsid w:val="00B85EEA"/>
    <w:rsid w:val="00B875FB"/>
    <w:rsid w:val="00B91626"/>
    <w:rsid w:val="00B93FDD"/>
    <w:rsid w:val="00B94784"/>
    <w:rsid w:val="00B961C1"/>
    <w:rsid w:val="00B96EF1"/>
    <w:rsid w:val="00B9729C"/>
    <w:rsid w:val="00BA0A03"/>
    <w:rsid w:val="00BA529E"/>
    <w:rsid w:val="00BA5560"/>
    <w:rsid w:val="00BA59D0"/>
    <w:rsid w:val="00BA74DA"/>
    <w:rsid w:val="00BB07CB"/>
    <w:rsid w:val="00BB1445"/>
    <w:rsid w:val="00BB2CD8"/>
    <w:rsid w:val="00BB4230"/>
    <w:rsid w:val="00BB5B4B"/>
    <w:rsid w:val="00BB6BB5"/>
    <w:rsid w:val="00BB6BB6"/>
    <w:rsid w:val="00BB72F7"/>
    <w:rsid w:val="00BB76C6"/>
    <w:rsid w:val="00BB7CE0"/>
    <w:rsid w:val="00BC004A"/>
    <w:rsid w:val="00BC0EAA"/>
    <w:rsid w:val="00BC1D00"/>
    <w:rsid w:val="00BC3FA9"/>
    <w:rsid w:val="00BC4177"/>
    <w:rsid w:val="00BC4DB9"/>
    <w:rsid w:val="00BC53E0"/>
    <w:rsid w:val="00BC7948"/>
    <w:rsid w:val="00BC7B66"/>
    <w:rsid w:val="00BD10D4"/>
    <w:rsid w:val="00BD1CC5"/>
    <w:rsid w:val="00BD2F87"/>
    <w:rsid w:val="00BD3B7B"/>
    <w:rsid w:val="00BD5A1B"/>
    <w:rsid w:val="00BD680E"/>
    <w:rsid w:val="00BE129A"/>
    <w:rsid w:val="00BE2B7B"/>
    <w:rsid w:val="00BE57E2"/>
    <w:rsid w:val="00BE5DE6"/>
    <w:rsid w:val="00BE76DE"/>
    <w:rsid w:val="00BF3F0E"/>
    <w:rsid w:val="00BF47F0"/>
    <w:rsid w:val="00BF65D0"/>
    <w:rsid w:val="00BF6A88"/>
    <w:rsid w:val="00C003BB"/>
    <w:rsid w:val="00C00537"/>
    <w:rsid w:val="00C01236"/>
    <w:rsid w:val="00C01F3D"/>
    <w:rsid w:val="00C04E2C"/>
    <w:rsid w:val="00C0541A"/>
    <w:rsid w:val="00C060F2"/>
    <w:rsid w:val="00C076EE"/>
    <w:rsid w:val="00C07A03"/>
    <w:rsid w:val="00C113FE"/>
    <w:rsid w:val="00C13F57"/>
    <w:rsid w:val="00C15BD4"/>
    <w:rsid w:val="00C16578"/>
    <w:rsid w:val="00C16766"/>
    <w:rsid w:val="00C16D40"/>
    <w:rsid w:val="00C20837"/>
    <w:rsid w:val="00C21139"/>
    <w:rsid w:val="00C2117E"/>
    <w:rsid w:val="00C22B0E"/>
    <w:rsid w:val="00C251EF"/>
    <w:rsid w:val="00C3003B"/>
    <w:rsid w:val="00C447AA"/>
    <w:rsid w:val="00C44A46"/>
    <w:rsid w:val="00C44E29"/>
    <w:rsid w:val="00C452CC"/>
    <w:rsid w:val="00C52F68"/>
    <w:rsid w:val="00C554F9"/>
    <w:rsid w:val="00C56400"/>
    <w:rsid w:val="00C56E74"/>
    <w:rsid w:val="00C652D8"/>
    <w:rsid w:val="00C65EFD"/>
    <w:rsid w:val="00C669BB"/>
    <w:rsid w:val="00C66D69"/>
    <w:rsid w:val="00C67F6F"/>
    <w:rsid w:val="00C70D03"/>
    <w:rsid w:val="00C72B3F"/>
    <w:rsid w:val="00C73E63"/>
    <w:rsid w:val="00C746C1"/>
    <w:rsid w:val="00C75016"/>
    <w:rsid w:val="00C75886"/>
    <w:rsid w:val="00C7650F"/>
    <w:rsid w:val="00C76624"/>
    <w:rsid w:val="00C81AF2"/>
    <w:rsid w:val="00C82F49"/>
    <w:rsid w:val="00C830C9"/>
    <w:rsid w:val="00C86D31"/>
    <w:rsid w:val="00C87167"/>
    <w:rsid w:val="00C87412"/>
    <w:rsid w:val="00C90531"/>
    <w:rsid w:val="00C90FD6"/>
    <w:rsid w:val="00C93969"/>
    <w:rsid w:val="00C95AAF"/>
    <w:rsid w:val="00C97B50"/>
    <w:rsid w:val="00C97B7D"/>
    <w:rsid w:val="00CA02DE"/>
    <w:rsid w:val="00CA0A25"/>
    <w:rsid w:val="00CA185F"/>
    <w:rsid w:val="00CA26A1"/>
    <w:rsid w:val="00CA5E0B"/>
    <w:rsid w:val="00CA7AF6"/>
    <w:rsid w:val="00CB003A"/>
    <w:rsid w:val="00CB02BB"/>
    <w:rsid w:val="00CC3262"/>
    <w:rsid w:val="00CC7A4A"/>
    <w:rsid w:val="00CD1281"/>
    <w:rsid w:val="00CD13D3"/>
    <w:rsid w:val="00CD26FA"/>
    <w:rsid w:val="00CD3131"/>
    <w:rsid w:val="00CD5E24"/>
    <w:rsid w:val="00CD636F"/>
    <w:rsid w:val="00CD6566"/>
    <w:rsid w:val="00CD7884"/>
    <w:rsid w:val="00CE02FA"/>
    <w:rsid w:val="00CE03BE"/>
    <w:rsid w:val="00CE3C1A"/>
    <w:rsid w:val="00CE5DF2"/>
    <w:rsid w:val="00CE6549"/>
    <w:rsid w:val="00CE6C42"/>
    <w:rsid w:val="00CF28F6"/>
    <w:rsid w:val="00CF5A82"/>
    <w:rsid w:val="00CF69E6"/>
    <w:rsid w:val="00D00E30"/>
    <w:rsid w:val="00D01C6C"/>
    <w:rsid w:val="00D0273B"/>
    <w:rsid w:val="00D02FCE"/>
    <w:rsid w:val="00D03D56"/>
    <w:rsid w:val="00D0415E"/>
    <w:rsid w:val="00D053B4"/>
    <w:rsid w:val="00D05FEC"/>
    <w:rsid w:val="00D06769"/>
    <w:rsid w:val="00D10C7E"/>
    <w:rsid w:val="00D15C58"/>
    <w:rsid w:val="00D176B5"/>
    <w:rsid w:val="00D202F6"/>
    <w:rsid w:val="00D219EE"/>
    <w:rsid w:val="00D235C9"/>
    <w:rsid w:val="00D24671"/>
    <w:rsid w:val="00D25633"/>
    <w:rsid w:val="00D26E96"/>
    <w:rsid w:val="00D3093F"/>
    <w:rsid w:val="00D3384E"/>
    <w:rsid w:val="00D34C69"/>
    <w:rsid w:val="00D357B3"/>
    <w:rsid w:val="00D36170"/>
    <w:rsid w:val="00D365EE"/>
    <w:rsid w:val="00D3744D"/>
    <w:rsid w:val="00D41577"/>
    <w:rsid w:val="00D44970"/>
    <w:rsid w:val="00D509C6"/>
    <w:rsid w:val="00D51508"/>
    <w:rsid w:val="00D52E64"/>
    <w:rsid w:val="00D56777"/>
    <w:rsid w:val="00D57DCF"/>
    <w:rsid w:val="00D61675"/>
    <w:rsid w:val="00D63680"/>
    <w:rsid w:val="00D64516"/>
    <w:rsid w:val="00D65DC9"/>
    <w:rsid w:val="00D66664"/>
    <w:rsid w:val="00D66995"/>
    <w:rsid w:val="00D67C6B"/>
    <w:rsid w:val="00D73022"/>
    <w:rsid w:val="00D80D91"/>
    <w:rsid w:val="00D8139C"/>
    <w:rsid w:val="00D81709"/>
    <w:rsid w:val="00D82333"/>
    <w:rsid w:val="00D82DEA"/>
    <w:rsid w:val="00D8391F"/>
    <w:rsid w:val="00D83BF6"/>
    <w:rsid w:val="00D840DF"/>
    <w:rsid w:val="00D84E7D"/>
    <w:rsid w:val="00D877DD"/>
    <w:rsid w:val="00D90D20"/>
    <w:rsid w:val="00D91902"/>
    <w:rsid w:val="00D9270E"/>
    <w:rsid w:val="00D93900"/>
    <w:rsid w:val="00D93E12"/>
    <w:rsid w:val="00D94FFC"/>
    <w:rsid w:val="00D95094"/>
    <w:rsid w:val="00D95B27"/>
    <w:rsid w:val="00D97801"/>
    <w:rsid w:val="00D97ABB"/>
    <w:rsid w:val="00DA1EFA"/>
    <w:rsid w:val="00DA2B55"/>
    <w:rsid w:val="00DA5AD4"/>
    <w:rsid w:val="00DA650E"/>
    <w:rsid w:val="00DA7911"/>
    <w:rsid w:val="00DA79F6"/>
    <w:rsid w:val="00DB1E0F"/>
    <w:rsid w:val="00DB4135"/>
    <w:rsid w:val="00DC1493"/>
    <w:rsid w:val="00DC2490"/>
    <w:rsid w:val="00DC4561"/>
    <w:rsid w:val="00DC4B4F"/>
    <w:rsid w:val="00DC690B"/>
    <w:rsid w:val="00DC6996"/>
    <w:rsid w:val="00DC7419"/>
    <w:rsid w:val="00DD13B4"/>
    <w:rsid w:val="00DD76A2"/>
    <w:rsid w:val="00DE08F6"/>
    <w:rsid w:val="00DE1DD6"/>
    <w:rsid w:val="00DE320C"/>
    <w:rsid w:val="00DE5FC3"/>
    <w:rsid w:val="00DF0182"/>
    <w:rsid w:val="00DF139B"/>
    <w:rsid w:val="00DF4773"/>
    <w:rsid w:val="00DF4BF7"/>
    <w:rsid w:val="00DF7631"/>
    <w:rsid w:val="00DF7E65"/>
    <w:rsid w:val="00E02983"/>
    <w:rsid w:val="00E03618"/>
    <w:rsid w:val="00E0430A"/>
    <w:rsid w:val="00E046AA"/>
    <w:rsid w:val="00E10974"/>
    <w:rsid w:val="00E109EE"/>
    <w:rsid w:val="00E128CD"/>
    <w:rsid w:val="00E130AA"/>
    <w:rsid w:val="00E13A2F"/>
    <w:rsid w:val="00E13C1C"/>
    <w:rsid w:val="00E15B19"/>
    <w:rsid w:val="00E160E1"/>
    <w:rsid w:val="00E204E5"/>
    <w:rsid w:val="00E23EC6"/>
    <w:rsid w:val="00E23FE6"/>
    <w:rsid w:val="00E256FC"/>
    <w:rsid w:val="00E269EC"/>
    <w:rsid w:val="00E26F66"/>
    <w:rsid w:val="00E33393"/>
    <w:rsid w:val="00E334E8"/>
    <w:rsid w:val="00E34164"/>
    <w:rsid w:val="00E36FF0"/>
    <w:rsid w:val="00E40672"/>
    <w:rsid w:val="00E40E25"/>
    <w:rsid w:val="00E42075"/>
    <w:rsid w:val="00E43D87"/>
    <w:rsid w:val="00E46870"/>
    <w:rsid w:val="00E50CFD"/>
    <w:rsid w:val="00E50D95"/>
    <w:rsid w:val="00E50FF4"/>
    <w:rsid w:val="00E575E8"/>
    <w:rsid w:val="00E604F6"/>
    <w:rsid w:val="00E605E5"/>
    <w:rsid w:val="00E61015"/>
    <w:rsid w:val="00E612CB"/>
    <w:rsid w:val="00E6315F"/>
    <w:rsid w:val="00E712D5"/>
    <w:rsid w:val="00E71681"/>
    <w:rsid w:val="00E721DC"/>
    <w:rsid w:val="00E72AE3"/>
    <w:rsid w:val="00E72BC6"/>
    <w:rsid w:val="00E74346"/>
    <w:rsid w:val="00E76A07"/>
    <w:rsid w:val="00E8209A"/>
    <w:rsid w:val="00E823FB"/>
    <w:rsid w:val="00E87C68"/>
    <w:rsid w:val="00E906B0"/>
    <w:rsid w:val="00E90EEA"/>
    <w:rsid w:val="00E95C1B"/>
    <w:rsid w:val="00E97A0B"/>
    <w:rsid w:val="00EA4BDD"/>
    <w:rsid w:val="00EA53D1"/>
    <w:rsid w:val="00EA7B40"/>
    <w:rsid w:val="00EB074B"/>
    <w:rsid w:val="00EB1533"/>
    <w:rsid w:val="00EB2BBD"/>
    <w:rsid w:val="00EB2CFB"/>
    <w:rsid w:val="00EB4DAF"/>
    <w:rsid w:val="00EB5A6D"/>
    <w:rsid w:val="00EB731A"/>
    <w:rsid w:val="00EC15AF"/>
    <w:rsid w:val="00EC270D"/>
    <w:rsid w:val="00EC29B8"/>
    <w:rsid w:val="00EC4F07"/>
    <w:rsid w:val="00EC5A5C"/>
    <w:rsid w:val="00EC5B36"/>
    <w:rsid w:val="00EC7B18"/>
    <w:rsid w:val="00ED0342"/>
    <w:rsid w:val="00ED2A51"/>
    <w:rsid w:val="00ED5389"/>
    <w:rsid w:val="00EE2732"/>
    <w:rsid w:val="00EE4E08"/>
    <w:rsid w:val="00EE7F26"/>
    <w:rsid w:val="00EF0DE6"/>
    <w:rsid w:val="00EF1DB5"/>
    <w:rsid w:val="00EF202A"/>
    <w:rsid w:val="00EF311E"/>
    <w:rsid w:val="00EF5376"/>
    <w:rsid w:val="00EF6EBF"/>
    <w:rsid w:val="00EF7826"/>
    <w:rsid w:val="00F01167"/>
    <w:rsid w:val="00F0148C"/>
    <w:rsid w:val="00F01829"/>
    <w:rsid w:val="00F03509"/>
    <w:rsid w:val="00F04E54"/>
    <w:rsid w:val="00F0611A"/>
    <w:rsid w:val="00F06EE1"/>
    <w:rsid w:val="00F11CDD"/>
    <w:rsid w:val="00F13106"/>
    <w:rsid w:val="00F13C69"/>
    <w:rsid w:val="00F13C6F"/>
    <w:rsid w:val="00F15628"/>
    <w:rsid w:val="00F16643"/>
    <w:rsid w:val="00F241B7"/>
    <w:rsid w:val="00F25A85"/>
    <w:rsid w:val="00F25BCC"/>
    <w:rsid w:val="00F26194"/>
    <w:rsid w:val="00F372AF"/>
    <w:rsid w:val="00F423E2"/>
    <w:rsid w:val="00F4437C"/>
    <w:rsid w:val="00F44EAB"/>
    <w:rsid w:val="00F47B07"/>
    <w:rsid w:val="00F47B3B"/>
    <w:rsid w:val="00F5041C"/>
    <w:rsid w:val="00F50518"/>
    <w:rsid w:val="00F509FC"/>
    <w:rsid w:val="00F5436F"/>
    <w:rsid w:val="00F569D5"/>
    <w:rsid w:val="00F57652"/>
    <w:rsid w:val="00F605FF"/>
    <w:rsid w:val="00F618D3"/>
    <w:rsid w:val="00F61C20"/>
    <w:rsid w:val="00F621B0"/>
    <w:rsid w:val="00F62799"/>
    <w:rsid w:val="00F62F4D"/>
    <w:rsid w:val="00F63441"/>
    <w:rsid w:val="00F66B07"/>
    <w:rsid w:val="00F67EE5"/>
    <w:rsid w:val="00F72BE0"/>
    <w:rsid w:val="00F741B4"/>
    <w:rsid w:val="00F75CC0"/>
    <w:rsid w:val="00F76C5B"/>
    <w:rsid w:val="00F80C42"/>
    <w:rsid w:val="00F83F3A"/>
    <w:rsid w:val="00F86F16"/>
    <w:rsid w:val="00F9163F"/>
    <w:rsid w:val="00F92D2C"/>
    <w:rsid w:val="00F97D36"/>
    <w:rsid w:val="00FA1D48"/>
    <w:rsid w:val="00FA269F"/>
    <w:rsid w:val="00FA2F7B"/>
    <w:rsid w:val="00FA3E52"/>
    <w:rsid w:val="00FA3F42"/>
    <w:rsid w:val="00FA4067"/>
    <w:rsid w:val="00FA7CB6"/>
    <w:rsid w:val="00FB2137"/>
    <w:rsid w:val="00FB27C9"/>
    <w:rsid w:val="00FB43C8"/>
    <w:rsid w:val="00FB4D9A"/>
    <w:rsid w:val="00FC013C"/>
    <w:rsid w:val="00FC226B"/>
    <w:rsid w:val="00FC3F6D"/>
    <w:rsid w:val="00FC5BBE"/>
    <w:rsid w:val="00FC70CC"/>
    <w:rsid w:val="00FC7D65"/>
    <w:rsid w:val="00FD0726"/>
    <w:rsid w:val="00FD1BEA"/>
    <w:rsid w:val="00FD445C"/>
    <w:rsid w:val="00FD5BF3"/>
    <w:rsid w:val="00FD61DC"/>
    <w:rsid w:val="00FD6E52"/>
    <w:rsid w:val="00FE082B"/>
    <w:rsid w:val="00FE1E8C"/>
    <w:rsid w:val="00FE44A7"/>
    <w:rsid w:val="00FE6985"/>
    <w:rsid w:val="00FE7C4C"/>
    <w:rsid w:val="00FF1AF3"/>
    <w:rsid w:val="00FF1FD2"/>
    <w:rsid w:val="00FF35D6"/>
    <w:rsid w:val="00FF478C"/>
    <w:rsid w:val="00FF5498"/>
    <w:rsid w:val="00FF5F4B"/>
  </w:rsids>
  <m:mathPr>
    <m:mathFont m:val="Cambria Math"/>
    <m:brkBin m:val="before"/>
    <m:brkBinSub m:val="--"/>
    <m:smallFrac m:val="0"/>
    <m:dispDef/>
    <m:lMargin m:val="0"/>
    <m:rMargin m:val="0"/>
    <m:defJc m:val="centerGroup"/>
    <m:wrapIndent m:val="1440"/>
    <m:intLim m:val="subSup"/>
    <m:naryLim m:val="undOvr"/>
  </m:mathPr>
  <w:attachedSchema w:val="urn:schemas-microsoft-com:office:smarttags"/>
  <w:themeFontLang w:val="es-ES_tradnl"/>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2050"/>
    <o:shapelayout v:ext="edit">
      <o:idmap v:ext="edit" data="2"/>
    </o:shapelayout>
  </w:shapeDefaults>
  <w:decimalSymbol w:val=","/>
  <w:listSeparator w:val=";"/>
  <w14:docId w14:val="65A2A5BE"/>
  <w14:defaultImageDpi w14:val="32767"/>
  <w15:chartTrackingRefBased/>
  <w15:docId w15:val="{9B689413-BF74-4976-A1C9-A2C30AAC5C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s-ES_tradnl"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iPriority="0" w:unhideWhenUsed="1"/>
    <w:lsdException w:name="envelope address" w:semiHidden="1" w:unhideWhenUsed="1"/>
    <w:lsdException w:name="envelope return" w:semiHidden="1" w:uiPriority="0"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iPriority="0"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220A2"/>
    <w:pPr>
      <w:pBdr>
        <w:top w:val="nil"/>
        <w:left w:val="nil"/>
        <w:bottom w:val="nil"/>
        <w:right w:val="nil"/>
        <w:between w:val="nil"/>
        <w:bar w:val="nil"/>
      </w:pBdr>
      <w:outlineLvl w:val="2"/>
    </w:pPr>
    <w:rPr>
      <w:rFonts w:ascii="Arial" w:eastAsia="Cambria" w:hAnsi="Arial" w:cs="Arial"/>
      <w:color w:val="000000"/>
      <w:u w:color="000000"/>
      <w:bdr w:val="nil"/>
      <w:lang w:val="es-ES" w:eastAsia="es-ES_tradnl"/>
    </w:rPr>
  </w:style>
  <w:style w:type="paragraph" w:styleId="Ttulo1">
    <w:name w:val="heading 1"/>
    <w:basedOn w:val="Prrafodelista"/>
    <w:next w:val="Normal"/>
    <w:link w:val="Ttulo1Car"/>
    <w:qFormat/>
    <w:rsid w:val="00A06021"/>
    <w:pPr>
      <w:numPr>
        <w:numId w:val="4"/>
      </w:numPr>
      <w:outlineLvl w:val="0"/>
    </w:pPr>
    <w:rPr>
      <w:rFonts w:ascii="Arial" w:hAnsi="Arial" w:cs="Arial"/>
      <w:b/>
    </w:rPr>
  </w:style>
  <w:style w:type="paragraph" w:styleId="Ttulo2">
    <w:name w:val="heading 2"/>
    <w:basedOn w:val="Ttulo1"/>
    <w:next w:val="Normal"/>
    <w:link w:val="Ttulo2Car"/>
    <w:unhideWhenUsed/>
    <w:qFormat/>
    <w:rsid w:val="00A06021"/>
    <w:pPr>
      <w:numPr>
        <w:ilvl w:val="1"/>
      </w:numPr>
      <w:outlineLvl w:val="1"/>
    </w:pPr>
  </w:style>
  <w:style w:type="paragraph" w:styleId="Ttulo3">
    <w:name w:val="heading 3"/>
    <w:basedOn w:val="Ttulo2"/>
    <w:next w:val="Normal"/>
    <w:link w:val="Ttulo3Car"/>
    <w:unhideWhenUsed/>
    <w:qFormat/>
    <w:rsid w:val="00A06021"/>
    <w:pPr>
      <w:numPr>
        <w:ilvl w:val="2"/>
      </w:numPr>
      <w:outlineLvl w:val="2"/>
    </w:pPr>
  </w:style>
  <w:style w:type="paragraph" w:styleId="Ttulo4">
    <w:name w:val="heading 4"/>
    <w:basedOn w:val="Normal"/>
    <w:next w:val="Normal"/>
    <w:link w:val="Ttulo4Car"/>
    <w:uiPriority w:val="9"/>
    <w:qFormat/>
    <w:rsid w:val="006220A2"/>
    <w:pPr>
      <w:keepNext/>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37"/>
      <w:jc w:val="both"/>
      <w:outlineLvl w:val="3"/>
    </w:pPr>
    <w:rPr>
      <w:rFonts w:ascii="CG Omega" w:eastAsia="Times New Roman" w:hAnsi="CG Omega" w:cs="Times New Roman"/>
      <w:snapToGrid w:val="0"/>
      <w:sz w:val="22"/>
      <w:szCs w:val="20"/>
      <w:u w:val="single"/>
      <w:bdr w:val="none" w:sz="0" w:space="0" w:color="auto"/>
      <w:lang w:eastAsia="es-ES"/>
    </w:rPr>
  </w:style>
  <w:style w:type="paragraph" w:styleId="Ttulo5">
    <w:name w:val="heading 5"/>
    <w:basedOn w:val="Normal"/>
    <w:next w:val="Normal"/>
    <w:link w:val="Ttulo5Car"/>
    <w:uiPriority w:val="9"/>
    <w:unhideWhenUsed/>
    <w:qFormat/>
    <w:rsid w:val="006220A2"/>
    <w:pPr>
      <w:keepNext/>
      <w:keepLines/>
      <w:spacing w:before="40"/>
      <w:outlineLvl w:val="4"/>
    </w:pPr>
    <w:rPr>
      <w:rFonts w:asciiTheme="majorHAnsi" w:eastAsiaTheme="majorEastAsia" w:hAnsiTheme="majorHAnsi" w:cstheme="majorBidi"/>
      <w:color w:val="2F5496" w:themeColor="accent1" w:themeShade="BF"/>
    </w:rPr>
  </w:style>
  <w:style w:type="paragraph" w:styleId="Ttulo6">
    <w:name w:val="heading 6"/>
    <w:basedOn w:val="Normal"/>
    <w:next w:val="Normal"/>
    <w:link w:val="Ttulo6Car"/>
    <w:uiPriority w:val="9"/>
    <w:qFormat/>
    <w:rsid w:val="006220A2"/>
    <w:pPr>
      <w:keepNext/>
      <w:widowControl w:val="0"/>
      <w:pBdr>
        <w:top w:val="none" w:sz="0" w:space="0" w:color="auto"/>
        <w:left w:val="none" w:sz="0" w:space="0" w:color="auto"/>
        <w:bottom w:val="none" w:sz="0" w:space="0" w:color="auto"/>
        <w:right w:val="none" w:sz="0" w:space="0" w:color="auto"/>
        <w:between w:val="none" w:sz="0" w:space="0" w:color="auto"/>
        <w:bar w:val="none" w:sz="0" w:color="auto"/>
      </w:pBdr>
      <w:spacing w:line="187" w:lineRule="exact"/>
      <w:outlineLvl w:val="5"/>
    </w:pPr>
    <w:rPr>
      <w:rFonts w:ascii="CG Omega" w:eastAsia="Times New Roman" w:hAnsi="CG Omega" w:cs="Times New Roman"/>
      <w:b/>
      <w:snapToGrid w:val="0"/>
      <w:sz w:val="20"/>
      <w:szCs w:val="20"/>
      <w:bdr w:val="none" w:sz="0" w:space="0" w:color="auto"/>
      <w:lang w:eastAsia="es-ES"/>
    </w:rPr>
  </w:style>
  <w:style w:type="paragraph" w:styleId="Ttulo7">
    <w:name w:val="heading 7"/>
    <w:basedOn w:val="Normal"/>
    <w:next w:val="Normal"/>
    <w:link w:val="Ttulo7Car"/>
    <w:uiPriority w:val="9"/>
    <w:qFormat/>
    <w:rsid w:val="006220A2"/>
    <w:pPr>
      <w:keepNext/>
      <w:widowControl w:val="0"/>
      <w:pBdr>
        <w:top w:val="none" w:sz="0" w:space="0" w:color="auto"/>
        <w:left w:val="none" w:sz="0" w:space="0" w:color="auto"/>
        <w:bottom w:val="none" w:sz="0" w:space="0" w:color="auto"/>
        <w:right w:val="none" w:sz="0" w:space="0" w:color="auto"/>
        <w:between w:val="none" w:sz="0" w:space="0" w:color="auto"/>
        <w:bar w:val="none" w:sz="0" w:color="auto"/>
      </w:pBdr>
      <w:spacing w:line="187" w:lineRule="exact"/>
      <w:outlineLvl w:val="6"/>
    </w:pPr>
    <w:rPr>
      <w:rFonts w:ascii="CG Omega" w:eastAsia="Times New Roman" w:hAnsi="CG Omega" w:cs="Times New Roman"/>
      <w:b/>
      <w:snapToGrid w:val="0"/>
      <w:sz w:val="18"/>
      <w:szCs w:val="20"/>
      <w:bdr w:val="none" w:sz="0" w:space="0" w:color="auto"/>
      <w:lang w:eastAsia="es-ES"/>
    </w:rPr>
  </w:style>
  <w:style w:type="paragraph" w:styleId="Ttulo8">
    <w:name w:val="heading 8"/>
    <w:basedOn w:val="Normal"/>
    <w:next w:val="Normal"/>
    <w:link w:val="Ttulo8Car"/>
    <w:uiPriority w:val="9"/>
    <w:qFormat/>
    <w:rsid w:val="006220A2"/>
    <w:pPr>
      <w:keepNext/>
      <w:widowControl w:val="0"/>
      <w:pBdr>
        <w:top w:val="none" w:sz="0" w:space="0" w:color="auto"/>
        <w:left w:val="none" w:sz="0" w:space="0" w:color="auto"/>
        <w:bottom w:val="none" w:sz="0" w:space="0" w:color="auto"/>
        <w:right w:val="none" w:sz="0" w:space="0" w:color="auto"/>
        <w:between w:val="none" w:sz="0" w:space="0" w:color="auto"/>
        <w:bar w:val="none" w:sz="0" w:color="auto"/>
      </w:pBdr>
      <w:outlineLvl w:val="7"/>
    </w:pPr>
    <w:rPr>
      <w:rFonts w:ascii="CG Omega" w:eastAsia="Times New Roman" w:hAnsi="CG Omega" w:cs="Times New Roman"/>
      <w:b/>
      <w:snapToGrid w:val="0"/>
      <w:sz w:val="18"/>
      <w:szCs w:val="20"/>
      <w:u w:val="single"/>
      <w:bdr w:val="none" w:sz="0" w:space="0" w:color="auto"/>
      <w:lang w:eastAsia="es-ES"/>
    </w:rPr>
  </w:style>
  <w:style w:type="paragraph" w:styleId="Ttulo9">
    <w:name w:val="heading 9"/>
    <w:basedOn w:val="Normal"/>
    <w:next w:val="Normal"/>
    <w:link w:val="Ttulo9Car"/>
    <w:uiPriority w:val="9"/>
    <w:qFormat/>
    <w:rsid w:val="006220A2"/>
    <w:pPr>
      <w:keepNext/>
      <w:widowControl w:val="0"/>
      <w:pBdr>
        <w:top w:val="none" w:sz="0" w:space="0" w:color="auto"/>
        <w:left w:val="none" w:sz="0" w:space="0" w:color="auto"/>
        <w:bottom w:val="none" w:sz="0" w:space="0" w:color="auto"/>
        <w:right w:val="none" w:sz="0" w:space="0" w:color="auto"/>
        <w:between w:val="none" w:sz="0" w:space="0" w:color="auto"/>
        <w:bar w:val="none" w:sz="0" w:color="auto"/>
      </w:pBdr>
      <w:jc w:val="right"/>
      <w:outlineLvl w:val="8"/>
    </w:pPr>
    <w:rPr>
      <w:rFonts w:ascii="CG Omega" w:eastAsia="Times New Roman" w:hAnsi="CG Omega" w:cs="Times New Roman"/>
      <w:b/>
      <w:snapToGrid w:val="0"/>
      <w:sz w:val="18"/>
      <w:szCs w:val="20"/>
      <w:bdr w:val="none" w:sz="0" w:space="0" w:color="auto"/>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nhideWhenUsed/>
    <w:rsid w:val="007804E8"/>
    <w:pPr>
      <w:tabs>
        <w:tab w:val="center" w:pos="4252"/>
        <w:tab w:val="right" w:pos="8504"/>
      </w:tabs>
    </w:pPr>
  </w:style>
  <w:style w:type="character" w:customStyle="1" w:styleId="EncabezadoCar">
    <w:name w:val="Encabezado Car"/>
    <w:basedOn w:val="Fuentedeprrafopredeter"/>
    <w:link w:val="Encabezado"/>
    <w:rsid w:val="007804E8"/>
    <w:rPr>
      <w:rFonts w:eastAsiaTheme="minorEastAsia"/>
    </w:rPr>
  </w:style>
  <w:style w:type="paragraph" w:styleId="Piedepgina">
    <w:name w:val="footer"/>
    <w:basedOn w:val="Normal"/>
    <w:link w:val="PiedepginaCar"/>
    <w:uiPriority w:val="99"/>
    <w:unhideWhenUsed/>
    <w:rsid w:val="007804E8"/>
    <w:pPr>
      <w:tabs>
        <w:tab w:val="center" w:pos="4252"/>
        <w:tab w:val="right" w:pos="8504"/>
      </w:tabs>
    </w:pPr>
  </w:style>
  <w:style w:type="character" w:customStyle="1" w:styleId="PiedepginaCar">
    <w:name w:val="Pie de página Car"/>
    <w:basedOn w:val="Fuentedeprrafopredeter"/>
    <w:link w:val="Piedepgina"/>
    <w:uiPriority w:val="99"/>
    <w:rsid w:val="007804E8"/>
    <w:rPr>
      <w:rFonts w:eastAsiaTheme="minorEastAsia"/>
    </w:rPr>
  </w:style>
  <w:style w:type="paragraph" w:customStyle="1" w:styleId="Cuerpo">
    <w:name w:val="Cuerpo"/>
    <w:rsid w:val="0075646D"/>
    <w:pPr>
      <w:pBdr>
        <w:top w:val="nil"/>
        <w:left w:val="nil"/>
        <w:bottom w:val="nil"/>
        <w:right w:val="nil"/>
        <w:between w:val="nil"/>
        <w:bar w:val="nil"/>
      </w:pBdr>
    </w:pPr>
    <w:rPr>
      <w:rFonts w:ascii="Cambria" w:eastAsia="Cambria" w:hAnsi="Cambria" w:cs="Cambria"/>
      <w:color w:val="000000"/>
      <w:u w:color="000000"/>
      <w:bdr w:val="nil"/>
      <w:lang w:eastAsia="es-ES_tradnl"/>
    </w:rPr>
  </w:style>
  <w:style w:type="character" w:customStyle="1" w:styleId="Ninguno">
    <w:name w:val="Ninguno"/>
    <w:rsid w:val="0075646D"/>
    <w:rPr>
      <w:lang w:val="es-ES_tradnl"/>
    </w:rPr>
  </w:style>
  <w:style w:type="paragraph" w:styleId="Prrafodelista">
    <w:name w:val="List Paragraph"/>
    <w:link w:val="PrrafodelistaCar"/>
    <w:uiPriority w:val="34"/>
    <w:qFormat/>
    <w:rsid w:val="0075646D"/>
    <w:pPr>
      <w:pBdr>
        <w:top w:val="nil"/>
        <w:left w:val="nil"/>
        <w:bottom w:val="nil"/>
        <w:right w:val="nil"/>
        <w:between w:val="nil"/>
        <w:bar w:val="nil"/>
      </w:pBdr>
      <w:ind w:left="720"/>
    </w:pPr>
    <w:rPr>
      <w:rFonts w:ascii="Cambria" w:eastAsia="Cambria" w:hAnsi="Cambria" w:cs="Cambria"/>
      <w:color w:val="000000"/>
      <w:u w:color="000000"/>
      <w:bdr w:val="nil"/>
      <w:lang w:eastAsia="es-ES_tradnl"/>
    </w:rPr>
  </w:style>
  <w:style w:type="numbering" w:customStyle="1" w:styleId="Estiloimportado1">
    <w:name w:val="Estilo importado 1"/>
    <w:rsid w:val="0075646D"/>
    <w:pPr>
      <w:numPr>
        <w:numId w:val="1"/>
      </w:numPr>
    </w:pPr>
  </w:style>
  <w:style w:type="character" w:customStyle="1" w:styleId="Hyperlink0">
    <w:name w:val="Hyperlink.0"/>
    <w:basedOn w:val="Hipervnculo"/>
    <w:rsid w:val="0075646D"/>
    <w:rPr>
      <w:color w:val="0000FF"/>
      <w:u w:val="single" w:color="0000FF"/>
    </w:rPr>
  </w:style>
  <w:style w:type="numbering" w:customStyle="1" w:styleId="Estiloimportado10">
    <w:name w:val="Estilo importado 1.0"/>
    <w:rsid w:val="0075646D"/>
    <w:pPr>
      <w:numPr>
        <w:numId w:val="2"/>
      </w:numPr>
    </w:pPr>
  </w:style>
  <w:style w:type="character" w:customStyle="1" w:styleId="Hyperlink1">
    <w:name w:val="Hyperlink.1"/>
    <w:basedOn w:val="Hyperlink0"/>
    <w:rsid w:val="0075646D"/>
    <w:rPr>
      <w:color w:val="000000"/>
      <w:u w:val="single" w:color="0000FF"/>
    </w:rPr>
  </w:style>
  <w:style w:type="numbering" w:customStyle="1" w:styleId="Estiloimportado3">
    <w:name w:val="Estilo importado 3"/>
    <w:rsid w:val="0075646D"/>
    <w:pPr>
      <w:numPr>
        <w:numId w:val="3"/>
      </w:numPr>
    </w:pPr>
  </w:style>
  <w:style w:type="paragraph" w:customStyle="1" w:styleId="Poromisin">
    <w:name w:val="Por omisión"/>
    <w:rsid w:val="0075646D"/>
    <w:pPr>
      <w:pBdr>
        <w:top w:val="nil"/>
        <w:left w:val="nil"/>
        <w:bottom w:val="nil"/>
        <w:right w:val="nil"/>
        <w:between w:val="nil"/>
        <w:bar w:val="nil"/>
      </w:pBdr>
    </w:pPr>
    <w:rPr>
      <w:rFonts w:ascii="Helvetica Neue" w:eastAsia="Helvetica Neue" w:hAnsi="Helvetica Neue" w:cs="Helvetica Neue"/>
      <w:color w:val="000000"/>
      <w:sz w:val="22"/>
      <w:szCs w:val="22"/>
      <w:bdr w:val="nil"/>
      <w:lang w:eastAsia="es-ES_tradnl"/>
    </w:rPr>
  </w:style>
  <w:style w:type="character" w:styleId="Hipervnculo">
    <w:name w:val="Hyperlink"/>
    <w:basedOn w:val="Fuentedeprrafopredeter"/>
    <w:uiPriority w:val="99"/>
    <w:unhideWhenUsed/>
    <w:rsid w:val="0075646D"/>
    <w:rPr>
      <w:color w:val="0563C1" w:themeColor="hyperlink"/>
      <w:u w:val="single"/>
    </w:rPr>
  </w:style>
  <w:style w:type="character" w:customStyle="1" w:styleId="Ttulo1Car">
    <w:name w:val="Título 1 Car"/>
    <w:basedOn w:val="Fuentedeprrafopredeter"/>
    <w:link w:val="Ttulo1"/>
    <w:rsid w:val="00A06021"/>
    <w:rPr>
      <w:rFonts w:ascii="Arial" w:eastAsia="Cambria" w:hAnsi="Arial" w:cs="Arial"/>
      <w:b/>
      <w:color w:val="000000"/>
      <w:u w:color="000000"/>
      <w:bdr w:val="nil"/>
      <w:lang w:eastAsia="es-ES_tradnl"/>
    </w:rPr>
  </w:style>
  <w:style w:type="character" w:customStyle="1" w:styleId="Ttulo2Car">
    <w:name w:val="Título 2 Car"/>
    <w:basedOn w:val="Fuentedeprrafopredeter"/>
    <w:link w:val="Ttulo2"/>
    <w:rsid w:val="00A06021"/>
    <w:rPr>
      <w:rFonts w:ascii="Arial" w:eastAsia="Cambria" w:hAnsi="Arial" w:cs="Arial"/>
      <w:b/>
      <w:color w:val="000000"/>
      <w:u w:color="000000"/>
      <w:bdr w:val="nil"/>
      <w:lang w:eastAsia="es-ES_tradnl"/>
    </w:rPr>
  </w:style>
  <w:style w:type="character" w:customStyle="1" w:styleId="Ttulo3Car">
    <w:name w:val="Título 3 Car"/>
    <w:basedOn w:val="Fuentedeprrafopredeter"/>
    <w:link w:val="Ttulo3"/>
    <w:rsid w:val="00A06021"/>
    <w:rPr>
      <w:rFonts w:ascii="Arial" w:eastAsia="Cambria" w:hAnsi="Arial" w:cs="Arial"/>
      <w:b/>
      <w:color w:val="000000"/>
      <w:u w:color="000000"/>
      <w:bdr w:val="nil"/>
      <w:lang w:eastAsia="es-ES_tradnl"/>
    </w:rPr>
  </w:style>
  <w:style w:type="paragraph" w:customStyle="1" w:styleId="bullet">
    <w:name w:val="bullet"/>
    <w:basedOn w:val="Prrafodelista"/>
    <w:link w:val="bulletCar"/>
    <w:rsid w:val="00D95B27"/>
    <w:pPr>
      <w:numPr>
        <w:numId w:val="5"/>
      </w:numPr>
      <w:pBdr>
        <w:top w:val="none" w:sz="0" w:space="0" w:color="auto"/>
        <w:left w:val="none" w:sz="0" w:space="0" w:color="auto"/>
        <w:bottom w:val="none" w:sz="0" w:space="0" w:color="auto"/>
        <w:right w:val="none" w:sz="0" w:space="0" w:color="auto"/>
        <w:between w:val="none" w:sz="0" w:space="0" w:color="auto"/>
        <w:bar w:val="none" w:sz="0" w:color="auto"/>
      </w:pBdr>
    </w:pPr>
    <w:rPr>
      <w:rFonts w:ascii="Arial" w:hAnsi="Arial" w:cs="Arial"/>
    </w:rPr>
  </w:style>
  <w:style w:type="character" w:customStyle="1" w:styleId="PrrafodelistaCar">
    <w:name w:val="Párrafo de lista Car"/>
    <w:basedOn w:val="Fuentedeprrafopredeter"/>
    <w:link w:val="Prrafodelista"/>
    <w:uiPriority w:val="34"/>
    <w:rsid w:val="00D95B27"/>
    <w:rPr>
      <w:rFonts w:ascii="Cambria" w:eastAsia="Cambria" w:hAnsi="Cambria" w:cs="Cambria"/>
      <w:color w:val="000000"/>
      <w:u w:color="000000"/>
      <w:bdr w:val="nil"/>
      <w:lang w:eastAsia="es-ES_tradnl"/>
    </w:rPr>
  </w:style>
  <w:style w:type="character" w:customStyle="1" w:styleId="bulletCar">
    <w:name w:val="bullet Car"/>
    <w:basedOn w:val="PrrafodelistaCar"/>
    <w:link w:val="bullet"/>
    <w:rsid w:val="00D95B27"/>
    <w:rPr>
      <w:rFonts w:ascii="Arial" w:eastAsia="Cambria" w:hAnsi="Arial" w:cs="Arial"/>
      <w:color w:val="000000"/>
      <w:u w:color="000000"/>
      <w:bdr w:val="nil"/>
      <w:lang w:eastAsia="es-ES_tradnl"/>
    </w:rPr>
  </w:style>
  <w:style w:type="paragraph" w:customStyle="1" w:styleId="TextePrinc">
    <w:name w:val="TextePrinc"/>
    <w:basedOn w:val="Normal"/>
    <w:rsid w:val="006220A2"/>
    <w:pPr>
      <w:pBdr>
        <w:top w:val="none" w:sz="0" w:space="0" w:color="auto"/>
        <w:left w:val="none" w:sz="0" w:space="0" w:color="auto"/>
        <w:bottom w:val="none" w:sz="0" w:space="0" w:color="auto"/>
        <w:right w:val="none" w:sz="0" w:space="0" w:color="auto"/>
        <w:between w:val="none" w:sz="0" w:space="0" w:color="auto"/>
        <w:bar w:val="none" w:sz="0" w:color="auto"/>
      </w:pBdr>
      <w:tabs>
        <w:tab w:val="left" w:pos="1413"/>
        <w:tab w:val="left" w:pos="2122"/>
        <w:tab w:val="left" w:pos="2832"/>
        <w:tab w:val="left" w:pos="3538"/>
        <w:tab w:val="left" w:pos="4248"/>
        <w:tab w:val="left" w:pos="4957"/>
        <w:tab w:val="left" w:pos="5661"/>
        <w:tab w:val="left" w:pos="6368"/>
        <w:tab w:val="left" w:pos="7077"/>
        <w:tab w:val="left" w:pos="7787"/>
        <w:tab w:val="left" w:pos="8496"/>
      </w:tabs>
      <w:overflowPunct w:val="0"/>
      <w:autoSpaceDE w:val="0"/>
      <w:autoSpaceDN w:val="0"/>
      <w:adjustRightInd w:val="0"/>
      <w:textAlignment w:val="baseline"/>
      <w:outlineLvl w:val="9"/>
    </w:pPr>
    <w:rPr>
      <w:rFonts w:eastAsia="Times New Roman" w:cs="Times New Roman"/>
      <w:noProof/>
      <w:sz w:val="18"/>
      <w:szCs w:val="20"/>
      <w:bdr w:val="none" w:sz="0" w:space="0" w:color="auto"/>
      <w:lang w:eastAsia="es-ES"/>
    </w:rPr>
  </w:style>
  <w:style w:type="character" w:customStyle="1" w:styleId="Ttulo5Car">
    <w:name w:val="Título 5 Car"/>
    <w:basedOn w:val="Fuentedeprrafopredeter"/>
    <w:link w:val="Ttulo5"/>
    <w:uiPriority w:val="9"/>
    <w:rsid w:val="006220A2"/>
    <w:rPr>
      <w:rFonts w:asciiTheme="majorHAnsi" w:eastAsiaTheme="majorEastAsia" w:hAnsiTheme="majorHAnsi" w:cstheme="majorBidi"/>
      <w:color w:val="2F5496" w:themeColor="accent1" w:themeShade="BF"/>
      <w:u w:color="000000"/>
      <w:bdr w:val="nil"/>
      <w:lang w:val="es-ES" w:eastAsia="es-ES_tradnl"/>
    </w:rPr>
  </w:style>
  <w:style w:type="character" w:customStyle="1" w:styleId="Ttulo4Car">
    <w:name w:val="Título 4 Car"/>
    <w:basedOn w:val="Fuentedeprrafopredeter"/>
    <w:link w:val="Ttulo4"/>
    <w:uiPriority w:val="9"/>
    <w:rsid w:val="006220A2"/>
    <w:rPr>
      <w:rFonts w:ascii="CG Omega" w:eastAsia="Times New Roman" w:hAnsi="CG Omega" w:cs="Times New Roman"/>
      <w:snapToGrid w:val="0"/>
      <w:color w:val="000000"/>
      <w:sz w:val="22"/>
      <w:szCs w:val="20"/>
      <w:u w:val="single" w:color="000000"/>
      <w:lang w:val="es-ES" w:eastAsia="es-ES"/>
    </w:rPr>
  </w:style>
  <w:style w:type="character" w:customStyle="1" w:styleId="Ttulo6Car">
    <w:name w:val="Título 6 Car"/>
    <w:basedOn w:val="Fuentedeprrafopredeter"/>
    <w:link w:val="Ttulo6"/>
    <w:uiPriority w:val="9"/>
    <w:rsid w:val="006220A2"/>
    <w:rPr>
      <w:rFonts w:ascii="CG Omega" w:eastAsia="Times New Roman" w:hAnsi="CG Omega" w:cs="Times New Roman"/>
      <w:b/>
      <w:snapToGrid w:val="0"/>
      <w:color w:val="000000"/>
      <w:sz w:val="20"/>
      <w:szCs w:val="20"/>
      <w:u w:color="000000"/>
      <w:lang w:val="es-ES" w:eastAsia="es-ES"/>
    </w:rPr>
  </w:style>
  <w:style w:type="character" w:customStyle="1" w:styleId="Ttulo7Car">
    <w:name w:val="Título 7 Car"/>
    <w:basedOn w:val="Fuentedeprrafopredeter"/>
    <w:link w:val="Ttulo7"/>
    <w:uiPriority w:val="9"/>
    <w:rsid w:val="006220A2"/>
    <w:rPr>
      <w:rFonts w:ascii="CG Omega" w:eastAsia="Times New Roman" w:hAnsi="CG Omega" w:cs="Times New Roman"/>
      <w:b/>
      <w:snapToGrid w:val="0"/>
      <w:color w:val="000000"/>
      <w:sz w:val="18"/>
      <w:szCs w:val="20"/>
      <w:u w:color="000000"/>
      <w:lang w:val="es-ES" w:eastAsia="es-ES"/>
    </w:rPr>
  </w:style>
  <w:style w:type="character" w:customStyle="1" w:styleId="Ttulo8Car">
    <w:name w:val="Título 8 Car"/>
    <w:basedOn w:val="Fuentedeprrafopredeter"/>
    <w:link w:val="Ttulo8"/>
    <w:uiPriority w:val="9"/>
    <w:rsid w:val="006220A2"/>
    <w:rPr>
      <w:rFonts w:ascii="CG Omega" w:eastAsia="Times New Roman" w:hAnsi="CG Omega" w:cs="Times New Roman"/>
      <w:b/>
      <w:snapToGrid w:val="0"/>
      <w:color w:val="000000"/>
      <w:sz w:val="18"/>
      <w:szCs w:val="20"/>
      <w:u w:val="single" w:color="000000"/>
      <w:lang w:val="es-ES" w:eastAsia="es-ES"/>
    </w:rPr>
  </w:style>
  <w:style w:type="character" w:customStyle="1" w:styleId="Ttulo9Car">
    <w:name w:val="Título 9 Car"/>
    <w:basedOn w:val="Fuentedeprrafopredeter"/>
    <w:link w:val="Ttulo9"/>
    <w:uiPriority w:val="9"/>
    <w:rsid w:val="006220A2"/>
    <w:rPr>
      <w:rFonts w:ascii="CG Omega" w:eastAsia="Times New Roman" w:hAnsi="CG Omega" w:cs="Times New Roman"/>
      <w:b/>
      <w:snapToGrid w:val="0"/>
      <w:color w:val="000000"/>
      <w:sz w:val="18"/>
      <w:szCs w:val="20"/>
      <w:u w:color="000000"/>
      <w:lang w:val="es-ES" w:eastAsia="es-ES"/>
    </w:rPr>
  </w:style>
  <w:style w:type="character" w:styleId="Nmerodepgina">
    <w:name w:val="page number"/>
    <w:basedOn w:val="Fuentedeprrafopredeter"/>
    <w:rsid w:val="006220A2"/>
  </w:style>
  <w:style w:type="paragraph" w:styleId="Sangradetextonormal">
    <w:name w:val="Body Text Indent"/>
    <w:basedOn w:val="Normal"/>
    <w:link w:val="SangradetextonormalCar"/>
    <w:rsid w:val="006220A2"/>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37"/>
      <w:outlineLvl w:val="9"/>
    </w:pPr>
    <w:rPr>
      <w:rFonts w:ascii="CG Omega" w:eastAsia="Times New Roman" w:hAnsi="CG Omega" w:cs="Times New Roman"/>
      <w:snapToGrid w:val="0"/>
      <w:szCs w:val="20"/>
      <w:bdr w:val="none" w:sz="0" w:space="0" w:color="auto"/>
      <w:lang w:eastAsia="es-ES"/>
    </w:rPr>
  </w:style>
  <w:style w:type="character" w:customStyle="1" w:styleId="SangradetextonormalCar">
    <w:name w:val="Sangría de texto normal Car"/>
    <w:basedOn w:val="Fuentedeprrafopredeter"/>
    <w:link w:val="Sangradetextonormal"/>
    <w:rsid w:val="006220A2"/>
    <w:rPr>
      <w:rFonts w:ascii="CG Omega" w:eastAsia="Times New Roman" w:hAnsi="CG Omega" w:cs="Times New Roman"/>
      <w:snapToGrid w:val="0"/>
      <w:color w:val="000000"/>
      <w:szCs w:val="20"/>
      <w:u w:color="000000"/>
      <w:lang w:val="es-ES" w:eastAsia="es-ES"/>
    </w:rPr>
  </w:style>
  <w:style w:type="paragraph" w:styleId="Mapadeldocumento">
    <w:name w:val="Document Map"/>
    <w:basedOn w:val="Normal"/>
    <w:link w:val="MapadeldocumentoCar"/>
    <w:semiHidden/>
    <w:rsid w:val="006220A2"/>
    <w:pPr>
      <w:pBdr>
        <w:top w:val="none" w:sz="0" w:space="0" w:color="auto"/>
        <w:left w:val="none" w:sz="0" w:space="0" w:color="auto"/>
        <w:bottom w:val="none" w:sz="0" w:space="0" w:color="auto"/>
        <w:right w:val="none" w:sz="0" w:space="0" w:color="auto"/>
        <w:between w:val="none" w:sz="0" w:space="0" w:color="auto"/>
        <w:bar w:val="none" w:sz="0" w:color="auto"/>
      </w:pBdr>
      <w:shd w:val="clear" w:color="auto" w:fill="000080"/>
      <w:outlineLvl w:val="9"/>
    </w:pPr>
    <w:rPr>
      <w:rFonts w:ascii="Tahoma" w:eastAsia="Times New Roman" w:hAnsi="Tahoma" w:cs="Times New Roman"/>
      <w:color w:val="auto"/>
      <w:sz w:val="22"/>
      <w:szCs w:val="20"/>
      <w:bdr w:val="none" w:sz="0" w:space="0" w:color="auto"/>
      <w:lang w:eastAsia="en-US"/>
    </w:rPr>
  </w:style>
  <w:style w:type="character" w:customStyle="1" w:styleId="MapadeldocumentoCar">
    <w:name w:val="Mapa del documento Car"/>
    <w:basedOn w:val="Fuentedeprrafopredeter"/>
    <w:link w:val="Mapadeldocumento"/>
    <w:semiHidden/>
    <w:rsid w:val="006220A2"/>
    <w:rPr>
      <w:rFonts w:ascii="Tahoma" w:eastAsia="Times New Roman" w:hAnsi="Tahoma" w:cs="Times New Roman"/>
      <w:sz w:val="22"/>
      <w:szCs w:val="20"/>
      <w:u w:color="000000"/>
      <w:shd w:val="clear" w:color="auto" w:fill="000080"/>
      <w:lang w:val="es-ES"/>
    </w:rPr>
  </w:style>
  <w:style w:type="paragraph" w:styleId="Textoindependiente">
    <w:name w:val="Body Text"/>
    <w:basedOn w:val="Normal"/>
    <w:link w:val="TextoindependienteCar"/>
    <w:rsid w:val="006220A2"/>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utlineLvl w:val="0"/>
    </w:pPr>
    <w:rPr>
      <w:rFonts w:ascii="CG Omega" w:eastAsia="Times New Roman" w:hAnsi="CG Omega" w:cs="Times New Roman"/>
      <w:i/>
      <w:snapToGrid w:val="0"/>
      <w:color w:val="FF0000"/>
      <w:sz w:val="28"/>
      <w:szCs w:val="20"/>
      <w:bdr w:val="none" w:sz="0" w:space="0" w:color="auto"/>
      <w:lang w:eastAsia="es-ES"/>
    </w:rPr>
  </w:style>
  <w:style w:type="character" w:customStyle="1" w:styleId="TextoindependienteCar">
    <w:name w:val="Texto independiente Car"/>
    <w:basedOn w:val="Fuentedeprrafopredeter"/>
    <w:link w:val="Textoindependiente"/>
    <w:rsid w:val="006220A2"/>
    <w:rPr>
      <w:rFonts w:ascii="CG Omega" w:eastAsia="Times New Roman" w:hAnsi="CG Omega" w:cs="Times New Roman"/>
      <w:i/>
      <w:snapToGrid w:val="0"/>
      <w:color w:val="FF0000"/>
      <w:sz w:val="28"/>
      <w:szCs w:val="20"/>
      <w:u w:color="000000"/>
      <w:lang w:val="es-ES" w:eastAsia="es-ES"/>
    </w:rPr>
  </w:style>
  <w:style w:type="paragraph" w:styleId="Sangra2detindependiente">
    <w:name w:val="Body Text Indent 2"/>
    <w:basedOn w:val="Normal"/>
    <w:link w:val="Sangra2detindependienteCar"/>
    <w:rsid w:val="006220A2"/>
    <w:pPr>
      <w:keepLines/>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09"/>
      <w:outlineLvl w:val="9"/>
    </w:pPr>
    <w:rPr>
      <w:rFonts w:ascii="CG Omega" w:eastAsia="Times New Roman" w:hAnsi="CG Omega" w:cs="Times New Roman"/>
      <w:snapToGrid w:val="0"/>
      <w:sz w:val="22"/>
      <w:szCs w:val="20"/>
      <w:bdr w:val="none" w:sz="0" w:space="0" w:color="auto"/>
      <w:lang w:eastAsia="es-ES"/>
    </w:rPr>
  </w:style>
  <w:style w:type="character" w:customStyle="1" w:styleId="Sangra2detindependienteCar">
    <w:name w:val="Sangría 2 de t. independiente Car"/>
    <w:basedOn w:val="Fuentedeprrafopredeter"/>
    <w:link w:val="Sangra2detindependiente"/>
    <w:rsid w:val="006220A2"/>
    <w:rPr>
      <w:rFonts w:ascii="CG Omega" w:eastAsia="Times New Roman" w:hAnsi="CG Omega" w:cs="Times New Roman"/>
      <w:snapToGrid w:val="0"/>
      <w:color w:val="000000"/>
      <w:sz w:val="22"/>
      <w:szCs w:val="20"/>
      <w:u w:color="000000"/>
      <w:lang w:val="es-ES" w:eastAsia="es-ES"/>
    </w:rPr>
  </w:style>
  <w:style w:type="paragraph" w:styleId="Textoindependiente2">
    <w:name w:val="Body Text 2"/>
    <w:basedOn w:val="Normal"/>
    <w:link w:val="Textoindependiente2Car"/>
    <w:rsid w:val="006220A2"/>
    <w:pPr>
      <w:widowControl w:val="0"/>
      <w:pBdr>
        <w:top w:val="none" w:sz="0" w:space="0" w:color="auto"/>
        <w:left w:val="none" w:sz="0" w:space="0" w:color="auto"/>
        <w:bottom w:val="none" w:sz="0" w:space="0" w:color="auto"/>
        <w:right w:val="none" w:sz="0" w:space="0" w:color="auto"/>
        <w:between w:val="none" w:sz="0" w:space="0" w:color="auto"/>
        <w:bar w:val="none" w:sz="0" w:color="auto"/>
      </w:pBdr>
      <w:jc w:val="both"/>
      <w:outlineLvl w:val="9"/>
    </w:pPr>
    <w:rPr>
      <w:rFonts w:ascii="CG Omega" w:eastAsia="Times New Roman" w:hAnsi="CG Omega" w:cs="Times New Roman"/>
      <w:i/>
      <w:snapToGrid w:val="0"/>
      <w:sz w:val="22"/>
      <w:szCs w:val="20"/>
      <w:bdr w:val="none" w:sz="0" w:space="0" w:color="auto"/>
      <w:lang w:eastAsia="es-ES"/>
    </w:rPr>
  </w:style>
  <w:style w:type="character" w:customStyle="1" w:styleId="Textoindependiente2Car">
    <w:name w:val="Texto independiente 2 Car"/>
    <w:basedOn w:val="Fuentedeprrafopredeter"/>
    <w:link w:val="Textoindependiente2"/>
    <w:rsid w:val="006220A2"/>
    <w:rPr>
      <w:rFonts w:ascii="CG Omega" w:eastAsia="Times New Roman" w:hAnsi="CG Omega" w:cs="Times New Roman"/>
      <w:i/>
      <w:snapToGrid w:val="0"/>
      <w:color w:val="000000"/>
      <w:sz w:val="22"/>
      <w:szCs w:val="20"/>
      <w:u w:color="000000"/>
      <w:lang w:val="es-ES" w:eastAsia="es-ES"/>
    </w:rPr>
  </w:style>
  <w:style w:type="paragraph" w:styleId="Textoindependiente3">
    <w:name w:val="Body Text 3"/>
    <w:basedOn w:val="Normal"/>
    <w:link w:val="Textoindependiente3Car"/>
    <w:rsid w:val="006220A2"/>
    <w:pPr>
      <w:widowControl w:val="0"/>
      <w:pBdr>
        <w:top w:val="none" w:sz="0" w:space="0" w:color="auto"/>
        <w:left w:val="none" w:sz="0" w:space="0" w:color="auto"/>
        <w:bottom w:val="none" w:sz="0" w:space="0" w:color="auto"/>
        <w:right w:val="none" w:sz="0" w:space="0" w:color="auto"/>
        <w:between w:val="none" w:sz="0" w:space="0" w:color="auto"/>
        <w:bar w:val="none" w:sz="0" w:color="auto"/>
      </w:pBdr>
      <w:outlineLvl w:val="9"/>
    </w:pPr>
    <w:rPr>
      <w:rFonts w:ascii="CG Omega" w:eastAsia="Times New Roman" w:hAnsi="CG Omega" w:cs="Times New Roman"/>
      <w:i/>
      <w:snapToGrid w:val="0"/>
      <w:sz w:val="22"/>
      <w:szCs w:val="20"/>
      <w:bdr w:val="none" w:sz="0" w:space="0" w:color="auto"/>
      <w:lang w:eastAsia="es-ES"/>
    </w:rPr>
  </w:style>
  <w:style w:type="character" w:customStyle="1" w:styleId="Textoindependiente3Car">
    <w:name w:val="Texto independiente 3 Car"/>
    <w:basedOn w:val="Fuentedeprrafopredeter"/>
    <w:link w:val="Textoindependiente3"/>
    <w:rsid w:val="006220A2"/>
    <w:rPr>
      <w:rFonts w:ascii="CG Omega" w:eastAsia="Times New Roman" w:hAnsi="CG Omega" w:cs="Times New Roman"/>
      <w:i/>
      <w:snapToGrid w:val="0"/>
      <w:color w:val="000000"/>
      <w:sz w:val="22"/>
      <w:szCs w:val="20"/>
      <w:u w:color="000000"/>
      <w:lang w:val="es-ES" w:eastAsia="es-ES"/>
    </w:rPr>
  </w:style>
  <w:style w:type="paragraph" w:styleId="Sangra3detindependiente">
    <w:name w:val="Body Text Indent 3"/>
    <w:basedOn w:val="Normal"/>
    <w:link w:val="Sangra3detindependienteCar"/>
    <w:rsid w:val="006220A2"/>
    <w:pPr>
      <w:widowControl w:val="0"/>
      <w:pBdr>
        <w:top w:val="none" w:sz="0" w:space="0" w:color="auto"/>
        <w:left w:val="none" w:sz="0" w:space="0" w:color="auto"/>
        <w:bottom w:val="none" w:sz="0" w:space="0" w:color="auto"/>
        <w:right w:val="none" w:sz="0" w:space="0" w:color="auto"/>
        <w:between w:val="none" w:sz="0" w:space="0" w:color="auto"/>
        <w:bar w:val="none" w:sz="0" w:color="auto"/>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37"/>
      <w:outlineLvl w:val="9"/>
    </w:pPr>
    <w:rPr>
      <w:rFonts w:ascii="CG Omega" w:eastAsia="Times New Roman" w:hAnsi="CG Omega" w:cs="Times New Roman"/>
      <w:snapToGrid w:val="0"/>
      <w:sz w:val="22"/>
      <w:szCs w:val="20"/>
      <w:bdr w:val="none" w:sz="0" w:space="0" w:color="auto"/>
      <w:lang w:eastAsia="es-ES"/>
    </w:rPr>
  </w:style>
  <w:style w:type="character" w:customStyle="1" w:styleId="Sangra3detindependienteCar">
    <w:name w:val="Sangría 3 de t. independiente Car"/>
    <w:basedOn w:val="Fuentedeprrafopredeter"/>
    <w:link w:val="Sangra3detindependiente"/>
    <w:rsid w:val="006220A2"/>
    <w:rPr>
      <w:rFonts w:ascii="CG Omega" w:eastAsia="Times New Roman" w:hAnsi="CG Omega" w:cs="Times New Roman"/>
      <w:snapToGrid w:val="0"/>
      <w:color w:val="000000"/>
      <w:sz w:val="22"/>
      <w:szCs w:val="20"/>
      <w:u w:color="000000"/>
      <w:lang w:val="es-ES" w:eastAsia="es-ES"/>
    </w:rPr>
  </w:style>
  <w:style w:type="paragraph" w:customStyle="1" w:styleId="Disclaimer">
    <w:name w:val="Disclaimer"/>
    <w:basedOn w:val="Normal"/>
    <w:rsid w:val="006220A2"/>
    <w:pPr>
      <w:pBdr>
        <w:top w:val="none" w:sz="0" w:space="0" w:color="auto"/>
        <w:left w:val="none" w:sz="0" w:space="0" w:color="auto"/>
        <w:bottom w:val="none" w:sz="0" w:space="0" w:color="auto"/>
        <w:right w:val="none" w:sz="0" w:space="0" w:color="auto"/>
        <w:between w:val="none" w:sz="0" w:space="0" w:color="auto"/>
        <w:bar w:val="none" w:sz="0" w:color="auto"/>
      </w:pBdr>
      <w:spacing w:line="200" w:lineRule="exact"/>
      <w:outlineLvl w:val="9"/>
    </w:pPr>
    <w:rPr>
      <w:rFonts w:ascii="Times New Roman" w:eastAsia="Times New Roman" w:hAnsi="Times New Roman" w:cs="Times New Roman"/>
      <w:color w:val="auto"/>
      <w:sz w:val="16"/>
      <w:szCs w:val="20"/>
      <w:bdr w:val="none" w:sz="0" w:space="0" w:color="auto"/>
      <w:lang w:val="es-ES_tradnl" w:eastAsia="en-US"/>
    </w:rPr>
  </w:style>
  <w:style w:type="paragraph" w:customStyle="1" w:styleId="Address">
    <w:name w:val="Address"/>
    <w:basedOn w:val="Normal"/>
    <w:rsid w:val="006220A2"/>
    <w:pPr>
      <w:pBdr>
        <w:top w:val="none" w:sz="0" w:space="0" w:color="auto"/>
        <w:left w:val="single" w:sz="4" w:space="6" w:color="auto"/>
        <w:bottom w:val="none" w:sz="0" w:space="0" w:color="auto"/>
        <w:right w:val="none" w:sz="0" w:space="0" w:color="auto"/>
        <w:between w:val="none" w:sz="0" w:space="0" w:color="auto"/>
        <w:bar w:val="none" w:sz="0" w:color="auto"/>
      </w:pBdr>
      <w:spacing w:line="200" w:lineRule="exact"/>
      <w:outlineLvl w:val="9"/>
    </w:pPr>
    <w:rPr>
      <w:rFonts w:ascii="Times New Roman" w:eastAsia="Times New Roman" w:hAnsi="Times New Roman" w:cs="Times New Roman"/>
      <w:color w:val="auto"/>
      <w:sz w:val="16"/>
      <w:szCs w:val="20"/>
      <w:bdr w:val="none" w:sz="0" w:space="0" w:color="auto"/>
      <w:lang w:val="es-ES_tradnl" w:eastAsia="en-US"/>
    </w:rPr>
  </w:style>
  <w:style w:type="paragraph" w:customStyle="1" w:styleId="Indent3">
    <w:name w:val="Indent 3"/>
    <w:basedOn w:val="Normal"/>
    <w:rsid w:val="006220A2"/>
    <w:pPr>
      <w:pBdr>
        <w:top w:val="none" w:sz="0" w:space="0" w:color="auto"/>
        <w:left w:val="none" w:sz="0" w:space="0" w:color="auto"/>
        <w:bottom w:val="none" w:sz="0" w:space="0" w:color="auto"/>
        <w:right w:val="none" w:sz="0" w:space="0" w:color="auto"/>
        <w:between w:val="none" w:sz="0" w:space="0" w:color="auto"/>
        <w:bar w:val="none" w:sz="0" w:color="auto"/>
      </w:pBdr>
      <w:spacing w:line="290" w:lineRule="atLeast"/>
      <w:ind w:left="2160"/>
      <w:outlineLvl w:val="9"/>
    </w:pPr>
    <w:rPr>
      <w:rFonts w:ascii="Times New Roman" w:eastAsia="Times New Roman" w:hAnsi="Times New Roman" w:cs="Times New Roman"/>
      <w:color w:val="auto"/>
      <w:szCs w:val="20"/>
      <w:bdr w:val="none" w:sz="0" w:space="0" w:color="auto"/>
      <w:lang w:val="es-ES_tradnl" w:eastAsia="en-US"/>
    </w:rPr>
  </w:style>
  <w:style w:type="paragraph" w:styleId="Textonotapie">
    <w:name w:val="footnote text"/>
    <w:basedOn w:val="Normal"/>
    <w:link w:val="TextonotapieCar"/>
    <w:uiPriority w:val="99"/>
    <w:semiHidden/>
    <w:rsid w:val="006220A2"/>
    <w:pPr>
      <w:pBdr>
        <w:top w:val="none" w:sz="0" w:space="0" w:color="auto"/>
        <w:left w:val="none" w:sz="0" w:space="0" w:color="auto"/>
        <w:bottom w:val="none" w:sz="0" w:space="0" w:color="auto"/>
        <w:right w:val="none" w:sz="0" w:space="0" w:color="auto"/>
        <w:between w:val="none" w:sz="0" w:space="0" w:color="auto"/>
        <w:bar w:val="none" w:sz="0" w:color="auto"/>
      </w:pBdr>
      <w:outlineLvl w:val="9"/>
    </w:pPr>
    <w:rPr>
      <w:rFonts w:ascii="CG Omega" w:eastAsia="Times New Roman" w:hAnsi="CG Omega" w:cs="Times New Roman"/>
      <w:color w:val="auto"/>
      <w:sz w:val="20"/>
      <w:szCs w:val="20"/>
      <w:bdr w:val="none" w:sz="0" w:space="0" w:color="auto"/>
      <w:lang w:eastAsia="en-US"/>
    </w:rPr>
  </w:style>
  <w:style w:type="character" w:customStyle="1" w:styleId="TextonotapieCar">
    <w:name w:val="Texto nota pie Car"/>
    <w:basedOn w:val="Fuentedeprrafopredeter"/>
    <w:link w:val="Textonotapie"/>
    <w:uiPriority w:val="99"/>
    <w:semiHidden/>
    <w:rsid w:val="006220A2"/>
    <w:rPr>
      <w:rFonts w:ascii="CG Omega" w:eastAsia="Times New Roman" w:hAnsi="CG Omega" w:cs="Times New Roman"/>
      <w:sz w:val="20"/>
      <w:szCs w:val="20"/>
      <w:u w:color="000000"/>
      <w:lang w:val="es-ES"/>
    </w:rPr>
  </w:style>
  <w:style w:type="paragraph" w:customStyle="1" w:styleId="Estilo1">
    <w:name w:val="Estilo1"/>
    <w:basedOn w:val="Normal"/>
    <w:rsid w:val="006220A2"/>
    <w:pPr>
      <w:pBdr>
        <w:top w:val="none" w:sz="0" w:space="0" w:color="auto"/>
        <w:left w:val="none" w:sz="0" w:space="0" w:color="auto"/>
        <w:bottom w:val="none" w:sz="0" w:space="0" w:color="auto"/>
        <w:right w:val="none" w:sz="0" w:space="0" w:color="auto"/>
        <w:between w:val="none" w:sz="0" w:space="0" w:color="auto"/>
        <w:bar w:val="none" w:sz="0" w:color="auto"/>
      </w:pBdr>
      <w:tabs>
        <w:tab w:val="num" w:pos="1134"/>
      </w:tabs>
      <w:ind w:left="1134" w:hanging="1134"/>
      <w:outlineLvl w:val="9"/>
    </w:pPr>
    <w:rPr>
      <w:rFonts w:ascii="CG Omega" w:eastAsia="Times New Roman" w:hAnsi="CG Omega" w:cs="Times New Roman"/>
      <w:b/>
      <w:caps/>
      <w:color w:val="auto"/>
      <w:sz w:val="22"/>
      <w:szCs w:val="20"/>
      <w:bdr w:val="none" w:sz="0" w:space="0" w:color="auto"/>
      <w:lang w:eastAsia="en-US"/>
    </w:rPr>
  </w:style>
  <w:style w:type="paragraph" w:customStyle="1" w:styleId="Pdc">
    <w:name w:val="Pdc"/>
    <w:basedOn w:val="Normal"/>
    <w:rsid w:val="006220A2"/>
    <w:pPr>
      <w:pBdr>
        <w:top w:val="none" w:sz="0" w:space="0" w:color="auto"/>
        <w:left w:val="none" w:sz="0" w:space="0" w:color="auto"/>
        <w:bottom w:val="none" w:sz="0" w:space="0" w:color="auto"/>
        <w:right w:val="none" w:sz="0" w:space="0" w:color="auto"/>
        <w:between w:val="none" w:sz="0" w:space="0" w:color="auto"/>
        <w:bar w:val="none" w:sz="0" w:color="auto"/>
      </w:pBdr>
      <w:tabs>
        <w:tab w:val="left" w:leader="dot" w:pos="285"/>
        <w:tab w:val="left" w:leader="dot" w:pos="567"/>
        <w:tab w:val="left" w:leader="dot" w:pos="852"/>
        <w:tab w:val="left" w:leader="dot" w:pos="1134"/>
        <w:tab w:val="left" w:leader="dot" w:pos="1419"/>
        <w:tab w:val="left" w:leader="dot" w:pos="1701"/>
        <w:tab w:val="left" w:leader="dot" w:pos="1986"/>
        <w:tab w:val="left" w:leader="dot" w:pos="2268"/>
        <w:tab w:val="left" w:leader="dot" w:pos="2553"/>
        <w:tab w:val="left" w:leader="dot" w:pos="2835"/>
        <w:tab w:val="left" w:leader="dot" w:pos="3120"/>
        <w:tab w:val="left" w:leader="dot" w:pos="3402"/>
        <w:tab w:val="left" w:leader="dot" w:pos="3687"/>
        <w:tab w:val="left" w:leader="dot" w:pos="3969"/>
        <w:tab w:val="left" w:leader="dot" w:pos="4254"/>
        <w:tab w:val="left" w:leader="dot" w:pos="4536"/>
        <w:tab w:val="left" w:leader="dot" w:pos="4821"/>
        <w:tab w:val="left" w:leader="dot" w:pos="5100"/>
        <w:tab w:val="left" w:leader="dot" w:pos="5382"/>
        <w:tab w:val="left" w:leader="dot" w:pos="5667"/>
        <w:tab w:val="left" w:leader="dot" w:pos="5949"/>
        <w:tab w:val="left" w:leader="dot" w:pos="6234"/>
        <w:tab w:val="left" w:leader="dot" w:pos="6516"/>
        <w:tab w:val="left" w:leader="dot" w:pos="6801"/>
        <w:tab w:val="left" w:leader="dot" w:pos="7083"/>
        <w:tab w:val="left" w:leader="dot" w:pos="7368"/>
      </w:tabs>
      <w:overflowPunct w:val="0"/>
      <w:autoSpaceDE w:val="0"/>
      <w:autoSpaceDN w:val="0"/>
      <w:adjustRightInd w:val="0"/>
      <w:jc w:val="both"/>
      <w:textAlignment w:val="baseline"/>
      <w:outlineLvl w:val="9"/>
    </w:pPr>
    <w:rPr>
      <w:rFonts w:ascii="Times New Roman" w:eastAsia="Times New Roman" w:hAnsi="Times New Roman" w:cs="Times New Roman"/>
      <w:noProof/>
      <w:color w:val="FFFF00"/>
      <w:sz w:val="20"/>
      <w:szCs w:val="20"/>
      <w:bdr w:val="none" w:sz="0" w:space="0" w:color="auto"/>
      <w:lang w:eastAsia="es-ES"/>
    </w:rPr>
  </w:style>
  <w:style w:type="paragraph" w:customStyle="1" w:styleId="CelluleCourant">
    <w:name w:val="CelluleCourant"/>
    <w:basedOn w:val="Normal"/>
    <w:rsid w:val="006220A2"/>
    <w:pPr>
      <w:pBdr>
        <w:top w:val="none" w:sz="0" w:space="0" w:color="auto"/>
        <w:left w:val="none" w:sz="0" w:space="0" w:color="auto"/>
        <w:bottom w:val="none" w:sz="0" w:space="0" w:color="auto"/>
        <w:right w:val="none" w:sz="0" w:space="0" w:color="auto"/>
        <w:between w:val="none" w:sz="0" w:space="0" w:color="auto"/>
        <w:bar w:val="none" w:sz="0" w:color="auto"/>
      </w:pBdr>
      <w:overflowPunct w:val="0"/>
      <w:autoSpaceDE w:val="0"/>
      <w:autoSpaceDN w:val="0"/>
      <w:adjustRightInd w:val="0"/>
      <w:jc w:val="both"/>
      <w:textAlignment w:val="baseline"/>
      <w:outlineLvl w:val="9"/>
    </w:pPr>
    <w:rPr>
      <w:rFonts w:ascii="Times New Roman" w:eastAsia="Times New Roman" w:hAnsi="Times New Roman" w:cs="Times New Roman"/>
      <w:noProof/>
      <w:szCs w:val="20"/>
      <w:bdr w:val="none" w:sz="0" w:space="0" w:color="auto"/>
      <w:lang w:eastAsia="es-ES"/>
    </w:rPr>
  </w:style>
  <w:style w:type="character" w:customStyle="1" w:styleId="fmteuro">
    <w:name w:val="fmteuro"/>
    <w:rsid w:val="006220A2"/>
    <w:rPr>
      <w:rFonts w:ascii="Times" w:hAnsi="Times"/>
      <w:sz w:val="24"/>
    </w:rPr>
  </w:style>
  <w:style w:type="paragraph" w:styleId="Remitedesobre">
    <w:name w:val="envelope return"/>
    <w:basedOn w:val="Normal"/>
    <w:rsid w:val="006220A2"/>
    <w:pPr>
      <w:pBdr>
        <w:top w:val="none" w:sz="0" w:space="0" w:color="auto"/>
        <w:left w:val="none" w:sz="0" w:space="0" w:color="auto"/>
        <w:bottom w:val="none" w:sz="0" w:space="0" w:color="auto"/>
        <w:right w:val="none" w:sz="0" w:space="0" w:color="auto"/>
        <w:between w:val="none" w:sz="0" w:space="0" w:color="auto"/>
        <w:bar w:val="none" w:sz="0" w:color="auto"/>
      </w:pBdr>
      <w:outlineLvl w:val="9"/>
    </w:pPr>
    <w:rPr>
      <w:rFonts w:ascii="Frutiger-Light" w:eastAsia="Times New Roman" w:hAnsi="Frutiger-Light" w:cs="Times New Roman"/>
      <w:color w:val="auto"/>
      <w:sz w:val="20"/>
      <w:szCs w:val="20"/>
      <w:bdr w:val="none" w:sz="0" w:space="0" w:color="auto"/>
      <w:lang w:val="es-ES_tradnl" w:eastAsia="es-ES"/>
    </w:rPr>
  </w:style>
  <w:style w:type="paragraph" w:customStyle="1" w:styleId="Numeros">
    <w:name w:val="Numeros"/>
    <w:basedOn w:val="Normal"/>
    <w:rsid w:val="006220A2"/>
    <w:pPr>
      <w:keepNext/>
      <w:pBdr>
        <w:top w:val="none" w:sz="0" w:space="0" w:color="auto"/>
        <w:left w:val="none" w:sz="0" w:space="0" w:color="auto"/>
        <w:bottom w:val="none" w:sz="0" w:space="0" w:color="auto"/>
        <w:right w:val="none" w:sz="0" w:space="0" w:color="auto"/>
        <w:between w:val="none" w:sz="0" w:space="0" w:color="auto"/>
        <w:bar w:val="none" w:sz="0" w:color="auto"/>
      </w:pBdr>
      <w:tabs>
        <w:tab w:val="left" w:pos="703"/>
        <w:tab w:val="left" w:pos="1413"/>
        <w:tab w:val="left" w:pos="2122"/>
        <w:tab w:val="left" w:pos="2832"/>
        <w:tab w:val="left" w:pos="3538"/>
        <w:tab w:val="left" w:pos="4248"/>
        <w:tab w:val="left" w:pos="4957"/>
        <w:tab w:val="left" w:pos="5661"/>
        <w:tab w:val="left" w:pos="6368"/>
        <w:tab w:val="left" w:pos="7077"/>
        <w:tab w:val="left" w:pos="7787"/>
        <w:tab w:val="left" w:pos="8496"/>
      </w:tabs>
      <w:overflowPunct w:val="0"/>
      <w:autoSpaceDE w:val="0"/>
      <w:autoSpaceDN w:val="0"/>
      <w:adjustRightInd w:val="0"/>
      <w:spacing w:before="80"/>
      <w:textAlignment w:val="baseline"/>
      <w:outlineLvl w:val="9"/>
    </w:pPr>
    <w:rPr>
      <w:rFonts w:eastAsia="Times New Roman" w:cs="Times New Roman"/>
      <w:b/>
      <w:noProof/>
      <w:color w:val="FFFF00"/>
      <w:szCs w:val="20"/>
      <w:bdr w:val="none" w:sz="0" w:space="0" w:color="auto"/>
      <w:lang w:eastAsia="es-ES"/>
    </w:rPr>
  </w:style>
  <w:style w:type="paragraph" w:customStyle="1" w:styleId="Style1">
    <w:name w:val="Style 1"/>
    <w:basedOn w:val="Normal"/>
    <w:rsid w:val="006220A2"/>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outlineLvl w:val="9"/>
    </w:pPr>
    <w:rPr>
      <w:rFonts w:ascii="Times New Roman" w:eastAsia="Times New Roman" w:hAnsi="Times New Roman" w:cs="Times New Roman"/>
      <w:color w:val="auto"/>
      <w:sz w:val="20"/>
      <w:bdr w:val="none" w:sz="0" w:space="0" w:color="auto"/>
      <w:lang w:val="en-US" w:eastAsia="en-US"/>
    </w:rPr>
  </w:style>
  <w:style w:type="paragraph" w:customStyle="1" w:styleId="Style2">
    <w:name w:val="Style 2"/>
    <w:basedOn w:val="Normal"/>
    <w:rsid w:val="006220A2"/>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pacing w:line="240" w:lineRule="atLeast"/>
      <w:ind w:left="288" w:hanging="252"/>
      <w:outlineLvl w:val="9"/>
    </w:pPr>
    <w:rPr>
      <w:rFonts w:ascii="Times New Roman" w:eastAsia="Times New Roman" w:hAnsi="Times New Roman" w:cs="Times New Roman"/>
      <w:color w:val="auto"/>
      <w:sz w:val="20"/>
      <w:bdr w:val="none" w:sz="0" w:space="0" w:color="auto"/>
      <w:lang w:val="en-US" w:eastAsia="en-US"/>
    </w:rPr>
  </w:style>
  <w:style w:type="paragraph" w:customStyle="1" w:styleId="Preci">
    <w:name w:val="Preci"/>
    <w:basedOn w:val="Normal"/>
    <w:rsid w:val="006220A2"/>
    <w:pPr>
      <w:pBdr>
        <w:top w:val="none" w:sz="0" w:space="0" w:color="auto"/>
        <w:left w:val="none" w:sz="0" w:space="0" w:color="auto"/>
        <w:bottom w:val="none" w:sz="0" w:space="0" w:color="auto"/>
        <w:right w:val="none" w:sz="0" w:space="0" w:color="auto"/>
        <w:between w:val="none" w:sz="0" w:space="0" w:color="auto"/>
        <w:bar w:val="none" w:sz="0" w:color="auto"/>
      </w:pBdr>
      <w:tabs>
        <w:tab w:val="left" w:pos="1413"/>
        <w:tab w:val="left" w:pos="2122"/>
        <w:tab w:val="left" w:pos="2832"/>
        <w:tab w:val="left" w:pos="3538"/>
        <w:tab w:val="left" w:pos="4248"/>
        <w:tab w:val="left" w:pos="4957"/>
        <w:tab w:val="left" w:pos="5661"/>
        <w:tab w:val="left" w:pos="6368"/>
        <w:tab w:val="left" w:pos="7077"/>
        <w:tab w:val="left" w:pos="7787"/>
        <w:tab w:val="left" w:pos="8496"/>
      </w:tabs>
      <w:overflowPunct w:val="0"/>
      <w:autoSpaceDE w:val="0"/>
      <w:autoSpaceDN w:val="0"/>
      <w:adjustRightInd w:val="0"/>
      <w:spacing w:before="100"/>
      <w:ind w:left="285"/>
      <w:jc w:val="both"/>
      <w:textAlignment w:val="baseline"/>
      <w:outlineLvl w:val="9"/>
    </w:pPr>
    <w:rPr>
      <w:rFonts w:eastAsia="Times New Roman" w:cs="Times New Roman"/>
      <w:noProof/>
      <w:sz w:val="18"/>
      <w:szCs w:val="20"/>
      <w:bdr w:val="none" w:sz="0" w:space="0" w:color="auto"/>
      <w:lang w:eastAsia="es-ES"/>
    </w:rPr>
  </w:style>
  <w:style w:type="paragraph" w:customStyle="1" w:styleId="TableFootnote">
    <w:name w:val="TableFootnote"/>
    <w:basedOn w:val="Normal"/>
    <w:rsid w:val="006220A2"/>
    <w:pPr>
      <w:pBdr>
        <w:top w:val="none" w:sz="0" w:space="0" w:color="auto"/>
        <w:left w:val="none" w:sz="0" w:space="0" w:color="auto"/>
        <w:bottom w:val="none" w:sz="0" w:space="0" w:color="auto"/>
        <w:right w:val="none" w:sz="0" w:space="0" w:color="auto"/>
        <w:between w:val="none" w:sz="0" w:space="0" w:color="auto"/>
        <w:bar w:val="none" w:sz="0" w:color="auto"/>
      </w:pBdr>
      <w:outlineLvl w:val="9"/>
    </w:pPr>
    <w:rPr>
      <w:rFonts w:ascii="Times New Roman" w:eastAsia="Times New Roman" w:hAnsi="Times New Roman" w:cs="Times New Roman"/>
      <w:noProof/>
      <w:sz w:val="20"/>
      <w:szCs w:val="20"/>
      <w:bdr w:val="none" w:sz="0" w:space="0" w:color="auto"/>
      <w:lang w:eastAsia="es-ES"/>
    </w:rPr>
  </w:style>
  <w:style w:type="paragraph" w:customStyle="1" w:styleId="TableTitle">
    <w:name w:val="TableTitle"/>
    <w:basedOn w:val="Normal"/>
    <w:rsid w:val="006220A2"/>
    <w:pPr>
      <w:pBdr>
        <w:top w:val="none" w:sz="0" w:space="0" w:color="auto"/>
        <w:left w:val="none" w:sz="0" w:space="0" w:color="auto"/>
        <w:bottom w:val="none" w:sz="0" w:space="0" w:color="auto"/>
        <w:right w:val="none" w:sz="0" w:space="0" w:color="auto"/>
        <w:between w:val="none" w:sz="0" w:space="0" w:color="auto"/>
        <w:bar w:val="none" w:sz="0" w:color="auto"/>
      </w:pBdr>
      <w:overflowPunct w:val="0"/>
      <w:autoSpaceDE w:val="0"/>
      <w:autoSpaceDN w:val="0"/>
      <w:adjustRightInd w:val="0"/>
      <w:jc w:val="center"/>
      <w:textAlignment w:val="baseline"/>
      <w:outlineLvl w:val="9"/>
    </w:pPr>
    <w:rPr>
      <w:rFonts w:ascii="Times New Roman" w:eastAsia="Times New Roman" w:hAnsi="Times New Roman" w:cs="Times New Roman"/>
      <w:b/>
      <w:noProof/>
      <w:szCs w:val="20"/>
      <w:bdr w:val="none" w:sz="0" w:space="0" w:color="auto"/>
      <w:lang w:eastAsia="es-ES"/>
    </w:rPr>
  </w:style>
  <w:style w:type="paragraph" w:customStyle="1" w:styleId="Titre10">
    <w:name w:val="Titre 10"/>
    <w:basedOn w:val="Normal"/>
    <w:rsid w:val="006220A2"/>
    <w:pPr>
      <w:keepNext/>
      <w:pBdr>
        <w:top w:val="none" w:sz="0" w:space="0" w:color="auto"/>
        <w:left w:val="none" w:sz="0" w:space="0" w:color="auto"/>
        <w:bottom w:val="none" w:sz="0" w:space="0" w:color="auto"/>
        <w:right w:val="none" w:sz="0" w:space="0" w:color="auto"/>
        <w:between w:val="none" w:sz="0" w:space="0" w:color="auto"/>
        <w:bar w:val="none" w:sz="0" w:color="auto"/>
      </w:pBdr>
      <w:tabs>
        <w:tab w:val="left" w:pos="703"/>
        <w:tab w:val="left" w:pos="1413"/>
        <w:tab w:val="left" w:pos="2122"/>
        <w:tab w:val="left" w:pos="2832"/>
        <w:tab w:val="left" w:pos="3538"/>
        <w:tab w:val="left" w:pos="4248"/>
        <w:tab w:val="left" w:pos="4957"/>
        <w:tab w:val="left" w:pos="5661"/>
        <w:tab w:val="left" w:pos="6368"/>
        <w:tab w:val="left" w:pos="7077"/>
        <w:tab w:val="left" w:pos="7787"/>
        <w:tab w:val="left" w:pos="8496"/>
      </w:tabs>
      <w:overflowPunct w:val="0"/>
      <w:autoSpaceDE w:val="0"/>
      <w:autoSpaceDN w:val="0"/>
      <w:adjustRightInd w:val="0"/>
      <w:spacing w:before="100"/>
      <w:textAlignment w:val="baseline"/>
      <w:outlineLvl w:val="9"/>
    </w:pPr>
    <w:rPr>
      <w:rFonts w:ascii="Times New Roman" w:eastAsia="Times New Roman" w:hAnsi="Times New Roman" w:cs="Times New Roman"/>
      <w:b/>
      <w:noProof/>
      <w:szCs w:val="20"/>
      <w:bdr w:val="none" w:sz="0" w:space="0" w:color="auto"/>
      <w:lang w:eastAsia="es-ES"/>
    </w:rPr>
  </w:style>
  <w:style w:type="paragraph" w:customStyle="1" w:styleId="Style8">
    <w:name w:val="Style 8"/>
    <w:basedOn w:val="Normal"/>
    <w:rsid w:val="006220A2"/>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pacing w:after="216" w:line="228" w:lineRule="atLeast"/>
      <w:jc w:val="center"/>
      <w:outlineLvl w:val="9"/>
    </w:pPr>
    <w:rPr>
      <w:rFonts w:ascii="Times New Roman" w:eastAsia="Times New Roman" w:hAnsi="Times New Roman" w:cs="Times New Roman"/>
      <w:color w:val="auto"/>
      <w:sz w:val="20"/>
      <w:bdr w:val="none" w:sz="0" w:space="0" w:color="auto"/>
      <w:lang w:val="en-US" w:eastAsia="en-US"/>
    </w:rPr>
  </w:style>
  <w:style w:type="paragraph" w:customStyle="1" w:styleId="Style4">
    <w:name w:val="Style 4"/>
    <w:basedOn w:val="Normal"/>
    <w:rsid w:val="006220A2"/>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pacing w:line="600" w:lineRule="atLeast"/>
      <w:outlineLvl w:val="9"/>
    </w:pPr>
    <w:rPr>
      <w:rFonts w:ascii="Times New Roman" w:eastAsia="Times New Roman" w:hAnsi="Times New Roman" w:cs="Times New Roman"/>
      <w:color w:val="auto"/>
      <w:sz w:val="20"/>
      <w:bdr w:val="none" w:sz="0" w:space="0" w:color="auto"/>
      <w:lang w:val="en-US" w:eastAsia="en-US"/>
    </w:rPr>
  </w:style>
  <w:style w:type="paragraph" w:customStyle="1" w:styleId="Style3">
    <w:name w:val="Style 3"/>
    <w:basedOn w:val="Normal"/>
    <w:rsid w:val="006220A2"/>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pacing w:before="324"/>
      <w:outlineLvl w:val="9"/>
    </w:pPr>
    <w:rPr>
      <w:rFonts w:ascii="Times New Roman" w:eastAsia="Times New Roman" w:hAnsi="Times New Roman" w:cs="Times New Roman"/>
      <w:color w:val="auto"/>
      <w:sz w:val="20"/>
      <w:bdr w:val="none" w:sz="0" w:space="0" w:color="auto"/>
      <w:lang w:val="en-US" w:eastAsia="en-US"/>
    </w:rPr>
  </w:style>
  <w:style w:type="paragraph" w:customStyle="1" w:styleId="Style5">
    <w:name w:val="Style 5"/>
    <w:basedOn w:val="Normal"/>
    <w:rsid w:val="006220A2"/>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pacing w:before="72" w:after="252" w:line="168" w:lineRule="exact"/>
      <w:ind w:right="216"/>
      <w:outlineLvl w:val="9"/>
    </w:pPr>
    <w:rPr>
      <w:rFonts w:ascii="Times New Roman" w:eastAsia="Times New Roman" w:hAnsi="Times New Roman" w:cs="Times New Roman"/>
      <w:color w:val="auto"/>
      <w:sz w:val="20"/>
      <w:bdr w:val="none" w:sz="0" w:space="0" w:color="auto"/>
      <w:lang w:val="en-US" w:eastAsia="en-US"/>
    </w:rPr>
  </w:style>
  <w:style w:type="paragraph" w:customStyle="1" w:styleId="Style7">
    <w:name w:val="Style 7"/>
    <w:basedOn w:val="Normal"/>
    <w:rsid w:val="006220A2"/>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pacing w:after="252" w:line="240" w:lineRule="atLeast"/>
      <w:jc w:val="center"/>
      <w:outlineLvl w:val="9"/>
    </w:pPr>
    <w:rPr>
      <w:rFonts w:ascii="Times New Roman" w:eastAsia="Times New Roman" w:hAnsi="Times New Roman" w:cs="Times New Roman"/>
      <w:color w:val="auto"/>
      <w:sz w:val="20"/>
      <w:bdr w:val="none" w:sz="0" w:space="0" w:color="auto"/>
      <w:lang w:val="en-US" w:eastAsia="en-US"/>
    </w:rPr>
  </w:style>
  <w:style w:type="paragraph" w:customStyle="1" w:styleId="Style6">
    <w:name w:val="Style 6"/>
    <w:basedOn w:val="Normal"/>
    <w:rsid w:val="006220A2"/>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ind w:left="576" w:hanging="288"/>
      <w:outlineLvl w:val="9"/>
    </w:pPr>
    <w:rPr>
      <w:rFonts w:ascii="Times New Roman" w:eastAsia="Times New Roman" w:hAnsi="Times New Roman" w:cs="Times New Roman"/>
      <w:color w:val="auto"/>
      <w:sz w:val="20"/>
      <w:bdr w:val="none" w:sz="0" w:space="0" w:color="auto"/>
      <w:lang w:val="en-US" w:eastAsia="en-US"/>
    </w:rPr>
  </w:style>
  <w:style w:type="paragraph" w:customStyle="1" w:styleId="Style9">
    <w:name w:val="Style 9"/>
    <w:basedOn w:val="Normal"/>
    <w:rsid w:val="006220A2"/>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pacing w:before="72" w:after="252" w:line="168" w:lineRule="exact"/>
      <w:ind w:right="216" w:firstLine="576"/>
      <w:outlineLvl w:val="9"/>
    </w:pPr>
    <w:rPr>
      <w:rFonts w:ascii="Times New Roman" w:eastAsia="Times New Roman" w:hAnsi="Times New Roman" w:cs="Times New Roman"/>
      <w:color w:val="auto"/>
      <w:sz w:val="20"/>
      <w:bdr w:val="none" w:sz="0" w:space="0" w:color="auto"/>
      <w:lang w:val="en-US" w:eastAsia="en-US"/>
    </w:rPr>
  </w:style>
  <w:style w:type="paragraph" w:customStyle="1" w:styleId="Style10">
    <w:name w:val="Style 10"/>
    <w:basedOn w:val="Normal"/>
    <w:rsid w:val="006220A2"/>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pacing w:before="72" w:after="252" w:line="168" w:lineRule="exact"/>
      <w:ind w:left="216"/>
      <w:outlineLvl w:val="9"/>
    </w:pPr>
    <w:rPr>
      <w:rFonts w:ascii="Times New Roman" w:eastAsia="Times New Roman" w:hAnsi="Times New Roman" w:cs="Times New Roman"/>
      <w:color w:val="auto"/>
      <w:sz w:val="20"/>
      <w:bdr w:val="none" w:sz="0" w:space="0" w:color="auto"/>
      <w:lang w:val="en-US" w:eastAsia="en-US"/>
    </w:rPr>
  </w:style>
  <w:style w:type="paragraph" w:customStyle="1" w:styleId="Style11">
    <w:name w:val="Style 11"/>
    <w:basedOn w:val="Normal"/>
    <w:rsid w:val="006220A2"/>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pacing w:line="624" w:lineRule="exact"/>
      <w:jc w:val="center"/>
      <w:outlineLvl w:val="9"/>
    </w:pPr>
    <w:rPr>
      <w:rFonts w:ascii="Times New Roman" w:eastAsia="Times New Roman" w:hAnsi="Times New Roman" w:cs="Times New Roman"/>
      <w:color w:val="auto"/>
      <w:sz w:val="20"/>
      <w:bdr w:val="none" w:sz="0" w:space="0" w:color="auto"/>
      <w:lang w:val="en-US" w:eastAsia="en-US"/>
    </w:rPr>
  </w:style>
  <w:style w:type="paragraph" w:styleId="Textodebloque">
    <w:name w:val="Block Text"/>
    <w:basedOn w:val="Normal"/>
    <w:rsid w:val="006220A2"/>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ind w:left="576" w:right="142"/>
      <w:outlineLvl w:val="9"/>
    </w:pPr>
    <w:rPr>
      <w:rFonts w:ascii="Times New Roman" w:eastAsia="Times New Roman" w:hAnsi="Times New Roman" w:cs="Times New Roman"/>
      <w:color w:val="auto"/>
      <w:spacing w:val="-2"/>
      <w:sz w:val="16"/>
      <w:szCs w:val="16"/>
      <w:bdr w:val="none" w:sz="0" w:space="0" w:color="auto"/>
      <w:lang w:val="en-US" w:eastAsia="en-US"/>
    </w:rPr>
  </w:style>
  <w:style w:type="paragraph" w:styleId="Listaconvietas">
    <w:name w:val="List Bullet"/>
    <w:basedOn w:val="Normal"/>
    <w:rsid w:val="006220A2"/>
    <w:pPr>
      <w:pBdr>
        <w:top w:val="none" w:sz="0" w:space="0" w:color="auto"/>
        <w:left w:val="none" w:sz="0" w:space="0" w:color="auto"/>
        <w:bottom w:val="none" w:sz="0" w:space="0" w:color="auto"/>
        <w:right w:val="none" w:sz="0" w:space="0" w:color="auto"/>
        <w:between w:val="none" w:sz="0" w:space="0" w:color="auto"/>
        <w:bar w:val="none" w:sz="0" w:color="auto"/>
      </w:pBdr>
      <w:tabs>
        <w:tab w:val="num" w:pos="735"/>
      </w:tabs>
      <w:spacing w:after="240" w:line="240" w:lineRule="atLeast"/>
      <w:ind w:left="735" w:hanging="735"/>
      <w:outlineLvl w:val="9"/>
    </w:pPr>
    <w:rPr>
      <w:rFonts w:eastAsia="Times New Roman" w:cs="Times New Roman"/>
      <w:color w:val="auto"/>
      <w:sz w:val="20"/>
      <w:szCs w:val="20"/>
      <w:bdr w:val="none" w:sz="0" w:space="0" w:color="auto"/>
      <w:lang w:val="en-GB" w:eastAsia="en-US"/>
    </w:rPr>
  </w:style>
  <w:style w:type="paragraph" w:styleId="Listaconvietas2">
    <w:name w:val="List Bullet 2"/>
    <w:basedOn w:val="Normal"/>
    <w:rsid w:val="006220A2"/>
    <w:pPr>
      <w:pBdr>
        <w:top w:val="none" w:sz="0" w:space="0" w:color="auto"/>
        <w:left w:val="none" w:sz="0" w:space="0" w:color="auto"/>
        <w:bottom w:val="none" w:sz="0" w:space="0" w:color="auto"/>
        <w:right w:val="none" w:sz="0" w:space="0" w:color="auto"/>
        <w:between w:val="none" w:sz="0" w:space="0" w:color="auto"/>
        <w:bar w:val="none" w:sz="0" w:color="auto"/>
      </w:pBdr>
      <w:tabs>
        <w:tab w:val="num" w:pos="735"/>
      </w:tabs>
      <w:spacing w:after="240" w:line="240" w:lineRule="atLeast"/>
      <w:ind w:left="735" w:hanging="735"/>
      <w:outlineLvl w:val="9"/>
    </w:pPr>
    <w:rPr>
      <w:rFonts w:eastAsia="Times New Roman" w:cs="Times New Roman"/>
      <w:color w:val="auto"/>
      <w:sz w:val="20"/>
      <w:szCs w:val="20"/>
      <w:bdr w:val="none" w:sz="0" w:space="0" w:color="auto"/>
      <w:lang w:val="en-GB" w:eastAsia="en-US"/>
    </w:rPr>
  </w:style>
  <w:style w:type="paragraph" w:styleId="Listaconvietas3">
    <w:name w:val="List Bullet 3"/>
    <w:basedOn w:val="Normal"/>
    <w:rsid w:val="006220A2"/>
    <w:pPr>
      <w:pBdr>
        <w:top w:val="none" w:sz="0" w:space="0" w:color="auto"/>
        <w:left w:val="none" w:sz="0" w:space="0" w:color="auto"/>
        <w:bottom w:val="none" w:sz="0" w:space="0" w:color="auto"/>
        <w:right w:val="none" w:sz="0" w:space="0" w:color="auto"/>
        <w:between w:val="none" w:sz="0" w:space="0" w:color="auto"/>
        <w:bar w:val="none" w:sz="0" w:color="auto"/>
      </w:pBdr>
      <w:tabs>
        <w:tab w:val="num" w:pos="735"/>
      </w:tabs>
      <w:spacing w:after="240" w:line="240" w:lineRule="atLeast"/>
      <w:ind w:left="735" w:hanging="735"/>
      <w:outlineLvl w:val="9"/>
    </w:pPr>
    <w:rPr>
      <w:rFonts w:eastAsia="Times New Roman" w:cs="Times New Roman"/>
      <w:color w:val="auto"/>
      <w:sz w:val="20"/>
      <w:szCs w:val="20"/>
      <w:bdr w:val="none" w:sz="0" w:space="0" w:color="auto"/>
      <w:lang w:val="en-GB" w:eastAsia="en-US"/>
    </w:rPr>
  </w:style>
  <w:style w:type="paragraph" w:styleId="Listaconvietas4">
    <w:name w:val="List Bullet 4"/>
    <w:basedOn w:val="Normal"/>
    <w:rsid w:val="006220A2"/>
    <w:pPr>
      <w:pBdr>
        <w:top w:val="none" w:sz="0" w:space="0" w:color="auto"/>
        <w:left w:val="none" w:sz="0" w:space="0" w:color="auto"/>
        <w:bottom w:val="none" w:sz="0" w:space="0" w:color="auto"/>
        <w:right w:val="none" w:sz="0" w:space="0" w:color="auto"/>
        <w:between w:val="none" w:sz="0" w:space="0" w:color="auto"/>
        <w:bar w:val="none" w:sz="0" w:color="auto"/>
      </w:pBdr>
      <w:tabs>
        <w:tab w:val="num" w:pos="735"/>
      </w:tabs>
      <w:spacing w:after="240" w:line="240" w:lineRule="atLeast"/>
      <w:ind w:left="735" w:hanging="735"/>
      <w:outlineLvl w:val="9"/>
    </w:pPr>
    <w:rPr>
      <w:rFonts w:eastAsia="Times New Roman" w:cs="Times New Roman"/>
      <w:color w:val="auto"/>
      <w:sz w:val="20"/>
      <w:szCs w:val="20"/>
      <w:bdr w:val="none" w:sz="0" w:space="0" w:color="auto"/>
      <w:lang w:val="en-GB" w:eastAsia="en-US"/>
    </w:rPr>
  </w:style>
  <w:style w:type="paragraph" w:styleId="Listaconvietas5">
    <w:name w:val="List Bullet 5"/>
    <w:basedOn w:val="Normal"/>
    <w:rsid w:val="006220A2"/>
    <w:pPr>
      <w:pBdr>
        <w:top w:val="none" w:sz="0" w:space="0" w:color="auto"/>
        <w:left w:val="none" w:sz="0" w:space="0" w:color="auto"/>
        <w:bottom w:val="none" w:sz="0" w:space="0" w:color="auto"/>
        <w:right w:val="none" w:sz="0" w:space="0" w:color="auto"/>
        <w:between w:val="none" w:sz="0" w:space="0" w:color="auto"/>
        <w:bar w:val="none" w:sz="0" w:color="auto"/>
      </w:pBdr>
      <w:tabs>
        <w:tab w:val="num" w:pos="735"/>
      </w:tabs>
      <w:spacing w:after="240" w:line="240" w:lineRule="atLeast"/>
      <w:ind w:left="735" w:hanging="735"/>
      <w:outlineLvl w:val="9"/>
    </w:pPr>
    <w:rPr>
      <w:rFonts w:eastAsia="Times New Roman" w:cs="Times New Roman"/>
      <w:color w:val="auto"/>
      <w:sz w:val="20"/>
      <w:szCs w:val="20"/>
      <w:bdr w:val="none" w:sz="0" w:space="0" w:color="auto"/>
      <w:lang w:val="en-GB" w:eastAsia="en-US"/>
    </w:rPr>
  </w:style>
  <w:style w:type="paragraph" w:styleId="Listaconnmeros">
    <w:name w:val="List Number"/>
    <w:basedOn w:val="Normal"/>
    <w:rsid w:val="006220A2"/>
    <w:pPr>
      <w:pBdr>
        <w:top w:val="none" w:sz="0" w:space="0" w:color="auto"/>
        <w:left w:val="none" w:sz="0" w:space="0" w:color="auto"/>
        <w:bottom w:val="none" w:sz="0" w:space="0" w:color="auto"/>
        <w:right w:val="none" w:sz="0" w:space="0" w:color="auto"/>
        <w:between w:val="none" w:sz="0" w:space="0" w:color="auto"/>
        <w:bar w:val="none" w:sz="0" w:color="auto"/>
      </w:pBdr>
      <w:tabs>
        <w:tab w:val="num" w:pos="595"/>
      </w:tabs>
      <w:spacing w:after="240" w:line="240" w:lineRule="atLeast"/>
      <w:ind w:left="595" w:hanging="595"/>
      <w:outlineLvl w:val="9"/>
    </w:pPr>
    <w:rPr>
      <w:rFonts w:eastAsia="Times New Roman" w:cs="Times New Roman"/>
      <w:color w:val="auto"/>
      <w:sz w:val="20"/>
      <w:szCs w:val="20"/>
      <w:bdr w:val="none" w:sz="0" w:space="0" w:color="auto"/>
      <w:lang w:val="en-GB" w:eastAsia="en-US"/>
    </w:rPr>
  </w:style>
  <w:style w:type="paragraph" w:styleId="Listaconnmeros2">
    <w:name w:val="List Number 2"/>
    <w:basedOn w:val="Normal"/>
    <w:rsid w:val="006220A2"/>
    <w:pPr>
      <w:pBdr>
        <w:top w:val="none" w:sz="0" w:space="0" w:color="auto"/>
        <w:left w:val="none" w:sz="0" w:space="0" w:color="auto"/>
        <w:bottom w:val="none" w:sz="0" w:space="0" w:color="auto"/>
        <w:right w:val="none" w:sz="0" w:space="0" w:color="auto"/>
        <w:between w:val="none" w:sz="0" w:space="0" w:color="auto"/>
        <w:bar w:val="none" w:sz="0" w:color="auto"/>
      </w:pBdr>
      <w:tabs>
        <w:tab w:val="num" w:pos="1191"/>
      </w:tabs>
      <w:spacing w:after="240" w:line="240" w:lineRule="atLeast"/>
      <w:ind w:left="1191" w:hanging="595"/>
      <w:outlineLvl w:val="9"/>
    </w:pPr>
    <w:rPr>
      <w:rFonts w:eastAsia="Times New Roman" w:cs="Times New Roman"/>
      <w:color w:val="auto"/>
      <w:sz w:val="20"/>
      <w:szCs w:val="20"/>
      <w:bdr w:val="none" w:sz="0" w:space="0" w:color="auto"/>
      <w:lang w:val="en-GB" w:eastAsia="en-US"/>
    </w:rPr>
  </w:style>
  <w:style w:type="paragraph" w:styleId="Listaconnmeros3">
    <w:name w:val="List Number 3"/>
    <w:basedOn w:val="Normal"/>
    <w:rsid w:val="006220A2"/>
    <w:pPr>
      <w:pBdr>
        <w:top w:val="none" w:sz="0" w:space="0" w:color="auto"/>
        <w:left w:val="none" w:sz="0" w:space="0" w:color="auto"/>
        <w:bottom w:val="none" w:sz="0" w:space="0" w:color="auto"/>
        <w:right w:val="none" w:sz="0" w:space="0" w:color="auto"/>
        <w:between w:val="none" w:sz="0" w:space="0" w:color="auto"/>
        <w:bar w:val="none" w:sz="0" w:color="auto"/>
      </w:pBdr>
      <w:tabs>
        <w:tab w:val="num" w:pos="1786"/>
      </w:tabs>
      <w:spacing w:after="240" w:line="240" w:lineRule="atLeast"/>
      <w:ind w:left="1786" w:hanging="595"/>
      <w:outlineLvl w:val="9"/>
    </w:pPr>
    <w:rPr>
      <w:rFonts w:eastAsia="Times New Roman" w:cs="Times New Roman"/>
      <w:color w:val="auto"/>
      <w:sz w:val="20"/>
      <w:szCs w:val="20"/>
      <w:bdr w:val="none" w:sz="0" w:space="0" w:color="auto"/>
      <w:lang w:val="en-GB" w:eastAsia="en-US"/>
    </w:rPr>
  </w:style>
  <w:style w:type="paragraph" w:styleId="Listaconnmeros4">
    <w:name w:val="List Number 4"/>
    <w:basedOn w:val="Normal"/>
    <w:rsid w:val="006220A2"/>
    <w:pPr>
      <w:numPr>
        <w:ilvl w:val="3"/>
        <w:numId w:val="7"/>
      </w:numPr>
      <w:pBdr>
        <w:top w:val="none" w:sz="0" w:space="0" w:color="auto"/>
        <w:left w:val="none" w:sz="0" w:space="0" w:color="auto"/>
        <w:bottom w:val="none" w:sz="0" w:space="0" w:color="auto"/>
        <w:right w:val="none" w:sz="0" w:space="0" w:color="auto"/>
        <w:between w:val="none" w:sz="0" w:space="0" w:color="auto"/>
        <w:bar w:val="none" w:sz="0" w:color="auto"/>
      </w:pBdr>
      <w:spacing w:after="240" w:line="240" w:lineRule="atLeast"/>
      <w:outlineLvl w:val="9"/>
    </w:pPr>
    <w:rPr>
      <w:rFonts w:eastAsia="Times New Roman" w:cs="Times New Roman"/>
      <w:color w:val="auto"/>
      <w:sz w:val="20"/>
      <w:szCs w:val="20"/>
      <w:bdr w:val="none" w:sz="0" w:space="0" w:color="auto"/>
      <w:lang w:val="en-GB" w:eastAsia="en-US"/>
    </w:rPr>
  </w:style>
  <w:style w:type="paragraph" w:styleId="Listaconnmeros5">
    <w:name w:val="List Number 5"/>
    <w:basedOn w:val="Normal"/>
    <w:rsid w:val="006220A2"/>
    <w:pPr>
      <w:numPr>
        <w:ilvl w:val="4"/>
        <w:numId w:val="7"/>
      </w:numPr>
      <w:pBdr>
        <w:top w:val="none" w:sz="0" w:space="0" w:color="auto"/>
        <w:left w:val="none" w:sz="0" w:space="0" w:color="auto"/>
        <w:bottom w:val="none" w:sz="0" w:space="0" w:color="auto"/>
        <w:right w:val="none" w:sz="0" w:space="0" w:color="auto"/>
        <w:between w:val="none" w:sz="0" w:space="0" w:color="auto"/>
        <w:bar w:val="none" w:sz="0" w:color="auto"/>
      </w:pBdr>
      <w:spacing w:after="240" w:line="240" w:lineRule="atLeast"/>
      <w:outlineLvl w:val="9"/>
    </w:pPr>
    <w:rPr>
      <w:rFonts w:eastAsia="Times New Roman" w:cs="Times New Roman"/>
      <w:color w:val="auto"/>
      <w:sz w:val="20"/>
      <w:szCs w:val="20"/>
      <w:bdr w:val="none" w:sz="0" w:space="0" w:color="auto"/>
      <w:lang w:val="en-GB" w:eastAsia="en-US"/>
    </w:rPr>
  </w:style>
  <w:style w:type="paragraph" w:customStyle="1" w:styleId="TableBullet">
    <w:name w:val="Table Bullet"/>
    <w:basedOn w:val="TableText"/>
    <w:rsid w:val="006220A2"/>
    <w:pPr>
      <w:numPr>
        <w:numId w:val="8"/>
      </w:numPr>
    </w:pPr>
  </w:style>
  <w:style w:type="paragraph" w:customStyle="1" w:styleId="TableText">
    <w:name w:val="Table Text"/>
    <w:basedOn w:val="Normal"/>
    <w:rsid w:val="006220A2"/>
    <w:pPr>
      <w:pBdr>
        <w:top w:val="none" w:sz="0" w:space="0" w:color="auto"/>
        <w:left w:val="none" w:sz="0" w:space="0" w:color="auto"/>
        <w:bottom w:val="none" w:sz="0" w:space="0" w:color="auto"/>
        <w:right w:val="none" w:sz="0" w:space="0" w:color="auto"/>
        <w:between w:val="none" w:sz="0" w:space="0" w:color="auto"/>
        <w:bar w:val="none" w:sz="0" w:color="auto"/>
      </w:pBdr>
      <w:spacing w:before="120" w:after="170" w:line="240" w:lineRule="atLeast"/>
      <w:outlineLvl w:val="9"/>
    </w:pPr>
    <w:rPr>
      <w:rFonts w:eastAsia="Times New Roman" w:cs="Times New Roman"/>
      <w:color w:val="auto"/>
      <w:sz w:val="20"/>
      <w:szCs w:val="20"/>
      <w:bdr w:val="none" w:sz="0" w:space="0" w:color="auto"/>
      <w:lang w:val="en-GB" w:eastAsia="en-US"/>
    </w:rPr>
  </w:style>
  <w:style w:type="paragraph" w:customStyle="1" w:styleId="TableListNumber">
    <w:name w:val="Table List Number"/>
    <w:basedOn w:val="TableText"/>
    <w:rsid w:val="006220A2"/>
    <w:pPr>
      <w:numPr>
        <w:numId w:val="9"/>
      </w:numPr>
      <w:tabs>
        <w:tab w:val="left" w:pos="298"/>
      </w:tabs>
    </w:pPr>
  </w:style>
  <w:style w:type="paragraph" w:customStyle="1" w:styleId="TableColumnHeader">
    <w:name w:val="Table Column Header"/>
    <w:basedOn w:val="TableText"/>
    <w:rsid w:val="006220A2"/>
    <w:rPr>
      <w:b/>
    </w:rPr>
  </w:style>
  <w:style w:type="character" w:styleId="Refdecomentario">
    <w:name w:val="annotation reference"/>
    <w:semiHidden/>
    <w:rsid w:val="006220A2"/>
    <w:rPr>
      <w:sz w:val="16"/>
      <w:szCs w:val="16"/>
    </w:rPr>
  </w:style>
  <w:style w:type="paragraph" w:customStyle="1" w:styleId="TableRowHeader">
    <w:name w:val="Table Row Header"/>
    <w:basedOn w:val="Normal"/>
    <w:rsid w:val="006220A2"/>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ind w:left="-108"/>
      <w:outlineLvl w:val="9"/>
    </w:pPr>
    <w:rPr>
      <w:rFonts w:ascii="Times New Roman" w:eastAsia="Times New Roman" w:hAnsi="Times New Roman" w:cs="Times New Roman"/>
      <w:color w:val="auto"/>
      <w:spacing w:val="-2"/>
      <w:sz w:val="16"/>
      <w:szCs w:val="16"/>
      <w:bdr w:val="none" w:sz="0" w:space="0" w:color="auto"/>
      <w:lang w:val="en-GB" w:eastAsia="en-US"/>
    </w:rPr>
  </w:style>
  <w:style w:type="paragraph" w:customStyle="1" w:styleId="Body">
    <w:name w:val="Body"/>
    <w:basedOn w:val="Normal"/>
    <w:rsid w:val="006220A2"/>
    <w:pPr>
      <w:pBdr>
        <w:top w:val="none" w:sz="0" w:space="0" w:color="auto"/>
        <w:left w:val="none" w:sz="0" w:space="0" w:color="auto"/>
        <w:bottom w:val="none" w:sz="0" w:space="0" w:color="auto"/>
        <w:right w:val="none" w:sz="0" w:space="0" w:color="auto"/>
        <w:between w:val="none" w:sz="0" w:space="0" w:color="auto"/>
        <w:bar w:val="none" w:sz="0" w:color="auto"/>
      </w:pBdr>
      <w:overflowPunct w:val="0"/>
      <w:autoSpaceDE w:val="0"/>
      <w:autoSpaceDN w:val="0"/>
      <w:adjustRightInd w:val="0"/>
      <w:textAlignment w:val="baseline"/>
      <w:outlineLvl w:val="9"/>
    </w:pPr>
    <w:rPr>
      <w:rFonts w:ascii="Times New Roman" w:eastAsia="Times New Roman" w:hAnsi="Times New Roman" w:cs="Times New Roman"/>
      <w:noProof/>
      <w:szCs w:val="20"/>
      <w:bdr w:val="none" w:sz="0" w:space="0" w:color="auto"/>
      <w:lang w:eastAsia="es-ES"/>
    </w:rPr>
  </w:style>
  <w:style w:type="paragraph" w:customStyle="1" w:styleId="Bulleted">
    <w:name w:val="Bulleted"/>
    <w:basedOn w:val="Normal"/>
    <w:rsid w:val="006220A2"/>
    <w:pPr>
      <w:pBdr>
        <w:top w:val="none" w:sz="0" w:space="0" w:color="auto"/>
        <w:left w:val="none" w:sz="0" w:space="0" w:color="auto"/>
        <w:bottom w:val="none" w:sz="0" w:space="0" w:color="auto"/>
        <w:right w:val="none" w:sz="0" w:space="0" w:color="auto"/>
        <w:between w:val="none" w:sz="0" w:space="0" w:color="auto"/>
        <w:bar w:val="none" w:sz="0" w:color="auto"/>
      </w:pBdr>
      <w:tabs>
        <w:tab w:val="left" w:pos="285"/>
      </w:tabs>
      <w:overflowPunct w:val="0"/>
      <w:autoSpaceDE w:val="0"/>
      <w:autoSpaceDN w:val="0"/>
      <w:adjustRightInd w:val="0"/>
      <w:ind w:left="285" w:hanging="285"/>
      <w:textAlignment w:val="baseline"/>
      <w:outlineLvl w:val="9"/>
    </w:pPr>
    <w:rPr>
      <w:rFonts w:ascii="Times New Roman" w:eastAsia="Times New Roman" w:hAnsi="Times New Roman" w:cs="Times New Roman"/>
      <w:noProof/>
      <w:szCs w:val="20"/>
      <w:bdr w:val="none" w:sz="0" w:space="0" w:color="auto"/>
      <w:lang w:eastAsia="es-ES"/>
    </w:rPr>
  </w:style>
  <w:style w:type="paragraph" w:customStyle="1" w:styleId="CellBody">
    <w:name w:val="CellBody"/>
    <w:basedOn w:val="Normal"/>
    <w:rsid w:val="006220A2"/>
    <w:pPr>
      <w:pBdr>
        <w:top w:val="none" w:sz="0" w:space="0" w:color="auto"/>
        <w:left w:val="none" w:sz="0" w:space="0" w:color="auto"/>
        <w:bottom w:val="none" w:sz="0" w:space="0" w:color="auto"/>
        <w:right w:val="none" w:sz="0" w:space="0" w:color="auto"/>
        <w:between w:val="none" w:sz="0" w:space="0" w:color="auto"/>
        <w:bar w:val="none" w:sz="0" w:color="auto"/>
      </w:pBdr>
      <w:overflowPunct w:val="0"/>
      <w:autoSpaceDE w:val="0"/>
      <w:autoSpaceDN w:val="0"/>
      <w:adjustRightInd w:val="0"/>
      <w:textAlignment w:val="baseline"/>
      <w:outlineLvl w:val="9"/>
    </w:pPr>
    <w:rPr>
      <w:rFonts w:ascii="Times New Roman" w:eastAsia="Times New Roman" w:hAnsi="Times New Roman" w:cs="Times New Roman"/>
      <w:noProof/>
      <w:szCs w:val="20"/>
      <w:bdr w:val="none" w:sz="0" w:space="0" w:color="auto"/>
      <w:lang w:eastAsia="es-ES"/>
    </w:rPr>
  </w:style>
  <w:style w:type="paragraph" w:customStyle="1" w:styleId="CellHeading">
    <w:name w:val="CellHeading"/>
    <w:basedOn w:val="Normal"/>
    <w:rsid w:val="006220A2"/>
    <w:pPr>
      <w:pBdr>
        <w:top w:val="none" w:sz="0" w:space="0" w:color="auto"/>
        <w:left w:val="none" w:sz="0" w:space="0" w:color="auto"/>
        <w:bottom w:val="none" w:sz="0" w:space="0" w:color="auto"/>
        <w:right w:val="none" w:sz="0" w:space="0" w:color="auto"/>
        <w:between w:val="none" w:sz="0" w:space="0" w:color="auto"/>
        <w:bar w:val="none" w:sz="0" w:color="auto"/>
      </w:pBdr>
      <w:overflowPunct w:val="0"/>
      <w:autoSpaceDE w:val="0"/>
      <w:autoSpaceDN w:val="0"/>
      <w:adjustRightInd w:val="0"/>
      <w:jc w:val="center"/>
      <w:textAlignment w:val="baseline"/>
      <w:outlineLvl w:val="9"/>
    </w:pPr>
    <w:rPr>
      <w:rFonts w:ascii="Times New Roman" w:eastAsia="Times New Roman" w:hAnsi="Times New Roman" w:cs="Times New Roman"/>
      <w:noProof/>
      <w:szCs w:val="20"/>
      <w:bdr w:val="none" w:sz="0" w:space="0" w:color="auto"/>
      <w:lang w:eastAsia="es-ES"/>
    </w:rPr>
  </w:style>
  <w:style w:type="paragraph" w:customStyle="1" w:styleId="CelluleIntitul">
    <w:name w:val="Cellule Intitulé"/>
    <w:basedOn w:val="Normal"/>
    <w:rsid w:val="006220A2"/>
    <w:pPr>
      <w:pBdr>
        <w:top w:val="none" w:sz="0" w:space="0" w:color="auto"/>
        <w:left w:val="none" w:sz="0" w:space="0" w:color="auto"/>
        <w:bottom w:val="none" w:sz="0" w:space="0" w:color="auto"/>
        <w:right w:val="none" w:sz="0" w:space="0" w:color="auto"/>
        <w:between w:val="none" w:sz="0" w:space="0" w:color="auto"/>
        <w:bar w:val="none" w:sz="0" w:color="auto"/>
      </w:pBdr>
      <w:overflowPunct w:val="0"/>
      <w:autoSpaceDE w:val="0"/>
      <w:autoSpaceDN w:val="0"/>
      <w:adjustRightInd w:val="0"/>
      <w:jc w:val="both"/>
      <w:textAlignment w:val="baseline"/>
      <w:outlineLvl w:val="9"/>
    </w:pPr>
    <w:rPr>
      <w:rFonts w:ascii="Times New Roman" w:eastAsia="Times New Roman" w:hAnsi="Times New Roman" w:cs="Times New Roman"/>
      <w:noProof/>
      <w:szCs w:val="20"/>
      <w:bdr w:val="none" w:sz="0" w:space="0" w:color="auto"/>
      <w:lang w:eastAsia="es-ES"/>
    </w:rPr>
  </w:style>
  <w:style w:type="paragraph" w:customStyle="1" w:styleId="Footnote">
    <w:name w:val="Footnote"/>
    <w:basedOn w:val="Normal"/>
    <w:rsid w:val="006220A2"/>
    <w:pPr>
      <w:pBdr>
        <w:top w:val="none" w:sz="0" w:space="0" w:color="auto"/>
        <w:left w:val="none" w:sz="0" w:space="0" w:color="auto"/>
        <w:bottom w:val="none" w:sz="0" w:space="0" w:color="auto"/>
        <w:right w:val="none" w:sz="0" w:space="0" w:color="auto"/>
        <w:between w:val="none" w:sz="0" w:space="0" w:color="auto"/>
        <w:bar w:val="none" w:sz="0" w:color="auto"/>
      </w:pBdr>
      <w:outlineLvl w:val="9"/>
    </w:pPr>
    <w:rPr>
      <w:rFonts w:ascii="Times New Roman" w:eastAsia="Times New Roman" w:hAnsi="Times New Roman" w:cs="Times New Roman"/>
      <w:noProof/>
      <w:sz w:val="20"/>
      <w:szCs w:val="20"/>
      <w:bdr w:val="none" w:sz="0" w:space="0" w:color="auto"/>
      <w:lang w:eastAsia="es-ES"/>
    </w:rPr>
  </w:style>
  <w:style w:type="paragraph" w:customStyle="1" w:styleId="Heading1">
    <w:name w:val="Heading1"/>
    <w:basedOn w:val="Normal"/>
    <w:rsid w:val="006220A2"/>
    <w:pPr>
      <w:keepNext/>
      <w:pBdr>
        <w:top w:val="none" w:sz="0" w:space="0" w:color="auto"/>
        <w:left w:val="none" w:sz="0" w:space="0" w:color="auto"/>
        <w:bottom w:val="none" w:sz="0" w:space="0" w:color="auto"/>
        <w:right w:val="none" w:sz="0" w:space="0" w:color="auto"/>
        <w:between w:val="none" w:sz="0" w:space="0" w:color="auto"/>
        <w:bar w:val="none" w:sz="0" w:color="auto"/>
      </w:pBdr>
      <w:overflowPunct w:val="0"/>
      <w:autoSpaceDE w:val="0"/>
      <w:autoSpaceDN w:val="0"/>
      <w:adjustRightInd w:val="0"/>
      <w:spacing w:before="280" w:after="120"/>
      <w:textAlignment w:val="baseline"/>
      <w:outlineLvl w:val="9"/>
    </w:pPr>
    <w:rPr>
      <w:rFonts w:ascii="Times New Roman" w:eastAsia="Times New Roman" w:hAnsi="Times New Roman" w:cs="Times New Roman"/>
      <w:b/>
      <w:noProof/>
      <w:sz w:val="28"/>
      <w:szCs w:val="20"/>
      <w:bdr w:val="none" w:sz="0" w:space="0" w:color="auto"/>
      <w:lang w:eastAsia="es-ES"/>
    </w:rPr>
  </w:style>
  <w:style w:type="paragraph" w:customStyle="1" w:styleId="Heading2">
    <w:name w:val="Heading2"/>
    <w:basedOn w:val="Normal"/>
    <w:rsid w:val="006220A2"/>
    <w:pPr>
      <w:keepNext/>
      <w:pBdr>
        <w:top w:val="none" w:sz="0" w:space="0" w:color="auto"/>
        <w:left w:val="none" w:sz="0" w:space="0" w:color="auto"/>
        <w:bottom w:val="none" w:sz="0" w:space="0" w:color="auto"/>
        <w:right w:val="none" w:sz="0" w:space="0" w:color="auto"/>
        <w:between w:val="none" w:sz="0" w:space="0" w:color="auto"/>
        <w:bar w:val="none" w:sz="0" w:color="auto"/>
      </w:pBdr>
      <w:overflowPunct w:val="0"/>
      <w:autoSpaceDE w:val="0"/>
      <w:autoSpaceDN w:val="0"/>
      <w:adjustRightInd w:val="0"/>
      <w:spacing w:before="240" w:after="60"/>
      <w:textAlignment w:val="baseline"/>
      <w:outlineLvl w:val="9"/>
    </w:pPr>
    <w:rPr>
      <w:rFonts w:ascii="Times New Roman" w:eastAsia="Times New Roman" w:hAnsi="Times New Roman" w:cs="Times New Roman"/>
      <w:b/>
      <w:noProof/>
      <w:szCs w:val="20"/>
      <w:bdr w:val="none" w:sz="0" w:space="0" w:color="auto"/>
      <w:lang w:eastAsia="es-ES"/>
    </w:rPr>
  </w:style>
  <w:style w:type="paragraph" w:customStyle="1" w:styleId="HeadingRunIn">
    <w:name w:val="HeadingRunIn"/>
    <w:basedOn w:val="Normal"/>
    <w:rsid w:val="006220A2"/>
    <w:pPr>
      <w:keepNext/>
      <w:pBdr>
        <w:top w:val="none" w:sz="0" w:space="0" w:color="auto"/>
        <w:left w:val="none" w:sz="0" w:space="0" w:color="auto"/>
        <w:bottom w:val="none" w:sz="0" w:space="0" w:color="auto"/>
        <w:right w:val="none" w:sz="0" w:space="0" w:color="auto"/>
        <w:between w:val="none" w:sz="0" w:space="0" w:color="auto"/>
        <w:bar w:val="none" w:sz="0" w:color="auto"/>
      </w:pBdr>
      <w:overflowPunct w:val="0"/>
      <w:autoSpaceDE w:val="0"/>
      <w:autoSpaceDN w:val="0"/>
      <w:adjustRightInd w:val="0"/>
      <w:spacing w:before="120"/>
      <w:textAlignment w:val="baseline"/>
      <w:outlineLvl w:val="9"/>
    </w:pPr>
    <w:rPr>
      <w:rFonts w:ascii="Times New Roman" w:eastAsia="Times New Roman" w:hAnsi="Times New Roman" w:cs="Times New Roman"/>
      <w:b/>
      <w:noProof/>
      <w:szCs w:val="20"/>
      <w:bdr w:val="none" w:sz="0" w:space="0" w:color="auto"/>
      <w:lang w:eastAsia="es-ES"/>
    </w:rPr>
  </w:style>
  <w:style w:type="paragraph" w:customStyle="1" w:styleId="Indented">
    <w:name w:val="Indented"/>
    <w:basedOn w:val="Normal"/>
    <w:rsid w:val="006220A2"/>
    <w:pPr>
      <w:pBdr>
        <w:top w:val="none" w:sz="0" w:space="0" w:color="auto"/>
        <w:left w:val="none" w:sz="0" w:space="0" w:color="auto"/>
        <w:bottom w:val="none" w:sz="0" w:space="0" w:color="auto"/>
        <w:right w:val="none" w:sz="0" w:space="0" w:color="auto"/>
        <w:between w:val="none" w:sz="0" w:space="0" w:color="auto"/>
        <w:bar w:val="none" w:sz="0" w:color="auto"/>
      </w:pBdr>
      <w:tabs>
        <w:tab w:val="left" w:pos="285"/>
      </w:tabs>
      <w:overflowPunct w:val="0"/>
      <w:autoSpaceDE w:val="0"/>
      <w:autoSpaceDN w:val="0"/>
      <w:adjustRightInd w:val="0"/>
      <w:ind w:left="285"/>
      <w:textAlignment w:val="baseline"/>
      <w:outlineLvl w:val="9"/>
    </w:pPr>
    <w:rPr>
      <w:rFonts w:ascii="Times New Roman" w:eastAsia="Times New Roman" w:hAnsi="Times New Roman" w:cs="Times New Roman"/>
      <w:noProof/>
      <w:szCs w:val="20"/>
      <w:bdr w:val="none" w:sz="0" w:space="0" w:color="auto"/>
      <w:lang w:eastAsia="es-ES"/>
    </w:rPr>
  </w:style>
  <w:style w:type="paragraph" w:customStyle="1" w:styleId="Numbered">
    <w:name w:val="Numbered"/>
    <w:basedOn w:val="Normal"/>
    <w:rsid w:val="006220A2"/>
    <w:pPr>
      <w:pBdr>
        <w:top w:val="none" w:sz="0" w:space="0" w:color="auto"/>
        <w:left w:val="none" w:sz="0" w:space="0" w:color="auto"/>
        <w:bottom w:val="none" w:sz="0" w:space="0" w:color="auto"/>
        <w:right w:val="none" w:sz="0" w:space="0" w:color="auto"/>
        <w:between w:val="none" w:sz="0" w:space="0" w:color="auto"/>
        <w:bar w:val="none" w:sz="0" w:color="auto"/>
      </w:pBdr>
      <w:tabs>
        <w:tab w:val="left" w:pos="285"/>
      </w:tabs>
      <w:overflowPunct w:val="0"/>
      <w:autoSpaceDE w:val="0"/>
      <w:autoSpaceDN w:val="0"/>
      <w:adjustRightInd w:val="0"/>
      <w:ind w:left="285" w:hanging="285"/>
      <w:textAlignment w:val="baseline"/>
      <w:outlineLvl w:val="9"/>
    </w:pPr>
    <w:rPr>
      <w:rFonts w:ascii="Times New Roman" w:eastAsia="Times New Roman" w:hAnsi="Times New Roman" w:cs="Times New Roman"/>
      <w:noProof/>
      <w:szCs w:val="20"/>
      <w:bdr w:val="none" w:sz="0" w:space="0" w:color="auto"/>
      <w:lang w:eastAsia="es-ES"/>
    </w:rPr>
  </w:style>
  <w:style w:type="paragraph" w:customStyle="1" w:styleId="Numbered1">
    <w:name w:val="Numbered1"/>
    <w:basedOn w:val="Normal"/>
    <w:rsid w:val="006220A2"/>
    <w:pPr>
      <w:pBdr>
        <w:top w:val="none" w:sz="0" w:space="0" w:color="auto"/>
        <w:left w:val="none" w:sz="0" w:space="0" w:color="auto"/>
        <w:bottom w:val="none" w:sz="0" w:space="0" w:color="auto"/>
        <w:right w:val="none" w:sz="0" w:space="0" w:color="auto"/>
        <w:between w:val="none" w:sz="0" w:space="0" w:color="auto"/>
        <w:bar w:val="none" w:sz="0" w:color="auto"/>
      </w:pBdr>
      <w:tabs>
        <w:tab w:val="left" w:pos="285"/>
      </w:tabs>
      <w:overflowPunct w:val="0"/>
      <w:autoSpaceDE w:val="0"/>
      <w:autoSpaceDN w:val="0"/>
      <w:adjustRightInd w:val="0"/>
      <w:ind w:left="285" w:hanging="285"/>
      <w:textAlignment w:val="baseline"/>
      <w:outlineLvl w:val="9"/>
    </w:pPr>
    <w:rPr>
      <w:rFonts w:ascii="Times New Roman" w:eastAsia="Times New Roman" w:hAnsi="Times New Roman" w:cs="Times New Roman"/>
      <w:noProof/>
      <w:szCs w:val="20"/>
      <w:bdr w:val="none" w:sz="0" w:space="0" w:color="auto"/>
      <w:lang w:eastAsia="es-ES"/>
    </w:rPr>
  </w:style>
  <w:style w:type="paragraph" w:customStyle="1" w:styleId="TextePreci">
    <w:name w:val="TextePreci"/>
    <w:basedOn w:val="Normal"/>
    <w:rsid w:val="006220A2"/>
    <w:pPr>
      <w:pBdr>
        <w:top w:val="none" w:sz="0" w:space="0" w:color="auto"/>
        <w:left w:val="none" w:sz="0" w:space="0" w:color="auto"/>
        <w:bottom w:val="none" w:sz="0" w:space="0" w:color="auto"/>
        <w:right w:val="none" w:sz="0" w:space="0" w:color="auto"/>
        <w:between w:val="none" w:sz="0" w:space="0" w:color="auto"/>
        <w:bar w:val="none" w:sz="0" w:color="auto"/>
      </w:pBdr>
      <w:tabs>
        <w:tab w:val="left" w:pos="1413"/>
        <w:tab w:val="left" w:pos="2122"/>
        <w:tab w:val="left" w:pos="2832"/>
        <w:tab w:val="left" w:pos="3538"/>
        <w:tab w:val="left" w:pos="4248"/>
        <w:tab w:val="left" w:pos="4957"/>
        <w:tab w:val="left" w:pos="5661"/>
        <w:tab w:val="left" w:pos="6368"/>
        <w:tab w:val="left" w:pos="7077"/>
        <w:tab w:val="left" w:pos="7787"/>
        <w:tab w:val="left" w:pos="8496"/>
      </w:tabs>
      <w:overflowPunct w:val="0"/>
      <w:autoSpaceDE w:val="0"/>
      <w:autoSpaceDN w:val="0"/>
      <w:adjustRightInd w:val="0"/>
      <w:ind w:left="285"/>
      <w:jc w:val="both"/>
      <w:textAlignment w:val="baseline"/>
      <w:outlineLvl w:val="9"/>
    </w:pPr>
    <w:rPr>
      <w:rFonts w:eastAsia="Times New Roman" w:cs="Times New Roman"/>
      <w:noProof/>
      <w:sz w:val="18"/>
      <w:szCs w:val="20"/>
      <w:bdr w:val="none" w:sz="0" w:space="0" w:color="auto"/>
      <w:lang w:eastAsia="es-ES"/>
    </w:rPr>
  </w:style>
  <w:style w:type="paragraph" w:customStyle="1" w:styleId="TexteSecond">
    <w:name w:val="TexteSecond"/>
    <w:basedOn w:val="Normal"/>
    <w:rsid w:val="006220A2"/>
    <w:pPr>
      <w:pBdr>
        <w:top w:val="none" w:sz="0" w:space="0" w:color="auto"/>
        <w:left w:val="none" w:sz="0" w:space="0" w:color="auto"/>
        <w:bottom w:val="none" w:sz="0" w:space="0" w:color="auto"/>
        <w:right w:val="none" w:sz="0" w:space="0" w:color="auto"/>
        <w:between w:val="none" w:sz="0" w:space="0" w:color="auto"/>
        <w:bar w:val="none" w:sz="0" w:color="auto"/>
      </w:pBdr>
      <w:tabs>
        <w:tab w:val="left" w:pos="1413"/>
        <w:tab w:val="left" w:pos="2122"/>
        <w:tab w:val="left" w:pos="2832"/>
        <w:tab w:val="left" w:pos="3538"/>
        <w:tab w:val="left" w:pos="4248"/>
        <w:tab w:val="left" w:pos="4957"/>
        <w:tab w:val="left" w:pos="5661"/>
        <w:tab w:val="left" w:pos="6368"/>
        <w:tab w:val="left" w:pos="7077"/>
        <w:tab w:val="left" w:pos="7787"/>
        <w:tab w:val="left" w:pos="8496"/>
      </w:tabs>
      <w:overflowPunct w:val="0"/>
      <w:autoSpaceDE w:val="0"/>
      <w:autoSpaceDN w:val="0"/>
      <w:adjustRightInd w:val="0"/>
      <w:spacing w:line="260" w:lineRule="atLeast"/>
      <w:ind w:left="433"/>
      <w:jc w:val="both"/>
      <w:textAlignment w:val="baseline"/>
      <w:outlineLvl w:val="9"/>
    </w:pPr>
    <w:rPr>
      <w:rFonts w:eastAsia="Times New Roman" w:cs="Times New Roman"/>
      <w:noProof/>
      <w:sz w:val="18"/>
      <w:szCs w:val="20"/>
      <w:bdr w:val="none" w:sz="0" w:space="0" w:color="auto"/>
      <w:lang w:eastAsia="es-ES"/>
    </w:rPr>
  </w:style>
  <w:style w:type="paragraph" w:customStyle="1" w:styleId="TexteSecondNonRet">
    <w:name w:val="TexteSecondNonRet"/>
    <w:basedOn w:val="Normal"/>
    <w:rsid w:val="006220A2"/>
    <w:pPr>
      <w:pBdr>
        <w:top w:val="none" w:sz="0" w:space="0" w:color="auto"/>
        <w:left w:val="none" w:sz="0" w:space="0" w:color="auto"/>
        <w:bottom w:val="none" w:sz="0" w:space="0" w:color="auto"/>
        <w:right w:val="none" w:sz="0" w:space="0" w:color="auto"/>
        <w:between w:val="none" w:sz="0" w:space="0" w:color="auto"/>
        <w:bar w:val="none" w:sz="0" w:color="auto"/>
      </w:pBdr>
      <w:overflowPunct w:val="0"/>
      <w:autoSpaceDE w:val="0"/>
      <w:autoSpaceDN w:val="0"/>
      <w:adjustRightInd w:val="0"/>
      <w:jc w:val="both"/>
      <w:textAlignment w:val="baseline"/>
      <w:outlineLvl w:val="9"/>
    </w:pPr>
    <w:rPr>
      <w:rFonts w:eastAsia="Times New Roman" w:cs="Times New Roman"/>
      <w:noProof/>
      <w:sz w:val="18"/>
      <w:szCs w:val="20"/>
      <w:bdr w:val="none" w:sz="0" w:space="0" w:color="auto"/>
      <w:lang w:eastAsia="es-ES"/>
    </w:rPr>
  </w:style>
  <w:style w:type="paragraph" w:customStyle="1" w:styleId="Title1">
    <w:name w:val="Title1"/>
    <w:basedOn w:val="Normal"/>
    <w:rsid w:val="006220A2"/>
    <w:pPr>
      <w:keepNext/>
      <w:pBdr>
        <w:top w:val="none" w:sz="0" w:space="0" w:color="auto"/>
        <w:left w:val="none" w:sz="0" w:space="0" w:color="auto"/>
        <w:bottom w:val="none" w:sz="0" w:space="0" w:color="auto"/>
        <w:right w:val="none" w:sz="0" w:space="0" w:color="auto"/>
        <w:between w:val="none" w:sz="0" w:space="0" w:color="auto"/>
        <w:bar w:val="none" w:sz="0" w:color="auto"/>
      </w:pBdr>
      <w:overflowPunct w:val="0"/>
      <w:autoSpaceDE w:val="0"/>
      <w:autoSpaceDN w:val="0"/>
      <w:adjustRightInd w:val="0"/>
      <w:spacing w:before="480" w:after="240" w:line="360" w:lineRule="atLeast"/>
      <w:jc w:val="center"/>
      <w:textAlignment w:val="baseline"/>
      <w:outlineLvl w:val="9"/>
    </w:pPr>
    <w:rPr>
      <w:rFonts w:ascii="Times New Roman" w:eastAsia="Times New Roman" w:hAnsi="Times New Roman" w:cs="Times New Roman"/>
      <w:b/>
      <w:noProof/>
      <w:sz w:val="36"/>
      <w:szCs w:val="20"/>
      <w:bdr w:val="none" w:sz="0" w:space="0" w:color="auto"/>
      <w:lang w:eastAsia="es-ES"/>
    </w:rPr>
  </w:style>
  <w:style w:type="paragraph" w:customStyle="1" w:styleId="Titre1">
    <w:name w:val="Titre 1"/>
    <w:basedOn w:val="Normal"/>
    <w:rsid w:val="006220A2"/>
    <w:pPr>
      <w:keepNext/>
      <w:pBdr>
        <w:top w:val="none" w:sz="0" w:space="0" w:color="auto"/>
        <w:left w:val="none" w:sz="0" w:space="0" w:color="auto"/>
        <w:bottom w:val="none" w:sz="0" w:space="0" w:color="auto"/>
        <w:right w:val="none" w:sz="0" w:space="0" w:color="auto"/>
        <w:between w:val="none" w:sz="0" w:space="0" w:color="auto"/>
        <w:bar w:val="none" w:sz="0" w:color="auto"/>
      </w:pBdr>
      <w:tabs>
        <w:tab w:val="left" w:pos="1413"/>
        <w:tab w:val="left" w:pos="2122"/>
        <w:tab w:val="left" w:pos="2832"/>
        <w:tab w:val="left" w:pos="3538"/>
        <w:tab w:val="left" w:pos="4248"/>
        <w:tab w:val="left" w:pos="4957"/>
        <w:tab w:val="left" w:pos="5661"/>
        <w:tab w:val="left" w:pos="6368"/>
        <w:tab w:val="left" w:pos="7077"/>
        <w:tab w:val="left" w:pos="7787"/>
        <w:tab w:val="left" w:pos="8496"/>
      </w:tabs>
      <w:overflowPunct w:val="0"/>
      <w:autoSpaceDE w:val="0"/>
      <w:autoSpaceDN w:val="0"/>
      <w:adjustRightInd w:val="0"/>
      <w:spacing w:line="260" w:lineRule="atLeast"/>
      <w:jc w:val="center"/>
      <w:textAlignment w:val="baseline"/>
      <w:outlineLvl w:val="9"/>
    </w:pPr>
    <w:rPr>
      <w:rFonts w:ascii="Times New Roman" w:eastAsia="Times New Roman" w:hAnsi="Times New Roman" w:cs="Times New Roman"/>
      <w:b/>
      <w:noProof/>
      <w:sz w:val="48"/>
      <w:szCs w:val="20"/>
      <w:bdr w:val="none" w:sz="0" w:space="0" w:color="auto"/>
      <w:lang w:eastAsia="es-ES"/>
    </w:rPr>
  </w:style>
  <w:style w:type="paragraph" w:customStyle="1" w:styleId="Titre1Intro">
    <w:name w:val="Titre 1 Intro"/>
    <w:basedOn w:val="Normal"/>
    <w:rsid w:val="006220A2"/>
    <w:pPr>
      <w:keepNext/>
      <w:pBdr>
        <w:top w:val="none" w:sz="0" w:space="0" w:color="auto"/>
        <w:left w:val="none" w:sz="0" w:space="0" w:color="auto"/>
        <w:bottom w:val="none" w:sz="0" w:space="0" w:color="auto"/>
        <w:right w:val="none" w:sz="0" w:space="0" w:color="auto"/>
        <w:between w:val="none" w:sz="0" w:space="0" w:color="auto"/>
        <w:bar w:val="none" w:sz="0" w:color="auto"/>
      </w:pBdr>
      <w:tabs>
        <w:tab w:val="left" w:pos="1413"/>
        <w:tab w:val="left" w:pos="2122"/>
        <w:tab w:val="left" w:pos="2832"/>
        <w:tab w:val="left" w:pos="3538"/>
        <w:tab w:val="left" w:pos="4248"/>
        <w:tab w:val="left" w:pos="4957"/>
        <w:tab w:val="left" w:pos="5661"/>
        <w:tab w:val="left" w:pos="6368"/>
        <w:tab w:val="left" w:pos="7077"/>
        <w:tab w:val="left" w:pos="7787"/>
        <w:tab w:val="left" w:pos="8496"/>
      </w:tabs>
      <w:overflowPunct w:val="0"/>
      <w:autoSpaceDE w:val="0"/>
      <w:autoSpaceDN w:val="0"/>
      <w:adjustRightInd w:val="0"/>
      <w:spacing w:before="200" w:line="260" w:lineRule="atLeast"/>
      <w:jc w:val="center"/>
      <w:textAlignment w:val="baseline"/>
      <w:outlineLvl w:val="9"/>
    </w:pPr>
    <w:rPr>
      <w:rFonts w:ascii="Times New Roman" w:eastAsia="Times New Roman" w:hAnsi="Times New Roman" w:cs="Times New Roman"/>
      <w:b/>
      <w:noProof/>
      <w:sz w:val="32"/>
      <w:szCs w:val="20"/>
      <w:bdr w:val="none" w:sz="0" w:space="0" w:color="auto"/>
      <w:lang w:eastAsia="es-ES"/>
    </w:rPr>
  </w:style>
  <w:style w:type="paragraph" w:customStyle="1" w:styleId="Titre10Bis">
    <w:name w:val="Titre 10 Bis"/>
    <w:basedOn w:val="Normal"/>
    <w:rsid w:val="006220A2"/>
    <w:pPr>
      <w:pBdr>
        <w:top w:val="none" w:sz="0" w:space="0" w:color="auto"/>
        <w:left w:val="none" w:sz="0" w:space="0" w:color="auto"/>
        <w:bottom w:val="none" w:sz="0" w:space="0" w:color="auto"/>
        <w:right w:val="none" w:sz="0" w:space="0" w:color="auto"/>
        <w:between w:val="none" w:sz="0" w:space="0" w:color="auto"/>
        <w:bar w:val="none" w:sz="0" w:color="auto"/>
      </w:pBdr>
      <w:tabs>
        <w:tab w:val="left" w:pos="703"/>
        <w:tab w:val="left" w:pos="1413"/>
        <w:tab w:val="left" w:pos="2122"/>
        <w:tab w:val="left" w:pos="2832"/>
        <w:tab w:val="left" w:pos="3538"/>
        <w:tab w:val="left" w:pos="4248"/>
        <w:tab w:val="left" w:pos="4957"/>
        <w:tab w:val="left" w:pos="5661"/>
        <w:tab w:val="left" w:pos="6368"/>
        <w:tab w:val="left" w:pos="7077"/>
        <w:tab w:val="left" w:pos="7787"/>
        <w:tab w:val="left" w:pos="8496"/>
      </w:tabs>
      <w:overflowPunct w:val="0"/>
      <w:autoSpaceDE w:val="0"/>
      <w:autoSpaceDN w:val="0"/>
      <w:adjustRightInd w:val="0"/>
      <w:spacing w:line="260" w:lineRule="atLeast"/>
      <w:textAlignment w:val="baseline"/>
      <w:outlineLvl w:val="9"/>
    </w:pPr>
    <w:rPr>
      <w:rFonts w:ascii="Times New Roman" w:eastAsia="Times New Roman" w:hAnsi="Times New Roman" w:cs="Times New Roman"/>
      <w:b/>
      <w:noProof/>
      <w:color w:val="0000FF"/>
      <w:sz w:val="28"/>
      <w:szCs w:val="20"/>
      <w:bdr w:val="none" w:sz="0" w:space="0" w:color="auto"/>
      <w:lang w:eastAsia="es-ES"/>
    </w:rPr>
  </w:style>
  <w:style w:type="paragraph" w:customStyle="1" w:styleId="Titre11">
    <w:name w:val="Titre 11"/>
    <w:basedOn w:val="Normal"/>
    <w:rsid w:val="006220A2"/>
    <w:pPr>
      <w:pBdr>
        <w:top w:val="none" w:sz="0" w:space="0" w:color="auto"/>
        <w:left w:val="none" w:sz="0" w:space="0" w:color="auto"/>
        <w:bottom w:val="none" w:sz="0" w:space="0" w:color="auto"/>
        <w:right w:val="none" w:sz="0" w:space="0" w:color="auto"/>
        <w:between w:val="none" w:sz="0" w:space="0" w:color="auto"/>
        <w:bar w:val="none" w:sz="0" w:color="auto"/>
      </w:pBdr>
      <w:tabs>
        <w:tab w:val="left" w:pos="703"/>
        <w:tab w:val="left" w:pos="1413"/>
        <w:tab w:val="left" w:pos="2122"/>
        <w:tab w:val="left" w:pos="2832"/>
        <w:tab w:val="left" w:pos="3538"/>
        <w:tab w:val="left" w:pos="4248"/>
        <w:tab w:val="left" w:pos="4957"/>
        <w:tab w:val="left" w:pos="5661"/>
        <w:tab w:val="left" w:pos="6368"/>
        <w:tab w:val="left" w:pos="7077"/>
        <w:tab w:val="left" w:pos="7787"/>
        <w:tab w:val="left" w:pos="8496"/>
      </w:tabs>
      <w:overflowPunct w:val="0"/>
      <w:autoSpaceDE w:val="0"/>
      <w:autoSpaceDN w:val="0"/>
      <w:adjustRightInd w:val="0"/>
      <w:spacing w:line="260" w:lineRule="atLeast"/>
      <w:textAlignment w:val="baseline"/>
      <w:outlineLvl w:val="9"/>
    </w:pPr>
    <w:rPr>
      <w:rFonts w:ascii="Times New Roman" w:eastAsia="Times New Roman" w:hAnsi="Times New Roman" w:cs="Times New Roman"/>
      <w:b/>
      <w:noProof/>
      <w:szCs w:val="20"/>
      <w:bdr w:val="none" w:sz="0" w:space="0" w:color="auto"/>
      <w:lang w:eastAsia="es-ES"/>
    </w:rPr>
  </w:style>
  <w:style w:type="paragraph" w:customStyle="1" w:styleId="Titre2">
    <w:name w:val="Titre 2"/>
    <w:basedOn w:val="Normal"/>
    <w:rsid w:val="006220A2"/>
    <w:pPr>
      <w:keepNext/>
      <w:pBdr>
        <w:top w:val="none" w:sz="0" w:space="0" w:color="auto"/>
        <w:left w:val="none" w:sz="0" w:space="0" w:color="auto"/>
        <w:bottom w:val="none" w:sz="0" w:space="0" w:color="auto"/>
        <w:right w:val="none" w:sz="0" w:space="0" w:color="auto"/>
        <w:between w:val="none" w:sz="0" w:space="0" w:color="auto"/>
        <w:bar w:val="none" w:sz="0" w:color="auto"/>
      </w:pBdr>
      <w:tabs>
        <w:tab w:val="left" w:pos="1413"/>
        <w:tab w:val="left" w:pos="2122"/>
        <w:tab w:val="left" w:pos="2832"/>
        <w:tab w:val="left" w:pos="3538"/>
        <w:tab w:val="left" w:pos="4248"/>
        <w:tab w:val="left" w:pos="4957"/>
        <w:tab w:val="left" w:pos="5661"/>
        <w:tab w:val="left" w:pos="6368"/>
        <w:tab w:val="left" w:pos="7077"/>
        <w:tab w:val="left" w:pos="7787"/>
        <w:tab w:val="left" w:pos="8496"/>
      </w:tabs>
      <w:overflowPunct w:val="0"/>
      <w:autoSpaceDE w:val="0"/>
      <w:autoSpaceDN w:val="0"/>
      <w:adjustRightInd w:val="0"/>
      <w:spacing w:line="260" w:lineRule="atLeast"/>
      <w:jc w:val="center"/>
      <w:textAlignment w:val="baseline"/>
      <w:outlineLvl w:val="9"/>
    </w:pPr>
    <w:rPr>
      <w:rFonts w:ascii="Times New Roman" w:eastAsia="Times New Roman" w:hAnsi="Times New Roman" w:cs="Times New Roman"/>
      <w:b/>
      <w:noProof/>
      <w:sz w:val="48"/>
      <w:szCs w:val="20"/>
      <w:bdr w:val="none" w:sz="0" w:space="0" w:color="auto"/>
      <w:lang w:eastAsia="es-ES"/>
    </w:rPr>
  </w:style>
  <w:style w:type="paragraph" w:customStyle="1" w:styleId="Titre2bis">
    <w:name w:val="Titre 2 bis"/>
    <w:basedOn w:val="Normal"/>
    <w:rsid w:val="006220A2"/>
    <w:pPr>
      <w:keepNext/>
      <w:pBdr>
        <w:top w:val="none" w:sz="0" w:space="0" w:color="auto"/>
        <w:left w:val="none" w:sz="0" w:space="0" w:color="auto"/>
        <w:bottom w:val="none" w:sz="0" w:space="0" w:color="auto"/>
        <w:right w:val="none" w:sz="0" w:space="0" w:color="auto"/>
        <w:between w:val="none" w:sz="0" w:space="0" w:color="auto"/>
        <w:bar w:val="none" w:sz="0" w:color="auto"/>
      </w:pBdr>
      <w:tabs>
        <w:tab w:val="left" w:pos="1413"/>
        <w:tab w:val="left" w:pos="2122"/>
        <w:tab w:val="left" w:pos="2832"/>
        <w:tab w:val="left" w:pos="3538"/>
        <w:tab w:val="left" w:pos="4248"/>
        <w:tab w:val="left" w:pos="4957"/>
        <w:tab w:val="left" w:pos="5661"/>
        <w:tab w:val="left" w:pos="6368"/>
        <w:tab w:val="left" w:pos="7077"/>
        <w:tab w:val="left" w:pos="7787"/>
        <w:tab w:val="left" w:pos="8496"/>
      </w:tabs>
      <w:overflowPunct w:val="0"/>
      <w:autoSpaceDE w:val="0"/>
      <w:autoSpaceDN w:val="0"/>
      <w:adjustRightInd w:val="0"/>
      <w:spacing w:line="260" w:lineRule="atLeast"/>
      <w:jc w:val="center"/>
      <w:textAlignment w:val="baseline"/>
      <w:outlineLvl w:val="9"/>
    </w:pPr>
    <w:rPr>
      <w:rFonts w:ascii="Times New Roman" w:eastAsia="Times New Roman" w:hAnsi="Times New Roman" w:cs="Times New Roman"/>
      <w:b/>
      <w:noProof/>
      <w:sz w:val="48"/>
      <w:szCs w:val="20"/>
      <w:bdr w:val="none" w:sz="0" w:space="0" w:color="auto"/>
      <w:lang w:eastAsia="es-ES"/>
    </w:rPr>
  </w:style>
  <w:style w:type="paragraph" w:customStyle="1" w:styleId="Titre2Intro">
    <w:name w:val="Titre 2 Intro"/>
    <w:basedOn w:val="Normal"/>
    <w:rsid w:val="006220A2"/>
    <w:pPr>
      <w:keepNext/>
      <w:pBdr>
        <w:top w:val="none" w:sz="0" w:space="0" w:color="auto"/>
        <w:left w:val="none" w:sz="0" w:space="0" w:color="auto"/>
        <w:bottom w:val="none" w:sz="0" w:space="0" w:color="auto"/>
        <w:right w:val="none" w:sz="0" w:space="0" w:color="auto"/>
        <w:between w:val="none" w:sz="0" w:space="0" w:color="auto"/>
        <w:bar w:val="none" w:sz="0" w:color="auto"/>
      </w:pBdr>
      <w:tabs>
        <w:tab w:val="left" w:pos="1413"/>
        <w:tab w:val="left" w:pos="2122"/>
        <w:tab w:val="left" w:pos="2832"/>
        <w:tab w:val="left" w:pos="3538"/>
        <w:tab w:val="left" w:pos="4248"/>
        <w:tab w:val="left" w:pos="4957"/>
        <w:tab w:val="left" w:pos="5661"/>
        <w:tab w:val="left" w:pos="6368"/>
        <w:tab w:val="left" w:pos="7077"/>
        <w:tab w:val="left" w:pos="7787"/>
        <w:tab w:val="left" w:pos="8496"/>
      </w:tabs>
      <w:overflowPunct w:val="0"/>
      <w:autoSpaceDE w:val="0"/>
      <w:autoSpaceDN w:val="0"/>
      <w:adjustRightInd w:val="0"/>
      <w:spacing w:before="1417" w:line="260" w:lineRule="atLeast"/>
      <w:jc w:val="center"/>
      <w:textAlignment w:val="baseline"/>
      <w:outlineLvl w:val="9"/>
    </w:pPr>
    <w:rPr>
      <w:rFonts w:ascii="Times New Roman" w:eastAsia="Times New Roman" w:hAnsi="Times New Roman" w:cs="Times New Roman"/>
      <w:b/>
      <w:noProof/>
      <w:sz w:val="32"/>
      <w:szCs w:val="20"/>
      <w:bdr w:val="none" w:sz="0" w:space="0" w:color="auto"/>
      <w:lang w:eastAsia="es-ES"/>
    </w:rPr>
  </w:style>
  <w:style w:type="paragraph" w:customStyle="1" w:styleId="Titre3">
    <w:name w:val="Titre 3"/>
    <w:basedOn w:val="Normal"/>
    <w:rsid w:val="006220A2"/>
    <w:pPr>
      <w:keepNext/>
      <w:pBdr>
        <w:top w:val="none" w:sz="0" w:space="0" w:color="auto"/>
        <w:left w:val="none" w:sz="0" w:space="0" w:color="auto"/>
        <w:bottom w:val="none" w:sz="0" w:space="0" w:color="auto"/>
        <w:right w:val="none" w:sz="0" w:space="0" w:color="auto"/>
        <w:between w:val="none" w:sz="0" w:space="0" w:color="auto"/>
        <w:bar w:val="none" w:sz="0" w:color="auto"/>
      </w:pBdr>
      <w:tabs>
        <w:tab w:val="left" w:pos="1413"/>
        <w:tab w:val="left" w:pos="2122"/>
        <w:tab w:val="left" w:pos="2832"/>
        <w:tab w:val="left" w:pos="3538"/>
        <w:tab w:val="left" w:pos="4248"/>
        <w:tab w:val="left" w:pos="4957"/>
        <w:tab w:val="left" w:pos="5661"/>
        <w:tab w:val="left" w:pos="6368"/>
        <w:tab w:val="left" w:pos="7077"/>
        <w:tab w:val="left" w:pos="7787"/>
        <w:tab w:val="left" w:pos="8496"/>
      </w:tabs>
      <w:overflowPunct w:val="0"/>
      <w:autoSpaceDE w:val="0"/>
      <w:autoSpaceDN w:val="0"/>
      <w:adjustRightInd w:val="0"/>
      <w:spacing w:line="400" w:lineRule="atLeast"/>
      <w:jc w:val="center"/>
      <w:textAlignment w:val="baseline"/>
      <w:outlineLvl w:val="9"/>
    </w:pPr>
    <w:rPr>
      <w:rFonts w:ascii="Times New Roman" w:eastAsia="Times New Roman" w:hAnsi="Times New Roman" w:cs="Times New Roman"/>
      <w:b/>
      <w:noProof/>
      <w:sz w:val="32"/>
      <w:szCs w:val="20"/>
      <w:bdr w:val="none" w:sz="0" w:space="0" w:color="auto"/>
      <w:lang w:eastAsia="es-ES"/>
    </w:rPr>
  </w:style>
  <w:style w:type="paragraph" w:customStyle="1" w:styleId="Titre3Bis">
    <w:name w:val="Titre 3 Bis"/>
    <w:basedOn w:val="Normal"/>
    <w:rsid w:val="006220A2"/>
    <w:pPr>
      <w:pBdr>
        <w:top w:val="none" w:sz="0" w:space="0" w:color="auto"/>
        <w:left w:val="none" w:sz="0" w:space="0" w:color="auto"/>
        <w:bottom w:val="none" w:sz="0" w:space="0" w:color="auto"/>
        <w:right w:val="none" w:sz="0" w:space="0" w:color="auto"/>
        <w:between w:val="none" w:sz="0" w:space="0" w:color="auto"/>
        <w:bar w:val="none" w:sz="0" w:color="auto"/>
      </w:pBdr>
      <w:tabs>
        <w:tab w:val="left" w:pos="1413"/>
        <w:tab w:val="left" w:pos="2122"/>
        <w:tab w:val="left" w:pos="2832"/>
        <w:tab w:val="left" w:pos="3538"/>
        <w:tab w:val="left" w:pos="4248"/>
        <w:tab w:val="left" w:pos="4957"/>
        <w:tab w:val="left" w:pos="5661"/>
        <w:tab w:val="left" w:pos="6368"/>
        <w:tab w:val="left" w:pos="7077"/>
        <w:tab w:val="left" w:pos="7787"/>
        <w:tab w:val="left" w:pos="8496"/>
      </w:tabs>
      <w:overflowPunct w:val="0"/>
      <w:autoSpaceDE w:val="0"/>
      <w:autoSpaceDN w:val="0"/>
      <w:adjustRightInd w:val="0"/>
      <w:spacing w:line="400" w:lineRule="atLeast"/>
      <w:jc w:val="center"/>
      <w:textAlignment w:val="baseline"/>
      <w:outlineLvl w:val="9"/>
    </w:pPr>
    <w:rPr>
      <w:rFonts w:ascii="Times New Roman" w:eastAsia="Times New Roman" w:hAnsi="Times New Roman" w:cs="Times New Roman"/>
      <w:b/>
      <w:noProof/>
      <w:sz w:val="32"/>
      <w:szCs w:val="20"/>
      <w:bdr w:val="none" w:sz="0" w:space="0" w:color="auto"/>
      <w:lang w:eastAsia="es-ES"/>
    </w:rPr>
  </w:style>
  <w:style w:type="paragraph" w:customStyle="1" w:styleId="Titre3Intro">
    <w:name w:val="Titre 3 Intro"/>
    <w:basedOn w:val="Normal"/>
    <w:rsid w:val="006220A2"/>
    <w:pPr>
      <w:keepNext/>
      <w:pBdr>
        <w:top w:val="none" w:sz="0" w:space="0" w:color="auto"/>
        <w:left w:val="none" w:sz="0" w:space="0" w:color="auto"/>
        <w:bottom w:val="none" w:sz="0" w:space="0" w:color="auto"/>
        <w:right w:val="none" w:sz="0" w:space="0" w:color="auto"/>
        <w:between w:val="none" w:sz="0" w:space="0" w:color="auto"/>
        <w:bar w:val="none" w:sz="0" w:color="auto"/>
      </w:pBdr>
      <w:tabs>
        <w:tab w:val="left" w:pos="1413"/>
        <w:tab w:val="left" w:pos="2122"/>
        <w:tab w:val="left" w:pos="2832"/>
        <w:tab w:val="left" w:pos="3538"/>
        <w:tab w:val="left" w:pos="4248"/>
        <w:tab w:val="left" w:pos="4957"/>
        <w:tab w:val="left" w:pos="5661"/>
        <w:tab w:val="left" w:pos="6368"/>
        <w:tab w:val="left" w:pos="7077"/>
        <w:tab w:val="left" w:pos="7787"/>
        <w:tab w:val="left" w:pos="8496"/>
      </w:tabs>
      <w:overflowPunct w:val="0"/>
      <w:autoSpaceDE w:val="0"/>
      <w:autoSpaceDN w:val="0"/>
      <w:adjustRightInd w:val="0"/>
      <w:spacing w:line="260" w:lineRule="atLeast"/>
      <w:jc w:val="center"/>
      <w:textAlignment w:val="baseline"/>
      <w:outlineLvl w:val="9"/>
    </w:pPr>
    <w:rPr>
      <w:rFonts w:eastAsia="Times New Roman" w:cs="Times New Roman"/>
      <w:b/>
      <w:noProof/>
      <w:szCs w:val="20"/>
      <w:bdr w:val="none" w:sz="0" w:space="0" w:color="auto"/>
      <w:lang w:eastAsia="es-ES"/>
    </w:rPr>
  </w:style>
  <w:style w:type="paragraph" w:customStyle="1" w:styleId="Titre4">
    <w:name w:val="Titre 4"/>
    <w:basedOn w:val="Normal"/>
    <w:rsid w:val="006220A2"/>
    <w:pPr>
      <w:keepNext/>
      <w:pBdr>
        <w:top w:val="none" w:sz="0" w:space="0" w:color="auto"/>
        <w:left w:val="none" w:sz="0" w:space="0" w:color="auto"/>
        <w:bottom w:val="none" w:sz="0" w:space="0" w:color="auto"/>
        <w:right w:val="none" w:sz="0" w:space="0" w:color="auto"/>
        <w:between w:val="none" w:sz="0" w:space="0" w:color="auto"/>
        <w:bar w:val="none" w:sz="0" w:color="auto"/>
      </w:pBdr>
      <w:tabs>
        <w:tab w:val="left" w:pos="1413"/>
        <w:tab w:val="left" w:pos="2122"/>
        <w:tab w:val="left" w:pos="2832"/>
        <w:tab w:val="left" w:pos="3538"/>
        <w:tab w:val="left" w:pos="4248"/>
        <w:tab w:val="left" w:pos="4957"/>
        <w:tab w:val="left" w:pos="5661"/>
        <w:tab w:val="left" w:pos="6368"/>
        <w:tab w:val="left" w:pos="7077"/>
        <w:tab w:val="left" w:pos="7787"/>
        <w:tab w:val="left" w:pos="8496"/>
      </w:tabs>
      <w:overflowPunct w:val="0"/>
      <w:autoSpaceDE w:val="0"/>
      <w:autoSpaceDN w:val="0"/>
      <w:adjustRightInd w:val="0"/>
      <w:spacing w:line="380" w:lineRule="atLeast"/>
      <w:jc w:val="center"/>
      <w:textAlignment w:val="baseline"/>
      <w:outlineLvl w:val="9"/>
    </w:pPr>
    <w:rPr>
      <w:rFonts w:ascii="Times New Roman" w:eastAsia="Times New Roman" w:hAnsi="Times New Roman" w:cs="Times New Roman"/>
      <w:b/>
      <w:noProof/>
      <w:sz w:val="28"/>
      <w:szCs w:val="20"/>
      <w:bdr w:val="none" w:sz="0" w:space="0" w:color="auto"/>
      <w:lang w:eastAsia="es-ES"/>
    </w:rPr>
  </w:style>
  <w:style w:type="paragraph" w:customStyle="1" w:styleId="Titre4Intro">
    <w:name w:val="Titre 4 Intro"/>
    <w:basedOn w:val="Normal"/>
    <w:rsid w:val="006220A2"/>
    <w:pPr>
      <w:keepNext/>
      <w:pBdr>
        <w:top w:val="none" w:sz="0" w:space="0" w:color="auto"/>
        <w:left w:val="none" w:sz="0" w:space="0" w:color="auto"/>
        <w:bottom w:val="none" w:sz="0" w:space="0" w:color="auto"/>
        <w:right w:val="none" w:sz="0" w:space="0" w:color="auto"/>
        <w:between w:val="none" w:sz="0" w:space="0" w:color="auto"/>
        <w:bar w:val="none" w:sz="0" w:color="auto"/>
      </w:pBdr>
      <w:tabs>
        <w:tab w:val="left" w:pos="1413"/>
        <w:tab w:val="left" w:pos="2122"/>
        <w:tab w:val="left" w:pos="2832"/>
        <w:tab w:val="left" w:pos="3538"/>
        <w:tab w:val="left" w:pos="4248"/>
        <w:tab w:val="left" w:pos="4957"/>
        <w:tab w:val="left" w:pos="5661"/>
        <w:tab w:val="left" w:pos="6368"/>
        <w:tab w:val="left" w:pos="7077"/>
        <w:tab w:val="left" w:pos="7787"/>
        <w:tab w:val="left" w:pos="8496"/>
      </w:tabs>
      <w:overflowPunct w:val="0"/>
      <w:autoSpaceDE w:val="0"/>
      <w:autoSpaceDN w:val="0"/>
      <w:adjustRightInd w:val="0"/>
      <w:spacing w:before="200" w:line="260" w:lineRule="atLeast"/>
      <w:jc w:val="center"/>
      <w:textAlignment w:val="baseline"/>
      <w:outlineLvl w:val="9"/>
    </w:pPr>
    <w:rPr>
      <w:rFonts w:eastAsia="Times New Roman" w:cs="Times New Roman"/>
      <w:b/>
      <w:noProof/>
      <w:szCs w:val="20"/>
      <w:bdr w:val="none" w:sz="0" w:space="0" w:color="auto"/>
      <w:lang w:eastAsia="es-ES"/>
    </w:rPr>
  </w:style>
  <w:style w:type="paragraph" w:customStyle="1" w:styleId="Titre5">
    <w:name w:val="Titre 5"/>
    <w:basedOn w:val="Normal"/>
    <w:rsid w:val="006220A2"/>
    <w:pPr>
      <w:keepNext/>
      <w:pBdr>
        <w:top w:val="none" w:sz="0" w:space="0" w:color="auto"/>
        <w:left w:val="none" w:sz="0" w:space="0" w:color="auto"/>
        <w:bottom w:val="none" w:sz="0" w:space="0" w:color="auto"/>
        <w:right w:val="none" w:sz="0" w:space="0" w:color="auto"/>
        <w:between w:val="none" w:sz="0" w:space="0" w:color="auto"/>
        <w:bar w:val="none" w:sz="0" w:color="auto"/>
      </w:pBdr>
      <w:tabs>
        <w:tab w:val="left" w:pos="1413"/>
        <w:tab w:val="left" w:pos="2122"/>
        <w:tab w:val="left" w:pos="2832"/>
        <w:tab w:val="left" w:pos="3538"/>
        <w:tab w:val="left" w:pos="4248"/>
        <w:tab w:val="left" w:pos="4957"/>
        <w:tab w:val="left" w:pos="5661"/>
        <w:tab w:val="left" w:pos="6368"/>
        <w:tab w:val="left" w:pos="7077"/>
        <w:tab w:val="left" w:pos="7787"/>
        <w:tab w:val="left" w:pos="8496"/>
      </w:tabs>
      <w:overflowPunct w:val="0"/>
      <w:autoSpaceDE w:val="0"/>
      <w:autoSpaceDN w:val="0"/>
      <w:adjustRightInd w:val="0"/>
      <w:spacing w:before="200"/>
      <w:jc w:val="center"/>
      <w:textAlignment w:val="baseline"/>
      <w:outlineLvl w:val="9"/>
    </w:pPr>
    <w:rPr>
      <w:rFonts w:ascii="Times New Roman" w:eastAsia="Times New Roman" w:hAnsi="Times New Roman" w:cs="Times New Roman"/>
      <w:b/>
      <w:noProof/>
      <w:sz w:val="28"/>
      <w:szCs w:val="20"/>
      <w:bdr w:val="none" w:sz="0" w:space="0" w:color="auto"/>
      <w:lang w:eastAsia="es-ES"/>
    </w:rPr>
  </w:style>
  <w:style w:type="paragraph" w:customStyle="1" w:styleId="Titre6">
    <w:name w:val="Titre 6"/>
    <w:basedOn w:val="Normal"/>
    <w:rsid w:val="006220A2"/>
    <w:pPr>
      <w:keepNext/>
      <w:pBdr>
        <w:top w:val="none" w:sz="0" w:space="0" w:color="auto"/>
        <w:left w:val="none" w:sz="0" w:space="0" w:color="auto"/>
        <w:bottom w:val="none" w:sz="0" w:space="0" w:color="auto"/>
        <w:right w:val="none" w:sz="0" w:space="0" w:color="auto"/>
        <w:between w:val="none" w:sz="0" w:space="0" w:color="auto"/>
        <w:bar w:val="none" w:sz="0" w:color="auto"/>
      </w:pBdr>
      <w:tabs>
        <w:tab w:val="left" w:pos="1413"/>
        <w:tab w:val="left" w:pos="2122"/>
        <w:tab w:val="left" w:pos="2832"/>
        <w:tab w:val="left" w:pos="3538"/>
        <w:tab w:val="left" w:pos="4248"/>
        <w:tab w:val="left" w:pos="4957"/>
        <w:tab w:val="left" w:pos="5661"/>
        <w:tab w:val="left" w:pos="6368"/>
        <w:tab w:val="left" w:pos="7077"/>
        <w:tab w:val="left" w:pos="7787"/>
        <w:tab w:val="left" w:pos="8496"/>
      </w:tabs>
      <w:overflowPunct w:val="0"/>
      <w:autoSpaceDE w:val="0"/>
      <w:autoSpaceDN w:val="0"/>
      <w:adjustRightInd w:val="0"/>
      <w:spacing w:before="200"/>
      <w:jc w:val="center"/>
      <w:textAlignment w:val="baseline"/>
      <w:outlineLvl w:val="9"/>
    </w:pPr>
    <w:rPr>
      <w:rFonts w:ascii="Times New Roman" w:eastAsia="Times New Roman" w:hAnsi="Times New Roman" w:cs="Times New Roman"/>
      <w:b/>
      <w:noProof/>
      <w:sz w:val="28"/>
      <w:szCs w:val="20"/>
      <w:bdr w:val="none" w:sz="0" w:space="0" w:color="auto"/>
      <w:lang w:eastAsia="es-ES"/>
    </w:rPr>
  </w:style>
  <w:style w:type="paragraph" w:customStyle="1" w:styleId="Titre7">
    <w:name w:val="Titre 7"/>
    <w:basedOn w:val="Normal"/>
    <w:rsid w:val="006220A2"/>
    <w:pPr>
      <w:keepNext/>
      <w:pBdr>
        <w:top w:val="none" w:sz="0" w:space="0" w:color="auto"/>
        <w:left w:val="none" w:sz="0" w:space="0" w:color="auto"/>
        <w:bottom w:val="none" w:sz="0" w:space="0" w:color="auto"/>
        <w:right w:val="none" w:sz="0" w:space="0" w:color="auto"/>
        <w:between w:val="none" w:sz="0" w:space="0" w:color="auto"/>
        <w:bar w:val="none" w:sz="0" w:color="auto"/>
      </w:pBdr>
      <w:tabs>
        <w:tab w:val="left" w:pos="1413"/>
        <w:tab w:val="left" w:pos="2122"/>
        <w:tab w:val="left" w:pos="2832"/>
        <w:tab w:val="left" w:pos="3538"/>
        <w:tab w:val="left" w:pos="4248"/>
        <w:tab w:val="left" w:pos="4957"/>
        <w:tab w:val="left" w:pos="5661"/>
        <w:tab w:val="left" w:pos="6368"/>
        <w:tab w:val="left" w:pos="7077"/>
        <w:tab w:val="left" w:pos="7787"/>
        <w:tab w:val="left" w:pos="8496"/>
      </w:tabs>
      <w:overflowPunct w:val="0"/>
      <w:autoSpaceDE w:val="0"/>
      <w:autoSpaceDN w:val="0"/>
      <w:adjustRightInd w:val="0"/>
      <w:spacing w:before="100" w:after="240"/>
      <w:jc w:val="center"/>
      <w:textAlignment w:val="baseline"/>
      <w:outlineLvl w:val="9"/>
    </w:pPr>
    <w:rPr>
      <w:rFonts w:ascii="Times New Roman" w:eastAsia="Times New Roman" w:hAnsi="Times New Roman" w:cs="Times New Roman"/>
      <w:b/>
      <w:noProof/>
      <w:szCs w:val="20"/>
      <w:bdr w:val="none" w:sz="0" w:space="0" w:color="auto"/>
      <w:lang w:eastAsia="es-ES"/>
    </w:rPr>
  </w:style>
  <w:style w:type="paragraph" w:customStyle="1" w:styleId="Titre8">
    <w:name w:val="Titre 8"/>
    <w:basedOn w:val="Normal"/>
    <w:rsid w:val="006220A2"/>
    <w:pPr>
      <w:keepNext/>
      <w:pBdr>
        <w:top w:val="none" w:sz="0" w:space="0" w:color="auto"/>
        <w:left w:val="none" w:sz="0" w:space="0" w:color="auto"/>
        <w:bottom w:val="none" w:sz="0" w:space="0" w:color="auto"/>
        <w:right w:val="none" w:sz="0" w:space="0" w:color="auto"/>
        <w:between w:val="none" w:sz="0" w:space="0" w:color="auto"/>
        <w:bar w:val="none" w:sz="0" w:color="auto"/>
      </w:pBdr>
      <w:tabs>
        <w:tab w:val="left" w:pos="1413"/>
        <w:tab w:val="left" w:pos="2122"/>
        <w:tab w:val="left" w:pos="2832"/>
        <w:tab w:val="left" w:pos="3538"/>
        <w:tab w:val="left" w:pos="4248"/>
        <w:tab w:val="left" w:pos="4957"/>
        <w:tab w:val="left" w:pos="5661"/>
        <w:tab w:val="left" w:pos="6368"/>
        <w:tab w:val="left" w:pos="7077"/>
        <w:tab w:val="left" w:pos="7787"/>
        <w:tab w:val="left" w:pos="8496"/>
      </w:tabs>
      <w:overflowPunct w:val="0"/>
      <w:autoSpaceDE w:val="0"/>
      <w:autoSpaceDN w:val="0"/>
      <w:adjustRightInd w:val="0"/>
      <w:spacing w:before="100" w:line="260" w:lineRule="atLeast"/>
      <w:jc w:val="center"/>
      <w:textAlignment w:val="baseline"/>
      <w:outlineLvl w:val="9"/>
    </w:pPr>
    <w:rPr>
      <w:rFonts w:ascii="Times New Roman" w:eastAsia="Times New Roman" w:hAnsi="Times New Roman" w:cs="Times New Roman"/>
      <w:b/>
      <w:noProof/>
      <w:sz w:val="20"/>
      <w:szCs w:val="20"/>
      <w:bdr w:val="none" w:sz="0" w:space="0" w:color="auto"/>
      <w:lang w:eastAsia="es-ES"/>
    </w:rPr>
  </w:style>
  <w:style w:type="paragraph" w:customStyle="1" w:styleId="Titre9">
    <w:name w:val="Titre 9"/>
    <w:basedOn w:val="Normal"/>
    <w:rsid w:val="006220A2"/>
    <w:pPr>
      <w:keepNext/>
      <w:pBdr>
        <w:top w:val="none" w:sz="0" w:space="0" w:color="auto"/>
        <w:left w:val="none" w:sz="0" w:space="0" w:color="auto"/>
        <w:bottom w:val="none" w:sz="0" w:space="0" w:color="auto"/>
        <w:right w:val="none" w:sz="0" w:space="0" w:color="auto"/>
        <w:between w:val="none" w:sz="0" w:space="0" w:color="auto"/>
        <w:bar w:val="none" w:sz="0" w:color="auto"/>
      </w:pBdr>
      <w:tabs>
        <w:tab w:val="left" w:pos="1413"/>
        <w:tab w:val="left" w:pos="2122"/>
        <w:tab w:val="left" w:pos="2832"/>
        <w:tab w:val="left" w:pos="3538"/>
        <w:tab w:val="left" w:pos="4248"/>
        <w:tab w:val="left" w:pos="4957"/>
        <w:tab w:val="left" w:pos="5661"/>
        <w:tab w:val="left" w:pos="6368"/>
        <w:tab w:val="left" w:pos="7077"/>
        <w:tab w:val="left" w:pos="7787"/>
        <w:tab w:val="left" w:pos="8496"/>
      </w:tabs>
      <w:overflowPunct w:val="0"/>
      <w:autoSpaceDE w:val="0"/>
      <w:autoSpaceDN w:val="0"/>
      <w:adjustRightInd w:val="0"/>
      <w:spacing w:before="100" w:line="260" w:lineRule="atLeast"/>
      <w:textAlignment w:val="baseline"/>
      <w:outlineLvl w:val="9"/>
    </w:pPr>
    <w:rPr>
      <w:rFonts w:ascii="Times New Roman" w:eastAsia="Times New Roman" w:hAnsi="Times New Roman" w:cs="Times New Roman"/>
      <w:b/>
      <w:noProof/>
      <w:color w:val="FFFF00"/>
      <w:sz w:val="28"/>
      <w:szCs w:val="20"/>
      <w:bdr w:val="none" w:sz="0" w:space="0" w:color="auto"/>
      <w:lang w:eastAsia="es-ES"/>
    </w:rPr>
  </w:style>
  <w:style w:type="paragraph" w:customStyle="1" w:styleId="Titre9Bis">
    <w:name w:val="Titre 9 Bis"/>
    <w:basedOn w:val="Normal"/>
    <w:rsid w:val="006220A2"/>
    <w:pPr>
      <w:keepNext/>
      <w:pBdr>
        <w:top w:val="none" w:sz="0" w:space="0" w:color="auto"/>
        <w:left w:val="none" w:sz="0" w:space="0" w:color="auto"/>
        <w:bottom w:val="none" w:sz="0" w:space="0" w:color="auto"/>
        <w:right w:val="none" w:sz="0" w:space="0" w:color="auto"/>
        <w:between w:val="none" w:sz="0" w:space="0" w:color="auto"/>
        <w:bar w:val="none" w:sz="0" w:color="auto"/>
      </w:pBdr>
      <w:overflowPunct w:val="0"/>
      <w:autoSpaceDE w:val="0"/>
      <w:autoSpaceDN w:val="0"/>
      <w:adjustRightInd w:val="0"/>
      <w:jc w:val="both"/>
      <w:textAlignment w:val="baseline"/>
      <w:outlineLvl w:val="9"/>
    </w:pPr>
    <w:rPr>
      <w:rFonts w:ascii="Times New Roman" w:eastAsia="Times New Roman" w:hAnsi="Times New Roman" w:cs="Times New Roman"/>
      <w:noProof/>
      <w:szCs w:val="20"/>
      <w:bdr w:val="none" w:sz="0" w:space="0" w:color="auto"/>
      <w:lang w:eastAsia="es-ES"/>
    </w:rPr>
  </w:style>
  <w:style w:type="paragraph" w:customStyle="1" w:styleId="TitreTableau">
    <w:name w:val="TitreTableau"/>
    <w:basedOn w:val="Normal"/>
    <w:rsid w:val="006220A2"/>
    <w:pPr>
      <w:pBdr>
        <w:top w:val="none" w:sz="0" w:space="0" w:color="auto"/>
        <w:left w:val="none" w:sz="0" w:space="0" w:color="auto"/>
        <w:bottom w:val="none" w:sz="0" w:space="0" w:color="auto"/>
        <w:right w:val="none" w:sz="0" w:space="0" w:color="auto"/>
        <w:between w:val="none" w:sz="0" w:space="0" w:color="auto"/>
        <w:bar w:val="none" w:sz="0" w:color="auto"/>
      </w:pBdr>
      <w:overflowPunct w:val="0"/>
      <w:autoSpaceDE w:val="0"/>
      <w:autoSpaceDN w:val="0"/>
      <w:adjustRightInd w:val="0"/>
      <w:ind w:left="285"/>
      <w:textAlignment w:val="baseline"/>
      <w:outlineLvl w:val="9"/>
    </w:pPr>
    <w:rPr>
      <w:rFonts w:ascii="Times New Roman" w:eastAsia="Times New Roman" w:hAnsi="Times New Roman" w:cs="Times New Roman"/>
      <w:b/>
      <w:noProof/>
      <w:sz w:val="20"/>
      <w:szCs w:val="20"/>
      <w:bdr w:val="none" w:sz="0" w:space="0" w:color="auto"/>
      <w:lang w:eastAsia="es-ES"/>
    </w:rPr>
  </w:style>
  <w:style w:type="paragraph" w:customStyle="1" w:styleId="TM">
    <w:name w:val="TM"/>
    <w:basedOn w:val="Normal"/>
    <w:rsid w:val="006220A2"/>
    <w:pPr>
      <w:pBdr>
        <w:top w:val="none" w:sz="0" w:space="0" w:color="auto"/>
        <w:left w:val="none" w:sz="0" w:space="0" w:color="auto"/>
        <w:bottom w:val="none" w:sz="0" w:space="0" w:color="auto"/>
        <w:right w:val="none" w:sz="0" w:space="0" w:color="auto"/>
        <w:between w:val="none" w:sz="0" w:space="0" w:color="auto"/>
        <w:bar w:val="none" w:sz="0" w:color="auto"/>
      </w:pBdr>
      <w:tabs>
        <w:tab w:val="left" w:pos="703"/>
        <w:tab w:val="left" w:pos="1413"/>
        <w:tab w:val="left" w:pos="2122"/>
        <w:tab w:val="left" w:pos="2832"/>
        <w:tab w:val="left" w:pos="3538"/>
        <w:tab w:val="left" w:pos="4248"/>
        <w:tab w:val="left" w:pos="4957"/>
        <w:tab w:val="left" w:pos="5661"/>
        <w:tab w:val="left" w:pos="6368"/>
        <w:tab w:val="left" w:pos="7077"/>
        <w:tab w:val="left" w:pos="7787"/>
        <w:tab w:val="left" w:pos="8496"/>
      </w:tabs>
      <w:overflowPunct w:val="0"/>
      <w:autoSpaceDE w:val="0"/>
      <w:autoSpaceDN w:val="0"/>
      <w:adjustRightInd w:val="0"/>
      <w:spacing w:before="100" w:line="260" w:lineRule="atLeast"/>
      <w:textAlignment w:val="baseline"/>
      <w:outlineLvl w:val="9"/>
    </w:pPr>
    <w:rPr>
      <w:rFonts w:ascii="Times New Roman" w:eastAsia="Times New Roman" w:hAnsi="Times New Roman" w:cs="Times New Roman"/>
      <w:noProof/>
      <w:color w:val="0000FF"/>
      <w:sz w:val="26"/>
      <w:szCs w:val="20"/>
      <w:bdr w:val="none" w:sz="0" w:space="0" w:color="auto"/>
      <w:lang w:eastAsia="es-ES"/>
    </w:rPr>
  </w:style>
  <w:style w:type="paragraph" w:customStyle="1" w:styleId="Tniv">
    <w:name w:val="Tniv"/>
    <w:basedOn w:val="Normal"/>
    <w:rsid w:val="006220A2"/>
    <w:pPr>
      <w:pBdr>
        <w:top w:val="none" w:sz="0" w:space="0" w:color="auto"/>
        <w:left w:val="none" w:sz="0" w:space="0" w:color="auto"/>
        <w:bottom w:val="none" w:sz="0" w:space="0" w:color="auto"/>
        <w:right w:val="none" w:sz="0" w:space="0" w:color="auto"/>
        <w:between w:val="none" w:sz="0" w:space="0" w:color="auto"/>
        <w:bar w:val="none" w:sz="0" w:color="auto"/>
      </w:pBdr>
      <w:tabs>
        <w:tab w:val="left" w:pos="703"/>
        <w:tab w:val="left" w:pos="1413"/>
        <w:tab w:val="left" w:pos="2122"/>
        <w:tab w:val="left" w:pos="2832"/>
        <w:tab w:val="left" w:pos="3538"/>
        <w:tab w:val="left" w:pos="4248"/>
        <w:tab w:val="left" w:pos="4957"/>
        <w:tab w:val="left" w:pos="5661"/>
        <w:tab w:val="left" w:pos="6368"/>
        <w:tab w:val="left" w:pos="7077"/>
        <w:tab w:val="left" w:pos="7787"/>
        <w:tab w:val="left" w:pos="8496"/>
      </w:tabs>
      <w:overflowPunct w:val="0"/>
      <w:autoSpaceDE w:val="0"/>
      <w:autoSpaceDN w:val="0"/>
      <w:adjustRightInd w:val="0"/>
      <w:spacing w:line="260" w:lineRule="atLeast"/>
      <w:textAlignment w:val="baseline"/>
      <w:outlineLvl w:val="9"/>
    </w:pPr>
    <w:rPr>
      <w:rFonts w:ascii="Times New Roman" w:eastAsia="Times New Roman" w:hAnsi="Times New Roman" w:cs="Times New Roman"/>
      <w:b/>
      <w:noProof/>
      <w:szCs w:val="20"/>
      <w:bdr w:val="none" w:sz="0" w:space="0" w:color="auto"/>
      <w:lang w:eastAsia="es-ES"/>
    </w:rPr>
  </w:style>
  <w:style w:type="paragraph" w:customStyle="1" w:styleId="TnivIntro">
    <w:name w:val="Tniv Intro"/>
    <w:basedOn w:val="Normal"/>
    <w:rsid w:val="006220A2"/>
    <w:pPr>
      <w:pBdr>
        <w:top w:val="none" w:sz="0" w:space="0" w:color="auto"/>
        <w:left w:val="none" w:sz="0" w:space="0" w:color="auto"/>
        <w:bottom w:val="none" w:sz="0" w:space="0" w:color="auto"/>
        <w:right w:val="none" w:sz="0" w:space="0" w:color="auto"/>
        <w:between w:val="none" w:sz="0" w:space="0" w:color="auto"/>
        <w:bar w:val="none" w:sz="0" w:color="auto"/>
      </w:pBdr>
      <w:tabs>
        <w:tab w:val="left" w:pos="703"/>
        <w:tab w:val="left" w:pos="1413"/>
        <w:tab w:val="left" w:pos="2122"/>
        <w:tab w:val="left" w:pos="2832"/>
        <w:tab w:val="left" w:pos="3538"/>
        <w:tab w:val="left" w:pos="4248"/>
        <w:tab w:val="left" w:pos="4957"/>
        <w:tab w:val="left" w:pos="5661"/>
        <w:tab w:val="left" w:pos="6368"/>
        <w:tab w:val="left" w:pos="7077"/>
        <w:tab w:val="left" w:pos="7787"/>
        <w:tab w:val="left" w:pos="8496"/>
      </w:tabs>
      <w:overflowPunct w:val="0"/>
      <w:autoSpaceDE w:val="0"/>
      <w:autoSpaceDN w:val="0"/>
      <w:adjustRightInd w:val="0"/>
      <w:spacing w:line="260" w:lineRule="atLeast"/>
      <w:textAlignment w:val="baseline"/>
      <w:outlineLvl w:val="9"/>
    </w:pPr>
    <w:rPr>
      <w:rFonts w:ascii="Times New Roman" w:eastAsia="Times New Roman" w:hAnsi="Times New Roman" w:cs="Times New Roman"/>
      <w:b/>
      <w:noProof/>
      <w:szCs w:val="20"/>
      <w:bdr w:val="none" w:sz="0" w:space="0" w:color="auto"/>
      <w:lang w:eastAsia="es-ES"/>
    </w:rPr>
  </w:style>
  <w:style w:type="paragraph" w:customStyle="1" w:styleId="TP">
    <w:name w:val="TP"/>
    <w:basedOn w:val="Normal"/>
    <w:rsid w:val="006220A2"/>
    <w:pPr>
      <w:pBdr>
        <w:top w:val="none" w:sz="0" w:space="0" w:color="auto"/>
        <w:left w:val="none" w:sz="0" w:space="0" w:color="auto"/>
        <w:bottom w:val="none" w:sz="0" w:space="0" w:color="auto"/>
        <w:right w:val="none" w:sz="0" w:space="0" w:color="auto"/>
        <w:between w:val="none" w:sz="0" w:space="0" w:color="auto"/>
        <w:bar w:val="none" w:sz="0" w:color="auto"/>
      </w:pBdr>
      <w:overflowPunct w:val="0"/>
      <w:autoSpaceDE w:val="0"/>
      <w:autoSpaceDN w:val="0"/>
      <w:adjustRightInd w:val="0"/>
      <w:spacing w:before="100"/>
      <w:jc w:val="both"/>
      <w:textAlignment w:val="baseline"/>
      <w:outlineLvl w:val="9"/>
    </w:pPr>
    <w:rPr>
      <w:rFonts w:ascii="Times New Roman" w:eastAsia="Times New Roman" w:hAnsi="Times New Roman" w:cs="Times New Roman"/>
      <w:noProof/>
      <w:szCs w:val="20"/>
      <w:bdr w:val="none" w:sz="0" w:space="0" w:color="auto"/>
      <w:lang w:eastAsia="es-ES"/>
    </w:rPr>
  </w:style>
  <w:style w:type="paragraph" w:customStyle="1" w:styleId="Tpc">
    <w:name w:val="Tpc"/>
    <w:basedOn w:val="Normal"/>
    <w:rsid w:val="006220A2"/>
    <w:pPr>
      <w:pBdr>
        <w:top w:val="none" w:sz="0" w:space="0" w:color="auto"/>
        <w:left w:val="none" w:sz="0" w:space="0" w:color="auto"/>
        <w:bottom w:val="none" w:sz="0" w:space="0" w:color="auto"/>
        <w:right w:val="none" w:sz="0" w:space="0" w:color="auto"/>
        <w:between w:val="none" w:sz="0" w:space="0" w:color="auto"/>
        <w:bar w:val="none" w:sz="0" w:color="auto"/>
      </w:pBdr>
      <w:overflowPunct w:val="0"/>
      <w:autoSpaceDE w:val="0"/>
      <w:autoSpaceDN w:val="0"/>
      <w:adjustRightInd w:val="0"/>
      <w:ind w:left="433"/>
      <w:jc w:val="both"/>
      <w:textAlignment w:val="baseline"/>
      <w:outlineLvl w:val="9"/>
    </w:pPr>
    <w:rPr>
      <w:rFonts w:eastAsia="Times New Roman" w:cs="Times New Roman"/>
      <w:b/>
      <w:noProof/>
      <w:sz w:val="20"/>
      <w:szCs w:val="20"/>
      <w:bdr w:val="none" w:sz="0" w:space="0" w:color="auto"/>
      <w:lang w:eastAsia="es-ES"/>
    </w:rPr>
  </w:style>
  <w:style w:type="character" w:customStyle="1" w:styleId="Emphasis1">
    <w:name w:val="Emphasis1"/>
    <w:rsid w:val="006220A2"/>
    <w:rPr>
      <w:i/>
    </w:rPr>
  </w:style>
  <w:style w:type="character" w:customStyle="1" w:styleId="EquationVariables">
    <w:name w:val="EquationVariables"/>
    <w:rsid w:val="006220A2"/>
    <w:rPr>
      <w:i/>
    </w:rPr>
  </w:style>
  <w:style w:type="character" w:customStyle="1" w:styleId="Euro">
    <w:name w:val="Euro"/>
    <w:rsid w:val="006220A2"/>
    <w:rPr>
      <w:rFonts w:ascii="Times" w:hAnsi="Times"/>
      <w:sz w:val="24"/>
    </w:rPr>
  </w:style>
  <w:style w:type="character" w:customStyle="1" w:styleId="euro0">
    <w:name w:val="euro"/>
    <w:rsid w:val="006220A2"/>
    <w:rPr>
      <w:rFonts w:ascii="Times New Roman" w:hAnsi="Times New Roman"/>
      <w:color w:val="000000"/>
      <w:sz w:val="22"/>
    </w:rPr>
  </w:style>
  <w:style w:type="character" w:customStyle="1" w:styleId="FmArial">
    <w:name w:val="FmArial"/>
    <w:rsid w:val="006220A2"/>
    <w:rPr>
      <w:rFonts w:ascii="Arial" w:hAnsi="Arial"/>
      <w:sz w:val="24"/>
    </w:rPr>
  </w:style>
  <w:style w:type="character" w:customStyle="1" w:styleId="FmSymbol">
    <w:name w:val="FmSymbol"/>
    <w:rsid w:val="006220A2"/>
    <w:rPr>
      <w:rFonts w:ascii="Symbol" w:hAnsi="Symbol"/>
      <w:sz w:val="24"/>
    </w:rPr>
  </w:style>
  <w:style w:type="character" w:customStyle="1" w:styleId="FmWingdings">
    <w:name w:val="FmWingdings"/>
    <w:rsid w:val="006220A2"/>
    <w:rPr>
      <w:rFonts w:ascii="Wingdings" w:hAnsi="Wingdings"/>
      <w:sz w:val="24"/>
    </w:rPr>
  </w:style>
  <w:style w:type="character" w:customStyle="1" w:styleId="Gras">
    <w:name w:val="Gras"/>
    <w:rsid w:val="006220A2"/>
    <w:rPr>
      <w:rFonts w:ascii="Arial" w:hAnsi="Arial"/>
      <w:b/>
      <w:sz w:val="24"/>
    </w:rPr>
  </w:style>
  <w:style w:type="character" w:customStyle="1" w:styleId="GrasItal">
    <w:name w:val="GrasItal"/>
    <w:rsid w:val="006220A2"/>
    <w:rPr>
      <w:rFonts w:ascii="Arial" w:hAnsi="Arial"/>
      <w:b/>
      <w:i/>
      <w:sz w:val="24"/>
    </w:rPr>
  </w:style>
  <w:style w:type="character" w:customStyle="1" w:styleId="Refdoc">
    <w:name w:val="Refdoc"/>
    <w:basedOn w:val="Fuentedeprrafopredeter"/>
    <w:rsid w:val="006220A2"/>
  </w:style>
  <w:style w:type="character" w:customStyle="1" w:styleId="Rtx">
    <w:name w:val="Rtx"/>
    <w:basedOn w:val="Fuentedeprrafopredeter"/>
    <w:rsid w:val="006220A2"/>
  </w:style>
  <w:style w:type="character" w:customStyle="1" w:styleId="Sno">
    <w:name w:val="Sno"/>
    <w:rsid w:val="006220A2"/>
    <w:rPr>
      <w:rFonts w:ascii="Times" w:hAnsi="Times"/>
      <w:sz w:val="18"/>
    </w:rPr>
  </w:style>
  <w:style w:type="paragraph" w:customStyle="1" w:styleId="xl27">
    <w:name w:val="xl27"/>
    <w:basedOn w:val="Normal"/>
    <w:rsid w:val="006220A2"/>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jc w:val="center"/>
      <w:outlineLvl w:val="9"/>
    </w:pPr>
    <w:rPr>
      <w:rFonts w:ascii="Frutiger-Bold" w:eastAsia="Arial Unicode MS" w:hAnsi="Frutiger-Bold" w:cs="Arial Unicode MS"/>
      <w:color w:val="auto"/>
      <w:sz w:val="16"/>
      <w:szCs w:val="16"/>
      <w:bdr w:val="none" w:sz="0" w:space="0" w:color="auto"/>
      <w:lang w:eastAsia="es-ES"/>
    </w:rPr>
  </w:style>
  <w:style w:type="paragraph" w:customStyle="1" w:styleId="sangrado1">
    <w:name w:val="sangrado1"/>
    <w:basedOn w:val="Normal"/>
    <w:rsid w:val="006220A2"/>
    <w:pPr>
      <w:pBdr>
        <w:top w:val="none" w:sz="0" w:space="0" w:color="auto"/>
        <w:left w:val="none" w:sz="0" w:space="0" w:color="auto"/>
        <w:bottom w:val="none" w:sz="0" w:space="0" w:color="auto"/>
        <w:right w:val="none" w:sz="0" w:space="0" w:color="auto"/>
        <w:between w:val="none" w:sz="0" w:space="0" w:color="auto"/>
        <w:bar w:val="none" w:sz="0" w:color="auto"/>
      </w:pBdr>
      <w:ind w:left="709" w:hanging="709"/>
      <w:jc w:val="both"/>
      <w:outlineLvl w:val="9"/>
    </w:pPr>
    <w:rPr>
      <w:rFonts w:ascii="Univers" w:eastAsia="Times New Roman" w:hAnsi="Univers" w:cs="Times New Roman"/>
      <w:color w:val="auto"/>
      <w:sz w:val="22"/>
      <w:szCs w:val="20"/>
      <w:bdr w:val="none" w:sz="0" w:space="0" w:color="auto"/>
      <w:lang w:val="es-ES_tradnl" w:eastAsia="es-ES"/>
    </w:rPr>
  </w:style>
  <w:style w:type="paragraph" w:customStyle="1" w:styleId="sangrado2">
    <w:name w:val="sangrado2"/>
    <w:basedOn w:val="Normal"/>
    <w:rsid w:val="006220A2"/>
    <w:pPr>
      <w:pBdr>
        <w:top w:val="none" w:sz="0" w:space="0" w:color="auto"/>
        <w:left w:val="none" w:sz="0" w:space="0" w:color="auto"/>
        <w:bottom w:val="none" w:sz="0" w:space="0" w:color="auto"/>
        <w:right w:val="none" w:sz="0" w:space="0" w:color="auto"/>
        <w:between w:val="none" w:sz="0" w:space="0" w:color="auto"/>
        <w:bar w:val="none" w:sz="0" w:color="auto"/>
      </w:pBdr>
      <w:ind w:left="1418" w:hanging="709"/>
      <w:jc w:val="both"/>
      <w:outlineLvl w:val="9"/>
    </w:pPr>
    <w:rPr>
      <w:rFonts w:ascii="Univers" w:eastAsia="Times New Roman" w:hAnsi="Univers" w:cs="Times New Roman"/>
      <w:color w:val="auto"/>
      <w:sz w:val="22"/>
      <w:szCs w:val="20"/>
      <w:bdr w:val="none" w:sz="0" w:space="0" w:color="auto"/>
      <w:lang w:val="es-ES_tradnl" w:eastAsia="es-ES"/>
    </w:rPr>
  </w:style>
  <w:style w:type="table" w:styleId="Tablaconcuadrcula">
    <w:name w:val="Table Grid"/>
    <w:basedOn w:val="Tablanormal"/>
    <w:rsid w:val="006220A2"/>
    <w:rPr>
      <w:rFonts w:ascii="Times New Roman" w:eastAsia="Times New Roman" w:hAnsi="Times New Roman" w:cs="Times New Roman"/>
      <w:sz w:val="20"/>
      <w:szCs w:val="20"/>
      <w:lang w:val="es-ES"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sinformato">
    <w:name w:val="Plain Text"/>
    <w:basedOn w:val="Normal"/>
    <w:link w:val="TextosinformatoCar"/>
    <w:rsid w:val="006220A2"/>
    <w:pPr>
      <w:pBdr>
        <w:top w:val="none" w:sz="0" w:space="0" w:color="auto"/>
        <w:left w:val="none" w:sz="0" w:space="0" w:color="auto"/>
        <w:bottom w:val="none" w:sz="0" w:space="0" w:color="auto"/>
        <w:right w:val="none" w:sz="0" w:space="0" w:color="auto"/>
        <w:between w:val="none" w:sz="0" w:space="0" w:color="auto"/>
        <w:bar w:val="none" w:sz="0" w:color="auto"/>
      </w:pBdr>
      <w:outlineLvl w:val="9"/>
    </w:pPr>
    <w:rPr>
      <w:rFonts w:ascii="Courier New" w:eastAsia="Times New Roman" w:hAnsi="Courier New" w:cs="Courier New"/>
      <w:color w:val="auto"/>
      <w:sz w:val="20"/>
      <w:szCs w:val="20"/>
      <w:bdr w:val="none" w:sz="0" w:space="0" w:color="auto"/>
      <w:lang w:eastAsia="es-ES"/>
    </w:rPr>
  </w:style>
  <w:style w:type="character" w:customStyle="1" w:styleId="TextosinformatoCar">
    <w:name w:val="Texto sin formato Car"/>
    <w:basedOn w:val="Fuentedeprrafopredeter"/>
    <w:link w:val="Textosinformato"/>
    <w:rsid w:val="006220A2"/>
    <w:rPr>
      <w:rFonts w:ascii="Courier New" w:eastAsia="Times New Roman" w:hAnsi="Courier New" w:cs="Courier New"/>
      <w:sz w:val="20"/>
      <w:szCs w:val="20"/>
      <w:u w:color="000000"/>
      <w:lang w:val="es-ES" w:eastAsia="es-ES"/>
    </w:rPr>
  </w:style>
  <w:style w:type="paragraph" w:styleId="Tabladeilustraciones">
    <w:name w:val="table of figures"/>
    <w:basedOn w:val="Normal"/>
    <w:next w:val="Normal"/>
    <w:semiHidden/>
    <w:rsid w:val="006220A2"/>
    <w:pPr>
      <w:pBdr>
        <w:top w:val="none" w:sz="0" w:space="0" w:color="auto"/>
        <w:left w:val="none" w:sz="0" w:space="0" w:color="auto"/>
        <w:bottom w:val="none" w:sz="0" w:space="0" w:color="auto"/>
        <w:right w:val="none" w:sz="0" w:space="0" w:color="auto"/>
        <w:between w:val="none" w:sz="0" w:space="0" w:color="auto"/>
        <w:bar w:val="none" w:sz="0" w:color="auto"/>
      </w:pBdr>
      <w:jc w:val="both"/>
      <w:outlineLvl w:val="9"/>
    </w:pPr>
    <w:rPr>
      <w:rFonts w:ascii="Book Antiqua" w:eastAsia="Times New Roman" w:hAnsi="Book Antiqua" w:cs="Times New Roman"/>
      <w:color w:val="auto"/>
      <w:sz w:val="20"/>
      <w:szCs w:val="20"/>
      <w:bdr w:val="none" w:sz="0" w:space="0" w:color="auto"/>
      <w:lang w:eastAsia="en-US"/>
    </w:rPr>
  </w:style>
  <w:style w:type="paragraph" w:customStyle="1" w:styleId="a">
    <w:name w:val="a"/>
    <w:basedOn w:val="Normal"/>
    <w:rsid w:val="006220A2"/>
    <w:pPr>
      <w:keepLines/>
      <w:pBdr>
        <w:top w:val="none" w:sz="0" w:space="0" w:color="auto"/>
        <w:left w:val="none" w:sz="0" w:space="0" w:color="auto"/>
        <w:bottom w:val="none" w:sz="0" w:space="0" w:color="auto"/>
        <w:right w:val="none" w:sz="0" w:space="0" w:color="auto"/>
        <w:between w:val="none" w:sz="0" w:space="0" w:color="auto"/>
        <w:bar w:val="none" w:sz="0" w:color="auto"/>
      </w:pBdr>
      <w:spacing w:before="240"/>
      <w:ind w:left="1276" w:right="-28" w:hanging="284"/>
      <w:jc w:val="both"/>
      <w:outlineLvl w:val="9"/>
    </w:pPr>
    <w:rPr>
      <w:rFonts w:ascii="Times New Roman" w:eastAsia="Times New Roman" w:hAnsi="Times New Roman" w:cs="Times New Roman"/>
      <w:color w:val="auto"/>
      <w:szCs w:val="20"/>
      <w:bdr w:val="none" w:sz="0" w:space="0" w:color="auto"/>
      <w:lang w:eastAsia="en-US"/>
    </w:rPr>
  </w:style>
  <w:style w:type="paragraph" w:customStyle="1" w:styleId="tab">
    <w:name w:val="tab"/>
    <w:basedOn w:val="Normal"/>
    <w:rsid w:val="006220A2"/>
    <w:pPr>
      <w:keepLines/>
      <w:pBdr>
        <w:top w:val="none" w:sz="0" w:space="0" w:color="auto"/>
        <w:left w:val="none" w:sz="0" w:space="0" w:color="auto"/>
        <w:bottom w:val="none" w:sz="0" w:space="0" w:color="auto"/>
        <w:right w:val="none" w:sz="0" w:space="0" w:color="auto"/>
        <w:between w:val="none" w:sz="0" w:space="0" w:color="auto"/>
        <w:bar w:val="none" w:sz="0" w:color="auto"/>
      </w:pBdr>
      <w:ind w:left="20"/>
      <w:jc w:val="both"/>
      <w:outlineLvl w:val="9"/>
    </w:pPr>
    <w:rPr>
      <w:rFonts w:ascii="Times" w:eastAsia="Times New Roman" w:hAnsi="Times" w:cs="Times New Roman"/>
      <w:color w:val="auto"/>
      <w:sz w:val="28"/>
      <w:szCs w:val="20"/>
      <w:bdr w:val="none" w:sz="0" w:space="0" w:color="auto"/>
      <w:lang w:eastAsia="en-US"/>
    </w:rPr>
  </w:style>
  <w:style w:type="paragraph" w:customStyle="1" w:styleId="F2-normal">
    <w:name w:val="_F2-normal"/>
    <w:basedOn w:val="Normal"/>
    <w:rsid w:val="006220A2"/>
    <w:pPr>
      <w:pBdr>
        <w:top w:val="none" w:sz="0" w:space="0" w:color="auto"/>
        <w:left w:val="none" w:sz="0" w:space="0" w:color="auto"/>
        <w:bottom w:val="none" w:sz="0" w:space="0" w:color="auto"/>
        <w:right w:val="none" w:sz="0" w:space="0" w:color="auto"/>
        <w:between w:val="none" w:sz="0" w:space="0" w:color="auto"/>
        <w:bar w:val="none" w:sz="0" w:color="auto"/>
      </w:pBdr>
      <w:tabs>
        <w:tab w:val="left" w:pos="567"/>
      </w:tabs>
      <w:jc w:val="both"/>
      <w:outlineLvl w:val="9"/>
    </w:pPr>
    <w:rPr>
      <w:rFonts w:ascii="Times New Roman" w:eastAsia="Times New Roman" w:hAnsi="Times New Roman" w:cs="Times New Roman"/>
      <w:color w:val="auto"/>
      <w:szCs w:val="20"/>
      <w:bdr w:val="none" w:sz="0" w:space="0" w:color="auto"/>
      <w:lang w:eastAsia="en-US"/>
    </w:rPr>
  </w:style>
  <w:style w:type="paragraph" w:styleId="NormalWeb">
    <w:name w:val="Normal (Web)"/>
    <w:basedOn w:val="Normal"/>
    <w:uiPriority w:val="99"/>
    <w:unhideWhenUsed/>
    <w:rsid w:val="006220A2"/>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outlineLvl w:val="9"/>
    </w:pPr>
    <w:rPr>
      <w:rFonts w:ascii="Times New Roman" w:eastAsia="Times New Roman" w:hAnsi="Times New Roman" w:cs="Times New Roman"/>
      <w:color w:val="auto"/>
      <w:bdr w:val="none" w:sz="0" w:space="0" w:color="auto"/>
      <w:lang w:eastAsia="es-ES"/>
    </w:rPr>
  </w:style>
  <w:style w:type="paragraph" w:styleId="Textodeglobo">
    <w:name w:val="Balloon Text"/>
    <w:basedOn w:val="Normal"/>
    <w:link w:val="TextodegloboCar"/>
    <w:rsid w:val="006220A2"/>
    <w:pPr>
      <w:pBdr>
        <w:top w:val="none" w:sz="0" w:space="0" w:color="auto"/>
        <w:left w:val="none" w:sz="0" w:space="0" w:color="auto"/>
        <w:bottom w:val="none" w:sz="0" w:space="0" w:color="auto"/>
        <w:right w:val="none" w:sz="0" w:space="0" w:color="auto"/>
        <w:between w:val="none" w:sz="0" w:space="0" w:color="auto"/>
        <w:bar w:val="none" w:sz="0" w:color="auto"/>
      </w:pBdr>
      <w:ind w:left="284"/>
      <w:outlineLvl w:val="9"/>
    </w:pPr>
    <w:rPr>
      <w:rFonts w:ascii="Tahoma" w:eastAsia="Times" w:hAnsi="Tahoma" w:cs="Tahoma"/>
      <w:color w:val="auto"/>
      <w:sz w:val="16"/>
      <w:szCs w:val="16"/>
      <w:bdr w:val="none" w:sz="0" w:space="0" w:color="auto"/>
      <w:lang w:val="es-ES_tradnl" w:eastAsia="es-ES"/>
    </w:rPr>
  </w:style>
  <w:style w:type="character" w:customStyle="1" w:styleId="TextodegloboCar">
    <w:name w:val="Texto de globo Car"/>
    <w:basedOn w:val="Fuentedeprrafopredeter"/>
    <w:link w:val="Textodeglobo"/>
    <w:rsid w:val="006220A2"/>
    <w:rPr>
      <w:rFonts w:ascii="Tahoma" w:eastAsia="Times" w:hAnsi="Tahoma" w:cs="Tahoma"/>
      <w:sz w:val="16"/>
      <w:szCs w:val="16"/>
      <w:u w:color="000000"/>
      <w:lang w:eastAsia="es-ES"/>
    </w:rPr>
  </w:style>
  <w:style w:type="paragraph" w:styleId="Textocomentario">
    <w:name w:val="annotation text"/>
    <w:basedOn w:val="Normal"/>
    <w:link w:val="TextocomentarioCar"/>
    <w:unhideWhenUsed/>
    <w:rsid w:val="006220A2"/>
    <w:pPr>
      <w:pBdr>
        <w:top w:val="none" w:sz="0" w:space="0" w:color="auto"/>
        <w:left w:val="none" w:sz="0" w:space="0" w:color="auto"/>
        <w:bottom w:val="none" w:sz="0" w:space="0" w:color="auto"/>
        <w:right w:val="none" w:sz="0" w:space="0" w:color="auto"/>
        <w:between w:val="none" w:sz="0" w:space="0" w:color="auto"/>
        <w:bar w:val="none" w:sz="0" w:color="auto"/>
      </w:pBdr>
      <w:ind w:left="284"/>
      <w:outlineLvl w:val="9"/>
    </w:pPr>
    <w:rPr>
      <w:rFonts w:ascii="Times" w:eastAsia="Times" w:hAnsi="Times" w:cs="Times New Roman"/>
      <w:color w:val="auto"/>
      <w:sz w:val="20"/>
      <w:szCs w:val="20"/>
      <w:bdr w:val="none" w:sz="0" w:space="0" w:color="auto"/>
      <w:lang w:val="es-ES_tradnl" w:eastAsia="es-ES"/>
    </w:rPr>
  </w:style>
  <w:style w:type="character" w:customStyle="1" w:styleId="TextocomentarioCar">
    <w:name w:val="Texto comentario Car"/>
    <w:basedOn w:val="Fuentedeprrafopredeter"/>
    <w:link w:val="Textocomentario"/>
    <w:rsid w:val="006220A2"/>
    <w:rPr>
      <w:rFonts w:ascii="Times" w:eastAsia="Times" w:hAnsi="Times" w:cs="Times New Roman"/>
      <w:sz w:val="20"/>
      <w:szCs w:val="20"/>
      <w:u w:color="000000"/>
      <w:lang w:eastAsia="es-ES"/>
    </w:rPr>
  </w:style>
  <w:style w:type="paragraph" w:styleId="Asuntodelcomentario">
    <w:name w:val="annotation subject"/>
    <w:basedOn w:val="Textocomentario"/>
    <w:next w:val="Textocomentario"/>
    <w:link w:val="AsuntodelcomentarioCar"/>
    <w:semiHidden/>
    <w:unhideWhenUsed/>
    <w:rsid w:val="006220A2"/>
    <w:rPr>
      <w:b/>
      <w:bCs/>
    </w:rPr>
  </w:style>
  <w:style w:type="character" w:customStyle="1" w:styleId="AsuntodelcomentarioCar">
    <w:name w:val="Asunto del comentario Car"/>
    <w:basedOn w:val="TextocomentarioCar"/>
    <w:link w:val="Asuntodelcomentario"/>
    <w:semiHidden/>
    <w:rsid w:val="006220A2"/>
    <w:rPr>
      <w:rFonts w:ascii="Times" w:eastAsia="Times" w:hAnsi="Times" w:cs="Times New Roman"/>
      <w:b/>
      <w:bCs/>
      <w:sz w:val="20"/>
      <w:szCs w:val="20"/>
      <w:u w:color="000000"/>
      <w:lang w:eastAsia="es-ES"/>
    </w:rPr>
  </w:style>
  <w:style w:type="numbering" w:customStyle="1" w:styleId="Nmero">
    <w:name w:val="Número"/>
    <w:rsid w:val="002536C5"/>
    <w:pPr>
      <w:numPr>
        <w:numId w:val="19"/>
      </w:numPr>
    </w:pPr>
  </w:style>
  <w:style w:type="paragraph" w:customStyle="1" w:styleId="Estndar">
    <w:name w:val="Estándar"/>
    <w:rsid w:val="001B7D27"/>
    <w:rPr>
      <w:rFonts w:ascii="Times New Roman" w:eastAsia="Times New Roman" w:hAnsi="Times New Roman" w:cs="Times New Roman"/>
      <w:snapToGrid w:val="0"/>
      <w:color w:val="000000"/>
      <w:szCs w:val="20"/>
      <w:lang w:val="es-ES" w:eastAsia="es-ES"/>
    </w:rPr>
  </w:style>
  <w:style w:type="numbering" w:customStyle="1" w:styleId="Estiloimportado2">
    <w:name w:val="Estilo importado 2"/>
    <w:rsid w:val="00D03D56"/>
    <w:pPr>
      <w:numPr>
        <w:numId w:val="20"/>
      </w:numPr>
    </w:pPr>
  </w:style>
  <w:style w:type="numbering" w:customStyle="1" w:styleId="Estiloimportado4">
    <w:name w:val="Estilo importado 4"/>
    <w:rsid w:val="00D03D56"/>
    <w:pPr>
      <w:numPr>
        <w:numId w:val="21"/>
      </w:numPr>
    </w:pPr>
  </w:style>
  <w:style w:type="numbering" w:customStyle="1" w:styleId="Estiloimportado5">
    <w:name w:val="Estilo importado 5"/>
    <w:rsid w:val="00D03D56"/>
    <w:pPr>
      <w:numPr>
        <w:numId w:val="22"/>
      </w:numPr>
    </w:pPr>
  </w:style>
  <w:style w:type="numbering" w:customStyle="1" w:styleId="Estiloimportado6">
    <w:name w:val="Estilo importado 6"/>
    <w:rsid w:val="00D03D56"/>
    <w:pPr>
      <w:numPr>
        <w:numId w:val="23"/>
      </w:numPr>
    </w:pPr>
  </w:style>
  <w:style w:type="numbering" w:customStyle="1" w:styleId="Estiloimportado7">
    <w:name w:val="Estilo importado 7"/>
    <w:rsid w:val="00D03D56"/>
    <w:pPr>
      <w:numPr>
        <w:numId w:val="24"/>
      </w:numPr>
    </w:pPr>
  </w:style>
  <w:style w:type="numbering" w:customStyle="1" w:styleId="Estiloimportado8">
    <w:name w:val="Estilo importado 8"/>
    <w:rsid w:val="00D03D56"/>
    <w:pPr>
      <w:numPr>
        <w:numId w:val="25"/>
      </w:numPr>
    </w:pPr>
  </w:style>
  <w:style w:type="paragraph" w:customStyle="1" w:styleId="CuerpoA">
    <w:name w:val="Cuerpo A"/>
    <w:rsid w:val="00463A19"/>
    <w:pPr>
      <w:pBdr>
        <w:top w:val="nil"/>
        <w:left w:val="nil"/>
        <w:bottom w:val="nil"/>
        <w:right w:val="nil"/>
        <w:between w:val="nil"/>
        <w:bar w:val="nil"/>
      </w:pBdr>
    </w:pPr>
    <w:rPr>
      <w:rFonts w:ascii="Helvetica Neue" w:eastAsia="Arial Unicode MS" w:hAnsi="Helvetica Neue" w:cs="Arial Unicode MS"/>
      <w:color w:val="000000"/>
      <w:sz w:val="22"/>
      <w:szCs w:val="22"/>
      <w:u w:color="000000"/>
      <w:bdr w:val="nil"/>
      <w:lang w:eastAsia="es-ES_tradnl"/>
      <w14:textOutline w14:w="12700" w14:cap="flat" w14:cmpd="sng" w14:algn="ctr">
        <w14:noFill/>
        <w14:prstDash w14:val="solid"/>
        <w14:miter w14:lim="400000"/>
      </w14:textOutline>
    </w:rPr>
  </w:style>
  <w:style w:type="character" w:styleId="Refdenotaalpie">
    <w:name w:val="footnote reference"/>
    <w:basedOn w:val="Fuentedeprrafopredeter"/>
    <w:uiPriority w:val="99"/>
    <w:semiHidden/>
    <w:unhideWhenUsed/>
    <w:rsid w:val="00463A19"/>
    <w:rPr>
      <w:vertAlign w:val="superscript"/>
    </w:rPr>
  </w:style>
  <w:style w:type="paragraph" w:styleId="Ttulo">
    <w:name w:val="Title"/>
    <w:basedOn w:val="Normal"/>
    <w:next w:val="Normal"/>
    <w:link w:val="TtuloCar"/>
    <w:uiPriority w:val="10"/>
    <w:qFormat/>
    <w:rsid w:val="0021610B"/>
    <w:pPr>
      <w:spacing w:after="80"/>
      <w:contextualSpacing/>
    </w:pPr>
    <w:rPr>
      <w:rFonts w:asciiTheme="majorHAnsi" w:eastAsiaTheme="majorEastAsia" w:hAnsiTheme="majorHAnsi" w:cstheme="majorBidi"/>
      <w:spacing w:val="-10"/>
      <w:kern w:val="28"/>
      <w:sz w:val="56"/>
      <w:szCs w:val="56"/>
      <w14:ligatures w14:val="standardContextual"/>
    </w:rPr>
  </w:style>
  <w:style w:type="character" w:customStyle="1" w:styleId="TtuloCar">
    <w:name w:val="Título Car"/>
    <w:basedOn w:val="Fuentedeprrafopredeter"/>
    <w:link w:val="Ttulo"/>
    <w:uiPriority w:val="10"/>
    <w:rsid w:val="0021610B"/>
    <w:rPr>
      <w:rFonts w:asciiTheme="majorHAnsi" w:eastAsiaTheme="majorEastAsia" w:hAnsiTheme="majorHAnsi" w:cstheme="majorBidi"/>
      <w:color w:val="000000"/>
      <w:spacing w:val="-10"/>
      <w:kern w:val="28"/>
      <w:sz w:val="56"/>
      <w:szCs w:val="56"/>
      <w:u w:color="000000"/>
      <w:bdr w:val="nil"/>
      <w:lang w:val="es-ES" w:eastAsia="es-ES_tradnl"/>
      <w14:ligatures w14:val="standardContextual"/>
    </w:rPr>
  </w:style>
  <w:style w:type="paragraph" w:styleId="Subttulo">
    <w:name w:val="Subtitle"/>
    <w:basedOn w:val="Normal"/>
    <w:next w:val="Normal"/>
    <w:link w:val="SubttuloCar"/>
    <w:uiPriority w:val="11"/>
    <w:qFormat/>
    <w:rsid w:val="0021610B"/>
    <w:pPr>
      <w:numPr>
        <w:ilvl w:val="1"/>
      </w:numPr>
    </w:pPr>
    <w:rPr>
      <w:rFonts w:eastAsiaTheme="majorEastAsia" w:cstheme="majorBidi"/>
      <w:color w:val="595959" w:themeColor="text1" w:themeTint="A6"/>
      <w:spacing w:val="15"/>
      <w:sz w:val="28"/>
      <w:szCs w:val="28"/>
      <w14:ligatures w14:val="standardContextual"/>
    </w:rPr>
  </w:style>
  <w:style w:type="character" w:customStyle="1" w:styleId="SubttuloCar">
    <w:name w:val="Subtítulo Car"/>
    <w:basedOn w:val="Fuentedeprrafopredeter"/>
    <w:link w:val="Subttulo"/>
    <w:uiPriority w:val="11"/>
    <w:rsid w:val="0021610B"/>
    <w:rPr>
      <w:rFonts w:ascii="Arial" w:eastAsiaTheme="majorEastAsia" w:hAnsi="Arial" w:cstheme="majorBidi"/>
      <w:color w:val="595959" w:themeColor="text1" w:themeTint="A6"/>
      <w:spacing w:val="15"/>
      <w:sz w:val="28"/>
      <w:szCs w:val="28"/>
      <w:u w:color="000000"/>
      <w:bdr w:val="nil"/>
      <w:lang w:val="es-ES" w:eastAsia="es-ES_tradnl"/>
      <w14:ligatures w14:val="standardContextual"/>
    </w:rPr>
  </w:style>
  <w:style w:type="paragraph" w:styleId="Cita">
    <w:name w:val="Quote"/>
    <w:basedOn w:val="Normal"/>
    <w:next w:val="Normal"/>
    <w:link w:val="CitaCar"/>
    <w:uiPriority w:val="29"/>
    <w:qFormat/>
    <w:rsid w:val="0021610B"/>
    <w:pPr>
      <w:spacing w:before="160"/>
      <w:jc w:val="center"/>
    </w:pPr>
    <w:rPr>
      <w:i/>
      <w:iCs/>
      <w:color w:val="404040" w:themeColor="text1" w:themeTint="BF"/>
      <w14:ligatures w14:val="standardContextual"/>
    </w:rPr>
  </w:style>
  <w:style w:type="character" w:customStyle="1" w:styleId="CitaCar">
    <w:name w:val="Cita Car"/>
    <w:basedOn w:val="Fuentedeprrafopredeter"/>
    <w:link w:val="Cita"/>
    <w:uiPriority w:val="29"/>
    <w:rsid w:val="0021610B"/>
    <w:rPr>
      <w:rFonts w:ascii="Arial" w:eastAsia="Cambria" w:hAnsi="Arial" w:cs="Arial"/>
      <w:i/>
      <w:iCs/>
      <w:color w:val="404040" w:themeColor="text1" w:themeTint="BF"/>
      <w:u w:color="000000"/>
      <w:bdr w:val="nil"/>
      <w:lang w:val="es-ES" w:eastAsia="es-ES_tradnl"/>
      <w14:ligatures w14:val="standardContextual"/>
    </w:rPr>
  </w:style>
  <w:style w:type="character" w:styleId="nfasisintenso">
    <w:name w:val="Intense Emphasis"/>
    <w:basedOn w:val="Fuentedeprrafopredeter"/>
    <w:uiPriority w:val="21"/>
    <w:qFormat/>
    <w:rsid w:val="0021610B"/>
    <w:rPr>
      <w:i/>
      <w:iCs/>
      <w:color w:val="2F5496" w:themeColor="accent1" w:themeShade="BF"/>
    </w:rPr>
  </w:style>
  <w:style w:type="paragraph" w:styleId="Citadestacada">
    <w:name w:val="Intense Quote"/>
    <w:basedOn w:val="Normal"/>
    <w:next w:val="Normal"/>
    <w:link w:val="CitadestacadaCar"/>
    <w:uiPriority w:val="30"/>
    <w:qFormat/>
    <w:rsid w:val="0021610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14:ligatures w14:val="standardContextual"/>
    </w:rPr>
  </w:style>
  <w:style w:type="character" w:customStyle="1" w:styleId="CitadestacadaCar">
    <w:name w:val="Cita destacada Car"/>
    <w:basedOn w:val="Fuentedeprrafopredeter"/>
    <w:link w:val="Citadestacada"/>
    <w:uiPriority w:val="30"/>
    <w:rsid w:val="0021610B"/>
    <w:rPr>
      <w:rFonts w:ascii="Arial" w:eastAsia="Cambria" w:hAnsi="Arial" w:cs="Arial"/>
      <w:i/>
      <w:iCs/>
      <w:color w:val="2F5496" w:themeColor="accent1" w:themeShade="BF"/>
      <w:u w:color="000000"/>
      <w:bdr w:val="nil"/>
      <w:lang w:val="es-ES" w:eastAsia="es-ES_tradnl"/>
      <w14:ligatures w14:val="standardContextual"/>
    </w:rPr>
  </w:style>
  <w:style w:type="character" w:styleId="Referenciaintensa">
    <w:name w:val="Intense Reference"/>
    <w:basedOn w:val="Fuentedeprrafopredeter"/>
    <w:uiPriority w:val="32"/>
    <w:qFormat/>
    <w:rsid w:val="0021610B"/>
    <w:rPr>
      <w:b/>
      <w:bCs/>
      <w:smallCaps/>
      <w:color w:val="2F5496" w:themeColor="accent1" w:themeShade="BF"/>
      <w:spacing w:val="5"/>
    </w:rPr>
  </w:style>
  <w:style w:type="paragraph" w:customStyle="1" w:styleId="Default">
    <w:name w:val="Default"/>
    <w:rsid w:val="0021610B"/>
    <w:pPr>
      <w:autoSpaceDE w:val="0"/>
      <w:autoSpaceDN w:val="0"/>
      <w:adjustRightInd w:val="0"/>
    </w:pPr>
    <w:rPr>
      <w:rFonts w:ascii="Calibri" w:hAnsi="Calibri" w:cs="Calibri"/>
      <w:color w:val="000000"/>
      <w:lang w:val="es-ES"/>
      <w14:ligatures w14:val="standardContextual"/>
    </w:rPr>
  </w:style>
  <w:style w:type="paragraph" w:styleId="Revisin">
    <w:name w:val="Revision"/>
    <w:hidden/>
    <w:uiPriority w:val="99"/>
    <w:semiHidden/>
    <w:rsid w:val="0021610B"/>
    <w:rPr>
      <w:rFonts w:ascii="Arial" w:eastAsia="Cambria" w:hAnsi="Arial" w:cs="Arial"/>
      <w:color w:val="000000"/>
      <w:u w:color="000000"/>
      <w:bdr w:val="nil"/>
      <w:lang w:val="es-ES" w:eastAsia="es-ES_tradnl"/>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635976">
      <w:bodyDiv w:val="1"/>
      <w:marLeft w:val="0"/>
      <w:marRight w:val="0"/>
      <w:marTop w:val="0"/>
      <w:marBottom w:val="0"/>
      <w:divBdr>
        <w:top w:val="none" w:sz="0" w:space="0" w:color="auto"/>
        <w:left w:val="none" w:sz="0" w:space="0" w:color="auto"/>
        <w:bottom w:val="none" w:sz="0" w:space="0" w:color="auto"/>
        <w:right w:val="none" w:sz="0" w:space="0" w:color="auto"/>
      </w:divBdr>
    </w:div>
    <w:div w:id="4597197">
      <w:bodyDiv w:val="1"/>
      <w:marLeft w:val="0"/>
      <w:marRight w:val="0"/>
      <w:marTop w:val="0"/>
      <w:marBottom w:val="0"/>
      <w:divBdr>
        <w:top w:val="none" w:sz="0" w:space="0" w:color="auto"/>
        <w:left w:val="none" w:sz="0" w:space="0" w:color="auto"/>
        <w:bottom w:val="none" w:sz="0" w:space="0" w:color="auto"/>
        <w:right w:val="none" w:sz="0" w:space="0" w:color="auto"/>
      </w:divBdr>
    </w:div>
    <w:div w:id="15547321">
      <w:bodyDiv w:val="1"/>
      <w:marLeft w:val="0"/>
      <w:marRight w:val="0"/>
      <w:marTop w:val="0"/>
      <w:marBottom w:val="0"/>
      <w:divBdr>
        <w:top w:val="none" w:sz="0" w:space="0" w:color="auto"/>
        <w:left w:val="none" w:sz="0" w:space="0" w:color="auto"/>
        <w:bottom w:val="none" w:sz="0" w:space="0" w:color="auto"/>
        <w:right w:val="none" w:sz="0" w:space="0" w:color="auto"/>
      </w:divBdr>
    </w:div>
    <w:div w:id="21521823">
      <w:bodyDiv w:val="1"/>
      <w:marLeft w:val="0"/>
      <w:marRight w:val="0"/>
      <w:marTop w:val="0"/>
      <w:marBottom w:val="0"/>
      <w:divBdr>
        <w:top w:val="none" w:sz="0" w:space="0" w:color="auto"/>
        <w:left w:val="none" w:sz="0" w:space="0" w:color="auto"/>
        <w:bottom w:val="none" w:sz="0" w:space="0" w:color="auto"/>
        <w:right w:val="none" w:sz="0" w:space="0" w:color="auto"/>
      </w:divBdr>
    </w:div>
    <w:div w:id="40205571">
      <w:bodyDiv w:val="1"/>
      <w:marLeft w:val="0"/>
      <w:marRight w:val="0"/>
      <w:marTop w:val="0"/>
      <w:marBottom w:val="0"/>
      <w:divBdr>
        <w:top w:val="none" w:sz="0" w:space="0" w:color="auto"/>
        <w:left w:val="none" w:sz="0" w:space="0" w:color="auto"/>
        <w:bottom w:val="none" w:sz="0" w:space="0" w:color="auto"/>
        <w:right w:val="none" w:sz="0" w:space="0" w:color="auto"/>
      </w:divBdr>
    </w:div>
    <w:div w:id="41446437">
      <w:bodyDiv w:val="1"/>
      <w:marLeft w:val="0"/>
      <w:marRight w:val="0"/>
      <w:marTop w:val="0"/>
      <w:marBottom w:val="0"/>
      <w:divBdr>
        <w:top w:val="none" w:sz="0" w:space="0" w:color="auto"/>
        <w:left w:val="none" w:sz="0" w:space="0" w:color="auto"/>
        <w:bottom w:val="none" w:sz="0" w:space="0" w:color="auto"/>
        <w:right w:val="none" w:sz="0" w:space="0" w:color="auto"/>
      </w:divBdr>
    </w:div>
    <w:div w:id="42103521">
      <w:bodyDiv w:val="1"/>
      <w:marLeft w:val="0"/>
      <w:marRight w:val="0"/>
      <w:marTop w:val="0"/>
      <w:marBottom w:val="0"/>
      <w:divBdr>
        <w:top w:val="none" w:sz="0" w:space="0" w:color="auto"/>
        <w:left w:val="none" w:sz="0" w:space="0" w:color="auto"/>
        <w:bottom w:val="none" w:sz="0" w:space="0" w:color="auto"/>
        <w:right w:val="none" w:sz="0" w:space="0" w:color="auto"/>
      </w:divBdr>
    </w:div>
    <w:div w:id="44985060">
      <w:bodyDiv w:val="1"/>
      <w:marLeft w:val="0"/>
      <w:marRight w:val="0"/>
      <w:marTop w:val="0"/>
      <w:marBottom w:val="0"/>
      <w:divBdr>
        <w:top w:val="none" w:sz="0" w:space="0" w:color="auto"/>
        <w:left w:val="none" w:sz="0" w:space="0" w:color="auto"/>
        <w:bottom w:val="none" w:sz="0" w:space="0" w:color="auto"/>
        <w:right w:val="none" w:sz="0" w:space="0" w:color="auto"/>
      </w:divBdr>
    </w:div>
    <w:div w:id="49156575">
      <w:bodyDiv w:val="1"/>
      <w:marLeft w:val="0"/>
      <w:marRight w:val="0"/>
      <w:marTop w:val="0"/>
      <w:marBottom w:val="0"/>
      <w:divBdr>
        <w:top w:val="none" w:sz="0" w:space="0" w:color="auto"/>
        <w:left w:val="none" w:sz="0" w:space="0" w:color="auto"/>
        <w:bottom w:val="none" w:sz="0" w:space="0" w:color="auto"/>
        <w:right w:val="none" w:sz="0" w:space="0" w:color="auto"/>
      </w:divBdr>
    </w:div>
    <w:div w:id="49498102">
      <w:bodyDiv w:val="1"/>
      <w:marLeft w:val="0"/>
      <w:marRight w:val="0"/>
      <w:marTop w:val="0"/>
      <w:marBottom w:val="0"/>
      <w:divBdr>
        <w:top w:val="none" w:sz="0" w:space="0" w:color="auto"/>
        <w:left w:val="none" w:sz="0" w:space="0" w:color="auto"/>
        <w:bottom w:val="none" w:sz="0" w:space="0" w:color="auto"/>
        <w:right w:val="none" w:sz="0" w:space="0" w:color="auto"/>
      </w:divBdr>
    </w:div>
    <w:div w:id="54789555">
      <w:bodyDiv w:val="1"/>
      <w:marLeft w:val="0"/>
      <w:marRight w:val="0"/>
      <w:marTop w:val="0"/>
      <w:marBottom w:val="0"/>
      <w:divBdr>
        <w:top w:val="none" w:sz="0" w:space="0" w:color="auto"/>
        <w:left w:val="none" w:sz="0" w:space="0" w:color="auto"/>
        <w:bottom w:val="none" w:sz="0" w:space="0" w:color="auto"/>
        <w:right w:val="none" w:sz="0" w:space="0" w:color="auto"/>
      </w:divBdr>
    </w:div>
    <w:div w:id="57167675">
      <w:bodyDiv w:val="1"/>
      <w:marLeft w:val="0"/>
      <w:marRight w:val="0"/>
      <w:marTop w:val="0"/>
      <w:marBottom w:val="0"/>
      <w:divBdr>
        <w:top w:val="none" w:sz="0" w:space="0" w:color="auto"/>
        <w:left w:val="none" w:sz="0" w:space="0" w:color="auto"/>
        <w:bottom w:val="none" w:sz="0" w:space="0" w:color="auto"/>
        <w:right w:val="none" w:sz="0" w:space="0" w:color="auto"/>
      </w:divBdr>
    </w:div>
    <w:div w:id="59325712">
      <w:bodyDiv w:val="1"/>
      <w:marLeft w:val="0"/>
      <w:marRight w:val="0"/>
      <w:marTop w:val="0"/>
      <w:marBottom w:val="0"/>
      <w:divBdr>
        <w:top w:val="none" w:sz="0" w:space="0" w:color="auto"/>
        <w:left w:val="none" w:sz="0" w:space="0" w:color="auto"/>
        <w:bottom w:val="none" w:sz="0" w:space="0" w:color="auto"/>
        <w:right w:val="none" w:sz="0" w:space="0" w:color="auto"/>
      </w:divBdr>
    </w:div>
    <w:div w:id="71972529">
      <w:bodyDiv w:val="1"/>
      <w:marLeft w:val="0"/>
      <w:marRight w:val="0"/>
      <w:marTop w:val="0"/>
      <w:marBottom w:val="0"/>
      <w:divBdr>
        <w:top w:val="none" w:sz="0" w:space="0" w:color="auto"/>
        <w:left w:val="none" w:sz="0" w:space="0" w:color="auto"/>
        <w:bottom w:val="none" w:sz="0" w:space="0" w:color="auto"/>
        <w:right w:val="none" w:sz="0" w:space="0" w:color="auto"/>
      </w:divBdr>
    </w:div>
    <w:div w:id="89937074">
      <w:bodyDiv w:val="1"/>
      <w:marLeft w:val="0"/>
      <w:marRight w:val="0"/>
      <w:marTop w:val="0"/>
      <w:marBottom w:val="0"/>
      <w:divBdr>
        <w:top w:val="none" w:sz="0" w:space="0" w:color="auto"/>
        <w:left w:val="none" w:sz="0" w:space="0" w:color="auto"/>
        <w:bottom w:val="none" w:sz="0" w:space="0" w:color="auto"/>
        <w:right w:val="none" w:sz="0" w:space="0" w:color="auto"/>
      </w:divBdr>
    </w:div>
    <w:div w:id="91171805">
      <w:bodyDiv w:val="1"/>
      <w:marLeft w:val="0"/>
      <w:marRight w:val="0"/>
      <w:marTop w:val="0"/>
      <w:marBottom w:val="0"/>
      <w:divBdr>
        <w:top w:val="none" w:sz="0" w:space="0" w:color="auto"/>
        <w:left w:val="none" w:sz="0" w:space="0" w:color="auto"/>
        <w:bottom w:val="none" w:sz="0" w:space="0" w:color="auto"/>
        <w:right w:val="none" w:sz="0" w:space="0" w:color="auto"/>
      </w:divBdr>
    </w:div>
    <w:div w:id="93062503">
      <w:bodyDiv w:val="1"/>
      <w:marLeft w:val="0"/>
      <w:marRight w:val="0"/>
      <w:marTop w:val="0"/>
      <w:marBottom w:val="0"/>
      <w:divBdr>
        <w:top w:val="none" w:sz="0" w:space="0" w:color="auto"/>
        <w:left w:val="none" w:sz="0" w:space="0" w:color="auto"/>
        <w:bottom w:val="none" w:sz="0" w:space="0" w:color="auto"/>
        <w:right w:val="none" w:sz="0" w:space="0" w:color="auto"/>
      </w:divBdr>
    </w:div>
    <w:div w:id="98181892">
      <w:bodyDiv w:val="1"/>
      <w:marLeft w:val="0"/>
      <w:marRight w:val="0"/>
      <w:marTop w:val="0"/>
      <w:marBottom w:val="0"/>
      <w:divBdr>
        <w:top w:val="none" w:sz="0" w:space="0" w:color="auto"/>
        <w:left w:val="none" w:sz="0" w:space="0" w:color="auto"/>
        <w:bottom w:val="none" w:sz="0" w:space="0" w:color="auto"/>
        <w:right w:val="none" w:sz="0" w:space="0" w:color="auto"/>
      </w:divBdr>
    </w:div>
    <w:div w:id="103111514">
      <w:bodyDiv w:val="1"/>
      <w:marLeft w:val="0"/>
      <w:marRight w:val="0"/>
      <w:marTop w:val="0"/>
      <w:marBottom w:val="0"/>
      <w:divBdr>
        <w:top w:val="none" w:sz="0" w:space="0" w:color="auto"/>
        <w:left w:val="none" w:sz="0" w:space="0" w:color="auto"/>
        <w:bottom w:val="none" w:sz="0" w:space="0" w:color="auto"/>
        <w:right w:val="none" w:sz="0" w:space="0" w:color="auto"/>
      </w:divBdr>
    </w:div>
    <w:div w:id="110784573">
      <w:bodyDiv w:val="1"/>
      <w:marLeft w:val="0"/>
      <w:marRight w:val="0"/>
      <w:marTop w:val="0"/>
      <w:marBottom w:val="0"/>
      <w:divBdr>
        <w:top w:val="none" w:sz="0" w:space="0" w:color="auto"/>
        <w:left w:val="none" w:sz="0" w:space="0" w:color="auto"/>
        <w:bottom w:val="none" w:sz="0" w:space="0" w:color="auto"/>
        <w:right w:val="none" w:sz="0" w:space="0" w:color="auto"/>
      </w:divBdr>
    </w:div>
    <w:div w:id="117996566">
      <w:bodyDiv w:val="1"/>
      <w:marLeft w:val="0"/>
      <w:marRight w:val="0"/>
      <w:marTop w:val="0"/>
      <w:marBottom w:val="0"/>
      <w:divBdr>
        <w:top w:val="none" w:sz="0" w:space="0" w:color="auto"/>
        <w:left w:val="none" w:sz="0" w:space="0" w:color="auto"/>
        <w:bottom w:val="none" w:sz="0" w:space="0" w:color="auto"/>
        <w:right w:val="none" w:sz="0" w:space="0" w:color="auto"/>
      </w:divBdr>
    </w:div>
    <w:div w:id="127745470">
      <w:bodyDiv w:val="1"/>
      <w:marLeft w:val="0"/>
      <w:marRight w:val="0"/>
      <w:marTop w:val="0"/>
      <w:marBottom w:val="0"/>
      <w:divBdr>
        <w:top w:val="none" w:sz="0" w:space="0" w:color="auto"/>
        <w:left w:val="none" w:sz="0" w:space="0" w:color="auto"/>
        <w:bottom w:val="none" w:sz="0" w:space="0" w:color="auto"/>
        <w:right w:val="none" w:sz="0" w:space="0" w:color="auto"/>
      </w:divBdr>
    </w:div>
    <w:div w:id="134493680">
      <w:bodyDiv w:val="1"/>
      <w:marLeft w:val="0"/>
      <w:marRight w:val="0"/>
      <w:marTop w:val="0"/>
      <w:marBottom w:val="0"/>
      <w:divBdr>
        <w:top w:val="none" w:sz="0" w:space="0" w:color="auto"/>
        <w:left w:val="none" w:sz="0" w:space="0" w:color="auto"/>
        <w:bottom w:val="none" w:sz="0" w:space="0" w:color="auto"/>
        <w:right w:val="none" w:sz="0" w:space="0" w:color="auto"/>
      </w:divBdr>
    </w:div>
    <w:div w:id="137264719">
      <w:bodyDiv w:val="1"/>
      <w:marLeft w:val="0"/>
      <w:marRight w:val="0"/>
      <w:marTop w:val="0"/>
      <w:marBottom w:val="0"/>
      <w:divBdr>
        <w:top w:val="none" w:sz="0" w:space="0" w:color="auto"/>
        <w:left w:val="none" w:sz="0" w:space="0" w:color="auto"/>
        <w:bottom w:val="none" w:sz="0" w:space="0" w:color="auto"/>
        <w:right w:val="none" w:sz="0" w:space="0" w:color="auto"/>
      </w:divBdr>
    </w:div>
    <w:div w:id="143008840">
      <w:bodyDiv w:val="1"/>
      <w:marLeft w:val="0"/>
      <w:marRight w:val="0"/>
      <w:marTop w:val="0"/>
      <w:marBottom w:val="0"/>
      <w:divBdr>
        <w:top w:val="none" w:sz="0" w:space="0" w:color="auto"/>
        <w:left w:val="none" w:sz="0" w:space="0" w:color="auto"/>
        <w:bottom w:val="none" w:sz="0" w:space="0" w:color="auto"/>
        <w:right w:val="none" w:sz="0" w:space="0" w:color="auto"/>
      </w:divBdr>
    </w:div>
    <w:div w:id="147013387">
      <w:bodyDiv w:val="1"/>
      <w:marLeft w:val="0"/>
      <w:marRight w:val="0"/>
      <w:marTop w:val="0"/>
      <w:marBottom w:val="0"/>
      <w:divBdr>
        <w:top w:val="none" w:sz="0" w:space="0" w:color="auto"/>
        <w:left w:val="none" w:sz="0" w:space="0" w:color="auto"/>
        <w:bottom w:val="none" w:sz="0" w:space="0" w:color="auto"/>
        <w:right w:val="none" w:sz="0" w:space="0" w:color="auto"/>
      </w:divBdr>
    </w:div>
    <w:div w:id="174391435">
      <w:bodyDiv w:val="1"/>
      <w:marLeft w:val="0"/>
      <w:marRight w:val="0"/>
      <w:marTop w:val="0"/>
      <w:marBottom w:val="0"/>
      <w:divBdr>
        <w:top w:val="none" w:sz="0" w:space="0" w:color="auto"/>
        <w:left w:val="none" w:sz="0" w:space="0" w:color="auto"/>
        <w:bottom w:val="none" w:sz="0" w:space="0" w:color="auto"/>
        <w:right w:val="none" w:sz="0" w:space="0" w:color="auto"/>
      </w:divBdr>
    </w:div>
    <w:div w:id="175001121">
      <w:bodyDiv w:val="1"/>
      <w:marLeft w:val="0"/>
      <w:marRight w:val="0"/>
      <w:marTop w:val="0"/>
      <w:marBottom w:val="0"/>
      <w:divBdr>
        <w:top w:val="none" w:sz="0" w:space="0" w:color="auto"/>
        <w:left w:val="none" w:sz="0" w:space="0" w:color="auto"/>
        <w:bottom w:val="none" w:sz="0" w:space="0" w:color="auto"/>
        <w:right w:val="none" w:sz="0" w:space="0" w:color="auto"/>
      </w:divBdr>
    </w:div>
    <w:div w:id="175921146">
      <w:bodyDiv w:val="1"/>
      <w:marLeft w:val="0"/>
      <w:marRight w:val="0"/>
      <w:marTop w:val="0"/>
      <w:marBottom w:val="0"/>
      <w:divBdr>
        <w:top w:val="none" w:sz="0" w:space="0" w:color="auto"/>
        <w:left w:val="none" w:sz="0" w:space="0" w:color="auto"/>
        <w:bottom w:val="none" w:sz="0" w:space="0" w:color="auto"/>
        <w:right w:val="none" w:sz="0" w:space="0" w:color="auto"/>
      </w:divBdr>
    </w:div>
    <w:div w:id="180050049">
      <w:bodyDiv w:val="1"/>
      <w:marLeft w:val="0"/>
      <w:marRight w:val="0"/>
      <w:marTop w:val="0"/>
      <w:marBottom w:val="0"/>
      <w:divBdr>
        <w:top w:val="none" w:sz="0" w:space="0" w:color="auto"/>
        <w:left w:val="none" w:sz="0" w:space="0" w:color="auto"/>
        <w:bottom w:val="none" w:sz="0" w:space="0" w:color="auto"/>
        <w:right w:val="none" w:sz="0" w:space="0" w:color="auto"/>
      </w:divBdr>
    </w:div>
    <w:div w:id="182984604">
      <w:bodyDiv w:val="1"/>
      <w:marLeft w:val="0"/>
      <w:marRight w:val="0"/>
      <w:marTop w:val="0"/>
      <w:marBottom w:val="0"/>
      <w:divBdr>
        <w:top w:val="none" w:sz="0" w:space="0" w:color="auto"/>
        <w:left w:val="none" w:sz="0" w:space="0" w:color="auto"/>
        <w:bottom w:val="none" w:sz="0" w:space="0" w:color="auto"/>
        <w:right w:val="none" w:sz="0" w:space="0" w:color="auto"/>
      </w:divBdr>
    </w:div>
    <w:div w:id="186260786">
      <w:bodyDiv w:val="1"/>
      <w:marLeft w:val="0"/>
      <w:marRight w:val="0"/>
      <w:marTop w:val="0"/>
      <w:marBottom w:val="0"/>
      <w:divBdr>
        <w:top w:val="none" w:sz="0" w:space="0" w:color="auto"/>
        <w:left w:val="none" w:sz="0" w:space="0" w:color="auto"/>
        <w:bottom w:val="none" w:sz="0" w:space="0" w:color="auto"/>
        <w:right w:val="none" w:sz="0" w:space="0" w:color="auto"/>
      </w:divBdr>
    </w:div>
    <w:div w:id="195435538">
      <w:bodyDiv w:val="1"/>
      <w:marLeft w:val="0"/>
      <w:marRight w:val="0"/>
      <w:marTop w:val="0"/>
      <w:marBottom w:val="0"/>
      <w:divBdr>
        <w:top w:val="none" w:sz="0" w:space="0" w:color="auto"/>
        <w:left w:val="none" w:sz="0" w:space="0" w:color="auto"/>
        <w:bottom w:val="none" w:sz="0" w:space="0" w:color="auto"/>
        <w:right w:val="none" w:sz="0" w:space="0" w:color="auto"/>
      </w:divBdr>
    </w:div>
    <w:div w:id="201091674">
      <w:bodyDiv w:val="1"/>
      <w:marLeft w:val="0"/>
      <w:marRight w:val="0"/>
      <w:marTop w:val="0"/>
      <w:marBottom w:val="0"/>
      <w:divBdr>
        <w:top w:val="none" w:sz="0" w:space="0" w:color="auto"/>
        <w:left w:val="none" w:sz="0" w:space="0" w:color="auto"/>
        <w:bottom w:val="none" w:sz="0" w:space="0" w:color="auto"/>
        <w:right w:val="none" w:sz="0" w:space="0" w:color="auto"/>
      </w:divBdr>
    </w:div>
    <w:div w:id="207110310">
      <w:bodyDiv w:val="1"/>
      <w:marLeft w:val="0"/>
      <w:marRight w:val="0"/>
      <w:marTop w:val="0"/>
      <w:marBottom w:val="0"/>
      <w:divBdr>
        <w:top w:val="none" w:sz="0" w:space="0" w:color="auto"/>
        <w:left w:val="none" w:sz="0" w:space="0" w:color="auto"/>
        <w:bottom w:val="none" w:sz="0" w:space="0" w:color="auto"/>
        <w:right w:val="none" w:sz="0" w:space="0" w:color="auto"/>
      </w:divBdr>
    </w:div>
    <w:div w:id="210581528">
      <w:bodyDiv w:val="1"/>
      <w:marLeft w:val="0"/>
      <w:marRight w:val="0"/>
      <w:marTop w:val="0"/>
      <w:marBottom w:val="0"/>
      <w:divBdr>
        <w:top w:val="none" w:sz="0" w:space="0" w:color="auto"/>
        <w:left w:val="none" w:sz="0" w:space="0" w:color="auto"/>
        <w:bottom w:val="none" w:sz="0" w:space="0" w:color="auto"/>
        <w:right w:val="none" w:sz="0" w:space="0" w:color="auto"/>
      </w:divBdr>
    </w:div>
    <w:div w:id="217515558">
      <w:bodyDiv w:val="1"/>
      <w:marLeft w:val="0"/>
      <w:marRight w:val="0"/>
      <w:marTop w:val="0"/>
      <w:marBottom w:val="0"/>
      <w:divBdr>
        <w:top w:val="none" w:sz="0" w:space="0" w:color="auto"/>
        <w:left w:val="none" w:sz="0" w:space="0" w:color="auto"/>
        <w:bottom w:val="none" w:sz="0" w:space="0" w:color="auto"/>
        <w:right w:val="none" w:sz="0" w:space="0" w:color="auto"/>
      </w:divBdr>
    </w:div>
    <w:div w:id="218707284">
      <w:bodyDiv w:val="1"/>
      <w:marLeft w:val="0"/>
      <w:marRight w:val="0"/>
      <w:marTop w:val="0"/>
      <w:marBottom w:val="0"/>
      <w:divBdr>
        <w:top w:val="none" w:sz="0" w:space="0" w:color="auto"/>
        <w:left w:val="none" w:sz="0" w:space="0" w:color="auto"/>
        <w:bottom w:val="none" w:sz="0" w:space="0" w:color="auto"/>
        <w:right w:val="none" w:sz="0" w:space="0" w:color="auto"/>
      </w:divBdr>
    </w:div>
    <w:div w:id="222330195">
      <w:bodyDiv w:val="1"/>
      <w:marLeft w:val="0"/>
      <w:marRight w:val="0"/>
      <w:marTop w:val="0"/>
      <w:marBottom w:val="0"/>
      <w:divBdr>
        <w:top w:val="none" w:sz="0" w:space="0" w:color="auto"/>
        <w:left w:val="none" w:sz="0" w:space="0" w:color="auto"/>
        <w:bottom w:val="none" w:sz="0" w:space="0" w:color="auto"/>
        <w:right w:val="none" w:sz="0" w:space="0" w:color="auto"/>
      </w:divBdr>
    </w:div>
    <w:div w:id="227305868">
      <w:bodyDiv w:val="1"/>
      <w:marLeft w:val="0"/>
      <w:marRight w:val="0"/>
      <w:marTop w:val="0"/>
      <w:marBottom w:val="0"/>
      <w:divBdr>
        <w:top w:val="none" w:sz="0" w:space="0" w:color="auto"/>
        <w:left w:val="none" w:sz="0" w:space="0" w:color="auto"/>
        <w:bottom w:val="none" w:sz="0" w:space="0" w:color="auto"/>
        <w:right w:val="none" w:sz="0" w:space="0" w:color="auto"/>
      </w:divBdr>
    </w:div>
    <w:div w:id="234318622">
      <w:bodyDiv w:val="1"/>
      <w:marLeft w:val="0"/>
      <w:marRight w:val="0"/>
      <w:marTop w:val="0"/>
      <w:marBottom w:val="0"/>
      <w:divBdr>
        <w:top w:val="none" w:sz="0" w:space="0" w:color="auto"/>
        <w:left w:val="none" w:sz="0" w:space="0" w:color="auto"/>
        <w:bottom w:val="none" w:sz="0" w:space="0" w:color="auto"/>
        <w:right w:val="none" w:sz="0" w:space="0" w:color="auto"/>
      </w:divBdr>
    </w:div>
    <w:div w:id="250088759">
      <w:bodyDiv w:val="1"/>
      <w:marLeft w:val="0"/>
      <w:marRight w:val="0"/>
      <w:marTop w:val="0"/>
      <w:marBottom w:val="0"/>
      <w:divBdr>
        <w:top w:val="none" w:sz="0" w:space="0" w:color="auto"/>
        <w:left w:val="none" w:sz="0" w:space="0" w:color="auto"/>
        <w:bottom w:val="none" w:sz="0" w:space="0" w:color="auto"/>
        <w:right w:val="none" w:sz="0" w:space="0" w:color="auto"/>
      </w:divBdr>
    </w:div>
    <w:div w:id="281689728">
      <w:bodyDiv w:val="1"/>
      <w:marLeft w:val="0"/>
      <w:marRight w:val="0"/>
      <w:marTop w:val="0"/>
      <w:marBottom w:val="0"/>
      <w:divBdr>
        <w:top w:val="none" w:sz="0" w:space="0" w:color="auto"/>
        <w:left w:val="none" w:sz="0" w:space="0" w:color="auto"/>
        <w:bottom w:val="none" w:sz="0" w:space="0" w:color="auto"/>
        <w:right w:val="none" w:sz="0" w:space="0" w:color="auto"/>
      </w:divBdr>
    </w:div>
    <w:div w:id="287663619">
      <w:bodyDiv w:val="1"/>
      <w:marLeft w:val="0"/>
      <w:marRight w:val="0"/>
      <w:marTop w:val="0"/>
      <w:marBottom w:val="0"/>
      <w:divBdr>
        <w:top w:val="none" w:sz="0" w:space="0" w:color="auto"/>
        <w:left w:val="none" w:sz="0" w:space="0" w:color="auto"/>
        <w:bottom w:val="none" w:sz="0" w:space="0" w:color="auto"/>
        <w:right w:val="none" w:sz="0" w:space="0" w:color="auto"/>
      </w:divBdr>
    </w:div>
    <w:div w:id="297420128">
      <w:bodyDiv w:val="1"/>
      <w:marLeft w:val="0"/>
      <w:marRight w:val="0"/>
      <w:marTop w:val="0"/>
      <w:marBottom w:val="0"/>
      <w:divBdr>
        <w:top w:val="none" w:sz="0" w:space="0" w:color="auto"/>
        <w:left w:val="none" w:sz="0" w:space="0" w:color="auto"/>
        <w:bottom w:val="none" w:sz="0" w:space="0" w:color="auto"/>
        <w:right w:val="none" w:sz="0" w:space="0" w:color="auto"/>
      </w:divBdr>
    </w:div>
    <w:div w:id="299500433">
      <w:bodyDiv w:val="1"/>
      <w:marLeft w:val="0"/>
      <w:marRight w:val="0"/>
      <w:marTop w:val="0"/>
      <w:marBottom w:val="0"/>
      <w:divBdr>
        <w:top w:val="none" w:sz="0" w:space="0" w:color="auto"/>
        <w:left w:val="none" w:sz="0" w:space="0" w:color="auto"/>
        <w:bottom w:val="none" w:sz="0" w:space="0" w:color="auto"/>
        <w:right w:val="none" w:sz="0" w:space="0" w:color="auto"/>
      </w:divBdr>
    </w:div>
    <w:div w:id="302317671">
      <w:bodyDiv w:val="1"/>
      <w:marLeft w:val="0"/>
      <w:marRight w:val="0"/>
      <w:marTop w:val="0"/>
      <w:marBottom w:val="0"/>
      <w:divBdr>
        <w:top w:val="none" w:sz="0" w:space="0" w:color="auto"/>
        <w:left w:val="none" w:sz="0" w:space="0" w:color="auto"/>
        <w:bottom w:val="none" w:sz="0" w:space="0" w:color="auto"/>
        <w:right w:val="none" w:sz="0" w:space="0" w:color="auto"/>
      </w:divBdr>
    </w:div>
    <w:div w:id="308247441">
      <w:bodyDiv w:val="1"/>
      <w:marLeft w:val="0"/>
      <w:marRight w:val="0"/>
      <w:marTop w:val="0"/>
      <w:marBottom w:val="0"/>
      <w:divBdr>
        <w:top w:val="none" w:sz="0" w:space="0" w:color="auto"/>
        <w:left w:val="none" w:sz="0" w:space="0" w:color="auto"/>
        <w:bottom w:val="none" w:sz="0" w:space="0" w:color="auto"/>
        <w:right w:val="none" w:sz="0" w:space="0" w:color="auto"/>
      </w:divBdr>
    </w:div>
    <w:div w:id="312418355">
      <w:bodyDiv w:val="1"/>
      <w:marLeft w:val="0"/>
      <w:marRight w:val="0"/>
      <w:marTop w:val="0"/>
      <w:marBottom w:val="0"/>
      <w:divBdr>
        <w:top w:val="none" w:sz="0" w:space="0" w:color="auto"/>
        <w:left w:val="none" w:sz="0" w:space="0" w:color="auto"/>
        <w:bottom w:val="none" w:sz="0" w:space="0" w:color="auto"/>
        <w:right w:val="none" w:sz="0" w:space="0" w:color="auto"/>
      </w:divBdr>
    </w:div>
    <w:div w:id="314187385">
      <w:bodyDiv w:val="1"/>
      <w:marLeft w:val="0"/>
      <w:marRight w:val="0"/>
      <w:marTop w:val="0"/>
      <w:marBottom w:val="0"/>
      <w:divBdr>
        <w:top w:val="none" w:sz="0" w:space="0" w:color="auto"/>
        <w:left w:val="none" w:sz="0" w:space="0" w:color="auto"/>
        <w:bottom w:val="none" w:sz="0" w:space="0" w:color="auto"/>
        <w:right w:val="none" w:sz="0" w:space="0" w:color="auto"/>
      </w:divBdr>
    </w:div>
    <w:div w:id="358045690">
      <w:bodyDiv w:val="1"/>
      <w:marLeft w:val="0"/>
      <w:marRight w:val="0"/>
      <w:marTop w:val="0"/>
      <w:marBottom w:val="0"/>
      <w:divBdr>
        <w:top w:val="none" w:sz="0" w:space="0" w:color="auto"/>
        <w:left w:val="none" w:sz="0" w:space="0" w:color="auto"/>
        <w:bottom w:val="none" w:sz="0" w:space="0" w:color="auto"/>
        <w:right w:val="none" w:sz="0" w:space="0" w:color="auto"/>
      </w:divBdr>
    </w:div>
    <w:div w:id="366295798">
      <w:bodyDiv w:val="1"/>
      <w:marLeft w:val="0"/>
      <w:marRight w:val="0"/>
      <w:marTop w:val="0"/>
      <w:marBottom w:val="0"/>
      <w:divBdr>
        <w:top w:val="none" w:sz="0" w:space="0" w:color="auto"/>
        <w:left w:val="none" w:sz="0" w:space="0" w:color="auto"/>
        <w:bottom w:val="none" w:sz="0" w:space="0" w:color="auto"/>
        <w:right w:val="none" w:sz="0" w:space="0" w:color="auto"/>
      </w:divBdr>
    </w:div>
    <w:div w:id="373313305">
      <w:bodyDiv w:val="1"/>
      <w:marLeft w:val="0"/>
      <w:marRight w:val="0"/>
      <w:marTop w:val="0"/>
      <w:marBottom w:val="0"/>
      <w:divBdr>
        <w:top w:val="none" w:sz="0" w:space="0" w:color="auto"/>
        <w:left w:val="none" w:sz="0" w:space="0" w:color="auto"/>
        <w:bottom w:val="none" w:sz="0" w:space="0" w:color="auto"/>
        <w:right w:val="none" w:sz="0" w:space="0" w:color="auto"/>
      </w:divBdr>
    </w:div>
    <w:div w:id="380254945">
      <w:bodyDiv w:val="1"/>
      <w:marLeft w:val="0"/>
      <w:marRight w:val="0"/>
      <w:marTop w:val="0"/>
      <w:marBottom w:val="0"/>
      <w:divBdr>
        <w:top w:val="none" w:sz="0" w:space="0" w:color="auto"/>
        <w:left w:val="none" w:sz="0" w:space="0" w:color="auto"/>
        <w:bottom w:val="none" w:sz="0" w:space="0" w:color="auto"/>
        <w:right w:val="none" w:sz="0" w:space="0" w:color="auto"/>
      </w:divBdr>
    </w:div>
    <w:div w:id="385418441">
      <w:bodyDiv w:val="1"/>
      <w:marLeft w:val="0"/>
      <w:marRight w:val="0"/>
      <w:marTop w:val="0"/>
      <w:marBottom w:val="0"/>
      <w:divBdr>
        <w:top w:val="none" w:sz="0" w:space="0" w:color="auto"/>
        <w:left w:val="none" w:sz="0" w:space="0" w:color="auto"/>
        <w:bottom w:val="none" w:sz="0" w:space="0" w:color="auto"/>
        <w:right w:val="none" w:sz="0" w:space="0" w:color="auto"/>
      </w:divBdr>
    </w:div>
    <w:div w:id="408310518">
      <w:bodyDiv w:val="1"/>
      <w:marLeft w:val="0"/>
      <w:marRight w:val="0"/>
      <w:marTop w:val="0"/>
      <w:marBottom w:val="0"/>
      <w:divBdr>
        <w:top w:val="none" w:sz="0" w:space="0" w:color="auto"/>
        <w:left w:val="none" w:sz="0" w:space="0" w:color="auto"/>
        <w:bottom w:val="none" w:sz="0" w:space="0" w:color="auto"/>
        <w:right w:val="none" w:sz="0" w:space="0" w:color="auto"/>
      </w:divBdr>
    </w:div>
    <w:div w:id="424427077">
      <w:bodyDiv w:val="1"/>
      <w:marLeft w:val="0"/>
      <w:marRight w:val="0"/>
      <w:marTop w:val="0"/>
      <w:marBottom w:val="0"/>
      <w:divBdr>
        <w:top w:val="none" w:sz="0" w:space="0" w:color="auto"/>
        <w:left w:val="none" w:sz="0" w:space="0" w:color="auto"/>
        <w:bottom w:val="none" w:sz="0" w:space="0" w:color="auto"/>
        <w:right w:val="none" w:sz="0" w:space="0" w:color="auto"/>
      </w:divBdr>
    </w:div>
    <w:div w:id="425881409">
      <w:bodyDiv w:val="1"/>
      <w:marLeft w:val="0"/>
      <w:marRight w:val="0"/>
      <w:marTop w:val="0"/>
      <w:marBottom w:val="0"/>
      <w:divBdr>
        <w:top w:val="none" w:sz="0" w:space="0" w:color="auto"/>
        <w:left w:val="none" w:sz="0" w:space="0" w:color="auto"/>
        <w:bottom w:val="none" w:sz="0" w:space="0" w:color="auto"/>
        <w:right w:val="none" w:sz="0" w:space="0" w:color="auto"/>
      </w:divBdr>
    </w:div>
    <w:div w:id="446698353">
      <w:bodyDiv w:val="1"/>
      <w:marLeft w:val="0"/>
      <w:marRight w:val="0"/>
      <w:marTop w:val="0"/>
      <w:marBottom w:val="0"/>
      <w:divBdr>
        <w:top w:val="none" w:sz="0" w:space="0" w:color="auto"/>
        <w:left w:val="none" w:sz="0" w:space="0" w:color="auto"/>
        <w:bottom w:val="none" w:sz="0" w:space="0" w:color="auto"/>
        <w:right w:val="none" w:sz="0" w:space="0" w:color="auto"/>
      </w:divBdr>
    </w:div>
    <w:div w:id="447626168">
      <w:bodyDiv w:val="1"/>
      <w:marLeft w:val="0"/>
      <w:marRight w:val="0"/>
      <w:marTop w:val="0"/>
      <w:marBottom w:val="0"/>
      <w:divBdr>
        <w:top w:val="none" w:sz="0" w:space="0" w:color="auto"/>
        <w:left w:val="none" w:sz="0" w:space="0" w:color="auto"/>
        <w:bottom w:val="none" w:sz="0" w:space="0" w:color="auto"/>
        <w:right w:val="none" w:sz="0" w:space="0" w:color="auto"/>
      </w:divBdr>
    </w:div>
    <w:div w:id="461843836">
      <w:bodyDiv w:val="1"/>
      <w:marLeft w:val="0"/>
      <w:marRight w:val="0"/>
      <w:marTop w:val="0"/>
      <w:marBottom w:val="0"/>
      <w:divBdr>
        <w:top w:val="none" w:sz="0" w:space="0" w:color="auto"/>
        <w:left w:val="none" w:sz="0" w:space="0" w:color="auto"/>
        <w:bottom w:val="none" w:sz="0" w:space="0" w:color="auto"/>
        <w:right w:val="none" w:sz="0" w:space="0" w:color="auto"/>
      </w:divBdr>
    </w:div>
    <w:div w:id="462777295">
      <w:bodyDiv w:val="1"/>
      <w:marLeft w:val="0"/>
      <w:marRight w:val="0"/>
      <w:marTop w:val="0"/>
      <w:marBottom w:val="0"/>
      <w:divBdr>
        <w:top w:val="none" w:sz="0" w:space="0" w:color="auto"/>
        <w:left w:val="none" w:sz="0" w:space="0" w:color="auto"/>
        <w:bottom w:val="none" w:sz="0" w:space="0" w:color="auto"/>
        <w:right w:val="none" w:sz="0" w:space="0" w:color="auto"/>
      </w:divBdr>
    </w:div>
    <w:div w:id="467667307">
      <w:bodyDiv w:val="1"/>
      <w:marLeft w:val="0"/>
      <w:marRight w:val="0"/>
      <w:marTop w:val="0"/>
      <w:marBottom w:val="0"/>
      <w:divBdr>
        <w:top w:val="none" w:sz="0" w:space="0" w:color="auto"/>
        <w:left w:val="none" w:sz="0" w:space="0" w:color="auto"/>
        <w:bottom w:val="none" w:sz="0" w:space="0" w:color="auto"/>
        <w:right w:val="none" w:sz="0" w:space="0" w:color="auto"/>
      </w:divBdr>
    </w:div>
    <w:div w:id="471486281">
      <w:bodyDiv w:val="1"/>
      <w:marLeft w:val="0"/>
      <w:marRight w:val="0"/>
      <w:marTop w:val="0"/>
      <w:marBottom w:val="0"/>
      <w:divBdr>
        <w:top w:val="none" w:sz="0" w:space="0" w:color="auto"/>
        <w:left w:val="none" w:sz="0" w:space="0" w:color="auto"/>
        <w:bottom w:val="none" w:sz="0" w:space="0" w:color="auto"/>
        <w:right w:val="none" w:sz="0" w:space="0" w:color="auto"/>
      </w:divBdr>
    </w:div>
    <w:div w:id="488642943">
      <w:bodyDiv w:val="1"/>
      <w:marLeft w:val="0"/>
      <w:marRight w:val="0"/>
      <w:marTop w:val="0"/>
      <w:marBottom w:val="0"/>
      <w:divBdr>
        <w:top w:val="none" w:sz="0" w:space="0" w:color="auto"/>
        <w:left w:val="none" w:sz="0" w:space="0" w:color="auto"/>
        <w:bottom w:val="none" w:sz="0" w:space="0" w:color="auto"/>
        <w:right w:val="none" w:sz="0" w:space="0" w:color="auto"/>
      </w:divBdr>
    </w:div>
    <w:div w:id="489518645">
      <w:bodyDiv w:val="1"/>
      <w:marLeft w:val="0"/>
      <w:marRight w:val="0"/>
      <w:marTop w:val="0"/>
      <w:marBottom w:val="0"/>
      <w:divBdr>
        <w:top w:val="none" w:sz="0" w:space="0" w:color="auto"/>
        <w:left w:val="none" w:sz="0" w:space="0" w:color="auto"/>
        <w:bottom w:val="none" w:sz="0" w:space="0" w:color="auto"/>
        <w:right w:val="none" w:sz="0" w:space="0" w:color="auto"/>
      </w:divBdr>
    </w:div>
    <w:div w:id="490633422">
      <w:bodyDiv w:val="1"/>
      <w:marLeft w:val="0"/>
      <w:marRight w:val="0"/>
      <w:marTop w:val="0"/>
      <w:marBottom w:val="0"/>
      <w:divBdr>
        <w:top w:val="none" w:sz="0" w:space="0" w:color="auto"/>
        <w:left w:val="none" w:sz="0" w:space="0" w:color="auto"/>
        <w:bottom w:val="none" w:sz="0" w:space="0" w:color="auto"/>
        <w:right w:val="none" w:sz="0" w:space="0" w:color="auto"/>
      </w:divBdr>
    </w:div>
    <w:div w:id="508712563">
      <w:bodyDiv w:val="1"/>
      <w:marLeft w:val="0"/>
      <w:marRight w:val="0"/>
      <w:marTop w:val="0"/>
      <w:marBottom w:val="0"/>
      <w:divBdr>
        <w:top w:val="none" w:sz="0" w:space="0" w:color="auto"/>
        <w:left w:val="none" w:sz="0" w:space="0" w:color="auto"/>
        <w:bottom w:val="none" w:sz="0" w:space="0" w:color="auto"/>
        <w:right w:val="none" w:sz="0" w:space="0" w:color="auto"/>
      </w:divBdr>
    </w:div>
    <w:div w:id="511144908">
      <w:bodyDiv w:val="1"/>
      <w:marLeft w:val="0"/>
      <w:marRight w:val="0"/>
      <w:marTop w:val="0"/>
      <w:marBottom w:val="0"/>
      <w:divBdr>
        <w:top w:val="none" w:sz="0" w:space="0" w:color="auto"/>
        <w:left w:val="none" w:sz="0" w:space="0" w:color="auto"/>
        <w:bottom w:val="none" w:sz="0" w:space="0" w:color="auto"/>
        <w:right w:val="none" w:sz="0" w:space="0" w:color="auto"/>
      </w:divBdr>
    </w:div>
    <w:div w:id="511648065">
      <w:bodyDiv w:val="1"/>
      <w:marLeft w:val="0"/>
      <w:marRight w:val="0"/>
      <w:marTop w:val="0"/>
      <w:marBottom w:val="0"/>
      <w:divBdr>
        <w:top w:val="none" w:sz="0" w:space="0" w:color="auto"/>
        <w:left w:val="none" w:sz="0" w:space="0" w:color="auto"/>
        <w:bottom w:val="none" w:sz="0" w:space="0" w:color="auto"/>
        <w:right w:val="none" w:sz="0" w:space="0" w:color="auto"/>
      </w:divBdr>
    </w:div>
    <w:div w:id="520897231">
      <w:bodyDiv w:val="1"/>
      <w:marLeft w:val="0"/>
      <w:marRight w:val="0"/>
      <w:marTop w:val="0"/>
      <w:marBottom w:val="0"/>
      <w:divBdr>
        <w:top w:val="none" w:sz="0" w:space="0" w:color="auto"/>
        <w:left w:val="none" w:sz="0" w:space="0" w:color="auto"/>
        <w:bottom w:val="none" w:sz="0" w:space="0" w:color="auto"/>
        <w:right w:val="none" w:sz="0" w:space="0" w:color="auto"/>
      </w:divBdr>
    </w:div>
    <w:div w:id="522406729">
      <w:bodyDiv w:val="1"/>
      <w:marLeft w:val="0"/>
      <w:marRight w:val="0"/>
      <w:marTop w:val="0"/>
      <w:marBottom w:val="0"/>
      <w:divBdr>
        <w:top w:val="none" w:sz="0" w:space="0" w:color="auto"/>
        <w:left w:val="none" w:sz="0" w:space="0" w:color="auto"/>
        <w:bottom w:val="none" w:sz="0" w:space="0" w:color="auto"/>
        <w:right w:val="none" w:sz="0" w:space="0" w:color="auto"/>
      </w:divBdr>
    </w:div>
    <w:div w:id="522520944">
      <w:bodyDiv w:val="1"/>
      <w:marLeft w:val="0"/>
      <w:marRight w:val="0"/>
      <w:marTop w:val="0"/>
      <w:marBottom w:val="0"/>
      <w:divBdr>
        <w:top w:val="none" w:sz="0" w:space="0" w:color="auto"/>
        <w:left w:val="none" w:sz="0" w:space="0" w:color="auto"/>
        <w:bottom w:val="none" w:sz="0" w:space="0" w:color="auto"/>
        <w:right w:val="none" w:sz="0" w:space="0" w:color="auto"/>
      </w:divBdr>
    </w:div>
    <w:div w:id="532577356">
      <w:bodyDiv w:val="1"/>
      <w:marLeft w:val="0"/>
      <w:marRight w:val="0"/>
      <w:marTop w:val="0"/>
      <w:marBottom w:val="0"/>
      <w:divBdr>
        <w:top w:val="none" w:sz="0" w:space="0" w:color="auto"/>
        <w:left w:val="none" w:sz="0" w:space="0" w:color="auto"/>
        <w:bottom w:val="none" w:sz="0" w:space="0" w:color="auto"/>
        <w:right w:val="none" w:sz="0" w:space="0" w:color="auto"/>
      </w:divBdr>
    </w:div>
    <w:div w:id="534392341">
      <w:bodyDiv w:val="1"/>
      <w:marLeft w:val="0"/>
      <w:marRight w:val="0"/>
      <w:marTop w:val="0"/>
      <w:marBottom w:val="0"/>
      <w:divBdr>
        <w:top w:val="none" w:sz="0" w:space="0" w:color="auto"/>
        <w:left w:val="none" w:sz="0" w:space="0" w:color="auto"/>
        <w:bottom w:val="none" w:sz="0" w:space="0" w:color="auto"/>
        <w:right w:val="none" w:sz="0" w:space="0" w:color="auto"/>
      </w:divBdr>
    </w:div>
    <w:div w:id="537277121">
      <w:bodyDiv w:val="1"/>
      <w:marLeft w:val="0"/>
      <w:marRight w:val="0"/>
      <w:marTop w:val="0"/>
      <w:marBottom w:val="0"/>
      <w:divBdr>
        <w:top w:val="none" w:sz="0" w:space="0" w:color="auto"/>
        <w:left w:val="none" w:sz="0" w:space="0" w:color="auto"/>
        <w:bottom w:val="none" w:sz="0" w:space="0" w:color="auto"/>
        <w:right w:val="none" w:sz="0" w:space="0" w:color="auto"/>
      </w:divBdr>
    </w:div>
    <w:div w:id="537550870">
      <w:bodyDiv w:val="1"/>
      <w:marLeft w:val="0"/>
      <w:marRight w:val="0"/>
      <w:marTop w:val="0"/>
      <w:marBottom w:val="0"/>
      <w:divBdr>
        <w:top w:val="none" w:sz="0" w:space="0" w:color="auto"/>
        <w:left w:val="none" w:sz="0" w:space="0" w:color="auto"/>
        <w:bottom w:val="none" w:sz="0" w:space="0" w:color="auto"/>
        <w:right w:val="none" w:sz="0" w:space="0" w:color="auto"/>
      </w:divBdr>
    </w:div>
    <w:div w:id="538320229">
      <w:bodyDiv w:val="1"/>
      <w:marLeft w:val="0"/>
      <w:marRight w:val="0"/>
      <w:marTop w:val="0"/>
      <w:marBottom w:val="0"/>
      <w:divBdr>
        <w:top w:val="none" w:sz="0" w:space="0" w:color="auto"/>
        <w:left w:val="none" w:sz="0" w:space="0" w:color="auto"/>
        <w:bottom w:val="none" w:sz="0" w:space="0" w:color="auto"/>
        <w:right w:val="none" w:sz="0" w:space="0" w:color="auto"/>
      </w:divBdr>
    </w:div>
    <w:div w:id="551504551">
      <w:bodyDiv w:val="1"/>
      <w:marLeft w:val="0"/>
      <w:marRight w:val="0"/>
      <w:marTop w:val="0"/>
      <w:marBottom w:val="0"/>
      <w:divBdr>
        <w:top w:val="none" w:sz="0" w:space="0" w:color="auto"/>
        <w:left w:val="none" w:sz="0" w:space="0" w:color="auto"/>
        <w:bottom w:val="none" w:sz="0" w:space="0" w:color="auto"/>
        <w:right w:val="none" w:sz="0" w:space="0" w:color="auto"/>
      </w:divBdr>
    </w:div>
    <w:div w:id="551965782">
      <w:bodyDiv w:val="1"/>
      <w:marLeft w:val="0"/>
      <w:marRight w:val="0"/>
      <w:marTop w:val="0"/>
      <w:marBottom w:val="0"/>
      <w:divBdr>
        <w:top w:val="none" w:sz="0" w:space="0" w:color="auto"/>
        <w:left w:val="none" w:sz="0" w:space="0" w:color="auto"/>
        <w:bottom w:val="none" w:sz="0" w:space="0" w:color="auto"/>
        <w:right w:val="none" w:sz="0" w:space="0" w:color="auto"/>
      </w:divBdr>
    </w:div>
    <w:div w:id="576787527">
      <w:bodyDiv w:val="1"/>
      <w:marLeft w:val="0"/>
      <w:marRight w:val="0"/>
      <w:marTop w:val="0"/>
      <w:marBottom w:val="0"/>
      <w:divBdr>
        <w:top w:val="none" w:sz="0" w:space="0" w:color="auto"/>
        <w:left w:val="none" w:sz="0" w:space="0" w:color="auto"/>
        <w:bottom w:val="none" w:sz="0" w:space="0" w:color="auto"/>
        <w:right w:val="none" w:sz="0" w:space="0" w:color="auto"/>
      </w:divBdr>
    </w:div>
    <w:div w:id="592780101">
      <w:bodyDiv w:val="1"/>
      <w:marLeft w:val="0"/>
      <w:marRight w:val="0"/>
      <w:marTop w:val="0"/>
      <w:marBottom w:val="0"/>
      <w:divBdr>
        <w:top w:val="none" w:sz="0" w:space="0" w:color="auto"/>
        <w:left w:val="none" w:sz="0" w:space="0" w:color="auto"/>
        <w:bottom w:val="none" w:sz="0" w:space="0" w:color="auto"/>
        <w:right w:val="none" w:sz="0" w:space="0" w:color="auto"/>
      </w:divBdr>
    </w:div>
    <w:div w:id="624118292">
      <w:bodyDiv w:val="1"/>
      <w:marLeft w:val="0"/>
      <w:marRight w:val="0"/>
      <w:marTop w:val="0"/>
      <w:marBottom w:val="0"/>
      <w:divBdr>
        <w:top w:val="none" w:sz="0" w:space="0" w:color="auto"/>
        <w:left w:val="none" w:sz="0" w:space="0" w:color="auto"/>
        <w:bottom w:val="none" w:sz="0" w:space="0" w:color="auto"/>
        <w:right w:val="none" w:sz="0" w:space="0" w:color="auto"/>
      </w:divBdr>
    </w:div>
    <w:div w:id="624703698">
      <w:bodyDiv w:val="1"/>
      <w:marLeft w:val="0"/>
      <w:marRight w:val="0"/>
      <w:marTop w:val="0"/>
      <w:marBottom w:val="0"/>
      <w:divBdr>
        <w:top w:val="none" w:sz="0" w:space="0" w:color="auto"/>
        <w:left w:val="none" w:sz="0" w:space="0" w:color="auto"/>
        <w:bottom w:val="none" w:sz="0" w:space="0" w:color="auto"/>
        <w:right w:val="none" w:sz="0" w:space="0" w:color="auto"/>
      </w:divBdr>
    </w:div>
    <w:div w:id="632096378">
      <w:bodyDiv w:val="1"/>
      <w:marLeft w:val="0"/>
      <w:marRight w:val="0"/>
      <w:marTop w:val="0"/>
      <w:marBottom w:val="0"/>
      <w:divBdr>
        <w:top w:val="none" w:sz="0" w:space="0" w:color="auto"/>
        <w:left w:val="none" w:sz="0" w:space="0" w:color="auto"/>
        <w:bottom w:val="none" w:sz="0" w:space="0" w:color="auto"/>
        <w:right w:val="none" w:sz="0" w:space="0" w:color="auto"/>
      </w:divBdr>
    </w:div>
    <w:div w:id="646252326">
      <w:bodyDiv w:val="1"/>
      <w:marLeft w:val="0"/>
      <w:marRight w:val="0"/>
      <w:marTop w:val="0"/>
      <w:marBottom w:val="0"/>
      <w:divBdr>
        <w:top w:val="none" w:sz="0" w:space="0" w:color="auto"/>
        <w:left w:val="none" w:sz="0" w:space="0" w:color="auto"/>
        <w:bottom w:val="none" w:sz="0" w:space="0" w:color="auto"/>
        <w:right w:val="none" w:sz="0" w:space="0" w:color="auto"/>
      </w:divBdr>
    </w:div>
    <w:div w:id="659387856">
      <w:bodyDiv w:val="1"/>
      <w:marLeft w:val="0"/>
      <w:marRight w:val="0"/>
      <w:marTop w:val="0"/>
      <w:marBottom w:val="0"/>
      <w:divBdr>
        <w:top w:val="none" w:sz="0" w:space="0" w:color="auto"/>
        <w:left w:val="none" w:sz="0" w:space="0" w:color="auto"/>
        <w:bottom w:val="none" w:sz="0" w:space="0" w:color="auto"/>
        <w:right w:val="none" w:sz="0" w:space="0" w:color="auto"/>
      </w:divBdr>
    </w:div>
    <w:div w:id="679310329">
      <w:bodyDiv w:val="1"/>
      <w:marLeft w:val="0"/>
      <w:marRight w:val="0"/>
      <w:marTop w:val="0"/>
      <w:marBottom w:val="0"/>
      <w:divBdr>
        <w:top w:val="none" w:sz="0" w:space="0" w:color="auto"/>
        <w:left w:val="none" w:sz="0" w:space="0" w:color="auto"/>
        <w:bottom w:val="none" w:sz="0" w:space="0" w:color="auto"/>
        <w:right w:val="none" w:sz="0" w:space="0" w:color="auto"/>
      </w:divBdr>
    </w:div>
    <w:div w:id="687802372">
      <w:bodyDiv w:val="1"/>
      <w:marLeft w:val="0"/>
      <w:marRight w:val="0"/>
      <w:marTop w:val="0"/>
      <w:marBottom w:val="0"/>
      <w:divBdr>
        <w:top w:val="none" w:sz="0" w:space="0" w:color="auto"/>
        <w:left w:val="none" w:sz="0" w:space="0" w:color="auto"/>
        <w:bottom w:val="none" w:sz="0" w:space="0" w:color="auto"/>
        <w:right w:val="none" w:sz="0" w:space="0" w:color="auto"/>
      </w:divBdr>
    </w:div>
    <w:div w:id="690423761">
      <w:bodyDiv w:val="1"/>
      <w:marLeft w:val="0"/>
      <w:marRight w:val="0"/>
      <w:marTop w:val="0"/>
      <w:marBottom w:val="0"/>
      <w:divBdr>
        <w:top w:val="none" w:sz="0" w:space="0" w:color="auto"/>
        <w:left w:val="none" w:sz="0" w:space="0" w:color="auto"/>
        <w:bottom w:val="none" w:sz="0" w:space="0" w:color="auto"/>
        <w:right w:val="none" w:sz="0" w:space="0" w:color="auto"/>
      </w:divBdr>
    </w:div>
    <w:div w:id="697504897">
      <w:bodyDiv w:val="1"/>
      <w:marLeft w:val="0"/>
      <w:marRight w:val="0"/>
      <w:marTop w:val="0"/>
      <w:marBottom w:val="0"/>
      <w:divBdr>
        <w:top w:val="none" w:sz="0" w:space="0" w:color="auto"/>
        <w:left w:val="none" w:sz="0" w:space="0" w:color="auto"/>
        <w:bottom w:val="none" w:sz="0" w:space="0" w:color="auto"/>
        <w:right w:val="none" w:sz="0" w:space="0" w:color="auto"/>
      </w:divBdr>
    </w:div>
    <w:div w:id="701899531">
      <w:bodyDiv w:val="1"/>
      <w:marLeft w:val="0"/>
      <w:marRight w:val="0"/>
      <w:marTop w:val="0"/>
      <w:marBottom w:val="0"/>
      <w:divBdr>
        <w:top w:val="none" w:sz="0" w:space="0" w:color="auto"/>
        <w:left w:val="none" w:sz="0" w:space="0" w:color="auto"/>
        <w:bottom w:val="none" w:sz="0" w:space="0" w:color="auto"/>
        <w:right w:val="none" w:sz="0" w:space="0" w:color="auto"/>
      </w:divBdr>
    </w:div>
    <w:div w:id="701900191">
      <w:bodyDiv w:val="1"/>
      <w:marLeft w:val="0"/>
      <w:marRight w:val="0"/>
      <w:marTop w:val="0"/>
      <w:marBottom w:val="0"/>
      <w:divBdr>
        <w:top w:val="none" w:sz="0" w:space="0" w:color="auto"/>
        <w:left w:val="none" w:sz="0" w:space="0" w:color="auto"/>
        <w:bottom w:val="none" w:sz="0" w:space="0" w:color="auto"/>
        <w:right w:val="none" w:sz="0" w:space="0" w:color="auto"/>
      </w:divBdr>
    </w:div>
    <w:div w:id="706835806">
      <w:bodyDiv w:val="1"/>
      <w:marLeft w:val="0"/>
      <w:marRight w:val="0"/>
      <w:marTop w:val="0"/>
      <w:marBottom w:val="0"/>
      <w:divBdr>
        <w:top w:val="none" w:sz="0" w:space="0" w:color="auto"/>
        <w:left w:val="none" w:sz="0" w:space="0" w:color="auto"/>
        <w:bottom w:val="none" w:sz="0" w:space="0" w:color="auto"/>
        <w:right w:val="none" w:sz="0" w:space="0" w:color="auto"/>
      </w:divBdr>
    </w:div>
    <w:div w:id="708187929">
      <w:bodyDiv w:val="1"/>
      <w:marLeft w:val="0"/>
      <w:marRight w:val="0"/>
      <w:marTop w:val="0"/>
      <w:marBottom w:val="0"/>
      <w:divBdr>
        <w:top w:val="none" w:sz="0" w:space="0" w:color="auto"/>
        <w:left w:val="none" w:sz="0" w:space="0" w:color="auto"/>
        <w:bottom w:val="none" w:sz="0" w:space="0" w:color="auto"/>
        <w:right w:val="none" w:sz="0" w:space="0" w:color="auto"/>
      </w:divBdr>
    </w:div>
    <w:div w:id="709034170">
      <w:bodyDiv w:val="1"/>
      <w:marLeft w:val="0"/>
      <w:marRight w:val="0"/>
      <w:marTop w:val="0"/>
      <w:marBottom w:val="0"/>
      <w:divBdr>
        <w:top w:val="none" w:sz="0" w:space="0" w:color="auto"/>
        <w:left w:val="none" w:sz="0" w:space="0" w:color="auto"/>
        <w:bottom w:val="none" w:sz="0" w:space="0" w:color="auto"/>
        <w:right w:val="none" w:sz="0" w:space="0" w:color="auto"/>
      </w:divBdr>
    </w:div>
    <w:div w:id="720714937">
      <w:bodyDiv w:val="1"/>
      <w:marLeft w:val="0"/>
      <w:marRight w:val="0"/>
      <w:marTop w:val="0"/>
      <w:marBottom w:val="0"/>
      <w:divBdr>
        <w:top w:val="none" w:sz="0" w:space="0" w:color="auto"/>
        <w:left w:val="none" w:sz="0" w:space="0" w:color="auto"/>
        <w:bottom w:val="none" w:sz="0" w:space="0" w:color="auto"/>
        <w:right w:val="none" w:sz="0" w:space="0" w:color="auto"/>
      </w:divBdr>
    </w:div>
    <w:div w:id="723338305">
      <w:bodyDiv w:val="1"/>
      <w:marLeft w:val="0"/>
      <w:marRight w:val="0"/>
      <w:marTop w:val="0"/>
      <w:marBottom w:val="0"/>
      <w:divBdr>
        <w:top w:val="none" w:sz="0" w:space="0" w:color="auto"/>
        <w:left w:val="none" w:sz="0" w:space="0" w:color="auto"/>
        <w:bottom w:val="none" w:sz="0" w:space="0" w:color="auto"/>
        <w:right w:val="none" w:sz="0" w:space="0" w:color="auto"/>
      </w:divBdr>
    </w:div>
    <w:div w:id="730496792">
      <w:bodyDiv w:val="1"/>
      <w:marLeft w:val="0"/>
      <w:marRight w:val="0"/>
      <w:marTop w:val="0"/>
      <w:marBottom w:val="0"/>
      <w:divBdr>
        <w:top w:val="none" w:sz="0" w:space="0" w:color="auto"/>
        <w:left w:val="none" w:sz="0" w:space="0" w:color="auto"/>
        <w:bottom w:val="none" w:sz="0" w:space="0" w:color="auto"/>
        <w:right w:val="none" w:sz="0" w:space="0" w:color="auto"/>
      </w:divBdr>
    </w:div>
    <w:div w:id="736127062">
      <w:bodyDiv w:val="1"/>
      <w:marLeft w:val="0"/>
      <w:marRight w:val="0"/>
      <w:marTop w:val="0"/>
      <w:marBottom w:val="0"/>
      <w:divBdr>
        <w:top w:val="none" w:sz="0" w:space="0" w:color="auto"/>
        <w:left w:val="none" w:sz="0" w:space="0" w:color="auto"/>
        <w:bottom w:val="none" w:sz="0" w:space="0" w:color="auto"/>
        <w:right w:val="none" w:sz="0" w:space="0" w:color="auto"/>
      </w:divBdr>
    </w:div>
    <w:div w:id="739594485">
      <w:bodyDiv w:val="1"/>
      <w:marLeft w:val="0"/>
      <w:marRight w:val="0"/>
      <w:marTop w:val="0"/>
      <w:marBottom w:val="0"/>
      <w:divBdr>
        <w:top w:val="none" w:sz="0" w:space="0" w:color="auto"/>
        <w:left w:val="none" w:sz="0" w:space="0" w:color="auto"/>
        <w:bottom w:val="none" w:sz="0" w:space="0" w:color="auto"/>
        <w:right w:val="none" w:sz="0" w:space="0" w:color="auto"/>
      </w:divBdr>
    </w:div>
    <w:div w:id="741677823">
      <w:bodyDiv w:val="1"/>
      <w:marLeft w:val="0"/>
      <w:marRight w:val="0"/>
      <w:marTop w:val="0"/>
      <w:marBottom w:val="0"/>
      <w:divBdr>
        <w:top w:val="none" w:sz="0" w:space="0" w:color="auto"/>
        <w:left w:val="none" w:sz="0" w:space="0" w:color="auto"/>
        <w:bottom w:val="none" w:sz="0" w:space="0" w:color="auto"/>
        <w:right w:val="none" w:sz="0" w:space="0" w:color="auto"/>
      </w:divBdr>
    </w:div>
    <w:div w:id="742988126">
      <w:bodyDiv w:val="1"/>
      <w:marLeft w:val="0"/>
      <w:marRight w:val="0"/>
      <w:marTop w:val="0"/>
      <w:marBottom w:val="0"/>
      <w:divBdr>
        <w:top w:val="none" w:sz="0" w:space="0" w:color="auto"/>
        <w:left w:val="none" w:sz="0" w:space="0" w:color="auto"/>
        <w:bottom w:val="none" w:sz="0" w:space="0" w:color="auto"/>
        <w:right w:val="none" w:sz="0" w:space="0" w:color="auto"/>
      </w:divBdr>
    </w:div>
    <w:div w:id="778257284">
      <w:bodyDiv w:val="1"/>
      <w:marLeft w:val="0"/>
      <w:marRight w:val="0"/>
      <w:marTop w:val="0"/>
      <w:marBottom w:val="0"/>
      <w:divBdr>
        <w:top w:val="none" w:sz="0" w:space="0" w:color="auto"/>
        <w:left w:val="none" w:sz="0" w:space="0" w:color="auto"/>
        <w:bottom w:val="none" w:sz="0" w:space="0" w:color="auto"/>
        <w:right w:val="none" w:sz="0" w:space="0" w:color="auto"/>
      </w:divBdr>
    </w:div>
    <w:div w:id="781148486">
      <w:bodyDiv w:val="1"/>
      <w:marLeft w:val="0"/>
      <w:marRight w:val="0"/>
      <w:marTop w:val="0"/>
      <w:marBottom w:val="0"/>
      <w:divBdr>
        <w:top w:val="none" w:sz="0" w:space="0" w:color="auto"/>
        <w:left w:val="none" w:sz="0" w:space="0" w:color="auto"/>
        <w:bottom w:val="none" w:sz="0" w:space="0" w:color="auto"/>
        <w:right w:val="none" w:sz="0" w:space="0" w:color="auto"/>
      </w:divBdr>
    </w:div>
    <w:div w:id="787314342">
      <w:bodyDiv w:val="1"/>
      <w:marLeft w:val="0"/>
      <w:marRight w:val="0"/>
      <w:marTop w:val="0"/>
      <w:marBottom w:val="0"/>
      <w:divBdr>
        <w:top w:val="none" w:sz="0" w:space="0" w:color="auto"/>
        <w:left w:val="none" w:sz="0" w:space="0" w:color="auto"/>
        <w:bottom w:val="none" w:sz="0" w:space="0" w:color="auto"/>
        <w:right w:val="none" w:sz="0" w:space="0" w:color="auto"/>
      </w:divBdr>
    </w:div>
    <w:div w:id="819079063">
      <w:bodyDiv w:val="1"/>
      <w:marLeft w:val="0"/>
      <w:marRight w:val="0"/>
      <w:marTop w:val="0"/>
      <w:marBottom w:val="0"/>
      <w:divBdr>
        <w:top w:val="none" w:sz="0" w:space="0" w:color="auto"/>
        <w:left w:val="none" w:sz="0" w:space="0" w:color="auto"/>
        <w:bottom w:val="none" w:sz="0" w:space="0" w:color="auto"/>
        <w:right w:val="none" w:sz="0" w:space="0" w:color="auto"/>
      </w:divBdr>
    </w:div>
    <w:div w:id="831144050">
      <w:bodyDiv w:val="1"/>
      <w:marLeft w:val="0"/>
      <w:marRight w:val="0"/>
      <w:marTop w:val="0"/>
      <w:marBottom w:val="0"/>
      <w:divBdr>
        <w:top w:val="none" w:sz="0" w:space="0" w:color="auto"/>
        <w:left w:val="none" w:sz="0" w:space="0" w:color="auto"/>
        <w:bottom w:val="none" w:sz="0" w:space="0" w:color="auto"/>
        <w:right w:val="none" w:sz="0" w:space="0" w:color="auto"/>
      </w:divBdr>
    </w:div>
    <w:div w:id="835001940">
      <w:bodyDiv w:val="1"/>
      <w:marLeft w:val="0"/>
      <w:marRight w:val="0"/>
      <w:marTop w:val="0"/>
      <w:marBottom w:val="0"/>
      <w:divBdr>
        <w:top w:val="none" w:sz="0" w:space="0" w:color="auto"/>
        <w:left w:val="none" w:sz="0" w:space="0" w:color="auto"/>
        <w:bottom w:val="none" w:sz="0" w:space="0" w:color="auto"/>
        <w:right w:val="none" w:sz="0" w:space="0" w:color="auto"/>
      </w:divBdr>
    </w:div>
    <w:div w:id="836725504">
      <w:bodyDiv w:val="1"/>
      <w:marLeft w:val="0"/>
      <w:marRight w:val="0"/>
      <w:marTop w:val="0"/>
      <w:marBottom w:val="0"/>
      <w:divBdr>
        <w:top w:val="none" w:sz="0" w:space="0" w:color="auto"/>
        <w:left w:val="none" w:sz="0" w:space="0" w:color="auto"/>
        <w:bottom w:val="none" w:sz="0" w:space="0" w:color="auto"/>
        <w:right w:val="none" w:sz="0" w:space="0" w:color="auto"/>
      </w:divBdr>
    </w:div>
    <w:div w:id="860361771">
      <w:bodyDiv w:val="1"/>
      <w:marLeft w:val="0"/>
      <w:marRight w:val="0"/>
      <w:marTop w:val="0"/>
      <w:marBottom w:val="0"/>
      <w:divBdr>
        <w:top w:val="none" w:sz="0" w:space="0" w:color="auto"/>
        <w:left w:val="none" w:sz="0" w:space="0" w:color="auto"/>
        <w:bottom w:val="none" w:sz="0" w:space="0" w:color="auto"/>
        <w:right w:val="none" w:sz="0" w:space="0" w:color="auto"/>
      </w:divBdr>
    </w:div>
    <w:div w:id="871305790">
      <w:bodyDiv w:val="1"/>
      <w:marLeft w:val="0"/>
      <w:marRight w:val="0"/>
      <w:marTop w:val="0"/>
      <w:marBottom w:val="0"/>
      <w:divBdr>
        <w:top w:val="none" w:sz="0" w:space="0" w:color="auto"/>
        <w:left w:val="none" w:sz="0" w:space="0" w:color="auto"/>
        <w:bottom w:val="none" w:sz="0" w:space="0" w:color="auto"/>
        <w:right w:val="none" w:sz="0" w:space="0" w:color="auto"/>
      </w:divBdr>
    </w:div>
    <w:div w:id="885800635">
      <w:bodyDiv w:val="1"/>
      <w:marLeft w:val="0"/>
      <w:marRight w:val="0"/>
      <w:marTop w:val="0"/>
      <w:marBottom w:val="0"/>
      <w:divBdr>
        <w:top w:val="none" w:sz="0" w:space="0" w:color="auto"/>
        <w:left w:val="none" w:sz="0" w:space="0" w:color="auto"/>
        <w:bottom w:val="none" w:sz="0" w:space="0" w:color="auto"/>
        <w:right w:val="none" w:sz="0" w:space="0" w:color="auto"/>
      </w:divBdr>
    </w:div>
    <w:div w:id="891037181">
      <w:bodyDiv w:val="1"/>
      <w:marLeft w:val="0"/>
      <w:marRight w:val="0"/>
      <w:marTop w:val="0"/>
      <w:marBottom w:val="0"/>
      <w:divBdr>
        <w:top w:val="none" w:sz="0" w:space="0" w:color="auto"/>
        <w:left w:val="none" w:sz="0" w:space="0" w:color="auto"/>
        <w:bottom w:val="none" w:sz="0" w:space="0" w:color="auto"/>
        <w:right w:val="none" w:sz="0" w:space="0" w:color="auto"/>
      </w:divBdr>
    </w:div>
    <w:div w:id="895554475">
      <w:bodyDiv w:val="1"/>
      <w:marLeft w:val="0"/>
      <w:marRight w:val="0"/>
      <w:marTop w:val="0"/>
      <w:marBottom w:val="0"/>
      <w:divBdr>
        <w:top w:val="none" w:sz="0" w:space="0" w:color="auto"/>
        <w:left w:val="none" w:sz="0" w:space="0" w:color="auto"/>
        <w:bottom w:val="none" w:sz="0" w:space="0" w:color="auto"/>
        <w:right w:val="none" w:sz="0" w:space="0" w:color="auto"/>
      </w:divBdr>
    </w:div>
    <w:div w:id="916749494">
      <w:bodyDiv w:val="1"/>
      <w:marLeft w:val="0"/>
      <w:marRight w:val="0"/>
      <w:marTop w:val="0"/>
      <w:marBottom w:val="0"/>
      <w:divBdr>
        <w:top w:val="none" w:sz="0" w:space="0" w:color="auto"/>
        <w:left w:val="none" w:sz="0" w:space="0" w:color="auto"/>
        <w:bottom w:val="none" w:sz="0" w:space="0" w:color="auto"/>
        <w:right w:val="none" w:sz="0" w:space="0" w:color="auto"/>
      </w:divBdr>
    </w:div>
    <w:div w:id="917516213">
      <w:bodyDiv w:val="1"/>
      <w:marLeft w:val="0"/>
      <w:marRight w:val="0"/>
      <w:marTop w:val="0"/>
      <w:marBottom w:val="0"/>
      <w:divBdr>
        <w:top w:val="none" w:sz="0" w:space="0" w:color="auto"/>
        <w:left w:val="none" w:sz="0" w:space="0" w:color="auto"/>
        <w:bottom w:val="none" w:sz="0" w:space="0" w:color="auto"/>
        <w:right w:val="none" w:sz="0" w:space="0" w:color="auto"/>
      </w:divBdr>
    </w:div>
    <w:div w:id="920944268">
      <w:bodyDiv w:val="1"/>
      <w:marLeft w:val="0"/>
      <w:marRight w:val="0"/>
      <w:marTop w:val="0"/>
      <w:marBottom w:val="0"/>
      <w:divBdr>
        <w:top w:val="none" w:sz="0" w:space="0" w:color="auto"/>
        <w:left w:val="none" w:sz="0" w:space="0" w:color="auto"/>
        <w:bottom w:val="none" w:sz="0" w:space="0" w:color="auto"/>
        <w:right w:val="none" w:sz="0" w:space="0" w:color="auto"/>
      </w:divBdr>
    </w:div>
    <w:div w:id="932711906">
      <w:bodyDiv w:val="1"/>
      <w:marLeft w:val="0"/>
      <w:marRight w:val="0"/>
      <w:marTop w:val="0"/>
      <w:marBottom w:val="0"/>
      <w:divBdr>
        <w:top w:val="none" w:sz="0" w:space="0" w:color="auto"/>
        <w:left w:val="none" w:sz="0" w:space="0" w:color="auto"/>
        <w:bottom w:val="none" w:sz="0" w:space="0" w:color="auto"/>
        <w:right w:val="none" w:sz="0" w:space="0" w:color="auto"/>
      </w:divBdr>
    </w:div>
    <w:div w:id="934097338">
      <w:bodyDiv w:val="1"/>
      <w:marLeft w:val="0"/>
      <w:marRight w:val="0"/>
      <w:marTop w:val="0"/>
      <w:marBottom w:val="0"/>
      <w:divBdr>
        <w:top w:val="none" w:sz="0" w:space="0" w:color="auto"/>
        <w:left w:val="none" w:sz="0" w:space="0" w:color="auto"/>
        <w:bottom w:val="none" w:sz="0" w:space="0" w:color="auto"/>
        <w:right w:val="none" w:sz="0" w:space="0" w:color="auto"/>
      </w:divBdr>
    </w:div>
    <w:div w:id="940574113">
      <w:bodyDiv w:val="1"/>
      <w:marLeft w:val="0"/>
      <w:marRight w:val="0"/>
      <w:marTop w:val="0"/>
      <w:marBottom w:val="0"/>
      <w:divBdr>
        <w:top w:val="none" w:sz="0" w:space="0" w:color="auto"/>
        <w:left w:val="none" w:sz="0" w:space="0" w:color="auto"/>
        <w:bottom w:val="none" w:sz="0" w:space="0" w:color="auto"/>
        <w:right w:val="none" w:sz="0" w:space="0" w:color="auto"/>
      </w:divBdr>
    </w:div>
    <w:div w:id="942689450">
      <w:bodyDiv w:val="1"/>
      <w:marLeft w:val="0"/>
      <w:marRight w:val="0"/>
      <w:marTop w:val="0"/>
      <w:marBottom w:val="0"/>
      <w:divBdr>
        <w:top w:val="none" w:sz="0" w:space="0" w:color="auto"/>
        <w:left w:val="none" w:sz="0" w:space="0" w:color="auto"/>
        <w:bottom w:val="none" w:sz="0" w:space="0" w:color="auto"/>
        <w:right w:val="none" w:sz="0" w:space="0" w:color="auto"/>
      </w:divBdr>
    </w:div>
    <w:div w:id="951130088">
      <w:bodyDiv w:val="1"/>
      <w:marLeft w:val="0"/>
      <w:marRight w:val="0"/>
      <w:marTop w:val="0"/>
      <w:marBottom w:val="0"/>
      <w:divBdr>
        <w:top w:val="none" w:sz="0" w:space="0" w:color="auto"/>
        <w:left w:val="none" w:sz="0" w:space="0" w:color="auto"/>
        <w:bottom w:val="none" w:sz="0" w:space="0" w:color="auto"/>
        <w:right w:val="none" w:sz="0" w:space="0" w:color="auto"/>
      </w:divBdr>
    </w:div>
    <w:div w:id="952903798">
      <w:bodyDiv w:val="1"/>
      <w:marLeft w:val="0"/>
      <w:marRight w:val="0"/>
      <w:marTop w:val="0"/>
      <w:marBottom w:val="0"/>
      <w:divBdr>
        <w:top w:val="none" w:sz="0" w:space="0" w:color="auto"/>
        <w:left w:val="none" w:sz="0" w:space="0" w:color="auto"/>
        <w:bottom w:val="none" w:sz="0" w:space="0" w:color="auto"/>
        <w:right w:val="none" w:sz="0" w:space="0" w:color="auto"/>
      </w:divBdr>
    </w:div>
    <w:div w:id="955671744">
      <w:bodyDiv w:val="1"/>
      <w:marLeft w:val="0"/>
      <w:marRight w:val="0"/>
      <w:marTop w:val="0"/>
      <w:marBottom w:val="0"/>
      <w:divBdr>
        <w:top w:val="none" w:sz="0" w:space="0" w:color="auto"/>
        <w:left w:val="none" w:sz="0" w:space="0" w:color="auto"/>
        <w:bottom w:val="none" w:sz="0" w:space="0" w:color="auto"/>
        <w:right w:val="none" w:sz="0" w:space="0" w:color="auto"/>
      </w:divBdr>
    </w:div>
    <w:div w:id="957837408">
      <w:bodyDiv w:val="1"/>
      <w:marLeft w:val="0"/>
      <w:marRight w:val="0"/>
      <w:marTop w:val="0"/>
      <w:marBottom w:val="0"/>
      <w:divBdr>
        <w:top w:val="none" w:sz="0" w:space="0" w:color="auto"/>
        <w:left w:val="none" w:sz="0" w:space="0" w:color="auto"/>
        <w:bottom w:val="none" w:sz="0" w:space="0" w:color="auto"/>
        <w:right w:val="none" w:sz="0" w:space="0" w:color="auto"/>
      </w:divBdr>
    </w:div>
    <w:div w:id="961494090">
      <w:bodyDiv w:val="1"/>
      <w:marLeft w:val="0"/>
      <w:marRight w:val="0"/>
      <w:marTop w:val="0"/>
      <w:marBottom w:val="0"/>
      <w:divBdr>
        <w:top w:val="none" w:sz="0" w:space="0" w:color="auto"/>
        <w:left w:val="none" w:sz="0" w:space="0" w:color="auto"/>
        <w:bottom w:val="none" w:sz="0" w:space="0" w:color="auto"/>
        <w:right w:val="none" w:sz="0" w:space="0" w:color="auto"/>
      </w:divBdr>
    </w:div>
    <w:div w:id="967007102">
      <w:bodyDiv w:val="1"/>
      <w:marLeft w:val="0"/>
      <w:marRight w:val="0"/>
      <w:marTop w:val="0"/>
      <w:marBottom w:val="0"/>
      <w:divBdr>
        <w:top w:val="none" w:sz="0" w:space="0" w:color="auto"/>
        <w:left w:val="none" w:sz="0" w:space="0" w:color="auto"/>
        <w:bottom w:val="none" w:sz="0" w:space="0" w:color="auto"/>
        <w:right w:val="none" w:sz="0" w:space="0" w:color="auto"/>
      </w:divBdr>
    </w:div>
    <w:div w:id="984043794">
      <w:bodyDiv w:val="1"/>
      <w:marLeft w:val="0"/>
      <w:marRight w:val="0"/>
      <w:marTop w:val="0"/>
      <w:marBottom w:val="0"/>
      <w:divBdr>
        <w:top w:val="none" w:sz="0" w:space="0" w:color="auto"/>
        <w:left w:val="none" w:sz="0" w:space="0" w:color="auto"/>
        <w:bottom w:val="none" w:sz="0" w:space="0" w:color="auto"/>
        <w:right w:val="none" w:sz="0" w:space="0" w:color="auto"/>
      </w:divBdr>
    </w:div>
    <w:div w:id="991635684">
      <w:bodyDiv w:val="1"/>
      <w:marLeft w:val="0"/>
      <w:marRight w:val="0"/>
      <w:marTop w:val="0"/>
      <w:marBottom w:val="0"/>
      <w:divBdr>
        <w:top w:val="none" w:sz="0" w:space="0" w:color="auto"/>
        <w:left w:val="none" w:sz="0" w:space="0" w:color="auto"/>
        <w:bottom w:val="none" w:sz="0" w:space="0" w:color="auto"/>
        <w:right w:val="none" w:sz="0" w:space="0" w:color="auto"/>
      </w:divBdr>
    </w:div>
    <w:div w:id="993528235">
      <w:bodyDiv w:val="1"/>
      <w:marLeft w:val="0"/>
      <w:marRight w:val="0"/>
      <w:marTop w:val="0"/>
      <w:marBottom w:val="0"/>
      <w:divBdr>
        <w:top w:val="none" w:sz="0" w:space="0" w:color="auto"/>
        <w:left w:val="none" w:sz="0" w:space="0" w:color="auto"/>
        <w:bottom w:val="none" w:sz="0" w:space="0" w:color="auto"/>
        <w:right w:val="none" w:sz="0" w:space="0" w:color="auto"/>
      </w:divBdr>
    </w:div>
    <w:div w:id="995956131">
      <w:bodyDiv w:val="1"/>
      <w:marLeft w:val="0"/>
      <w:marRight w:val="0"/>
      <w:marTop w:val="0"/>
      <w:marBottom w:val="0"/>
      <w:divBdr>
        <w:top w:val="none" w:sz="0" w:space="0" w:color="auto"/>
        <w:left w:val="none" w:sz="0" w:space="0" w:color="auto"/>
        <w:bottom w:val="none" w:sz="0" w:space="0" w:color="auto"/>
        <w:right w:val="none" w:sz="0" w:space="0" w:color="auto"/>
      </w:divBdr>
    </w:div>
    <w:div w:id="995963115">
      <w:bodyDiv w:val="1"/>
      <w:marLeft w:val="0"/>
      <w:marRight w:val="0"/>
      <w:marTop w:val="0"/>
      <w:marBottom w:val="0"/>
      <w:divBdr>
        <w:top w:val="none" w:sz="0" w:space="0" w:color="auto"/>
        <w:left w:val="none" w:sz="0" w:space="0" w:color="auto"/>
        <w:bottom w:val="none" w:sz="0" w:space="0" w:color="auto"/>
        <w:right w:val="none" w:sz="0" w:space="0" w:color="auto"/>
      </w:divBdr>
    </w:div>
    <w:div w:id="999620755">
      <w:bodyDiv w:val="1"/>
      <w:marLeft w:val="0"/>
      <w:marRight w:val="0"/>
      <w:marTop w:val="0"/>
      <w:marBottom w:val="0"/>
      <w:divBdr>
        <w:top w:val="none" w:sz="0" w:space="0" w:color="auto"/>
        <w:left w:val="none" w:sz="0" w:space="0" w:color="auto"/>
        <w:bottom w:val="none" w:sz="0" w:space="0" w:color="auto"/>
        <w:right w:val="none" w:sz="0" w:space="0" w:color="auto"/>
      </w:divBdr>
    </w:div>
    <w:div w:id="1003705428">
      <w:bodyDiv w:val="1"/>
      <w:marLeft w:val="0"/>
      <w:marRight w:val="0"/>
      <w:marTop w:val="0"/>
      <w:marBottom w:val="0"/>
      <w:divBdr>
        <w:top w:val="none" w:sz="0" w:space="0" w:color="auto"/>
        <w:left w:val="none" w:sz="0" w:space="0" w:color="auto"/>
        <w:bottom w:val="none" w:sz="0" w:space="0" w:color="auto"/>
        <w:right w:val="none" w:sz="0" w:space="0" w:color="auto"/>
      </w:divBdr>
    </w:div>
    <w:div w:id="1009599115">
      <w:bodyDiv w:val="1"/>
      <w:marLeft w:val="0"/>
      <w:marRight w:val="0"/>
      <w:marTop w:val="0"/>
      <w:marBottom w:val="0"/>
      <w:divBdr>
        <w:top w:val="none" w:sz="0" w:space="0" w:color="auto"/>
        <w:left w:val="none" w:sz="0" w:space="0" w:color="auto"/>
        <w:bottom w:val="none" w:sz="0" w:space="0" w:color="auto"/>
        <w:right w:val="none" w:sz="0" w:space="0" w:color="auto"/>
      </w:divBdr>
    </w:div>
    <w:div w:id="1037631514">
      <w:bodyDiv w:val="1"/>
      <w:marLeft w:val="0"/>
      <w:marRight w:val="0"/>
      <w:marTop w:val="0"/>
      <w:marBottom w:val="0"/>
      <w:divBdr>
        <w:top w:val="none" w:sz="0" w:space="0" w:color="auto"/>
        <w:left w:val="none" w:sz="0" w:space="0" w:color="auto"/>
        <w:bottom w:val="none" w:sz="0" w:space="0" w:color="auto"/>
        <w:right w:val="none" w:sz="0" w:space="0" w:color="auto"/>
      </w:divBdr>
    </w:div>
    <w:div w:id="1041056872">
      <w:bodyDiv w:val="1"/>
      <w:marLeft w:val="0"/>
      <w:marRight w:val="0"/>
      <w:marTop w:val="0"/>
      <w:marBottom w:val="0"/>
      <w:divBdr>
        <w:top w:val="none" w:sz="0" w:space="0" w:color="auto"/>
        <w:left w:val="none" w:sz="0" w:space="0" w:color="auto"/>
        <w:bottom w:val="none" w:sz="0" w:space="0" w:color="auto"/>
        <w:right w:val="none" w:sz="0" w:space="0" w:color="auto"/>
      </w:divBdr>
    </w:div>
    <w:div w:id="1045174885">
      <w:bodyDiv w:val="1"/>
      <w:marLeft w:val="0"/>
      <w:marRight w:val="0"/>
      <w:marTop w:val="0"/>
      <w:marBottom w:val="0"/>
      <w:divBdr>
        <w:top w:val="none" w:sz="0" w:space="0" w:color="auto"/>
        <w:left w:val="none" w:sz="0" w:space="0" w:color="auto"/>
        <w:bottom w:val="none" w:sz="0" w:space="0" w:color="auto"/>
        <w:right w:val="none" w:sz="0" w:space="0" w:color="auto"/>
      </w:divBdr>
    </w:div>
    <w:div w:id="1051156533">
      <w:bodyDiv w:val="1"/>
      <w:marLeft w:val="0"/>
      <w:marRight w:val="0"/>
      <w:marTop w:val="0"/>
      <w:marBottom w:val="0"/>
      <w:divBdr>
        <w:top w:val="none" w:sz="0" w:space="0" w:color="auto"/>
        <w:left w:val="none" w:sz="0" w:space="0" w:color="auto"/>
        <w:bottom w:val="none" w:sz="0" w:space="0" w:color="auto"/>
        <w:right w:val="none" w:sz="0" w:space="0" w:color="auto"/>
      </w:divBdr>
    </w:div>
    <w:div w:id="1055741483">
      <w:bodyDiv w:val="1"/>
      <w:marLeft w:val="0"/>
      <w:marRight w:val="0"/>
      <w:marTop w:val="0"/>
      <w:marBottom w:val="0"/>
      <w:divBdr>
        <w:top w:val="none" w:sz="0" w:space="0" w:color="auto"/>
        <w:left w:val="none" w:sz="0" w:space="0" w:color="auto"/>
        <w:bottom w:val="none" w:sz="0" w:space="0" w:color="auto"/>
        <w:right w:val="none" w:sz="0" w:space="0" w:color="auto"/>
      </w:divBdr>
    </w:div>
    <w:div w:id="1062409542">
      <w:bodyDiv w:val="1"/>
      <w:marLeft w:val="0"/>
      <w:marRight w:val="0"/>
      <w:marTop w:val="0"/>
      <w:marBottom w:val="0"/>
      <w:divBdr>
        <w:top w:val="none" w:sz="0" w:space="0" w:color="auto"/>
        <w:left w:val="none" w:sz="0" w:space="0" w:color="auto"/>
        <w:bottom w:val="none" w:sz="0" w:space="0" w:color="auto"/>
        <w:right w:val="none" w:sz="0" w:space="0" w:color="auto"/>
      </w:divBdr>
    </w:div>
    <w:div w:id="1068646569">
      <w:bodyDiv w:val="1"/>
      <w:marLeft w:val="0"/>
      <w:marRight w:val="0"/>
      <w:marTop w:val="0"/>
      <w:marBottom w:val="0"/>
      <w:divBdr>
        <w:top w:val="none" w:sz="0" w:space="0" w:color="auto"/>
        <w:left w:val="none" w:sz="0" w:space="0" w:color="auto"/>
        <w:bottom w:val="none" w:sz="0" w:space="0" w:color="auto"/>
        <w:right w:val="none" w:sz="0" w:space="0" w:color="auto"/>
      </w:divBdr>
    </w:div>
    <w:div w:id="1073432030">
      <w:bodyDiv w:val="1"/>
      <w:marLeft w:val="0"/>
      <w:marRight w:val="0"/>
      <w:marTop w:val="0"/>
      <w:marBottom w:val="0"/>
      <w:divBdr>
        <w:top w:val="none" w:sz="0" w:space="0" w:color="auto"/>
        <w:left w:val="none" w:sz="0" w:space="0" w:color="auto"/>
        <w:bottom w:val="none" w:sz="0" w:space="0" w:color="auto"/>
        <w:right w:val="none" w:sz="0" w:space="0" w:color="auto"/>
      </w:divBdr>
    </w:div>
    <w:div w:id="1083836083">
      <w:bodyDiv w:val="1"/>
      <w:marLeft w:val="0"/>
      <w:marRight w:val="0"/>
      <w:marTop w:val="0"/>
      <w:marBottom w:val="0"/>
      <w:divBdr>
        <w:top w:val="none" w:sz="0" w:space="0" w:color="auto"/>
        <w:left w:val="none" w:sz="0" w:space="0" w:color="auto"/>
        <w:bottom w:val="none" w:sz="0" w:space="0" w:color="auto"/>
        <w:right w:val="none" w:sz="0" w:space="0" w:color="auto"/>
      </w:divBdr>
    </w:div>
    <w:div w:id="1114596825">
      <w:bodyDiv w:val="1"/>
      <w:marLeft w:val="0"/>
      <w:marRight w:val="0"/>
      <w:marTop w:val="0"/>
      <w:marBottom w:val="0"/>
      <w:divBdr>
        <w:top w:val="none" w:sz="0" w:space="0" w:color="auto"/>
        <w:left w:val="none" w:sz="0" w:space="0" w:color="auto"/>
        <w:bottom w:val="none" w:sz="0" w:space="0" w:color="auto"/>
        <w:right w:val="none" w:sz="0" w:space="0" w:color="auto"/>
      </w:divBdr>
    </w:div>
    <w:div w:id="1130709583">
      <w:bodyDiv w:val="1"/>
      <w:marLeft w:val="0"/>
      <w:marRight w:val="0"/>
      <w:marTop w:val="0"/>
      <w:marBottom w:val="0"/>
      <w:divBdr>
        <w:top w:val="none" w:sz="0" w:space="0" w:color="auto"/>
        <w:left w:val="none" w:sz="0" w:space="0" w:color="auto"/>
        <w:bottom w:val="none" w:sz="0" w:space="0" w:color="auto"/>
        <w:right w:val="none" w:sz="0" w:space="0" w:color="auto"/>
      </w:divBdr>
    </w:div>
    <w:div w:id="1141194674">
      <w:bodyDiv w:val="1"/>
      <w:marLeft w:val="0"/>
      <w:marRight w:val="0"/>
      <w:marTop w:val="0"/>
      <w:marBottom w:val="0"/>
      <w:divBdr>
        <w:top w:val="none" w:sz="0" w:space="0" w:color="auto"/>
        <w:left w:val="none" w:sz="0" w:space="0" w:color="auto"/>
        <w:bottom w:val="none" w:sz="0" w:space="0" w:color="auto"/>
        <w:right w:val="none" w:sz="0" w:space="0" w:color="auto"/>
      </w:divBdr>
    </w:div>
    <w:div w:id="1142188181">
      <w:bodyDiv w:val="1"/>
      <w:marLeft w:val="0"/>
      <w:marRight w:val="0"/>
      <w:marTop w:val="0"/>
      <w:marBottom w:val="0"/>
      <w:divBdr>
        <w:top w:val="none" w:sz="0" w:space="0" w:color="auto"/>
        <w:left w:val="none" w:sz="0" w:space="0" w:color="auto"/>
        <w:bottom w:val="none" w:sz="0" w:space="0" w:color="auto"/>
        <w:right w:val="none" w:sz="0" w:space="0" w:color="auto"/>
      </w:divBdr>
    </w:div>
    <w:div w:id="1143035543">
      <w:bodyDiv w:val="1"/>
      <w:marLeft w:val="0"/>
      <w:marRight w:val="0"/>
      <w:marTop w:val="0"/>
      <w:marBottom w:val="0"/>
      <w:divBdr>
        <w:top w:val="none" w:sz="0" w:space="0" w:color="auto"/>
        <w:left w:val="none" w:sz="0" w:space="0" w:color="auto"/>
        <w:bottom w:val="none" w:sz="0" w:space="0" w:color="auto"/>
        <w:right w:val="none" w:sz="0" w:space="0" w:color="auto"/>
      </w:divBdr>
    </w:div>
    <w:div w:id="1144815442">
      <w:bodyDiv w:val="1"/>
      <w:marLeft w:val="0"/>
      <w:marRight w:val="0"/>
      <w:marTop w:val="0"/>
      <w:marBottom w:val="0"/>
      <w:divBdr>
        <w:top w:val="none" w:sz="0" w:space="0" w:color="auto"/>
        <w:left w:val="none" w:sz="0" w:space="0" w:color="auto"/>
        <w:bottom w:val="none" w:sz="0" w:space="0" w:color="auto"/>
        <w:right w:val="none" w:sz="0" w:space="0" w:color="auto"/>
      </w:divBdr>
    </w:div>
    <w:div w:id="1150515454">
      <w:bodyDiv w:val="1"/>
      <w:marLeft w:val="0"/>
      <w:marRight w:val="0"/>
      <w:marTop w:val="0"/>
      <w:marBottom w:val="0"/>
      <w:divBdr>
        <w:top w:val="none" w:sz="0" w:space="0" w:color="auto"/>
        <w:left w:val="none" w:sz="0" w:space="0" w:color="auto"/>
        <w:bottom w:val="none" w:sz="0" w:space="0" w:color="auto"/>
        <w:right w:val="none" w:sz="0" w:space="0" w:color="auto"/>
      </w:divBdr>
    </w:div>
    <w:div w:id="1158378731">
      <w:bodyDiv w:val="1"/>
      <w:marLeft w:val="0"/>
      <w:marRight w:val="0"/>
      <w:marTop w:val="0"/>
      <w:marBottom w:val="0"/>
      <w:divBdr>
        <w:top w:val="none" w:sz="0" w:space="0" w:color="auto"/>
        <w:left w:val="none" w:sz="0" w:space="0" w:color="auto"/>
        <w:bottom w:val="none" w:sz="0" w:space="0" w:color="auto"/>
        <w:right w:val="none" w:sz="0" w:space="0" w:color="auto"/>
      </w:divBdr>
    </w:div>
    <w:div w:id="1161846614">
      <w:bodyDiv w:val="1"/>
      <w:marLeft w:val="0"/>
      <w:marRight w:val="0"/>
      <w:marTop w:val="0"/>
      <w:marBottom w:val="0"/>
      <w:divBdr>
        <w:top w:val="none" w:sz="0" w:space="0" w:color="auto"/>
        <w:left w:val="none" w:sz="0" w:space="0" w:color="auto"/>
        <w:bottom w:val="none" w:sz="0" w:space="0" w:color="auto"/>
        <w:right w:val="none" w:sz="0" w:space="0" w:color="auto"/>
      </w:divBdr>
    </w:div>
    <w:div w:id="1167477316">
      <w:bodyDiv w:val="1"/>
      <w:marLeft w:val="0"/>
      <w:marRight w:val="0"/>
      <w:marTop w:val="0"/>
      <w:marBottom w:val="0"/>
      <w:divBdr>
        <w:top w:val="none" w:sz="0" w:space="0" w:color="auto"/>
        <w:left w:val="none" w:sz="0" w:space="0" w:color="auto"/>
        <w:bottom w:val="none" w:sz="0" w:space="0" w:color="auto"/>
        <w:right w:val="none" w:sz="0" w:space="0" w:color="auto"/>
      </w:divBdr>
    </w:div>
    <w:div w:id="1171070356">
      <w:bodyDiv w:val="1"/>
      <w:marLeft w:val="0"/>
      <w:marRight w:val="0"/>
      <w:marTop w:val="0"/>
      <w:marBottom w:val="0"/>
      <w:divBdr>
        <w:top w:val="none" w:sz="0" w:space="0" w:color="auto"/>
        <w:left w:val="none" w:sz="0" w:space="0" w:color="auto"/>
        <w:bottom w:val="none" w:sz="0" w:space="0" w:color="auto"/>
        <w:right w:val="none" w:sz="0" w:space="0" w:color="auto"/>
      </w:divBdr>
    </w:div>
    <w:div w:id="1174420374">
      <w:bodyDiv w:val="1"/>
      <w:marLeft w:val="0"/>
      <w:marRight w:val="0"/>
      <w:marTop w:val="0"/>
      <w:marBottom w:val="0"/>
      <w:divBdr>
        <w:top w:val="none" w:sz="0" w:space="0" w:color="auto"/>
        <w:left w:val="none" w:sz="0" w:space="0" w:color="auto"/>
        <w:bottom w:val="none" w:sz="0" w:space="0" w:color="auto"/>
        <w:right w:val="none" w:sz="0" w:space="0" w:color="auto"/>
      </w:divBdr>
    </w:div>
    <w:div w:id="1177618169">
      <w:bodyDiv w:val="1"/>
      <w:marLeft w:val="0"/>
      <w:marRight w:val="0"/>
      <w:marTop w:val="0"/>
      <w:marBottom w:val="0"/>
      <w:divBdr>
        <w:top w:val="none" w:sz="0" w:space="0" w:color="auto"/>
        <w:left w:val="none" w:sz="0" w:space="0" w:color="auto"/>
        <w:bottom w:val="none" w:sz="0" w:space="0" w:color="auto"/>
        <w:right w:val="none" w:sz="0" w:space="0" w:color="auto"/>
      </w:divBdr>
    </w:div>
    <w:div w:id="1188174603">
      <w:bodyDiv w:val="1"/>
      <w:marLeft w:val="0"/>
      <w:marRight w:val="0"/>
      <w:marTop w:val="0"/>
      <w:marBottom w:val="0"/>
      <w:divBdr>
        <w:top w:val="none" w:sz="0" w:space="0" w:color="auto"/>
        <w:left w:val="none" w:sz="0" w:space="0" w:color="auto"/>
        <w:bottom w:val="none" w:sz="0" w:space="0" w:color="auto"/>
        <w:right w:val="none" w:sz="0" w:space="0" w:color="auto"/>
      </w:divBdr>
    </w:div>
    <w:div w:id="1191265417">
      <w:bodyDiv w:val="1"/>
      <w:marLeft w:val="0"/>
      <w:marRight w:val="0"/>
      <w:marTop w:val="0"/>
      <w:marBottom w:val="0"/>
      <w:divBdr>
        <w:top w:val="none" w:sz="0" w:space="0" w:color="auto"/>
        <w:left w:val="none" w:sz="0" w:space="0" w:color="auto"/>
        <w:bottom w:val="none" w:sz="0" w:space="0" w:color="auto"/>
        <w:right w:val="none" w:sz="0" w:space="0" w:color="auto"/>
      </w:divBdr>
    </w:div>
    <w:div w:id="1197737540">
      <w:bodyDiv w:val="1"/>
      <w:marLeft w:val="0"/>
      <w:marRight w:val="0"/>
      <w:marTop w:val="0"/>
      <w:marBottom w:val="0"/>
      <w:divBdr>
        <w:top w:val="none" w:sz="0" w:space="0" w:color="auto"/>
        <w:left w:val="none" w:sz="0" w:space="0" w:color="auto"/>
        <w:bottom w:val="none" w:sz="0" w:space="0" w:color="auto"/>
        <w:right w:val="none" w:sz="0" w:space="0" w:color="auto"/>
      </w:divBdr>
    </w:div>
    <w:div w:id="1198466361">
      <w:bodyDiv w:val="1"/>
      <w:marLeft w:val="0"/>
      <w:marRight w:val="0"/>
      <w:marTop w:val="0"/>
      <w:marBottom w:val="0"/>
      <w:divBdr>
        <w:top w:val="none" w:sz="0" w:space="0" w:color="auto"/>
        <w:left w:val="none" w:sz="0" w:space="0" w:color="auto"/>
        <w:bottom w:val="none" w:sz="0" w:space="0" w:color="auto"/>
        <w:right w:val="none" w:sz="0" w:space="0" w:color="auto"/>
      </w:divBdr>
    </w:div>
    <w:div w:id="1204442688">
      <w:bodyDiv w:val="1"/>
      <w:marLeft w:val="0"/>
      <w:marRight w:val="0"/>
      <w:marTop w:val="0"/>
      <w:marBottom w:val="0"/>
      <w:divBdr>
        <w:top w:val="none" w:sz="0" w:space="0" w:color="auto"/>
        <w:left w:val="none" w:sz="0" w:space="0" w:color="auto"/>
        <w:bottom w:val="none" w:sz="0" w:space="0" w:color="auto"/>
        <w:right w:val="none" w:sz="0" w:space="0" w:color="auto"/>
      </w:divBdr>
    </w:div>
    <w:div w:id="1212576595">
      <w:bodyDiv w:val="1"/>
      <w:marLeft w:val="0"/>
      <w:marRight w:val="0"/>
      <w:marTop w:val="0"/>
      <w:marBottom w:val="0"/>
      <w:divBdr>
        <w:top w:val="none" w:sz="0" w:space="0" w:color="auto"/>
        <w:left w:val="none" w:sz="0" w:space="0" w:color="auto"/>
        <w:bottom w:val="none" w:sz="0" w:space="0" w:color="auto"/>
        <w:right w:val="none" w:sz="0" w:space="0" w:color="auto"/>
      </w:divBdr>
    </w:div>
    <w:div w:id="1220820127">
      <w:bodyDiv w:val="1"/>
      <w:marLeft w:val="0"/>
      <w:marRight w:val="0"/>
      <w:marTop w:val="0"/>
      <w:marBottom w:val="0"/>
      <w:divBdr>
        <w:top w:val="none" w:sz="0" w:space="0" w:color="auto"/>
        <w:left w:val="none" w:sz="0" w:space="0" w:color="auto"/>
        <w:bottom w:val="none" w:sz="0" w:space="0" w:color="auto"/>
        <w:right w:val="none" w:sz="0" w:space="0" w:color="auto"/>
      </w:divBdr>
    </w:div>
    <w:div w:id="1224830096">
      <w:bodyDiv w:val="1"/>
      <w:marLeft w:val="0"/>
      <w:marRight w:val="0"/>
      <w:marTop w:val="0"/>
      <w:marBottom w:val="0"/>
      <w:divBdr>
        <w:top w:val="none" w:sz="0" w:space="0" w:color="auto"/>
        <w:left w:val="none" w:sz="0" w:space="0" w:color="auto"/>
        <w:bottom w:val="none" w:sz="0" w:space="0" w:color="auto"/>
        <w:right w:val="none" w:sz="0" w:space="0" w:color="auto"/>
      </w:divBdr>
    </w:div>
    <w:div w:id="1229612300">
      <w:bodyDiv w:val="1"/>
      <w:marLeft w:val="0"/>
      <w:marRight w:val="0"/>
      <w:marTop w:val="0"/>
      <w:marBottom w:val="0"/>
      <w:divBdr>
        <w:top w:val="none" w:sz="0" w:space="0" w:color="auto"/>
        <w:left w:val="none" w:sz="0" w:space="0" w:color="auto"/>
        <w:bottom w:val="none" w:sz="0" w:space="0" w:color="auto"/>
        <w:right w:val="none" w:sz="0" w:space="0" w:color="auto"/>
      </w:divBdr>
    </w:div>
    <w:div w:id="1233348651">
      <w:bodyDiv w:val="1"/>
      <w:marLeft w:val="0"/>
      <w:marRight w:val="0"/>
      <w:marTop w:val="0"/>
      <w:marBottom w:val="0"/>
      <w:divBdr>
        <w:top w:val="none" w:sz="0" w:space="0" w:color="auto"/>
        <w:left w:val="none" w:sz="0" w:space="0" w:color="auto"/>
        <w:bottom w:val="none" w:sz="0" w:space="0" w:color="auto"/>
        <w:right w:val="none" w:sz="0" w:space="0" w:color="auto"/>
      </w:divBdr>
    </w:div>
    <w:div w:id="1236282277">
      <w:bodyDiv w:val="1"/>
      <w:marLeft w:val="0"/>
      <w:marRight w:val="0"/>
      <w:marTop w:val="0"/>
      <w:marBottom w:val="0"/>
      <w:divBdr>
        <w:top w:val="none" w:sz="0" w:space="0" w:color="auto"/>
        <w:left w:val="none" w:sz="0" w:space="0" w:color="auto"/>
        <w:bottom w:val="none" w:sz="0" w:space="0" w:color="auto"/>
        <w:right w:val="none" w:sz="0" w:space="0" w:color="auto"/>
      </w:divBdr>
    </w:div>
    <w:div w:id="1254824750">
      <w:bodyDiv w:val="1"/>
      <w:marLeft w:val="0"/>
      <w:marRight w:val="0"/>
      <w:marTop w:val="0"/>
      <w:marBottom w:val="0"/>
      <w:divBdr>
        <w:top w:val="none" w:sz="0" w:space="0" w:color="auto"/>
        <w:left w:val="none" w:sz="0" w:space="0" w:color="auto"/>
        <w:bottom w:val="none" w:sz="0" w:space="0" w:color="auto"/>
        <w:right w:val="none" w:sz="0" w:space="0" w:color="auto"/>
      </w:divBdr>
    </w:div>
    <w:div w:id="1262420931">
      <w:bodyDiv w:val="1"/>
      <w:marLeft w:val="0"/>
      <w:marRight w:val="0"/>
      <w:marTop w:val="0"/>
      <w:marBottom w:val="0"/>
      <w:divBdr>
        <w:top w:val="none" w:sz="0" w:space="0" w:color="auto"/>
        <w:left w:val="none" w:sz="0" w:space="0" w:color="auto"/>
        <w:bottom w:val="none" w:sz="0" w:space="0" w:color="auto"/>
        <w:right w:val="none" w:sz="0" w:space="0" w:color="auto"/>
      </w:divBdr>
    </w:div>
    <w:div w:id="1273395119">
      <w:bodyDiv w:val="1"/>
      <w:marLeft w:val="0"/>
      <w:marRight w:val="0"/>
      <w:marTop w:val="0"/>
      <w:marBottom w:val="0"/>
      <w:divBdr>
        <w:top w:val="none" w:sz="0" w:space="0" w:color="auto"/>
        <w:left w:val="none" w:sz="0" w:space="0" w:color="auto"/>
        <w:bottom w:val="none" w:sz="0" w:space="0" w:color="auto"/>
        <w:right w:val="none" w:sz="0" w:space="0" w:color="auto"/>
      </w:divBdr>
    </w:div>
    <w:div w:id="1276252945">
      <w:bodyDiv w:val="1"/>
      <w:marLeft w:val="0"/>
      <w:marRight w:val="0"/>
      <w:marTop w:val="0"/>
      <w:marBottom w:val="0"/>
      <w:divBdr>
        <w:top w:val="none" w:sz="0" w:space="0" w:color="auto"/>
        <w:left w:val="none" w:sz="0" w:space="0" w:color="auto"/>
        <w:bottom w:val="none" w:sz="0" w:space="0" w:color="auto"/>
        <w:right w:val="none" w:sz="0" w:space="0" w:color="auto"/>
      </w:divBdr>
    </w:div>
    <w:div w:id="1282300765">
      <w:bodyDiv w:val="1"/>
      <w:marLeft w:val="0"/>
      <w:marRight w:val="0"/>
      <w:marTop w:val="0"/>
      <w:marBottom w:val="0"/>
      <w:divBdr>
        <w:top w:val="none" w:sz="0" w:space="0" w:color="auto"/>
        <w:left w:val="none" w:sz="0" w:space="0" w:color="auto"/>
        <w:bottom w:val="none" w:sz="0" w:space="0" w:color="auto"/>
        <w:right w:val="none" w:sz="0" w:space="0" w:color="auto"/>
      </w:divBdr>
    </w:div>
    <w:div w:id="1296368876">
      <w:bodyDiv w:val="1"/>
      <w:marLeft w:val="0"/>
      <w:marRight w:val="0"/>
      <w:marTop w:val="0"/>
      <w:marBottom w:val="0"/>
      <w:divBdr>
        <w:top w:val="none" w:sz="0" w:space="0" w:color="auto"/>
        <w:left w:val="none" w:sz="0" w:space="0" w:color="auto"/>
        <w:bottom w:val="none" w:sz="0" w:space="0" w:color="auto"/>
        <w:right w:val="none" w:sz="0" w:space="0" w:color="auto"/>
      </w:divBdr>
    </w:div>
    <w:div w:id="1303347016">
      <w:bodyDiv w:val="1"/>
      <w:marLeft w:val="0"/>
      <w:marRight w:val="0"/>
      <w:marTop w:val="0"/>
      <w:marBottom w:val="0"/>
      <w:divBdr>
        <w:top w:val="none" w:sz="0" w:space="0" w:color="auto"/>
        <w:left w:val="none" w:sz="0" w:space="0" w:color="auto"/>
        <w:bottom w:val="none" w:sz="0" w:space="0" w:color="auto"/>
        <w:right w:val="none" w:sz="0" w:space="0" w:color="auto"/>
      </w:divBdr>
    </w:div>
    <w:div w:id="1307391601">
      <w:bodyDiv w:val="1"/>
      <w:marLeft w:val="0"/>
      <w:marRight w:val="0"/>
      <w:marTop w:val="0"/>
      <w:marBottom w:val="0"/>
      <w:divBdr>
        <w:top w:val="none" w:sz="0" w:space="0" w:color="auto"/>
        <w:left w:val="none" w:sz="0" w:space="0" w:color="auto"/>
        <w:bottom w:val="none" w:sz="0" w:space="0" w:color="auto"/>
        <w:right w:val="none" w:sz="0" w:space="0" w:color="auto"/>
      </w:divBdr>
    </w:div>
    <w:div w:id="1310287048">
      <w:bodyDiv w:val="1"/>
      <w:marLeft w:val="0"/>
      <w:marRight w:val="0"/>
      <w:marTop w:val="0"/>
      <w:marBottom w:val="0"/>
      <w:divBdr>
        <w:top w:val="none" w:sz="0" w:space="0" w:color="auto"/>
        <w:left w:val="none" w:sz="0" w:space="0" w:color="auto"/>
        <w:bottom w:val="none" w:sz="0" w:space="0" w:color="auto"/>
        <w:right w:val="none" w:sz="0" w:space="0" w:color="auto"/>
      </w:divBdr>
    </w:div>
    <w:div w:id="1329482664">
      <w:bodyDiv w:val="1"/>
      <w:marLeft w:val="0"/>
      <w:marRight w:val="0"/>
      <w:marTop w:val="0"/>
      <w:marBottom w:val="0"/>
      <w:divBdr>
        <w:top w:val="none" w:sz="0" w:space="0" w:color="auto"/>
        <w:left w:val="none" w:sz="0" w:space="0" w:color="auto"/>
        <w:bottom w:val="none" w:sz="0" w:space="0" w:color="auto"/>
        <w:right w:val="none" w:sz="0" w:space="0" w:color="auto"/>
      </w:divBdr>
    </w:div>
    <w:div w:id="1332372928">
      <w:bodyDiv w:val="1"/>
      <w:marLeft w:val="0"/>
      <w:marRight w:val="0"/>
      <w:marTop w:val="0"/>
      <w:marBottom w:val="0"/>
      <w:divBdr>
        <w:top w:val="none" w:sz="0" w:space="0" w:color="auto"/>
        <w:left w:val="none" w:sz="0" w:space="0" w:color="auto"/>
        <w:bottom w:val="none" w:sz="0" w:space="0" w:color="auto"/>
        <w:right w:val="none" w:sz="0" w:space="0" w:color="auto"/>
      </w:divBdr>
    </w:div>
    <w:div w:id="1338120708">
      <w:bodyDiv w:val="1"/>
      <w:marLeft w:val="0"/>
      <w:marRight w:val="0"/>
      <w:marTop w:val="0"/>
      <w:marBottom w:val="0"/>
      <w:divBdr>
        <w:top w:val="none" w:sz="0" w:space="0" w:color="auto"/>
        <w:left w:val="none" w:sz="0" w:space="0" w:color="auto"/>
        <w:bottom w:val="none" w:sz="0" w:space="0" w:color="auto"/>
        <w:right w:val="none" w:sz="0" w:space="0" w:color="auto"/>
      </w:divBdr>
    </w:div>
    <w:div w:id="1352493784">
      <w:bodyDiv w:val="1"/>
      <w:marLeft w:val="0"/>
      <w:marRight w:val="0"/>
      <w:marTop w:val="0"/>
      <w:marBottom w:val="0"/>
      <w:divBdr>
        <w:top w:val="none" w:sz="0" w:space="0" w:color="auto"/>
        <w:left w:val="none" w:sz="0" w:space="0" w:color="auto"/>
        <w:bottom w:val="none" w:sz="0" w:space="0" w:color="auto"/>
        <w:right w:val="none" w:sz="0" w:space="0" w:color="auto"/>
      </w:divBdr>
    </w:div>
    <w:div w:id="1354649196">
      <w:bodyDiv w:val="1"/>
      <w:marLeft w:val="0"/>
      <w:marRight w:val="0"/>
      <w:marTop w:val="0"/>
      <w:marBottom w:val="0"/>
      <w:divBdr>
        <w:top w:val="none" w:sz="0" w:space="0" w:color="auto"/>
        <w:left w:val="none" w:sz="0" w:space="0" w:color="auto"/>
        <w:bottom w:val="none" w:sz="0" w:space="0" w:color="auto"/>
        <w:right w:val="none" w:sz="0" w:space="0" w:color="auto"/>
      </w:divBdr>
    </w:div>
    <w:div w:id="1370955216">
      <w:bodyDiv w:val="1"/>
      <w:marLeft w:val="0"/>
      <w:marRight w:val="0"/>
      <w:marTop w:val="0"/>
      <w:marBottom w:val="0"/>
      <w:divBdr>
        <w:top w:val="none" w:sz="0" w:space="0" w:color="auto"/>
        <w:left w:val="none" w:sz="0" w:space="0" w:color="auto"/>
        <w:bottom w:val="none" w:sz="0" w:space="0" w:color="auto"/>
        <w:right w:val="none" w:sz="0" w:space="0" w:color="auto"/>
      </w:divBdr>
    </w:div>
    <w:div w:id="1379165371">
      <w:bodyDiv w:val="1"/>
      <w:marLeft w:val="0"/>
      <w:marRight w:val="0"/>
      <w:marTop w:val="0"/>
      <w:marBottom w:val="0"/>
      <w:divBdr>
        <w:top w:val="none" w:sz="0" w:space="0" w:color="auto"/>
        <w:left w:val="none" w:sz="0" w:space="0" w:color="auto"/>
        <w:bottom w:val="none" w:sz="0" w:space="0" w:color="auto"/>
        <w:right w:val="none" w:sz="0" w:space="0" w:color="auto"/>
      </w:divBdr>
    </w:div>
    <w:div w:id="1388067476">
      <w:bodyDiv w:val="1"/>
      <w:marLeft w:val="0"/>
      <w:marRight w:val="0"/>
      <w:marTop w:val="0"/>
      <w:marBottom w:val="0"/>
      <w:divBdr>
        <w:top w:val="none" w:sz="0" w:space="0" w:color="auto"/>
        <w:left w:val="none" w:sz="0" w:space="0" w:color="auto"/>
        <w:bottom w:val="none" w:sz="0" w:space="0" w:color="auto"/>
        <w:right w:val="none" w:sz="0" w:space="0" w:color="auto"/>
      </w:divBdr>
    </w:div>
    <w:div w:id="1390956722">
      <w:bodyDiv w:val="1"/>
      <w:marLeft w:val="0"/>
      <w:marRight w:val="0"/>
      <w:marTop w:val="0"/>
      <w:marBottom w:val="0"/>
      <w:divBdr>
        <w:top w:val="none" w:sz="0" w:space="0" w:color="auto"/>
        <w:left w:val="none" w:sz="0" w:space="0" w:color="auto"/>
        <w:bottom w:val="none" w:sz="0" w:space="0" w:color="auto"/>
        <w:right w:val="none" w:sz="0" w:space="0" w:color="auto"/>
      </w:divBdr>
    </w:div>
    <w:div w:id="1391229877">
      <w:bodyDiv w:val="1"/>
      <w:marLeft w:val="0"/>
      <w:marRight w:val="0"/>
      <w:marTop w:val="0"/>
      <w:marBottom w:val="0"/>
      <w:divBdr>
        <w:top w:val="none" w:sz="0" w:space="0" w:color="auto"/>
        <w:left w:val="none" w:sz="0" w:space="0" w:color="auto"/>
        <w:bottom w:val="none" w:sz="0" w:space="0" w:color="auto"/>
        <w:right w:val="none" w:sz="0" w:space="0" w:color="auto"/>
      </w:divBdr>
    </w:div>
    <w:div w:id="1395201361">
      <w:bodyDiv w:val="1"/>
      <w:marLeft w:val="0"/>
      <w:marRight w:val="0"/>
      <w:marTop w:val="0"/>
      <w:marBottom w:val="0"/>
      <w:divBdr>
        <w:top w:val="none" w:sz="0" w:space="0" w:color="auto"/>
        <w:left w:val="none" w:sz="0" w:space="0" w:color="auto"/>
        <w:bottom w:val="none" w:sz="0" w:space="0" w:color="auto"/>
        <w:right w:val="none" w:sz="0" w:space="0" w:color="auto"/>
      </w:divBdr>
    </w:div>
    <w:div w:id="1402024100">
      <w:bodyDiv w:val="1"/>
      <w:marLeft w:val="0"/>
      <w:marRight w:val="0"/>
      <w:marTop w:val="0"/>
      <w:marBottom w:val="0"/>
      <w:divBdr>
        <w:top w:val="none" w:sz="0" w:space="0" w:color="auto"/>
        <w:left w:val="none" w:sz="0" w:space="0" w:color="auto"/>
        <w:bottom w:val="none" w:sz="0" w:space="0" w:color="auto"/>
        <w:right w:val="none" w:sz="0" w:space="0" w:color="auto"/>
      </w:divBdr>
    </w:div>
    <w:div w:id="1403530266">
      <w:bodyDiv w:val="1"/>
      <w:marLeft w:val="0"/>
      <w:marRight w:val="0"/>
      <w:marTop w:val="0"/>
      <w:marBottom w:val="0"/>
      <w:divBdr>
        <w:top w:val="none" w:sz="0" w:space="0" w:color="auto"/>
        <w:left w:val="none" w:sz="0" w:space="0" w:color="auto"/>
        <w:bottom w:val="none" w:sz="0" w:space="0" w:color="auto"/>
        <w:right w:val="none" w:sz="0" w:space="0" w:color="auto"/>
      </w:divBdr>
    </w:div>
    <w:div w:id="1407603633">
      <w:bodyDiv w:val="1"/>
      <w:marLeft w:val="0"/>
      <w:marRight w:val="0"/>
      <w:marTop w:val="0"/>
      <w:marBottom w:val="0"/>
      <w:divBdr>
        <w:top w:val="none" w:sz="0" w:space="0" w:color="auto"/>
        <w:left w:val="none" w:sz="0" w:space="0" w:color="auto"/>
        <w:bottom w:val="none" w:sz="0" w:space="0" w:color="auto"/>
        <w:right w:val="none" w:sz="0" w:space="0" w:color="auto"/>
      </w:divBdr>
    </w:div>
    <w:div w:id="1418943068">
      <w:bodyDiv w:val="1"/>
      <w:marLeft w:val="0"/>
      <w:marRight w:val="0"/>
      <w:marTop w:val="0"/>
      <w:marBottom w:val="0"/>
      <w:divBdr>
        <w:top w:val="none" w:sz="0" w:space="0" w:color="auto"/>
        <w:left w:val="none" w:sz="0" w:space="0" w:color="auto"/>
        <w:bottom w:val="none" w:sz="0" w:space="0" w:color="auto"/>
        <w:right w:val="none" w:sz="0" w:space="0" w:color="auto"/>
      </w:divBdr>
    </w:div>
    <w:div w:id="1445077452">
      <w:bodyDiv w:val="1"/>
      <w:marLeft w:val="0"/>
      <w:marRight w:val="0"/>
      <w:marTop w:val="0"/>
      <w:marBottom w:val="0"/>
      <w:divBdr>
        <w:top w:val="none" w:sz="0" w:space="0" w:color="auto"/>
        <w:left w:val="none" w:sz="0" w:space="0" w:color="auto"/>
        <w:bottom w:val="none" w:sz="0" w:space="0" w:color="auto"/>
        <w:right w:val="none" w:sz="0" w:space="0" w:color="auto"/>
      </w:divBdr>
    </w:div>
    <w:div w:id="1448161728">
      <w:bodyDiv w:val="1"/>
      <w:marLeft w:val="0"/>
      <w:marRight w:val="0"/>
      <w:marTop w:val="0"/>
      <w:marBottom w:val="0"/>
      <w:divBdr>
        <w:top w:val="none" w:sz="0" w:space="0" w:color="auto"/>
        <w:left w:val="none" w:sz="0" w:space="0" w:color="auto"/>
        <w:bottom w:val="none" w:sz="0" w:space="0" w:color="auto"/>
        <w:right w:val="none" w:sz="0" w:space="0" w:color="auto"/>
      </w:divBdr>
    </w:div>
    <w:div w:id="1463960147">
      <w:bodyDiv w:val="1"/>
      <w:marLeft w:val="0"/>
      <w:marRight w:val="0"/>
      <w:marTop w:val="0"/>
      <w:marBottom w:val="0"/>
      <w:divBdr>
        <w:top w:val="none" w:sz="0" w:space="0" w:color="auto"/>
        <w:left w:val="none" w:sz="0" w:space="0" w:color="auto"/>
        <w:bottom w:val="none" w:sz="0" w:space="0" w:color="auto"/>
        <w:right w:val="none" w:sz="0" w:space="0" w:color="auto"/>
      </w:divBdr>
    </w:div>
    <w:div w:id="1484663673">
      <w:bodyDiv w:val="1"/>
      <w:marLeft w:val="0"/>
      <w:marRight w:val="0"/>
      <w:marTop w:val="0"/>
      <w:marBottom w:val="0"/>
      <w:divBdr>
        <w:top w:val="none" w:sz="0" w:space="0" w:color="auto"/>
        <w:left w:val="none" w:sz="0" w:space="0" w:color="auto"/>
        <w:bottom w:val="none" w:sz="0" w:space="0" w:color="auto"/>
        <w:right w:val="none" w:sz="0" w:space="0" w:color="auto"/>
      </w:divBdr>
    </w:div>
    <w:div w:id="1487237024">
      <w:bodyDiv w:val="1"/>
      <w:marLeft w:val="0"/>
      <w:marRight w:val="0"/>
      <w:marTop w:val="0"/>
      <w:marBottom w:val="0"/>
      <w:divBdr>
        <w:top w:val="none" w:sz="0" w:space="0" w:color="auto"/>
        <w:left w:val="none" w:sz="0" w:space="0" w:color="auto"/>
        <w:bottom w:val="none" w:sz="0" w:space="0" w:color="auto"/>
        <w:right w:val="none" w:sz="0" w:space="0" w:color="auto"/>
      </w:divBdr>
      <w:divsChild>
        <w:div w:id="545290831">
          <w:marLeft w:val="0"/>
          <w:marRight w:val="0"/>
          <w:marTop w:val="0"/>
          <w:marBottom w:val="0"/>
          <w:divBdr>
            <w:top w:val="none" w:sz="0" w:space="0" w:color="auto"/>
            <w:left w:val="none" w:sz="0" w:space="0" w:color="auto"/>
            <w:bottom w:val="none" w:sz="0" w:space="0" w:color="auto"/>
            <w:right w:val="none" w:sz="0" w:space="0" w:color="auto"/>
          </w:divBdr>
        </w:div>
      </w:divsChild>
    </w:div>
    <w:div w:id="1489592988">
      <w:bodyDiv w:val="1"/>
      <w:marLeft w:val="0"/>
      <w:marRight w:val="0"/>
      <w:marTop w:val="0"/>
      <w:marBottom w:val="0"/>
      <w:divBdr>
        <w:top w:val="none" w:sz="0" w:space="0" w:color="auto"/>
        <w:left w:val="none" w:sz="0" w:space="0" w:color="auto"/>
        <w:bottom w:val="none" w:sz="0" w:space="0" w:color="auto"/>
        <w:right w:val="none" w:sz="0" w:space="0" w:color="auto"/>
      </w:divBdr>
    </w:div>
    <w:div w:id="1491676362">
      <w:bodyDiv w:val="1"/>
      <w:marLeft w:val="0"/>
      <w:marRight w:val="0"/>
      <w:marTop w:val="0"/>
      <w:marBottom w:val="0"/>
      <w:divBdr>
        <w:top w:val="none" w:sz="0" w:space="0" w:color="auto"/>
        <w:left w:val="none" w:sz="0" w:space="0" w:color="auto"/>
        <w:bottom w:val="none" w:sz="0" w:space="0" w:color="auto"/>
        <w:right w:val="none" w:sz="0" w:space="0" w:color="auto"/>
      </w:divBdr>
    </w:div>
    <w:div w:id="1492334149">
      <w:bodyDiv w:val="1"/>
      <w:marLeft w:val="0"/>
      <w:marRight w:val="0"/>
      <w:marTop w:val="0"/>
      <w:marBottom w:val="0"/>
      <w:divBdr>
        <w:top w:val="none" w:sz="0" w:space="0" w:color="auto"/>
        <w:left w:val="none" w:sz="0" w:space="0" w:color="auto"/>
        <w:bottom w:val="none" w:sz="0" w:space="0" w:color="auto"/>
        <w:right w:val="none" w:sz="0" w:space="0" w:color="auto"/>
      </w:divBdr>
    </w:div>
    <w:div w:id="1508785011">
      <w:bodyDiv w:val="1"/>
      <w:marLeft w:val="0"/>
      <w:marRight w:val="0"/>
      <w:marTop w:val="0"/>
      <w:marBottom w:val="0"/>
      <w:divBdr>
        <w:top w:val="none" w:sz="0" w:space="0" w:color="auto"/>
        <w:left w:val="none" w:sz="0" w:space="0" w:color="auto"/>
        <w:bottom w:val="none" w:sz="0" w:space="0" w:color="auto"/>
        <w:right w:val="none" w:sz="0" w:space="0" w:color="auto"/>
      </w:divBdr>
    </w:div>
    <w:div w:id="1509175527">
      <w:bodyDiv w:val="1"/>
      <w:marLeft w:val="0"/>
      <w:marRight w:val="0"/>
      <w:marTop w:val="0"/>
      <w:marBottom w:val="0"/>
      <w:divBdr>
        <w:top w:val="none" w:sz="0" w:space="0" w:color="auto"/>
        <w:left w:val="none" w:sz="0" w:space="0" w:color="auto"/>
        <w:bottom w:val="none" w:sz="0" w:space="0" w:color="auto"/>
        <w:right w:val="none" w:sz="0" w:space="0" w:color="auto"/>
      </w:divBdr>
    </w:div>
    <w:div w:id="1512062022">
      <w:bodyDiv w:val="1"/>
      <w:marLeft w:val="0"/>
      <w:marRight w:val="0"/>
      <w:marTop w:val="0"/>
      <w:marBottom w:val="0"/>
      <w:divBdr>
        <w:top w:val="none" w:sz="0" w:space="0" w:color="auto"/>
        <w:left w:val="none" w:sz="0" w:space="0" w:color="auto"/>
        <w:bottom w:val="none" w:sz="0" w:space="0" w:color="auto"/>
        <w:right w:val="none" w:sz="0" w:space="0" w:color="auto"/>
      </w:divBdr>
    </w:div>
    <w:div w:id="1522888943">
      <w:bodyDiv w:val="1"/>
      <w:marLeft w:val="0"/>
      <w:marRight w:val="0"/>
      <w:marTop w:val="0"/>
      <w:marBottom w:val="0"/>
      <w:divBdr>
        <w:top w:val="none" w:sz="0" w:space="0" w:color="auto"/>
        <w:left w:val="none" w:sz="0" w:space="0" w:color="auto"/>
        <w:bottom w:val="none" w:sz="0" w:space="0" w:color="auto"/>
        <w:right w:val="none" w:sz="0" w:space="0" w:color="auto"/>
      </w:divBdr>
    </w:div>
    <w:div w:id="1534074536">
      <w:bodyDiv w:val="1"/>
      <w:marLeft w:val="0"/>
      <w:marRight w:val="0"/>
      <w:marTop w:val="0"/>
      <w:marBottom w:val="0"/>
      <w:divBdr>
        <w:top w:val="none" w:sz="0" w:space="0" w:color="auto"/>
        <w:left w:val="none" w:sz="0" w:space="0" w:color="auto"/>
        <w:bottom w:val="none" w:sz="0" w:space="0" w:color="auto"/>
        <w:right w:val="none" w:sz="0" w:space="0" w:color="auto"/>
      </w:divBdr>
    </w:div>
    <w:div w:id="1541552513">
      <w:bodyDiv w:val="1"/>
      <w:marLeft w:val="0"/>
      <w:marRight w:val="0"/>
      <w:marTop w:val="0"/>
      <w:marBottom w:val="0"/>
      <w:divBdr>
        <w:top w:val="none" w:sz="0" w:space="0" w:color="auto"/>
        <w:left w:val="none" w:sz="0" w:space="0" w:color="auto"/>
        <w:bottom w:val="none" w:sz="0" w:space="0" w:color="auto"/>
        <w:right w:val="none" w:sz="0" w:space="0" w:color="auto"/>
      </w:divBdr>
    </w:div>
    <w:div w:id="1557935791">
      <w:bodyDiv w:val="1"/>
      <w:marLeft w:val="0"/>
      <w:marRight w:val="0"/>
      <w:marTop w:val="0"/>
      <w:marBottom w:val="0"/>
      <w:divBdr>
        <w:top w:val="none" w:sz="0" w:space="0" w:color="auto"/>
        <w:left w:val="none" w:sz="0" w:space="0" w:color="auto"/>
        <w:bottom w:val="none" w:sz="0" w:space="0" w:color="auto"/>
        <w:right w:val="none" w:sz="0" w:space="0" w:color="auto"/>
      </w:divBdr>
    </w:div>
    <w:div w:id="1563565484">
      <w:bodyDiv w:val="1"/>
      <w:marLeft w:val="0"/>
      <w:marRight w:val="0"/>
      <w:marTop w:val="0"/>
      <w:marBottom w:val="0"/>
      <w:divBdr>
        <w:top w:val="none" w:sz="0" w:space="0" w:color="auto"/>
        <w:left w:val="none" w:sz="0" w:space="0" w:color="auto"/>
        <w:bottom w:val="none" w:sz="0" w:space="0" w:color="auto"/>
        <w:right w:val="none" w:sz="0" w:space="0" w:color="auto"/>
      </w:divBdr>
    </w:div>
    <w:div w:id="1573393395">
      <w:bodyDiv w:val="1"/>
      <w:marLeft w:val="0"/>
      <w:marRight w:val="0"/>
      <w:marTop w:val="0"/>
      <w:marBottom w:val="0"/>
      <w:divBdr>
        <w:top w:val="none" w:sz="0" w:space="0" w:color="auto"/>
        <w:left w:val="none" w:sz="0" w:space="0" w:color="auto"/>
        <w:bottom w:val="none" w:sz="0" w:space="0" w:color="auto"/>
        <w:right w:val="none" w:sz="0" w:space="0" w:color="auto"/>
      </w:divBdr>
    </w:div>
    <w:div w:id="1575703662">
      <w:bodyDiv w:val="1"/>
      <w:marLeft w:val="0"/>
      <w:marRight w:val="0"/>
      <w:marTop w:val="0"/>
      <w:marBottom w:val="0"/>
      <w:divBdr>
        <w:top w:val="none" w:sz="0" w:space="0" w:color="auto"/>
        <w:left w:val="none" w:sz="0" w:space="0" w:color="auto"/>
        <w:bottom w:val="none" w:sz="0" w:space="0" w:color="auto"/>
        <w:right w:val="none" w:sz="0" w:space="0" w:color="auto"/>
      </w:divBdr>
    </w:div>
    <w:div w:id="1588735239">
      <w:bodyDiv w:val="1"/>
      <w:marLeft w:val="0"/>
      <w:marRight w:val="0"/>
      <w:marTop w:val="0"/>
      <w:marBottom w:val="0"/>
      <w:divBdr>
        <w:top w:val="none" w:sz="0" w:space="0" w:color="auto"/>
        <w:left w:val="none" w:sz="0" w:space="0" w:color="auto"/>
        <w:bottom w:val="none" w:sz="0" w:space="0" w:color="auto"/>
        <w:right w:val="none" w:sz="0" w:space="0" w:color="auto"/>
      </w:divBdr>
    </w:div>
    <w:div w:id="1588922247">
      <w:bodyDiv w:val="1"/>
      <w:marLeft w:val="0"/>
      <w:marRight w:val="0"/>
      <w:marTop w:val="0"/>
      <w:marBottom w:val="0"/>
      <w:divBdr>
        <w:top w:val="none" w:sz="0" w:space="0" w:color="auto"/>
        <w:left w:val="none" w:sz="0" w:space="0" w:color="auto"/>
        <w:bottom w:val="none" w:sz="0" w:space="0" w:color="auto"/>
        <w:right w:val="none" w:sz="0" w:space="0" w:color="auto"/>
      </w:divBdr>
    </w:div>
    <w:div w:id="1594050960">
      <w:bodyDiv w:val="1"/>
      <w:marLeft w:val="0"/>
      <w:marRight w:val="0"/>
      <w:marTop w:val="0"/>
      <w:marBottom w:val="0"/>
      <w:divBdr>
        <w:top w:val="none" w:sz="0" w:space="0" w:color="auto"/>
        <w:left w:val="none" w:sz="0" w:space="0" w:color="auto"/>
        <w:bottom w:val="none" w:sz="0" w:space="0" w:color="auto"/>
        <w:right w:val="none" w:sz="0" w:space="0" w:color="auto"/>
      </w:divBdr>
    </w:div>
    <w:div w:id="1601716966">
      <w:bodyDiv w:val="1"/>
      <w:marLeft w:val="0"/>
      <w:marRight w:val="0"/>
      <w:marTop w:val="0"/>
      <w:marBottom w:val="0"/>
      <w:divBdr>
        <w:top w:val="none" w:sz="0" w:space="0" w:color="auto"/>
        <w:left w:val="none" w:sz="0" w:space="0" w:color="auto"/>
        <w:bottom w:val="none" w:sz="0" w:space="0" w:color="auto"/>
        <w:right w:val="none" w:sz="0" w:space="0" w:color="auto"/>
      </w:divBdr>
    </w:div>
    <w:div w:id="1602110129">
      <w:bodyDiv w:val="1"/>
      <w:marLeft w:val="0"/>
      <w:marRight w:val="0"/>
      <w:marTop w:val="0"/>
      <w:marBottom w:val="0"/>
      <w:divBdr>
        <w:top w:val="none" w:sz="0" w:space="0" w:color="auto"/>
        <w:left w:val="none" w:sz="0" w:space="0" w:color="auto"/>
        <w:bottom w:val="none" w:sz="0" w:space="0" w:color="auto"/>
        <w:right w:val="none" w:sz="0" w:space="0" w:color="auto"/>
      </w:divBdr>
    </w:div>
    <w:div w:id="1608154838">
      <w:bodyDiv w:val="1"/>
      <w:marLeft w:val="0"/>
      <w:marRight w:val="0"/>
      <w:marTop w:val="0"/>
      <w:marBottom w:val="0"/>
      <w:divBdr>
        <w:top w:val="none" w:sz="0" w:space="0" w:color="auto"/>
        <w:left w:val="none" w:sz="0" w:space="0" w:color="auto"/>
        <w:bottom w:val="none" w:sz="0" w:space="0" w:color="auto"/>
        <w:right w:val="none" w:sz="0" w:space="0" w:color="auto"/>
      </w:divBdr>
    </w:div>
    <w:div w:id="1620407039">
      <w:bodyDiv w:val="1"/>
      <w:marLeft w:val="0"/>
      <w:marRight w:val="0"/>
      <w:marTop w:val="0"/>
      <w:marBottom w:val="0"/>
      <w:divBdr>
        <w:top w:val="none" w:sz="0" w:space="0" w:color="auto"/>
        <w:left w:val="none" w:sz="0" w:space="0" w:color="auto"/>
        <w:bottom w:val="none" w:sz="0" w:space="0" w:color="auto"/>
        <w:right w:val="none" w:sz="0" w:space="0" w:color="auto"/>
      </w:divBdr>
    </w:div>
    <w:div w:id="1620839273">
      <w:bodyDiv w:val="1"/>
      <w:marLeft w:val="0"/>
      <w:marRight w:val="0"/>
      <w:marTop w:val="0"/>
      <w:marBottom w:val="0"/>
      <w:divBdr>
        <w:top w:val="none" w:sz="0" w:space="0" w:color="auto"/>
        <w:left w:val="none" w:sz="0" w:space="0" w:color="auto"/>
        <w:bottom w:val="none" w:sz="0" w:space="0" w:color="auto"/>
        <w:right w:val="none" w:sz="0" w:space="0" w:color="auto"/>
      </w:divBdr>
    </w:div>
    <w:div w:id="1622498765">
      <w:bodyDiv w:val="1"/>
      <w:marLeft w:val="0"/>
      <w:marRight w:val="0"/>
      <w:marTop w:val="0"/>
      <w:marBottom w:val="0"/>
      <w:divBdr>
        <w:top w:val="none" w:sz="0" w:space="0" w:color="auto"/>
        <w:left w:val="none" w:sz="0" w:space="0" w:color="auto"/>
        <w:bottom w:val="none" w:sz="0" w:space="0" w:color="auto"/>
        <w:right w:val="none" w:sz="0" w:space="0" w:color="auto"/>
      </w:divBdr>
    </w:div>
    <w:div w:id="1622690614">
      <w:bodyDiv w:val="1"/>
      <w:marLeft w:val="0"/>
      <w:marRight w:val="0"/>
      <w:marTop w:val="0"/>
      <w:marBottom w:val="0"/>
      <w:divBdr>
        <w:top w:val="none" w:sz="0" w:space="0" w:color="auto"/>
        <w:left w:val="none" w:sz="0" w:space="0" w:color="auto"/>
        <w:bottom w:val="none" w:sz="0" w:space="0" w:color="auto"/>
        <w:right w:val="none" w:sz="0" w:space="0" w:color="auto"/>
      </w:divBdr>
    </w:div>
    <w:div w:id="1627813574">
      <w:bodyDiv w:val="1"/>
      <w:marLeft w:val="0"/>
      <w:marRight w:val="0"/>
      <w:marTop w:val="0"/>
      <w:marBottom w:val="0"/>
      <w:divBdr>
        <w:top w:val="none" w:sz="0" w:space="0" w:color="auto"/>
        <w:left w:val="none" w:sz="0" w:space="0" w:color="auto"/>
        <w:bottom w:val="none" w:sz="0" w:space="0" w:color="auto"/>
        <w:right w:val="none" w:sz="0" w:space="0" w:color="auto"/>
      </w:divBdr>
    </w:div>
    <w:div w:id="1632202968">
      <w:bodyDiv w:val="1"/>
      <w:marLeft w:val="0"/>
      <w:marRight w:val="0"/>
      <w:marTop w:val="0"/>
      <w:marBottom w:val="0"/>
      <w:divBdr>
        <w:top w:val="none" w:sz="0" w:space="0" w:color="auto"/>
        <w:left w:val="none" w:sz="0" w:space="0" w:color="auto"/>
        <w:bottom w:val="none" w:sz="0" w:space="0" w:color="auto"/>
        <w:right w:val="none" w:sz="0" w:space="0" w:color="auto"/>
      </w:divBdr>
    </w:div>
    <w:div w:id="1650552291">
      <w:bodyDiv w:val="1"/>
      <w:marLeft w:val="0"/>
      <w:marRight w:val="0"/>
      <w:marTop w:val="0"/>
      <w:marBottom w:val="0"/>
      <w:divBdr>
        <w:top w:val="none" w:sz="0" w:space="0" w:color="auto"/>
        <w:left w:val="none" w:sz="0" w:space="0" w:color="auto"/>
        <w:bottom w:val="none" w:sz="0" w:space="0" w:color="auto"/>
        <w:right w:val="none" w:sz="0" w:space="0" w:color="auto"/>
      </w:divBdr>
    </w:div>
    <w:div w:id="1651977196">
      <w:bodyDiv w:val="1"/>
      <w:marLeft w:val="0"/>
      <w:marRight w:val="0"/>
      <w:marTop w:val="0"/>
      <w:marBottom w:val="0"/>
      <w:divBdr>
        <w:top w:val="none" w:sz="0" w:space="0" w:color="auto"/>
        <w:left w:val="none" w:sz="0" w:space="0" w:color="auto"/>
        <w:bottom w:val="none" w:sz="0" w:space="0" w:color="auto"/>
        <w:right w:val="none" w:sz="0" w:space="0" w:color="auto"/>
      </w:divBdr>
    </w:div>
    <w:div w:id="1654407249">
      <w:bodyDiv w:val="1"/>
      <w:marLeft w:val="0"/>
      <w:marRight w:val="0"/>
      <w:marTop w:val="0"/>
      <w:marBottom w:val="0"/>
      <w:divBdr>
        <w:top w:val="none" w:sz="0" w:space="0" w:color="auto"/>
        <w:left w:val="none" w:sz="0" w:space="0" w:color="auto"/>
        <w:bottom w:val="none" w:sz="0" w:space="0" w:color="auto"/>
        <w:right w:val="none" w:sz="0" w:space="0" w:color="auto"/>
      </w:divBdr>
    </w:div>
    <w:div w:id="1654524425">
      <w:bodyDiv w:val="1"/>
      <w:marLeft w:val="0"/>
      <w:marRight w:val="0"/>
      <w:marTop w:val="0"/>
      <w:marBottom w:val="0"/>
      <w:divBdr>
        <w:top w:val="none" w:sz="0" w:space="0" w:color="auto"/>
        <w:left w:val="none" w:sz="0" w:space="0" w:color="auto"/>
        <w:bottom w:val="none" w:sz="0" w:space="0" w:color="auto"/>
        <w:right w:val="none" w:sz="0" w:space="0" w:color="auto"/>
      </w:divBdr>
    </w:div>
    <w:div w:id="1662466438">
      <w:bodyDiv w:val="1"/>
      <w:marLeft w:val="0"/>
      <w:marRight w:val="0"/>
      <w:marTop w:val="0"/>
      <w:marBottom w:val="0"/>
      <w:divBdr>
        <w:top w:val="none" w:sz="0" w:space="0" w:color="auto"/>
        <w:left w:val="none" w:sz="0" w:space="0" w:color="auto"/>
        <w:bottom w:val="none" w:sz="0" w:space="0" w:color="auto"/>
        <w:right w:val="none" w:sz="0" w:space="0" w:color="auto"/>
      </w:divBdr>
    </w:div>
    <w:div w:id="1665745899">
      <w:bodyDiv w:val="1"/>
      <w:marLeft w:val="0"/>
      <w:marRight w:val="0"/>
      <w:marTop w:val="0"/>
      <w:marBottom w:val="0"/>
      <w:divBdr>
        <w:top w:val="none" w:sz="0" w:space="0" w:color="auto"/>
        <w:left w:val="none" w:sz="0" w:space="0" w:color="auto"/>
        <w:bottom w:val="none" w:sz="0" w:space="0" w:color="auto"/>
        <w:right w:val="none" w:sz="0" w:space="0" w:color="auto"/>
      </w:divBdr>
    </w:div>
    <w:div w:id="1672292326">
      <w:bodyDiv w:val="1"/>
      <w:marLeft w:val="0"/>
      <w:marRight w:val="0"/>
      <w:marTop w:val="0"/>
      <w:marBottom w:val="0"/>
      <w:divBdr>
        <w:top w:val="none" w:sz="0" w:space="0" w:color="auto"/>
        <w:left w:val="none" w:sz="0" w:space="0" w:color="auto"/>
        <w:bottom w:val="none" w:sz="0" w:space="0" w:color="auto"/>
        <w:right w:val="none" w:sz="0" w:space="0" w:color="auto"/>
      </w:divBdr>
    </w:div>
    <w:div w:id="1672294183">
      <w:bodyDiv w:val="1"/>
      <w:marLeft w:val="0"/>
      <w:marRight w:val="0"/>
      <w:marTop w:val="0"/>
      <w:marBottom w:val="0"/>
      <w:divBdr>
        <w:top w:val="none" w:sz="0" w:space="0" w:color="auto"/>
        <w:left w:val="none" w:sz="0" w:space="0" w:color="auto"/>
        <w:bottom w:val="none" w:sz="0" w:space="0" w:color="auto"/>
        <w:right w:val="none" w:sz="0" w:space="0" w:color="auto"/>
      </w:divBdr>
    </w:div>
    <w:div w:id="1672415573">
      <w:bodyDiv w:val="1"/>
      <w:marLeft w:val="0"/>
      <w:marRight w:val="0"/>
      <w:marTop w:val="0"/>
      <w:marBottom w:val="0"/>
      <w:divBdr>
        <w:top w:val="none" w:sz="0" w:space="0" w:color="auto"/>
        <w:left w:val="none" w:sz="0" w:space="0" w:color="auto"/>
        <w:bottom w:val="none" w:sz="0" w:space="0" w:color="auto"/>
        <w:right w:val="none" w:sz="0" w:space="0" w:color="auto"/>
      </w:divBdr>
    </w:div>
    <w:div w:id="1681665400">
      <w:bodyDiv w:val="1"/>
      <w:marLeft w:val="0"/>
      <w:marRight w:val="0"/>
      <w:marTop w:val="0"/>
      <w:marBottom w:val="0"/>
      <w:divBdr>
        <w:top w:val="none" w:sz="0" w:space="0" w:color="auto"/>
        <w:left w:val="none" w:sz="0" w:space="0" w:color="auto"/>
        <w:bottom w:val="none" w:sz="0" w:space="0" w:color="auto"/>
        <w:right w:val="none" w:sz="0" w:space="0" w:color="auto"/>
      </w:divBdr>
    </w:div>
    <w:div w:id="1682660790">
      <w:bodyDiv w:val="1"/>
      <w:marLeft w:val="0"/>
      <w:marRight w:val="0"/>
      <w:marTop w:val="0"/>
      <w:marBottom w:val="0"/>
      <w:divBdr>
        <w:top w:val="none" w:sz="0" w:space="0" w:color="auto"/>
        <w:left w:val="none" w:sz="0" w:space="0" w:color="auto"/>
        <w:bottom w:val="none" w:sz="0" w:space="0" w:color="auto"/>
        <w:right w:val="none" w:sz="0" w:space="0" w:color="auto"/>
      </w:divBdr>
    </w:div>
    <w:div w:id="1684357429">
      <w:bodyDiv w:val="1"/>
      <w:marLeft w:val="0"/>
      <w:marRight w:val="0"/>
      <w:marTop w:val="0"/>
      <w:marBottom w:val="0"/>
      <w:divBdr>
        <w:top w:val="none" w:sz="0" w:space="0" w:color="auto"/>
        <w:left w:val="none" w:sz="0" w:space="0" w:color="auto"/>
        <w:bottom w:val="none" w:sz="0" w:space="0" w:color="auto"/>
        <w:right w:val="none" w:sz="0" w:space="0" w:color="auto"/>
      </w:divBdr>
    </w:div>
    <w:div w:id="1698118572">
      <w:bodyDiv w:val="1"/>
      <w:marLeft w:val="0"/>
      <w:marRight w:val="0"/>
      <w:marTop w:val="0"/>
      <w:marBottom w:val="0"/>
      <w:divBdr>
        <w:top w:val="none" w:sz="0" w:space="0" w:color="auto"/>
        <w:left w:val="none" w:sz="0" w:space="0" w:color="auto"/>
        <w:bottom w:val="none" w:sz="0" w:space="0" w:color="auto"/>
        <w:right w:val="none" w:sz="0" w:space="0" w:color="auto"/>
      </w:divBdr>
    </w:div>
    <w:div w:id="1706901806">
      <w:bodyDiv w:val="1"/>
      <w:marLeft w:val="0"/>
      <w:marRight w:val="0"/>
      <w:marTop w:val="0"/>
      <w:marBottom w:val="0"/>
      <w:divBdr>
        <w:top w:val="none" w:sz="0" w:space="0" w:color="auto"/>
        <w:left w:val="none" w:sz="0" w:space="0" w:color="auto"/>
        <w:bottom w:val="none" w:sz="0" w:space="0" w:color="auto"/>
        <w:right w:val="none" w:sz="0" w:space="0" w:color="auto"/>
      </w:divBdr>
    </w:div>
    <w:div w:id="1734617819">
      <w:bodyDiv w:val="1"/>
      <w:marLeft w:val="0"/>
      <w:marRight w:val="0"/>
      <w:marTop w:val="0"/>
      <w:marBottom w:val="0"/>
      <w:divBdr>
        <w:top w:val="none" w:sz="0" w:space="0" w:color="auto"/>
        <w:left w:val="none" w:sz="0" w:space="0" w:color="auto"/>
        <w:bottom w:val="none" w:sz="0" w:space="0" w:color="auto"/>
        <w:right w:val="none" w:sz="0" w:space="0" w:color="auto"/>
      </w:divBdr>
    </w:div>
    <w:div w:id="1734618178">
      <w:bodyDiv w:val="1"/>
      <w:marLeft w:val="0"/>
      <w:marRight w:val="0"/>
      <w:marTop w:val="0"/>
      <w:marBottom w:val="0"/>
      <w:divBdr>
        <w:top w:val="none" w:sz="0" w:space="0" w:color="auto"/>
        <w:left w:val="none" w:sz="0" w:space="0" w:color="auto"/>
        <w:bottom w:val="none" w:sz="0" w:space="0" w:color="auto"/>
        <w:right w:val="none" w:sz="0" w:space="0" w:color="auto"/>
      </w:divBdr>
    </w:div>
    <w:div w:id="1745684022">
      <w:bodyDiv w:val="1"/>
      <w:marLeft w:val="0"/>
      <w:marRight w:val="0"/>
      <w:marTop w:val="0"/>
      <w:marBottom w:val="0"/>
      <w:divBdr>
        <w:top w:val="none" w:sz="0" w:space="0" w:color="auto"/>
        <w:left w:val="none" w:sz="0" w:space="0" w:color="auto"/>
        <w:bottom w:val="none" w:sz="0" w:space="0" w:color="auto"/>
        <w:right w:val="none" w:sz="0" w:space="0" w:color="auto"/>
      </w:divBdr>
    </w:div>
    <w:div w:id="1795295527">
      <w:bodyDiv w:val="1"/>
      <w:marLeft w:val="0"/>
      <w:marRight w:val="0"/>
      <w:marTop w:val="0"/>
      <w:marBottom w:val="0"/>
      <w:divBdr>
        <w:top w:val="none" w:sz="0" w:space="0" w:color="auto"/>
        <w:left w:val="none" w:sz="0" w:space="0" w:color="auto"/>
        <w:bottom w:val="none" w:sz="0" w:space="0" w:color="auto"/>
        <w:right w:val="none" w:sz="0" w:space="0" w:color="auto"/>
      </w:divBdr>
    </w:div>
    <w:div w:id="1795515526">
      <w:bodyDiv w:val="1"/>
      <w:marLeft w:val="0"/>
      <w:marRight w:val="0"/>
      <w:marTop w:val="0"/>
      <w:marBottom w:val="0"/>
      <w:divBdr>
        <w:top w:val="none" w:sz="0" w:space="0" w:color="auto"/>
        <w:left w:val="none" w:sz="0" w:space="0" w:color="auto"/>
        <w:bottom w:val="none" w:sz="0" w:space="0" w:color="auto"/>
        <w:right w:val="none" w:sz="0" w:space="0" w:color="auto"/>
      </w:divBdr>
    </w:div>
    <w:div w:id="1796097993">
      <w:bodyDiv w:val="1"/>
      <w:marLeft w:val="0"/>
      <w:marRight w:val="0"/>
      <w:marTop w:val="0"/>
      <w:marBottom w:val="0"/>
      <w:divBdr>
        <w:top w:val="none" w:sz="0" w:space="0" w:color="auto"/>
        <w:left w:val="none" w:sz="0" w:space="0" w:color="auto"/>
        <w:bottom w:val="none" w:sz="0" w:space="0" w:color="auto"/>
        <w:right w:val="none" w:sz="0" w:space="0" w:color="auto"/>
      </w:divBdr>
    </w:div>
    <w:div w:id="1799256605">
      <w:bodyDiv w:val="1"/>
      <w:marLeft w:val="0"/>
      <w:marRight w:val="0"/>
      <w:marTop w:val="0"/>
      <w:marBottom w:val="0"/>
      <w:divBdr>
        <w:top w:val="none" w:sz="0" w:space="0" w:color="auto"/>
        <w:left w:val="none" w:sz="0" w:space="0" w:color="auto"/>
        <w:bottom w:val="none" w:sz="0" w:space="0" w:color="auto"/>
        <w:right w:val="none" w:sz="0" w:space="0" w:color="auto"/>
      </w:divBdr>
    </w:div>
    <w:div w:id="1813988031">
      <w:bodyDiv w:val="1"/>
      <w:marLeft w:val="0"/>
      <w:marRight w:val="0"/>
      <w:marTop w:val="0"/>
      <w:marBottom w:val="0"/>
      <w:divBdr>
        <w:top w:val="none" w:sz="0" w:space="0" w:color="auto"/>
        <w:left w:val="none" w:sz="0" w:space="0" w:color="auto"/>
        <w:bottom w:val="none" w:sz="0" w:space="0" w:color="auto"/>
        <w:right w:val="none" w:sz="0" w:space="0" w:color="auto"/>
      </w:divBdr>
    </w:div>
    <w:div w:id="1818960703">
      <w:bodyDiv w:val="1"/>
      <w:marLeft w:val="0"/>
      <w:marRight w:val="0"/>
      <w:marTop w:val="0"/>
      <w:marBottom w:val="0"/>
      <w:divBdr>
        <w:top w:val="none" w:sz="0" w:space="0" w:color="auto"/>
        <w:left w:val="none" w:sz="0" w:space="0" w:color="auto"/>
        <w:bottom w:val="none" w:sz="0" w:space="0" w:color="auto"/>
        <w:right w:val="none" w:sz="0" w:space="0" w:color="auto"/>
      </w:divBdr>
    </w:div>
    <w:div w:id="1826437058">
      <w:bodyDiv w:val="1"/>
      <w:marLeft w:val="0"/>
      <w:marRight w:val="0"/>
      <w:marTop w:val="0"/>
      <w:marBottom w:val="0"/>
      <w:divBdr>
        <w:top w:val="none" w:sz="0" w:space="0" w:color="auto"/>
        <w:left w:val="none" w:sz="0" w:space="0" w:color="auto"/>
        <w:bottom w:val="none" w:sz="0" w:space="0" w:color="auto"/>
        <w:right w:val="none" w:sz="0" w:space="0" w:color="auto"/>
      </w:divBdr>
    </w:div>
    <w:div w:id="1835611363">
      <w:bodyDiv w:val="1"/>
      <w:marLeft w:val="0"/>
      <w:marRight w:val="0"/>
      <w:marTop w:val="0"/>
      <w:marBottom w:val="0"/>
      <w:divBdr>
        <w:top w:val="none" w:sz="0" w:space="0" w:color="auto"/>
        <w:left w:val="none" w:sz="0" w:space="0" w:color="auto"/>
        <w:bottom w:val="none" w:sz="0" w:space="0" w:color="auto"/>
        <w:right w:val="none" w:sz="0" w:space="0" w:color="auto"/>
      </w:divBdr>
    </w:div>
    <w:div w:id="1855455865">
      <w:bodyDiv w:val="1"/>
      <w:marLeft w:val="0"/>
      <w:marRight w:val="0"/>
      <w:marTop w:val="0"/>
      <w:marBottom w:val="0"/>
      <w:divBdr>
        <w:top w:val="none" w:sz="0" w:space="0" w:color="auto"/>
        <w:left w:val="none" w:sz="0" w:space="0" w:color="auto"/>
        <w:bottom w:val="none" w:sz="0" w:space="0" w:color="auto"/>
        <w:right w:val="none" w:sz="0" w:space="0" w:color="auto"/>
      </w:divBdr>
    </w:div>
    <w:div w:id="1862085852">
      <w:bodyDiv w:val="1"/>
      <w:marLeft w:val="0"/>
      <w:marRight w:val="0"/>
      <w:marTop w:val="0"/>
      <w:marBottom w:val="0"/>
      <w:divBdr>
        <w:top w:val="none" w:sz="0" w:space="0" w:color="auto"/>
        <w:left w:val="none" w:sz="0" w:space="0" w:color="auto"/>
        <w:bottom w:val="none" w:sz="0" w:space="0" w:color="auto"/>
        <w:right w:val="none" w:sz="0" w:space="0" w:color="auto"/>
      </w:divBdr>
    </w:div>
    <w:div w:id="1863202926">
      <w:bodyDiv w:val="1"/>
      <w:marLeft w:val="0"/>
      <w:marRight w:val="0"/>
      <w:marTop w:val="0"/>
      <w:marBottom w:val="0"/>
      <w:divBdr>
        <w:top w:val="none" w:sz="0" w:space="0" w:color="auto"/>
        <w:left w:val="none" w:sz="0" w:space="0" w:color="auto"/>
        <w:bottom w:val="none" w:sz="0" w:space="0" w:color="auto"/>
        <w:right w:val="none" w:sz="0" w:space="0" w:color="auto"/>
      </w:divBdr>
    </w:div>
    <w:div w:id="1866866186">
      <w:bodyDiv w:val="1"/>
      <w:marLeft w:val="0"/>
      <w:marRight w:val="0"/>
      <w:marTop w:val="0"/>
      <w:marBottom w:val="0"/>
      <w:divBdr>
        <w:top w:val="none" w:sz="0" w:space="0" w:color="auto"/>
        <w:left w:val="none" w:sz="0" w:space="0" w:color="auto"/>
        <w:bottom w:val="none" w:sz="0" w:space="0" w:color="auto"/>
        <w:right w:val="none" w:sz="0" w:space="0" w:color="auto"/>
      </w:divBdr>
    </w:div>
    <w:div w:id="1875195056">
      <w:bodyDiv w:val="1"/>
      <w:marLeft w:val="0"/>
      <w:marRight w:val="0"/>
      <w:marTop w:val="0"/>
      <w:marBottom w:val="0"/>
      <w:divBdr>
        <w:top w:val="none" w:sz="0" w:space="0" w:color="auto"/>
        <w:left w:val="none" w:sz="0" w:space="0" w:color="auto"/>
        <w:bottom w:val="none" w:sz="0" w:space="0" w:color="auto"/>
        <w:right w:val="none" w:sz="0" w:space="0" w:color="auto"/>
      </w:divBdr>
    </w:div>
    <w:div w:id="1925603618">
      <w:bodyDiv w:val="1"/>
      <w:marLeft w:val="0"/>
      <w:marRight w:val="0"/>
      <w:marTop w:val="0"/>
      <w:marBottom w:val="0"/>
      <w:divBdr>
        <w:top w:val="none" w:sz="0" w:space="0" w:color="auto"/>
        <w:left w:val="none" w:sz="0" w:space="0" w:color="auto"/>
        <w:bottom w:val="none" w:sz="0" w:space="0" w:color="auto"/>
        <w:right w:val="none" w:sz="0" w:space="0" w:color="auto"/>
      </w:divBdr>
    </w:div>
    <w:div w:id="1930650502">
      <w:bodyDiv w:val="1"/>
      <w:marLeft w:val="0"/>
      <w:marRight w:val="0"/>
      <w:marTop w:val="0"/>
      <w:marBottom w:val="0"/>
      <w:divBdr>
        <w:top w:val="none" w:sz="0" w:space="0" w:color="auto"/>
        <w:left w:val="none" w:sz="0" w:space="0" w:color="auto"/>
        <w:bottom w:val="none" w:sz="0" w:space="0" w:color="auto"/>
        <w:right w:val="none" w:sz="0" w:space="0" w:color="auto"/>
      </w:divBdr>
    </w:div>
    <w:div w:id="1934236846">
      <w:bodyDiv w:val="1"/>
      <w:marLeft w:val="0"/>
      <w:marRight w:val="0"/>
      <w:marTop w:val="0"/>
      <w:marBottom w:val="0"/>
      <w:divBdr>
        <w:top w:val="none" w:sz="0" w:space="0" w:color="auto"/>
        <w:left w:val="none" w:sz="0" w:space="0" w:color="auto"/>
        <w:bottom w:val="none" w:sz="0" w:space="0" w:color="auto"/>
        <w:right w:val="none" w:sz="0" w:space="0" w:color="auto"/>
      </w:divBdr>
    </w:div>
    <w:div w:id="1946498651">
      <w:bodyDiv w:val="1"/>
      <w:marLeft w:val="0"/>
      <w:marRight w:val="0"/>
      <w:marTop w:val="0"/>
      <w:marBottom w:val="0"/>
      <w:divBdr>
        <w:top w:val="none" w:sz="0" w:space="0" w:color="auto"/>
        <w:left w:val="none" w:sz="0" w:space="0" w:color="auto"/>
        <w:bottom w:val="none" w:sz="0" w:space="0" w:color="auto"/>
        <w:right w:val="none" w:sz="0" w:space="0" w:color="auto"/>
      </w:divBdr>
    </w:div>
    <w:div w:id="1950425270">
      <w:bodyDiv w:val="1"/>
      <w:marLeft w:val="0"/>
      <w:marRight w:val="0"/>
      <w:marTop w:val="0"/>
      <w:marBottom w:val="0"/>
      <w:divBdr>
        <w:top w:val="none" w:sz="0" w:space="0" w:color="auto"/>
        <w:left w:val="none" w:sz="0" w:space="0" w:color="auto"/>
        <w:bottom w:val="none" w:sz="0" w:space="0" w:color="auto"/>
        <w:right w:val="none" w:sz="0" w:space="0" w:color="auto"/>
      </w:divBdr>
    </w:div>
    <w:div w:id="1952937882">
      <w:bodyDiv w:val="1"/>
      <w:marLeft w:val="0"/>
      <w:marRight w:val="0"/>
      <w:marTop w:val="0"/>
      <w:marBottom w:val="0"/>
      <w:divBdr>
        <w:top w:val="none" w:sz="0" w:space="0" w:color="auto"/>
        <w:left w:val="none" w:sz="0" w:space="0" w:color="auto"/>
        <w:bottom w:val="none" w:sz="0" w:space="0" w:color="auto"/>
        <w:right w:val="none" w:sz="0" w:space="0" w:color="auto"/>
      </w:divBdr>
    </w:div>
    <w:div w:id="1958180016">
      <w:bodyDiv w:val="1"/>
      <w:marLeft w:val="0"/>
      <w:marRight w:val="0"/>
      <w:marTop w:val="0"/>
      <w:marBottom w:val="0"/>
      <w:divBdr>
        <w:top w:val="none" w:sz="0" w:space="0" w:color="auto"/>
        <w:left w:val="none" w:sz="0" w:space="0" w:color="auto"/>
        <w:bottom w:val="none" w:sz="0" w:space="0" w:color="auto"/>
        <w:right w:val="none" w:sz="0" w:space="0" w:color="auto"/>
      </w:divBdr>
    </w:div>
    <w:div w:id="1960185361">
      <w:bodyDiv w:val="1"/>
      <w:marLeft w:val="0"/>
      <w:marRight w:val="0"/>
      <w:marTop w:val="0"/>
      <w:marBottom w:val="0"/>
      <w:divBdr>
        <w:top w:val="none" w:sz="0" w:space="0" w:color="auto"/>
        <w:left w:val="none" w:sz="0" w:space="0" w:color="auto"/>
        <w:bottom w:val="none" w:sz="0" w:space="0" w:color="auto"/>
        <w:right w:val="none" w:sz="0" w:space="0" w:color="auto"/>
      </w:divBdr>
    </w:div>
    <w:div w:id="1968000027">
      <w:bodyDiv w:val="1"/>
      <w:marLeft w:val="0"/>
      <w:marRight w:val="0"/>
      <w:marTop w:val="0"/>
      <w:marBottom w:val="0"/>
      <w:divBdr>
        <w:top w:val="none" w:sz="0" w:space="0" w:color="auto"/>
        <w:left w:val="none" w:sz="0" w:space="0" w:color="auto"/>
        <w:bottom w:val="none" w:sz="0" w:space="0" w:color="auto"/>
        <w:right w:val="none" w:sz="0" w:space="0" w:color="auto"/>
      </w:divBdr>
    </w:div>
    <w:div w:id="1972782751">
      <w:bodyDiv w:val="1"/>
      <w:marLeft w:val="0"/>
      <w:marRight w:val="0"/>
      <w:marTop w:val="0"/>
      <w:marBottom w:val="0"/>
      <w:divBdr>
        <w:top w:val="none" w:sz="0" w:space="0" w:color="auto"/>
        <w:left w:val="none" w:sz="0" w:space="0" w:color="auto"/>
        <w:bottom w:val="none" w:sz="0" w:space="0" w:color="auto"/>
        <w:right w:val="none" w:sz="0" w:space="0" w:color="auto"/>
      </w:divBdr>
    </w:div>
    <w:div w:id="1975258520">
      <w:bodyDiv w:val="1"/>
      <w:marLeft w:val="0"/>
      <w:marRight w:val="0"/>
      <w:marTop w:val="0"/>
      <w:marBottom w:val="0"/>
      <w:divBdr>
        <w:top w:val="none" w:sz="0" w:space="0" w:color="auto"/>
        <w:left w:val="none" w:sz="0" w:space="0" w:color="auto"/>
        <w:bottom w:val="none" w:sz="0" w:space="0" w:color="auto"/>
        <w:right w:val="none" w:sz="0" w:space="0" w:color="auto"/>
      </w:divBdr>
    </w:div>
    <w:div w:id="1995375929">
      <w:bodyDiv w:val="1"/>
      <w:marLeft w:val="0"/>
      <w:marRight w:val="0"/>
      <w:marTop w:val="0"/>
      <w:marBottom w:val="0"/>
      <w:divBdr>
        <w:top w:val="none" w:sz="0" w:space="0" w:color="auto"/>
        <w:left w:val="none" w:sz="0" w:space="0" w:color="auto"/>
        <w:bottom w:val="none" w:sz="0" w:space="0" w:color="auto"/>
        <w:right w:val="none" w:sz="0" w:space="0" w:color="auto"/>
      </w:divBdr>
    </w:div>
    <w:div w:id="1999653552">
      <w:bodyDiv w:val="1"/>
      <w:marLeft w:val="0"/>
      <w:marRight w:val="0"/>
      <w:marTop w:val="0"/>
      <w:marBottom w:val="0"/>
      <w:divBdr>
        <w:top w:val="none" w:sz="0" w:space="0" w:color="auto"/>
        <w:left w:val="none" w:sz="0" w:space="0" w:color="auto"/>
        <w:bottom w:val="none" w:sz="0" w:space="0" w:color="auto"/>
        <w:right w:val="none" w:sz="0" w:space="0" w:color="auto"/>
      </w:divBdr>
    </w:div>
    <w:div w:id="2002077733">
      <w:bodyDiv w:val="1"/>
      <w:marLeft w:val="0"/>
      <w:marRight w:val="0"/>
      <w:marTop w:val="0"/>
      <w:marBottom w:val="0"/>
      <w:divBdr>
        <w:top w:val="none" w:sz="0" w:space="0" w:color="auto"/>
        <w:left w:val="none" w:sz="0" w:space="0" w:color="auto"/>
        <w:bottom w:val="none" w:sz="0" w:space="0" w:color="auto"/>
        <w:right w:val="none" w:sz="0" w:space="0" w:color="auto"/>
      </w:divBdr>
    </w:div>
    <w:div w:id="2043552221">
      <w:bodyDiv w:val="1"/>
      <w:marLeft w:val="0"/>
      <w:marRight w:val="0"/>
      <w:marTop w:val="0"/>
      <w:marBottom w:val="0"/>
      <w:divBdr>
        <w:top w:val="none" w:sz="0" w:space="0" w:color="auto"/>
        <w:left w:val="none" w:sz="0" w:space="0" w:color="auto"/>
        <w:bottom w:val="none" w:sz="0" w:space="0" w:color="auto"/>
        <w:right w:val="none" w:sz="0" w:space="0" w:color="auto"/>
      </w:divBdr>
    </w:div>
    <w:div w:id="2063869672">
      <w:bodyDiv w:val="1"/>
      <w:marLeft w:val="0"/>
      <w:marRight w:val="0"/>
      <w:marTop w:val="0"/>
      <w:marBottom w:val="0"/>
      <w:divBdr>
        <w:top w:val="none" w:sz="0" w:space="0" w:color="auto"/>
        <w:left w:val="none" w:sz="0" w:space="0" w:color="auto"/>
        <w:bottom w:val="none" w:sz="0" w:space="0" w:color="auto"/>
        <w:right w:val="none" w:sz="0" w:space="0" w:color="auto"/>
      </w:divBdr>
    </w:div>
    <w:div w:id="2065635450">
      <w:bodyDiv w:val="1"/>
      <w:marLeft w:val="0"/>
      <w:marRight w:val="0"/>
      <w:marTop w:val="0"/>
      <w:marBottom w:val="0"/>
      <w:divBdr>
        <w:top w:val="none" w:sz="0" w:space="0" w:color="auto"/>
        <w:left w:val="none" w:sz="0" w:space="0" w:color="auto"/>
        <w:bottom w:val="none" w:sz="0" w:space="0" w:color="auto"/>
        <w:right w:val="none" w:sz="0" w:space="0" w:color="auto"/>
      </w:divBdr>
    </w:div>
    <w:div w:id="2073578254">
      <w:bodyDiv w:val="1"/>
      <w:marLeft w:val="0"/>
      <w:marRight w:val="0"/>
      <w:marTop w:val="0"/>
      <w:marBottom w:val="0"/>
      <w:divBdr>
        <w:top w:val="none" w:sz="0" w:space="0" w:color="auto"/>
        <w:left w:val="none" w:sz="0" w:space="0" w:color="auto"/>
        <w:bottom w:val="none" w:sz="0" w:space="0" w:color="auto"/>
        <w:right w:val="none" w:sz="0" w:space="0" w:color="auto"/>
      </w:divBdr>
    </w:div>
    <w:div w:id="2075883867">
      <w:bodyDiv w:val="1"/>
      <w:marLeft w:val="0"/>
      <w:marRight w:val="0"/>
      <w:marTop w:val="0"/>
      <w:marBottom w:val="0"/>
      <w:divBdr>
        <w:top w:val="none" w:sz="0" w:space="0" w:color="auto"/>
        <w:left w:val="none" w:sz="0" w:space="0" w:color="auto"/>
        <w:bottom w:val="none" w:sz="0" w:space="0" w:color="auto"/>
        <w:right w:val="none" w:sz="0" w:space="0" w:color="auto"/>
      </w:divBdr>
    </w:div>
    <w:div w:id="2090614293">
      <w:bodyDiv w:val="1"/>
      <w:marLeft w:val="0"/>
      <w:marRight w:val="0"/>
      <w:marTop w:val="0"/>
      <w:marBottom w:val="0"/>
      <w:divBdr>
        <w:top w:val="none" w:sz="0" w:space="0" w:color="auto"/>
        <w:left w:val="none" w:sz="0" w:space="0" w:color="auto"/>
        <w:bottom w:val="none" w:sz="0" w:space="0" w:color="auto"/>
        <w:right w:val="none" w:sz="0" w:space="0" w:color="auto"/>
      </w:divBdr>
    </w:div>
    <w:div w:id="2095281216">
      <w:bodyDiv w:val="1"/>
      <w:marLeft w:val="0"/>
      <w:marRight w:val="0"/>
      <w:marTop w:val="0"/>
      <w:marBottom w:val="0"/>
      <w:divBdr>
        <w:top w:val="none" w:sz="0" w:space="0" w:color="auto"/>
        <w:left w:val="none" w:sz="0" w:space="0" w:color="auto"/>
        <w:bottom w:val="none" w:sz="0" w:space="0" w:color="auto"/>
        <w:right w:val="none" w:sz="0" w:space="0" w:color="auto"/>
      </w:divBdr>
    </w:div>
    <w:div w:id="2099711903">
      <w:bodyDiv w:val="1"/>
      <w:marLeft w:val="0"/>
      <w:marRight w:val="0"/>
      <w:marTop w:val="0"/>
      <w:marBottom w:val="0"/>
      <w:divBdr>
        <w:top w:val="none" w:sz="0" w:space="0" w:color="auto"/>
        <w:left w:val="none" w:sz="0" w:space="0" w:color="auto"/>
        <w:bottom w:val="none" w:sz="0" w:space="0" w:color="auto"/>
        <w:right w:val="none" w:sz="0" w:space="0" w:color="auto"/>
      </w:divBdr>
    </w:div>
    <w:div w:id="2102483187">
      <w:bodyDiv w:val="1"/>
      <w:marLeft w:val="0"/>
      <w:marRight w:val="0"/>
      <w:marTop w:val="0"/>
      <w:marBottom w:val="0"/>
      <w:divBdr>
        <w:top w:val="none" w:sz="0" w:space="0" w:color="auto"/>
        <w:left w:val="none" w:sz="0" w:space="0" w:color="auto"/>
        <w:bottom w:val="none" w:sz="0" w:space="0" w:color="auto"/>
        <w:right w:val="none" w:sz="0" w:space="0" w:color="auto"/>
      </w:divBdr>
    </w:div>
    <w:div w:id="2117284342">
      <w:bodyDiv w:val="1"/>
      <w:marLeft w:val="0"/>
      <w:marRight w:val="0"/>
      <w:marTop w:val="0"/>
      <w:marBottom w:val="0"/>
      <w:divBdr>
        <w:top w:val="none" w:sz="0" w:space="0" w:color="auto"/>
        <w:left w:val="none" w:sz="0" w:space="0" w:color="auto"/>
        <w:bottom w:val="none" w:sz="0" w:space="0" w:color="auto"/>
        <w:right w:val="none" w:sz="0" w:space="0" w:color="auto"/>
      </w:divBdr>
    </w:div>
    <w:div w:id="2118601317">
      <w:bodyDiv w:val="1"/>
      <w:marLeft w:val="0"/>
      <w:marRight w:val="0"/>
      <w:marTop w:val="0"/>
      <w:marBottom w:val="0"/>
      <w:divBdr>
        <w:top w:val="none" w:sz="0" w:space="0" w:color="auto"/>
        <w:left w:val="none" w:sz="0" w:space="0" w:color="auto"/>
        <w:bottom w:val="none" w:sz="0" w:space="0" w:color="auto"/>
        <w:right w:val="none" w:sz="0" w:space="0" w:color="auto"/>
      </w:divBdr>
    </w:div>
    <w:div w:id="2133934186">
      <w:bodyDiv w:val="1"/>
      <w:marLeft w:val="0"/>
      <w:marRight w:val="0"/>
      <w:marTop w:val="0"/>
      <w:marBottom w:val="0"/>
      <w:divBdr>
        <w:top w:val="none" w:sz="0" w:space="0" w:color="auto"/>
        <w:left w:val="none" w:sz="0" w:space="0" w:color="auto"/>
        <w:bottom w:val="none" w:sz="0" w:space="0" w:color="auto"/>
        <w:right w:val="none" w:sz="0" w:space="0" w:color="auto"/>
      </w:divBdr>
    </w:div>
    <w:div w:id="2139447680">
      <w:bodyDiv w:val="1"/>
      <w:marLeft w:val="0"/>
      <w:marRight w:val="0"/>
      <w:marTop w:val="0"/>
      <w:marBottom w:val="0"/>
      <w:divBdr>
        <w:top w:val="none" w:sz="0" w:space="0" w:color="auto"/>
        <w:left w:val="none" w:sz="0" w:space="0" w:color="auto"/>
        <w:bottom w:val="none" w:sz="0" w:space="0" w:color="auto"/>
        <w:right w:val="none" w:sz="0" w:space="0" w:color="auto"/>
      </w:divBdr>
    </w:div>
    <w:div w:id="2143188789">
      <w:bodyDiv w:val="1"/>
      <w:marLeft w:val="0"/>
      <w:marRight w:val="0"/>
      <w:marTop w:val="0"/>
      <w:marBottom w:val="0"/>
      <w:divBdr>
        <w:top w:val="none" w:sz="0" w:space="0" w:color="auto"/>
        <w:left w:val="none" w:sz="0" w:space="0" w:color="auto"/>
        <w:bottom w:val="none" w:sz="0" w:space="0" w:color="auto"/>
        <w:right w:val="none" w:sz="0" w:space="0" w:color="auto"/>
      </w:divBdr>
    </w:div>
    <w:div w:id="21473526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image" Target="media/image8.emf"/><Relationship Id="rId26" Type="http://schemas.openxmlformats.org/officeDocument/2006/relationships/customXml" Target="../customXml/item4.xml"/><Relationship Id="rId3" Type="http://schemas.openxmlformats.org/officeDocument/2006/relationships/styles" Target="styles.xml"/><Relationship Id="rId21" Type="http://schemas.openxmlformats.org/officeDocument/2006/relationships/footer" Target="footer4.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image" Target="media/image7.emf"/><Relationship Id="rId25" Type="http://schemas.openxmlformats.org/officeDocument/2006/relationships/customXml" Target="../customXml/item3.xml"/><Relationship Id="rId2" Type="http://schemas.openxmlformats.org/officeDocument/2006/relationships/numbering" Target="numbering.xml"/><Relationship Id="rId16" Type="http://schemas.openxmlformats.org/officeDocument/2006/relationships/image" Target="media/image6.emf"/><Relationship Id="rId20"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customXml" Target="../customXml/item2.xml"/><Relationship Id="rId5" Type="http://schemas.openxmlformats.org/officeDocument/2006/relationships/webSettings" Target="webSettings.xml"/><Relationship Id="rId15" Type="http://schemas.openxmlformats.org/officeDocument/2006/relationships/image" Target="media/image5.png"/><Relationship Id="rId23" Type="http://schemas.openxmlformats.org/officeDocument/2006/relationships/theme" Target="theme/theme1.xml"/><Relationship Id="rId10" Type="http://schemas.openxmlformats.org/officeDocument/2006/relationships/footer" Target="footer1.xml"/><Relationship Id="rId19" Type="http://schemas.openxmlformats.org/officeDocument/2006/relationships/header" Target="header4.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image" Target="media/image4.png"/><Relationship Id="rId22" Type="http://schemas.openxmlformats.org/officeDocument/2006/relationships/fontTable" Target="fontTable.xml"/><Relationship Id="rId27" Type="http://schemas.openxmlformats.org/officeDocument/2006/relationships/customXml" Target="../customXml/item5.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3.png"/></Relationships>
</file>

<file path=word/_rels/footer4.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png"/></Relationships>
</file>

<file path=word/_rels/header4.xml.rels><?xml version="1.0" encoding="UTF-8" standalone="yes"?>
<Relationships xmlns="http://schemas.openxmlformats.org/package/2006/relationships"><Relationship Id="rId1" Type="http://schemas.openxmlformats.org/officeDocument/2006/relationships/image" Target="media/image1.png"/></Relationships>
</file>

<file path=word/_rels/header5.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naRG\Documents\Plantillas%20personalizadas%20de%20Office\PLANTILLA%20CARTA.dotx"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o" ma:contentTypeID="0x01010052F31EDBF5E1704189108F2BA8ADBB66" ma:contentTypeVersion="11" ma:contentTypeDescription="Crear nuevo documento." ma:contentTypeScope="" ma:versionID="ad3b59780dc778284106d1e4007f3977">
  <xsd:schema xmlns:xsd="http://www.w3.org/2001/XMLSchema" xmlns:xs="http://www.w3.org/2001/XMLSchema" xmlns:p="http://schemas.microsoft.com/office/2006/metadata/properties" xmlns:ns2="0c900b44-88cf-4ff8-b345-b2863fd132ec" xmlns:ns3="7ccf664f-a9e9-400b-b9c9-965904e4aeae" targetNamespace="http://schemas.microsoft.com/office/2006/metadata/properties" ma:root="true" ma:fieldsID="46d4d2429a9f56eca01d8f213f3dba93" ns2:_="" ns3:_="">
    <xsd:import namespace="0c900b44-88cf-4ff8-b345-b2863fd132ec"/>
    <xsd:import namespace="7ccf664f-a9e9-400b-b9c9-965904e4aeae"/>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SearchProperties" minOccurs="0"/>
                <xsd:element ref="ns3:MediaServiceDateTaken" minOccurs="0"/>
                <xsd:element ref="ns3:MediaServiceGenerationTime" minOccurs="0"/>
                <xsd:element ref="ns3:MediaServiceEventHashCode" minOccurs="0"/>
                <xsd:element ref="ns3:MediaLengthInSeconds" minOccurs="0"/>
                <xsd:element ref="ns3:lcf76f155ced4ddcb4097134ff3c332f" minOccurs="0"/>
                <xsd:element ref="ns2:TaxCatchAll"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c900b44-88cf-4ff8-b345-b2863fd132ec" elementFormDefault="qualified">
    <xsd:import namespace="http://schemas.microsoft.com/office/2006/documentManagement/types"/>
    <xsd:import namespace="http://schemas.microsoft.com/office/infopath/2007/PartnerControls"/>
    <xsd:element name="_dlc_DocId" ma:index="8" nillable="true" ma:displayName="Valor de Id. de documento" ma:description="El valor del identificador de documento asignado a este elemento." ma:indexed="true" ma:internalName="_dlc_DocId" ma:readOnly="true">
      <xsd:simpleType>
        <xsd:restriction base="dms:Text"/>
      </xsd:simpleType>
    </xsd:element>
    <xsd:element name="_dlc_DocIdUrl" ma:index="9" nillable="true" ma:displayName="Id. de documento" ma:description="Vínculo permanente a este documento."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TaxCatchAll" ma:index="20" nillable="true" ma:displayName="Taxonomy Catch All Column" ma:hidden="true" ma:list="{8e41a0bd-7070-44eb-8f11-882a74daceb1}" ma:internalName="TaxCatchAll" ma:showField="CatchAllData" ma:web="0c900b44-88cf-4ff8-b345-b2863fd132ec">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7ccf664f-a9e9-400b-b9c9-965904e4aeae"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Etiquetas de imagen" ma:readOnly="false" ma:fieldId="{5cf76f15-5ced-4ddc-b409-7134ff3c332f}" ma:taxonomyMulti="true" ma:sspId="bde019f4-19d5-47b6-9bfc-f940379ba940"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_dlc_DocId xmlns="0c900b44-88cf-4ff8-b345-b2863fd132ec">VN5P7NKKTFUV-1255758514-4969</_dlc_DocId>
    <_dlc_DocIdUrl xmlns="0c900b44-88cf-4ff8-b345-b2863fd132ec">
      <Url>https://promotur.sharepoint.com/sites/Financiero/_layouts/15/DocIdRedir.aspx?ID=VN5P7NKKTFUV-1255758514-4969</Url>
      <Description>VN5P7NKKTFUV-1255758514-4969</Description>
    </_dlc_DocIdUrl>
    <lcf76f155ced4ddcb4097134ff3c332f xmlns="7ccf664f-a9e9-400b-b9c9-965904e4aeae">
      <Terms xmlns="http://schemas.microsoft.com/office/infopath/2007/PartnerControls"/>
    </lcf76f155ced4ddcb4097134ff3c332f>
    <TaxCatchAll xmlns="0c900b44-88cf-4ff8-b345-b2863fd132ec" xsi:nil="true"/>
  </documentManagement>
</p:properties>
</file>

<file path=customXml/itemProps1.xml><?xml version="1.0" encoding="utf-8"?>
<ds:datastoreItem xmlns:ds="http://schemas.openxmlformats.org/officeDocument/2006/customXml" ds:itemID="{493711B9-1724-44F9-940E-FC36C2B7FEE4}">
  <ds:schemaRefs>
    <ds:schemaRef ds:uri="http://schemas.openxmlformats.org/officeDocument/2006/bibliography"/>
  </ds:schemaRefs>
</ds:datastoreItem>
</file>

<file path=customXml/itemProps2.xml><?xml version="1.0" encoding="utf-8"?>
<ds:datastoreItem xmlns:ds="http://schemas.openxmlformats.org/officeDocument/2006/customXml" ds:itemID="{444D6E42-2651-4726-84DE-8B37DDBD32F8}"/>
</file>

<file path=customXml/itemProps3.xml><?xml version="1.0" encoding="utf-8"?>
<ds:datastoreItem xmlns:ds="http://schemas.openxmlformats.org/officeDocument/2006/customXml" ds:itemID="{238EA503-F53C-47DE-A6A2-0E9D632DE076}"/>
</file>

<file path=customXml/itemProps4.xml><?xml version="1.0" encoding="utf-8"?>
<ds:datastoreItem xmlns:ds="http://schemas.openxmlformats.org/officeDocument/2006/customXml" ds:itemID="{C53B0A2D-07EB-47A2-BB62-3E0C150D50E2}"/>
</file>

<file path=customXml/itemProps5.xml><?xml version="1.0" encoding="utf-8"?>
<ds:datastoreItem xmlns:ds="http://schemas.openxmlformats.org/officeDocument/2006/customXml" ds:itemID="{D5913C6C-9DBE-470E-9049-2647640B7DD3}"/>
</file>

<file path=docProps/app.xml><?xml version="1.0" encoding="utf-8"?>
<Properties xmlns="http://schemas.openxmlformats.org/officeDocument/2006/extended-properties" xmlns:vt="http://schemas.openxmlformats.org/officeDocument/2006/docPropsVTypes">
  <Template>PLANTILLA CARTA</Template>
  <TotalTime>1</TotalTime>
  <Pages>50</Pages>
  <Words>16624</Words>
  <Characters>91432</Characters>
  <Application>Microsoft Office Word</Application>
  <DocSecurity>4</DocSecurity>
  <Lines>761</Lines>
  <Paragraphs>215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107841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Ana Rodríguez</dc:creator>
  <cp:keywords/>
  <dc:description/>
  <cp:lastModifiedBy>Marlene Pérez Alfonso</cp:lastModifiedBy>
  <cp:revision>2</cp:revision>
  <cp:lastPrinted>2024-03-15T12:36:00Z</cp:lastPrinted>
  <dcterms:created xsi:type="dcterms:W3CDTF">2025-04-11T07:57:00Z</dcterms:created>
  <dcterms:modified xsi:type="dcterms:W3CDTF">2025-04-11T07:57:00Z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3c45fde9-74cf-49ff-9960-41566d3a7fed_Enabled">
    <vt:lpwstr>true</vt:lpwstr>
  </property>
  <property fmtid="{D5CDD505-2E9C-101B-9397-08002B2CF9AE}" pid="3" name="MSIP_Label_3c45fde9-74cf-49ff-9960-41566d3a7fed_SetDate">
    <vt:lpwstr>2024-02-29T09:15:22Z</vt:lpwstr>
  </property>
  <property fmtid="{D5CDD505-2E9C-101B-9397-08002B2CF9AE}" pid="4" name="MSIP_Label_3c45fde9-74cf-49ff-9960-41566d3a7fed_Method">
    <vt:lpwstr>Standard</vt:lpwstr>
  </property>
  <property fmtid="{D5CDD505-2E9C-101B-9397-08002B2CF9AE}" pid="5" name="MSIP_Label_3c45fde9-74cf-49ff-9960-41566d3a7fed_Name">
    <vt:lpwstr>Confidencial</vt:lpwstr>
  </property>
  <property fmtid="{D5CDD505-2E9C-101B-9397-08002B2CF9AE}" pid="6" name="MSIP_Label_3c45fde9-74cf-49ff-9960-41566d3a7fed_SiteId">
    <vt:lpwstr>2dae7158-6067-4a93-a649-046ad8031e8a</vt:lpwstr>
  </property>
  <property fmtid="{D5CDD505-2E9C-101B-9397-08002B2CF9AE}" pid="7" name="MSIP_Label_3c45fde9-74cf-49ff-9960-41566d3a7fed_ActionId">
    <vt:lpwstr>c21472fa-35d7-4c57-805b-025c644ed3bf</vt:lpwstr>
  </property>
  <property fmtid="{D5CDD505-2E9C-101B-9397-08002B2CF9AE}" pid="8" name="MSIP_Label_3c45fde9-74cf-49ff-9960-41566d3a7fed_ContentBits">
    <vt:lpwstr>0</vt:lpwstr>
  </property>
  <property fmtid="{D5CDD505-2E9C-101B-9397-08002B2CF9AE}" pid="9" name="ContentTypeId">
    <vt:lpwstr>0x01010052F31EDBF5E1704189108F2BA8ADBB66</vt:lpwstr>
  </property>
  <property fmtid="{D5CDD505-2E9C-101B-9397-08002B2CF9AE}" pid="10" name="_dlc_DocIdItemGuid">
    <vt:lpwstr>c021ff22-d9c6-47e9-9405-4de2bb6be24c</vt:lpwstr>
  </property>
</Properties>
</file>