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D108"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2C6BC66C"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3DA7DEA6"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6C155B3C"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0A59F58D" w14:textId="77777777" w:rsidR="00022891"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382DD34D" w14:textId="77777777" w:rsidR="00022891" w:rsidRPr="00BA5560"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48"/>
          <w:szCs w:val="48"/>
        </w:rPr>
      </w:pPr>
      <w:proofErr w:type="spellStart"/>
      <w:r w:rsidRPr="00BA5560">
        <w:rPr>
          <w:b/>
          <w:snapToGrid w:val="0"/>
          <w:sz w:val="48"/>
          <w:szCs w:val="48"/>
        </w:rPr>
        <w:t>Promotur</w:t>
      </w:r>
      <w:proofErr w:type="spellEnd"/>
      <w:r w:rsidRPr="00BA5560">
        <w:rPr>
          <w:b/>
          <w:snapToGrid w:val="0"/>
          <w:sz w:val="48"/>
          <w:szCs w:val="48"/>
        </w:rPr>
        <w:t xml:space="preserve"> Turismo Canarias S.A.</w:t>
      </w:r>
    </w:p>
    <w:p w14:paraId="511009D6" w14:textId="77777777" w:rsidR="00022891" w:rsidRPr="00BA5560"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p>
    <w:p w14:paraId="6F5640EA" w14:textId="77777777" w:rsidR="00022891" w:rsidRPr="00BA5560"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r w:rsidRPr="00BA5560">
        <w:rPr>
          <w:b/>
          <w:snapToGrid w:val="0"/>
          <w:sz w:val="48"/>
          <w:szCs w:val="48"/>
        </w:rPr>
        <w:t>Cuentas Anuales e</w:t>
      </w:r>
    </w:p>
    <w:p w14:paraId="5B05399B" w14:textId="77777777" w:rsidR="00022891" w:rsidRPr="00BA5560"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r w:rsidRPr="00BA5560">
        <w:rPr>
          <w:b/>
          <w:snapToGrid w:val="0"/>
          <w:sz w:val="48"/>
          <w:szCs w:val="48"/>
        </w:rPr>
        <w:t>Informe de Gestión</w:t>
      </w:r>
    </w:p>
    <w:p w14:paraId="3D35144B" w14:textId="026CFB8B" w:rsidR="00022891" w:rsidRPr="00BA5560" w:rsidRDefault="00022891"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700" w:lineRule="exact"/>
        <w:outlineLvl w:val="9"/>
        <w:rPr>
          <w:b/>
          <w:snapToGrid w:val="0"/>
          <w:sz w:val="48"/>
          <w:szCs w:val="48"/>
        </w:rPr>
      </w:pPr>
      <w:r w:rsidRPr="00BA5560">
        <w:rPr>
          <w:b/>
          <w:snapToGrid w:val="0"/>
          <w:sz w:val="48"/>
          <w:szCs w:val="48"/>
        </w:rPr>
        <w:t>31 de diciembre de 20</w:t>
      </w:r>
      <w:r w:rsidR="006C61B5" w:rsidRPr="00BA5560">
        <w:rPr>
          <w:b/>
          <w:snapToGrid w:val="0"/>
          <w:sz w:val="48"/>
          <w:szCs w:val="48"/>
        </w:rPr>
        <w:t>2</w:t>
      </w:r>
      <w:r w:rsidR="00833E13">
        <w:rPr>
          <w:b/>
          <w:snapToGrid w:val="0"/>
          <w:sz w:val="48"/>
          <w:szCs w:val="48"/>
        </w:rPr>
        <w:t>3</w:t>
      </w:r>
    </w:p>
    <w:p w14:paraId="38584C40" w14:textId="77777777" w:rsidR="00022891" w:rsidRPr="0083433F" w:rsidRDefault="00022891" w:rsidP="00052BF5">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9"/>
        <w:rPr>
          <w:b/>
          <w:snapToGrid w:val="0"/>
          <w:sz w:val="20"/>
        </w:rPr>
      </w:pPr>
    </w:p>
    <w:p w14:paraId="2E720646" w14:textId="77777777" w:rsidR="003849D9" w:rsidRPr="0083433F" w:rsidRDefault="003849D9"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napToGrid w:val="0"/>
          <w:sz w:val="20"/>
        </w:rPr>
        <w:sectPr w:rsidR="003849D9" w:rsidRPr="0083433F" w:rsidSect="000F0BE8">
          <w:headerReference w:type="even" r:id="rId8"/>
          <w:headerReference w:type="default" r:id="rId9"/>
          <w:footerReference w:type="even" r:id="rId10"/>
          <w:footerReference w:type="default" r:id="rId11"/>
          <w:headerReference w:type="first" r:id="rId12"/>
          <w:footerReference w:type="first" r:id="rId13"/>
          <w:pgSz w:w="11900" w:h="16840"/>
          <w:pgMar w:top="2127" w:right="1134" w:bottom="1701" w:left="1701" w:header="1701" w:footer="964" w:gutter="0"/>
          <w:pgNumType w:start="1"/>
          <w:cols w:space="708"/>
          <w:titlePg/>
          <w:docGrid w:linePitch="360"/>
        </w:sectPr>
      </w:pPr>
    </w:p>
    <w:p w14:paraId="676768CB"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14:paraId="052C2AE3" w14:textId="4E915255"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pacing w:val="-1"/>
          <w:sz w:val="20"/>
        </w:rPr>
      </w:pPr>
      <w:r w:rsidRPr="0083433F">
        <w:rPr>
          <w:b/>
          <w:spacing w:val="-1"/>
          <w:sz w:val="20"/>
        </w:rPr>
        <w:t>BALANCE DE SITUACIÓN AL 31 DE DICIEMBRE DE 20</w:t>
      </w:r>
      <w:r w:rsidR="002D429A">
        <w:rPr>
          <w:b/>
          <w:spacing w:val="-1"/>
          <w:sz w:val="20"/>
        </w:rPr>
        <w:t>2</w:t>
      </w:r>
      <w:r w:rsidR="00833E13">
        <w:rPr>
          <w:b/>
          <w:spacing w:val="-1"/>
          <w:sz w:val="20"/>
        </w:rPr>
        <w:t>3</w:t>
      </w:r>
      <w:r w:rsidR="00C16766" w:rsidRPr="0083433F">
        <w:rPr>
          <w:b/>
          <w:spacing w:val="-1"/>
          <w:sz w:val="20"/>
        </w:rPr>
        <w:t xml:space="preserve"> Y 20</w:t>
      </w:r>
      <w:r w:rsidR="003D20EB">
        <w:rPr>
          <w:b/>
          <w:spacing w:val="-1"/>
          <w:sz w:val="20"/>
        </w:rPr>
        <w:t>2</w:t>
      </w:r>
      <w:r w:rsidR="00833E13">
        <w:rPr>
          <w:b/>
          <w:spacing w:val="-1"/>
          <w:sz w:val="20"/>
        </w:rPr>
        <w:t>2</w:t>
      </w:r>
      <w:r w:rsidRPr="0083433F">
        <w:rPr>
          <w:b/>
          <w:spacing w:val="-1"/>
          <w:sz w:val="20"/>
        </w:rPr>
        <w:t xml:space="preserve"> (Expresado en euros)</w:t>
      </w:r>
    </w:p>
    <w:p w14:paraId="0A75F29A" w14:textId="77777777" w:rsidR="00C16766" w:rsidRPr="0083433F" w:rsidRDefault="00C16766"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b/>
          <w:spacing w:val="-1"/>
          <w:sz w:val="20"/>
        </w:rPr>
      </w:pPr>
    </w:p>
    <w:tbl>
      <w:tblPr>
        <w:tblW w:w="5000" w:type="pct"/>
        <w:tblCellMar>
          <w:left w:w="70" w:type="dxa"/>
          <w:right w:w="70" w:type="dxa"/>
        </w:tblCellMar>
        <w:tblLook w:val="04A0" w:firstRow="1" w:lastRow="0" w:firstColumn="1" w:lastColumn="0" w:noHBand="0" w:noVBand="1"/>
      </w:tblPr>
      <w:tblGrid>
        <w:gridCol w:w="4043"/>
        <w:gridCol w:w="1202"/>
        <w:gridCol w:w="1844"/>
        <w:gridCol w:w="1976"/>
      </w:tblGrid>
      <w:tr w:rsidR="002D429A" w:rsidRPr="002D429A" w14:paraId="0BC9B84A" w14:textId="77777777" w:rsidTr="001B5A15">
        <w:trPr>
          <w:trHeight w:val="283"/>
        </w:trPr>
        <w:tc>
          <w:tcPr>
            <w:tcW w:w="2230" w:type="pct"/>
            <w:vMerge w:val="restart"/>
            <w:tcBorders>
              <w:top w:val="single" w:sz="4" w:space="0" w:color="auto"/>
              <w:left w:val="nil"/>
              <w:bottom w:val="single" w:sz="8" w:space="0" w:color="000000"/>
              <w:right w:val="nil"/>
            </w:tcBorders>
            <w:shd w:val="clear" w:color="auto" w:fill="D9D9D9" w:themeFill="background1" w:themeFillShade="D9"/>
            <w:noWrap/>
            <w:vAlign w:val="bottom"/>
            <w:hideMark/>
          </w:tcPr>
          <w:p w14:paraId="69E8B0E5"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w:t>
            </w:r>
          </w:p>
        </w:tc>
        <w:tc>
          <w:tcPr>
            <w:tcW w:w="663" w:type="pct"/>
            <w:vMerge w:val="restart"/>
            <w:tcBorders>
              <w:top w:val="single" w:sz="4" w:space="0" w:color="auto"/>
              <w:left w:val="nil"/>
              <w:bottom w:val="single" w:sz="8" w:space="0" w:color="000000"/>
              <w:right w:val="nil"/>
            </w:tcBorders>
            <w:shd w:val="clear" w:color="auto" w:fill="D9D9D9" w:themeFill="background1" w:themeFillShade="D9"/>
            <w:noWrap/>
            <w:vAlign w:val="bottom"/>
            <w:hideMark/>
          </w:tcPr>
          <w:p w14:paraId="543322DC" w14:textId="4EAD9FD5" w:rsid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r w:rsidR="00052BF5">
              <w:rPr>
                <w:rFonts w:eastAsia="Times New Roman"/>
                <w:b/>
                <w:bCs/>
                <w:sz w:val="18"/>
                <w:szCs w:val="18"/>
                <w:bdr w:val="none" w:sz="0" w:space="0" w:color="auto"/>
                <w:lang w:eastAsia="es-ES"/>
              </w:rPr>
              <w:t>s</w:t>
            </w:r>
          </w:p>
          <w:p w14:paraId="1ED72ED0" w14:textId="78AEAB05" w:rsidR="00052BF5" w:rsidRPr="002D429A" w:rsidRDefault="00052BF5"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Memoria</w:t>
            </w:r>
          </w:p>
        </w:tc>
        <w:tc>
          <w:tcPr>
            <w:tcW w:w="1017" w:type="pct"/>
            <w:tcBorders>
              <w:top w:val="single" w:sz="4" w:space="0" w:color="auto"/>
              <w:left w:val="nil"/>
              <w:bottom w:val="single" w:sz="4" w:space="0" w:color="auto"/>
              <w:right w:val="nil"/>
            </w:tcBorders>
            <w:shd w:val="clear" w:color="auto" w:fill="D9D9D9" w:themeFill="background1" w:themeFillShade="D9"/>
            <w:noWrap/>
            <w:vAlign w:val="bottom"/>
            <w:hideMark/>
          </w:tcPr>
          <w:p w14:paraId="402BB170"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c>
          <w:tcPr>
            <w:tcW w:w="1090" w:type="pct"/>
            <w:tcBorders>
              <w:top w:val="single" w:sz="4" w:space="0" w:color="auto"/>
              <w:left w:val="nil"/>
              <w:bottom w:val="single" w:sz="4" w:space="0" w:color="auto"/>
              <w:right w:val="nil"/>
            </w:tcBorders>
            <w:shd w:val="clear" w:color="auto" w:fill="D9D9D9" w:themeFill="background1" w:themeFillShade="D9"/>
            <w:noWrap/>
            <w:vAlign w:val="bottom"/>
            <w:hideMark/>
          </w:tcPr>
          <w:p w14:paraId="6742E14A"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r>
      <w:tr w:rsidR="0022442F" w:rsidRPr="002D429A" w14:paraId="4FB95EF4" w14:textId="77777777" w:rsidTr="001B5A15">
        <w:trPr>
          <w:trHeight w:val="255"/>
        </w:trPr>
        <w:tc>
          <w:tcPr>
            <w:tcW w:w="2230" w:type="pct"/>
            <w:vMerge/>
            <w:tcBorders>
              <w:top w:val="single" w:sz="8" w:space="0" w:color="auto"/>
              <w:left w:val="nil"/>
              <w:bottom w:val="single" w:sz="4" w:space="0" w:color="auto"/>
              <w:right w:val="nil"/>
            </w:tcBorders>
            <w:shd w:val="clear" w:color="auto" w:fill="F2F2F2" w:themeFill="background1" w:themeFillShade="F2"/>
            <w:vAlign w:val="center"/>
            <w:hideMark/>
          </w:tcPr>
          <w:p w14:paraId="54AFB1A5"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3" w:type="pct"/>
            <w:vMerge/>
            <w:tcBorders>
              <w:top w:val="single" w:sz="8" w:space="0" w:color="auto"/>
              <w:left w:val="nil"/>
              <w:bottom w:val="single" w:sz="4" w:space="0" w:color="auto"/>
              <w:right w:val="nil"/>
            </w:tcBorders>
            <w:shd w:val="clear" w:color="auto" w:fill="F2F2F2" w:themeFill="background1" w:themeFillShade="F2"/>
            <w:vAlign w:val="center"/>
            <w:hideMark/>
          </w:tcPr>
          <w:p w14:paraId="733EDAB5"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17" w:type="pct"/>
            <w:tcBorders>
              <w:top w:val="single" w:sz="4" w:space="0" w:color="auto"/>
              <w:left w:val="nil"/>
              <w:bottom w:val="single" w:sz="4" w:space="0" w:color="auto"/>
              <w:right w:val="nil"/>
            </w:tcBorders>
            <w:shd w:val="clear" w:color="auto" w:fill="D9D9D9" w:themeFill="background1" w:themeFillShade="D9"/>
            <w:vAlign w:val="bottom"/>
            <w:hideMark/>
          </w:tcPr>
          <w:p w14:paraId="4D5954CE" w14:textId="555EA1D0"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w:t>
            </w:r>
            <w:r w:rsidR="00382952">
              <w:rPr>
                <w:rFonts w:eastAsia="Times New Roman"/>
                <w:b/>
                <w:bCs/>
                <w:color w:val="auto"/>
                <w:sz w:val="18"/>
                <w:szCs w:val="18"/>
                <w:bdr w:val="none" w:sz="0" w:space="0" w:color="auto"/>
                <w:lang w:eastAsia="es-ES"/>
              </w:rPr>
              <w:t>3</w:t>
            </w:r>
          </w:p>
        </w:tc>
        <w:tc>
          <w:tcPr>
            <w:tcW w:w="1090" w:type="pct"/>
            <w:tcBorders>
              <w:top w:val="single" w:sz="4" w:space="0" w:color="auto"/>
              <w:left w:val="nil"/>
              <w:bottom w:val="single" w:sz="4" w:space="0" w:color="auto"/>
              <w:right w:val="nil"/>
            </w:tcBorders>
            <w:shd w:val="clear" w:color="auto" w:fill="D9D9D9" w:themeFill="background1" w:themeFillShade="D9"/>
            <w:vAlign w:val="bottom"/>
            <w:hideMark/>
          </w:tcPr>
          <w:p w14:paraId="771730D5" w14:textId="09BBD028"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w:t>
            </w:r>
            <w:r w:rsidR="00382952">
              <w:rPr>
                <w:rFonts w:eastAsia="Times New Roman"/>
                <w:b/>
                <w:bCs/>
                <w:color w:val="auto"/>
                <w:sz w:val="18"/>
                <w:szCs w:val="18"/>
                <w:bdr w:val="none" w:sz="0" w:space="0" w:color="auto"/>
                <w:lang w:eastAsia="es-ES"/>
              </w:rPr>
              <w:t>2</w:t>
            </w:r>
          </w:p>
        </w:tc>
      </w:tr>
      <w:tr w:rsidR="0022442F" w:rsidRPr="002D429A" w14:paraId="08689F37" w14:textId="77777777" w:rsidTr="001B5A15">
        <w:trPr>
          <w:trHeight w:val="227"/>
        </w:trPr>
        <w:tc>
          <w:tcPr>
            <w:tcW w:w="2230" w:type="pct"/>
            <w:tcBorders>
              <w:top w:val="single" w:sz="4" w:space="0" w:color="auto"/>
              <w:left w:val="nil"/>
              <w:bottom w:val="single" w:sz="4" w:space="0" w:color="auto"/>
              <w:right w:val="nil"/>
            </w:tcBorders>
            <w:shd w:val="clear" w:color="auto" w:fill="auto"/>
            <w:noWrap/>
            <w:vAlign w:val="center"/>
          </w:tcPr>
          <w:p w14:paraId="077BA365"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3" w:type="pct"/>
            <w:tcBorders>
              <w:top w:val="single" w:sz="4" w:space="0" w:color="auto"/>
              <w:left w:val="nil"/>
              <w:bottom w:val="single" w:sz="4" w:space="0" w:color="auto"/>
              <w:right w:val="nil"/>
            </w:tcBorders>
            <w:shd w:val="clear" w:color="auto" w:fill="auto"/>
            <w:noWrap/>
            <w:vAlign w:val="center"/>
          </w:tcPr>
          <w:p w14:paraId="2D381C9B"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1017" w:type="pct"/>
            <w:tcBorders>
              <w:top w:val="single" w:sz="4" w:space="0" w:color="auto"/>
              <w:left w:val="nil"/>
              <w:bottom w:val="single" w:sz="4" w:space="0" w:color="auto"/>
              <w:right w:val="nil"/>
            </w:tcBorders>
            <w:shd w:val="clear" w:color="auto" w:fill="auto"/>
            <w:noWrap/>
            <w:vAlign w:val="center"/>
          </w:tcPr>
          <w:p w14:paraId="5CAE21A6"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1090" w:type="pct"/>
            <w:tcBorders>
              <w:top w:val="single" w:sz="4" w:space="0" w:color="auto"/>
              <w:left w:val="nil"/>
              <w:bottom w:val="single" w:sz="4" w:space="0" w:color="auto"/>
              <w:right w:val="nil"/>
            </w:tcBorders>
            <w:shd w:val="clear" w:color="auto" w:fill="auto"/>
            <w:noWrap/>
            <w:vAlign w:val="center"/>
          </w:tcPr>
          <w:p w14:paraId="1F4DD81D"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r>
      <w:tr w:rsidR="00382952" w:rsidRPr="002D429A" w14:paraId="1976ECBD" w14:textId="77777777" w:rsidTr="001B5A15">
        <w:trPr>
          <w:trHeight w:val="340"/>
        </w:trPr>
        <w:tc>
          <w:tcPr>
            <w:tcW w:w="2230" w:type="pct"/>
            <w:tcBorders>
              <w:top w:val="single" w:sz="4" w:space="0" w:color="auto"/>
              <w:left w:val="nil"/>
              <w:bottom w:val="single" w:sz="4" w:space="0" w:color="auto"/>
              <w:right w:val="nil"/>
            </w:tcBorders>
            <w:shd w:val="clear" w:color="auto" w:fill="F2F2F2" w:themeFill="background1" w:themeFillShade="F2"/>
            <w:noWrap/>
            <w:vAlign w:val="center"/>
            <w:hideMark/>
          </w:tcPr>
          <w:p w14:paraId="157C8EFC"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 NO CORRIENTE</w:t>
            </w:r>
          </w:p>
        </w:tc>
        <w:tc>
          <w:tcPr>
            <w:tcW w:w="663" w:type="pct"/>
            <w:tcBorders>
              <w:top w:val="single" w:sz="4" w:space="0" w:color="auto"/>
              <w:left w:val="nil"/>
              <w:bottom w:val="single" w:sz="4" w:space="0" w:color="auto"/>
              <w:right w:val="nil"/>
            </w:tcBorders>
            <w:shd w:val="clear" w:color="auto" w:fill="F2F2F2" w:themeFill="background1" w:themeFillShade="F2"/>
            <w:noWrap/>
            <w:vAlign w:val="center"/>
            <w:hideMark/>
          </w:tcPr>
          <w:p w14:paraId="668612F1"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4" w:space="0" w:color="auto"/>
              <w:left w:val="nil"/>
              <w:bottom w:val="single" w:sz="4" w:space="0" w:color="auto"/>
              <w:right w:val="nil"/>
            </w:tcBorders>
            <w:shd w:val="clear" w:color="auto" w:fill="F2F2F2" w:themeFill="background1" w:themeFillShade="F2"/>
            <w:noWrap/>
            <w:vAlign w:val="center"/>
          </w:tcPr>
          <w:p w14:paraId="409186A3" w14:textId="279255CB" w:rsidR="00382952" w:rsidRPr="00547143" w:rsidRDefault="00382952" w:rsidP="005471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547143">
              <w:rPr>
                <w:b/>
                <w:bCs/>
                <w:sz w:val="18"/>
                <w:szCs w:val="18"/>
              </w:rPr>
              <w:t>237.572,42</w:t>
            </w:r>
          </w:p>
        </w:tc>
        <w:tc>
          <w:tcPr>
            <w:tcW w:w="1090" w:type="pct"/>
            <w:tcBorders>
              <w:top w:val="single" w:sz="4" w:space="0" w:color="auto"/>
              <w:left w:val="nil"/>
              <w:bottom w:val="single" w:sz="4" w:space="0" w:color="auto"/>
              <w:right w:val="nil"/>
            </w:tcBorders>
            <w:shd w:val="clear" w:color="auto" w:fill="F2F2F2" w:themeFill="background1" w:themeFillShade="F2"/>
            <w:noWrap/>
            <w:vAlign w:val="center"/>
            <w:hideMark/>
          </w:tcPr>
          <w:p w14:paraId="29E6E1F3" w14:textId="028186AE"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349.701,56</w:t>
            </w:r>
          </w:p>
        </w:tc>
      </w:tr>
      <w:tr w:rsidR="00382952" w:rsidRPr="002D429A" w14:paraId="4C8C4765" w14:textId="77777777" w:rsidTr="001B5A15">
        <w:trPr>
          <w:trHeight w:val="340"/>
        </w:trPr>
        <w:tc>
          <w:tcPr>
            <w:tcW w:w="2230" w:type="pct"/>
            <w:tcBorders>
              <w:top w:val="single" w:sz="4" w:space="0" w:color="auto"/>
              <w:left w:val="nil"/>
              <w:bottom w:val="nil"/>
              <w:right w:val="nil"/>
            </w:tcBorders>
            <w:shd w:val="clear" w:color="auto" w:fill="auto"/>
            <w:noWrap/>
            <w:vAlign w:val="center"/>
            <w:hideMark/>
          </w:tcPr>
          <w:p w14:paraId="0264D0C0"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Inmovilizado intangible</w:t>
            </w:r>
          </w:p>
        </w:tc>
        <w:tc>
          <w:tcPr>
            <w:tcW w:w="663" w:type="pct"/>
            <w:tcBorders>
              <w:top w:val="single" w:sz="4" w:space="0" w:color="auto"/>
              <w:left w:val="nil"/>
              <w:bottom w:val="nil"/>
              <w:right w:val="nil"/>
            </w:tcBorders>
            <w:shd w:val="clear" w:color="auto" w:fill="auto"/>
            <w:noWrap/>
            <w:vAlign w:val="center"/>
            <w:hideMark/>
          </w:tcPr>
          <w:p w14:paraId="70A9112A" w14:textId="77777777" w:rsidR="00382952" w:rsidRPr="003D20E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0D57C6">
              <w:rPr>
                <w:rFonts w:eastAsia="Times New Roman"/>
                <w:b/>
                <w:bCs/>
                <w:sz w:val="18"/>
                <w:szCs w:val="18"/>
                <w:bdr w:val="none" w:sz="0" w:space="0" w:color="auto"/>
                <w:lang w:eastAsia="es-ES"/>
              </w:rPr>
              <w:t>5</w:t>
            </w:r>
          </w:p>
        </w:tc>
        <w:tc>
          <w:tcPr>
            <w:tcW w:w="1017" w:type="pct"/>
            <w:tcBorders>
              <w:top w:val="single" w:sz="4" w:space="0" w:color="auto"/>
              <w:left w:val="nil"/>
              <w:bottom w:val="nil"/>
              <w:right w:val="nil"/>
            </w:tcBorders>
            <w:shd w:val="clear" w:color="auto" w:fill="auto"/>
            <w:noWrap/>
            <w:vAlign w:val="center"/>
          </w:tcPr>
          <w:p w14:paraId="21047A0A" w14:textId="33F2137B" w:rsidR="00382952" w:rsidRPr="00547143" w:rsidRDefault="00382952" w:rsidP="005471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0,01</w:t>
            </w:r>
          </w:p>
        </w:tc>
        <w:tc>
          <w:tcPr>
            <w:tcW w:w="1090" w:type="pct"/>
            <w:tcBorders>
              <w:top w:val="single" w:sz="4" w:space="0" w:color="auto"/>
              <w:left w:val="nil"/>
              <w:bottom w:val="nil"/>
              <w:right w:val="nil"/>
            </w:tcBorders>
            <w:shd w:val="clear" w:color="auto" w:fill="auto"/>
            <w:noWrap/>
            <w:vAlign w:val="center"/>
            <w:hideMark/>
          </w:tcPr>
          <w:p w14:paraId="43CA8CE7" w14:textId="4B66B3EE"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0,01</w:t>
            </w:r>
          </w:p>
        </w:tc>
      </w:tr>
      <w:tr w:rsidR="00382952" w:rsidRPr="002D429A" w14:paraId="4EBAD831" w14:textId="77777777" w:rsidTr="001B5A15">
        <w:trPr>
          <w:trHeight w:val="340"/>
        </w:trPr>
        <w:tc>
          <w:tcPr>
            <w:tcW w:w="2230" w:type="pct"/>
            <w:tcBorders>
              <w:top w:val="nil"/>
              <w:left w:val="nil"/>
              <w:bottom w:val="nil"/>
              <w:right w:val="nil"/>
            </w:tcBorders>
            <w:shd w:val="clear" w:color="auto" w:fill="auto"/>
            <w:noWrap/>
            <w:vAlign w:val="center"/>
            <w:hideMark/>
          </w:tcPr>
          <w:p w14:paraId="3C9BC07D"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Inmovilizado material</w:t>
            </w:r>
          </w:p>
        </w:tc>
        <w:tc>
          <w:tcPr>
            <w:tcW w:w="663" w:type="pct"/>
            <w:tcBorders>
              <w:top w:val="nil"/>
              <w:left w:val="nil"/>
              <w:bottom w:val="nil"/>
              <w:right w:val="nil"/>
            </w:tcBorders>
            <w:shd w:val="clear" w:color="auto" w:fill="auto"/>
            <w:noWrap/>
            <w:vAlign w:val="center"/>
            <w:hideMark/>
          </w:tcPr>
          <w:p w14:paraId="3E344A3C" w14:textId="77777777" w:rsidR="00382952" w:rsidRPr="003D20E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B144A9">
              <w:rPr>
                <w:rFonts w:eastAsia="Times New Roman"/>
                <w:b/>
                <w:bCs/>
                <w:sz w:val="18"/>
                <w:szCs w:val="18"/>
                <w:bdr w:val="none" w:sz="0" w:space="0" w:color="auto"/>
                <w:lang w:eastAsia="es-ES"/>
              </w:rPr>
              <w:t>6</w:t>
            </w:r>
          </w:p>
        </w:tc>
        <w:tc>
          <w:tcPr>
            <w:tcW w:w="1017" w:type="pct"/>
            <w:tcBorders>
              <w:top w:val="nil"/>
              <w:left w:val="nil"/>
              <w:bottom w:val="nil"/>
              <w:right w:val="nil"/>
            </w:tcBorders>
            <w:shd w:val="clear" w:color="auto" w:fill="auto"/>
            <w:noWrap/>
            <w:vAlign w:val="center"/>
          </w:tcPr>
          <w:p w14:paraId="7710BCEE" w14:textId="68E21B24" w:rsidR="00382952" w:rsidRPr="00547143" w:rsidRDefault="00382952" w:rsidP="005471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222.464,71</w:t>
            </w:r>
          </w:p>
        </w:tc>
        <w:tc>
          <w:tcPr>
            <w:tcW w:w="1090" w:type="pct"/>
            <w:tcBorders>
              <w:top w:val="nil"/>
              <w:left w:val="nil"/>
              <w:bottom w:val="nil"/>
              <w:right w:val="nil"/>
            </w:tcBorders>
            <w:shd w:val="clear" w:color="auto" w:fill="auto"/>
            <w:noWrap/>
            <w:vAlign w:val="center"/>
            <w:hideMark/>
          </w:tcPr>
          <w:p w14:paraId="582CEE32" w14:textId="43338DF8"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340.593,85</w:t>
            </w:r>
          </w:p>
        </w:tc>
      </w:tr>
      <w:tr w:rsidR="00382952" w:rsidRPr="002D429A" w14:paraId="19DD5D1A" w14:textId="77777777" w:rsidTr="001B5A15">
        <w:trPr>
          <w:trHeight w:val="340"/>
        </w:trPr>
        <w:tc>
          <w:tcPr>
            <w:tcW w:w="2230" w:type="pct"/>
            <w:tcBorders>
              <w:top w:val="nil"/>
              <w:left w:val="nil"/>
              <w:bottom w:val="nil"/>
              <w:right w:val="nil"/>
            </w:tcBorders>
            <w:shd w:val="clear" w:color="auto" w:fill="auto"/>
            <w:noWrap/>
            <w:vAlign w:val="center"/>
            <w:hideMark/>
          </w:tcPr>
          <w:p w14:paraId="7104BC72"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Inversiones financieras a largo plazo</w:t>
            </w:r>
          </w:p>
        </w:tc>
        <w:tc>
          <w:tcPr>
            <w:tcW w:w="663" w:type="pct"/>
            <w:tcBorders>
              <w:top w:val="nil"/>
              <w:left w:val="nil"/>
              <w:bottom w:val="nil"/>
              <w:right w:val="nil"/>
            </w:tcBorders>
            <w:shd w:val="clear" w:color="auto" w:fill="auto"/>
            <w:noWrap/>
            <w:vAlign w:val="center"/>
            <w:hideMark/>
          </w:tcPr>
          <w:p w14:paraId="5DBE49CA" w14:textId="77777777" w:rsidR="00382952" w:rsidRPr="003D20E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p>
        </w:tc>
        <w:tc>
          <w:tcPr>
            <w:tcW w:w="1017" w:type="pct"/>
            <w:tcBorders>
              <w:top w:val="nil"/>
              <w:left w:val="nil"/>
              <w:bottom w:val="nil"/>
              <w:right w:val="nil"/>
            </w:tcBorders>
            <w:shd w:val="clear" w:color="auto" w:fill="auto"/>
            <w:noWrap/>
            <w:vAlign w:val="center"/>
          </w:tcPr>
          <w:p w14:paraId="6821A545" w14:textId="45381C87" w:rsidR="00382952" w:rsidRPr="00547143" w:rsidRDefault="00382952" w:rsidP="005471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15.107,70</w:t>
            </w:r>
          </w:p>
        </w:tc>
        <w:tc>
          <w:tcPr>
            <w:tcW w:w="1090" w:type="pct"/>
            <w:tcBorders>
              <w:top w:val="nil"/>
              <w:left w:val="nil"/>
              <w:bottom w:val="nil"/>
              <w:right w:val="nil"/>
            </w:tcBorders>
            <w:shd w:val="clear" w:color="auto" w:fill="auto"/>
            <w:noWrap/>
            <w:vAlign w:val="center"/>
            <w:hideMark/>
          </w:tcPr>
          <w:p w14:paraId="6DCE2E91" w14:textId="7106CFF9"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9.107,70</w:t>
            </w:r>
          </w:p>
        </w:tc>
      </w:tr>
      <w:tr w:rsidR="00382952" w:rsidRPr="002D429A" w14:paraId="255C8960" w14:textId="77777777" w:rsidTr="001B5A15">
        <w:trPr>
          <w:trHeight w:val="340"/>
        </w:trPr>
        <w:tc>
          <w:tcPr>
            <w:tcW w:w="2230" w:type="pct"/>
            <w:tcBorders>
              <w:top w:val="nil"/>
              <w:left w:val="nil"/>
              <w:right w:val="nil"/>
            </w:tcBorders>
            <w:shd w:val="clear" w:color="auto" w:fill="auto"/>
            <w:noWrap/>
            <w:vAlign w:val="center"/>
            <w:hideMark/>
          </w:tcPr>
          <w:p w14:paraId="5C495BA0"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activos financieros</w:t>
            </w:r>
          </w:p>
        </w:tc>
        <w:tc>
          <w:tcPr>
            <w:tcW w:w="663" w:type="pct"/>
            <w:tcBorders>
              <w:top w:val="nil"/>
              <w:left w:val="nil"/>
              <w:right w:val="nil"/>
            </w:tcBorders>
            <w:shd w:val="clear" w:color="auto" w:fill="auto"/>
            <w:noWrap/>
            <w:vAlign w:val="center"/>
            <w:hideMark/>
          </w:tcPr>
          <w:p w14:paraId="054CF746" w14:textId="77777777" w:rsidR="00382952" w:rsidRPr="003D20E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691B37">
              <w:rPr>
                <w:rFonts w:eastAsia="Times New Roman"/>
                <w:sz w:val="18"/>
                <w:szCs w:val="18"/>
                <w:bdr w:val="none" w:sz="0" w:space="0" w:color="auto"/>
                <w:lang w:eastAsia="es-ES"/>
              </w:rPr>
              <w:t>8.1.a.</w:t>
            </w:r>
          </w:p>
        </w:tc>
        <w:tc>
          <w:tcPr>
            <w:tcW w:w="1017" w:type="pct"/>
            <w:tcBorders>
              <w:top w:val="nil"/>
              <w:left w:val="nil"/>
              <w:right w:val="nil"/>
            </w:tcBorders>
            <w:shd w:val="clear" w:color="auto" w:fill="auto"/>
            <w:noWrap/>
            <w:vAlign w:val="center"/>
          </w:tcPr>
          <w:p w14:paraId="74B6EC5A" w14:textId="14AB48D4" w:rsidR="00382952" w:rsidRPr="00547143" w:rsidRDefault="00382952" w:rsidP="005471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47143">
              <w:rPr>
                <w:sz w:val="18"/>
                <w:szCs w:val="18"/>
              </w:rPr>
              <w:t>15.107,70</w:t>
            </w:r>
          </w:p>
        </w:tc>
        <w:tc>
          <w:tcPr>
            <w:tcW w:w="1090" w:type="pct"/>
            <w:tcBorders>
              <w:top w:val="nil"/>
              <w:left w:val="nil"/>
              <w:right w:val="nil"/>
            </w:tcBorders>
            <w:shd w:val="clear" w:color="auto" w:fill="auto"/>
            <w:noWrap/>
            <w:vAlign w:val="center"/>
            <w:hideMark/>
          </w:tcPr>
          <w:p w14:paraId="2896342E" w14:textId="28621433"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9.107,70</w:t>
            </w:r>
          </w:p>
        </w:tc>
      </w:tr>
      <w:tr w:rsidR="00382952" w:rsidRPr="002D429A" w14:paraId="3E1C2CFA" w14:textId="77777777" w:rsidTr="001B5A15">
        <w:trPr>
          <w:trHeight w:val="227"/>
        </w:trPr>
        <w:tc>
          <w:tcPr>
            <w:tcW w:w="2230" w:type="pct"/>
            <w:tcBorders>
              <w:top w:val="nil"/>
              <w:left w:val="nil"/>
              <w:bottom w:val="single" w:sz="4" w:space="0" w:color="auto"/>
              <w:right w:val="nil"/>
            </w:tcBorders>
            <w:shd w:val="clear" w:color="auto" w:fill="auto"/>
            <w:noWrap/>
            <w:vAlign w:val="center"/>
            <w:hideMark/>
          </w:tcPr>
          <w:p w14:paraId="6A0EF859"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663" w:type="pct"/>
            <w:tcBorders>
              <w:top w:val="nil"/>
              <w:left w:val="nil"/>
              <w:bottom w:val="single" w:sz="4" w:space="0" w:color="auto"/>
              <w:right w:val="nil"/>
            </w:tcBorders>
            <w:shd w:val="clear" w:color="auto" w:fill="auto"/>
            <w:noWrap/>
            <w:vAlign w:val="center"/>
            <w:hideMark/>
          </w:tcPr>
          <w:p w14:paraId="5B5A4B51"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17" w:type="pct"/>
            <w:tcBorders>
              <w:top w:val="nil"/>
              <w:left w:val="nil"/>
              <w:bottom w:val="single" w:sz="4" w:space="0" w:color="auto"/>
              <w:right w:val="nil"/>
            </w:tcBorders>
            <w:shd w:val="clear" w:color="auto" w:fill="auto"/>
            <w:noWrap/>
            <w:vAlign w:val="center"/>
          </w:tcPr>
          <w:p w14:paraId="32084C3A"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1090" w:type="pct"/>
            <w:tcBorders>
              <w:top w:val="nil"/>
              <w:left w:val="nil"/>
              <w:bottom w:val="single" w:sz="4" w:space="0" w:color="auto"/>
              <w:right w:val="nil"/>
            </w:tcBorders>
            <w:shd w:val="clear" w:color="auto" w:fill="auto"/>
            <w:noWrap/>
            <w:vAlign w:val="center"/>
            <w:hideMark/>
          </w:tcPr>
          <w:p w14:paraId="036112D5"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82952" w:rsidRPr="002D429A" w14:paraId="7940FB9A" w14:textId="77777777" w:rsidTr="001B5A15">
        <w:trPr>
          <w:trHeight w:val="340"/>
        </w:trPr>
        <w:tc>
          <w:tcPr>
            <w:tcW w:w="2230" w:type="pct"/>
            <w:tcBorders>
              <w:top w:val="single" w:sz="4" w:space="0" w:color="auto"/>
              <w:left w:val="nil"/>
              <w:bottom w:val="single" w:sz="4" w:space="0" w:color="auto"/>
              <w:right w:val="nil"/>
            </w:tcBorders>
            <w:shd w:val="clear" w:color="auto" w:fill="F2F2F2" w:themeFill="background1" w:themeFillShade="F2"/>
            <w:noWrap/>
            <w:vAlign w:val="center"/>
            <w:hideMark/>
          </w:tcPr>
          <w:p w14:paraId="59F6441E"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ACTIVO CORRIENTE</w:t>
            </w:r>
          </w:p>
        </w:tc>
        <w:tc>
          <w:tcPr>
            <w:tcW w:w="663" w:type="pct"/>
            <w:tcBorders>
              <w:top w:val="single" w:sz="4" w:space="0" w:color="auto"/>
              <w:left w:val="nil"/>
              <w:bottom w:val="single" w:sz="4" w:space="0" w:color="auto"/>
              <w:right w:val="nil"/>
            </w:tcBorders>
            <w:shd w:val="clear" w:color="auto" w:fill="F2F2F2" w:themeFill="background1" w:themeFillShade="F2"/>
            <w:noWrap/>
            <w:vAlign w:val="center"/>
            <w:hideMark/>
          </w:tcPr>
          <w:p w14:paraId="57A00FCF"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4" w:space="0" w:color="auto"/>
              <w:left w:val="nil"/>
              <w:bottom w:val="single" w:sz="4" w:space="0" w:color="auto"/>
              <w:right w:val="nil"/>
            </w:tcBorders>
            <w:shd w:val="clear" w:color="auto" w:fill="F2F2F2" w:themeFill="background1" w:themeFillShade="F2"/>
            <w:noWrap/>
            <w:vAlign w:val="center"/>
          </w:tcPr>
          <w:p w14:paraId="328B5B08" w14:textId="08238AF4"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53.355.482,40</w:t>
            </w:r>
          </w:p>
        </w:tc>
        <w:tc>
          <w:tcPr>
            <w:tcW w:w="1090" w:type="pct"/>
            <w:tcBorders>
              <w:top w:val="single" w:sz="4" w:space="0" w:color="auto"/>
              <w:left w:val="nil"/>
              <w:bottom w:val="single" w:sz="4" w:space="0" w:color="auto"/>
              <w:right w:val="nil"/>
            </w:tcBorders>
            <w:shd w:val="clear" w:color="auto" w:fill="F2F2F2" w:themeFill="background1" w:themeFillShade="F2"/>
            <w:noWrap/>
            <w:vAlign w:val="center"/>
            <w:hideMark/>
          </w:tcPr>
          <w:p w14:paraId="27300BCA" w14:textId="0123FA15" w:rsidR="00382952" w:rsidRDefault="00382952" w:rsidP="00382952">
            <w:pPr>
              <w:jc w:val="right"/>
              <w:rPr>
                <w:b/>
                <w:bCs/>
                <w:sz w:val="18"/>
                <w:szCs w:val="18"/>
              </w:rPr>
            </w:pPr>
            <w:r>
              <w:rPr>
                <w:b/>
                <w:bCs/>
                <w:sz w:val="18"/>
                <w:szCs w:val="18"/>
              </w:rPr>
              <w:t>35.756.912,11</w:t>
            </w:r>
          </w:p>
        </w:tc>
      </w:tr>
      <w:tr w:rsidR="00382952" w:rsidRPr="002D429A" w14:paraId="781BFCF7" w14:textId="77777777" w:rsidTr="001B5A15">
        <w:trPr>
          <w:trHeight w:val="340"/>
        </w:trPr>
        <w:tc>
          <w:tcPr>
            <w:tcW w:w="2893" w:type="pct"/>
            <w:gridSpan w:val="2"/>
            <w:tcBorders>
              <w:top w:val="single" w:sz="4" w:space="0" w:color="auto"/>
              <w:left w:val="nil"/>
              <w:bottom w:val="nil"/>
              <w:right w:val="nil"/>
            </w:tcBorders>
            <w:shd w:val="clear" w:color="auto" w:fill="auto"/>
            <w:noWrap/>
            <w:vAlign w:val="center"/>
            <w:hideMark/>
          </w:tcPr>
          <w:p w14:paraId="719D3C7D"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Deudores comerciales y otras cuentas a cobrar</w:t>
            </w:r>
          </w:p>
        </w:tc>
        <w:tc>
          <w:tcPr>
            <w:tcW w:w="1017" w:type="pct"/>
            <w:tcBorders>
              <w:top w:val="single" w:sz="4" w:space="0" w:color="auto"/>
              <w:left w:val="nil"/>
              <w:bottom w:val="nil"/>
              <w:right w:val="nil"/>
            </w:tcBorders>
            <w:shd w:val="clear" w:color="auto" w:fill="auto"/>
            <w:noWrap/>
            <w:vAlign w:val="center"/>
          </w:tcPr>
          <w:p w14:paraId="38268032" w14:textId="6AD10F19"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37.250.660,67</w:t>
            </w:r>
          </w:p>
        </w:tc>
        <w:tc>
          <w:tcPr>
            <w:tcW w:w="1090" w:type="pct"/>
            <w:tcBorders>
              <w:top w:val="single" w:sz="4" w:space="0" w:color="auto"/>
              <w:left w:val="nil"/>
              <w:bottom w:val="nil"/>
              <w:right w:val="nil"/>
            </w:tcBorders>
            <w:shd w:val="clear" w:color="auto" w:fill="auto"/>
            <w:noWrap/>
            <w:vAlign w:val="center"/>
            <w:hideMark/>
          </w:tcPr>
          <w:p w14:paraId="3810D083" w14:textId="7A8CC5C7" w:rsidR="00382952" w:rsidRPr="002F5FA7"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13.010.569,44</w:t>
            </w:r>
          </w:p>
        </w:tc>
      </w:tr>
      <w:tr w:rsidR="00382952" w:rsidRPr="002D429A" w14:paraId="7172D8BC" w14:textId="77777777" w:rsidTr="001B5A15">
        <w:trPr>
          <w:trHeight w:val="340"/>
        </w:trPr>
        <w:tc>
          <w:tcPr>
            <w:tcW w:w="2893" w:type="pct"/>
            <w:gridSpan w:val="2"/>
            <w:tcBorders>
              <w:top w:val="nil"/>
              <w:left w:val="nil"/>
              <w:bottom w:val="nil"/>
              <w:right w:val="nil"/>
            </w:tcBorders>
            <w:shd w:val="clear" w:color="auto" w:fill="auto"/>
            <w:noWrap/>
            <w:vAlign w:val="center"/>
          </w:tcPr>
          <w:p w14:paraId="55461113" w14:textId="79821214" w:rsidR="00382952" w:rsidRPr="00691B37"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691B37">
              <w:rPr>
                <w:rFonts w:eastAsia="Times New Roman"/>
                <w:sz w:val="18"/>
                <w:szCs w:val="18"/>
                <w:bdr w:val="none" w:sz="0" w:space="0" w:color="auto"/>
                <w:lang w:eastAsia="es-ES"/>
              </w:rPr>
              <w:t>Clientes por ventas y prestaciones de servicios            8.1.a</w:t>
            </w:r>
          </w:p>
        </w:tc>
        <w:tc>
          <w:tcPr>
            <w:tcW w:w="1017" w:type="pct"/>
            <w:tcBorders>
              <w:top w:val="nil"/>
              <w:left w:val="nil"/>
              <w:bottom w:val="nil"/>
              <w:right w:val="nil"/>
            </w:tcBorders>
            <w:shd w:val="clear" w:color="auto" w:fill="auto"/>
            <w:noWrap/>
            <w:vAlign w:val="center"/>
          </w:tcPr>
          <w:p w14:paraId="7C09DD44" w14:textId="713D2817"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47143">
              <w:rPr>
                <w:sz w:val="18"/>
                <w:szCs w:val="18"/>
              </w:rPr>
              <w:t>278.650,74</w:t>
            </w:r>
          </w:p>
        </w:tc>
        <w:tc>
          <w:tcPr>
            <w:tcW w:w="1090" w:type="pct"/>
            <w:tcBorders>
              <w:top w:val="nil"/>
              <w:left w:val="nil"/>
              <w:bottom w:val="nil"/>
              <w:right w:val="nil"/>
            </w:tcBorders>
            <w:shd w:val="clear" w:color="auto" w:fill="auto"/>
            <w:noWrap/>
            <w:vAlign w:val="center"/>
          </w:tcPr>
          <w:p w14:paraId="217A71F7" w14:textId="75985378" w:rsidR="00382952" w:rsidRPr="002F5FA7"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130.000,00</w:t>
            </w:r>
          </w:p>
        </w:tc>
      </w:tr>
      <w:tr w:rsidR="00382952" w:rsidRPr="002D429A" w14:paraId="48AF311A" w14:textId="77777777" w:rsidTr="001B5A15">
        <w:trPr>
          <w:trHeight w:val="340"/>
        </w:trPr>
        <w:tc>
          <w:tcPr>
            <w:tcW w:w="2230" w:type="pct"/>
            <w:tcBorders>
              <w:top w:val="nil"/>
              <w:left w:val="nil"/>
              <w:bottom w:val="nil"/>
              <w:right w:val="nil"/>
            </w:tcBorders>
            <w:shd w:val="clear" w:color="auto" w:fill="auto"/>
            <w:noWrap/>
            <w:vAlign w:val="center"/>
            <w:hideMark/>
          </w:tcPr>
          <w:p w14:paraId="64C48597"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Deudores varios</w:t>
            </w:r>
          </w:p>
        </w:tc>
        <w:tc>
          <w:tcPr>
            <w:tcW w:w="663" w:type="pct"/>
            <w:tcBorders>
              <w:top w:val="nil"/>
              <w:left w:val="nil"/>
              <w:bottom w:val="nil"/>
              <w:right w:val="nil"/>
            </w:tcBorders>
            <w:shd w:val="clear" w:color="auto" w:fill="auto"/>
            <w:noWrap/>
            <w:vAlign w:val="center"/>
            <w:hideMark/>
          </w:tcPr>
          <w:p w14:paraId="6245E76B" w14:textId="77777777" w:rsidR="00382952" w:rsidRPr="00691B37"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691B37">
              <w:rPr>
                <w:rFonts w:eastAsia="Times New Roman"/>
                <w:sz w:val="18"/>
                <w:szCs w:val="18"/>
                <w:bdr w:val="none" w:sz="0" w:space="0" w:color="auto"/>
                <w:lang w:eastAsia="es-ES"/>
              </w:rPr>
              <w:t>8.1.a</w:t>
            </w:r>
          </w:p>
        </w:tc>
        <w:tc>
          <w:tcPr>
            <w:tcW w:w="1017" w:type="pct"/>
            <w:tcBorders>
              <w:top w:val="nil"/>
              <w:left w:val="nil"/>
              <w:bottom w:val="nil"/>
              <w:right w:val="nil"/>
            </w:tcBorders>
            <w:shd w:val="clear" w:color="auto" w:fill="auto"/>
            <w:noWrap/>
            <w:vAlign w:val="center"/>
          </w:tcPr>
          <w:p w14:paraId="2ECBCD7D" w14:textId="347E8B37"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47143">
              <w:rPr>
                <w:sz w:val="18"/>
                <w:szCs w:val="18"/>
              </w:rPr>
              <w:t>22.867,31</w:t>
            </w:r>
          </w:p>
        </w:tc>
        <w:tc>
          <w:tcPr>
            <w:tcW w:w="1090" w:type="pct"/>
            <w:tcBorders>
              <w:top w:val="nil"/>
              <w:left w:val="nil"/>
              <w:bottom w:val="nil"/>
              <w:right w:val="nil"/>
            </w:tcBorders>
            <w:shd w:val="clear" w:color="auto" w:fill="auto"/>
            <w:noWrap/>
            <w:vAlign w:val="center"/>
            <w:hideMark/>
          </w:tcPr>
          <w:p w14:paraId="5B96F12D" w14:textId="43392F3C"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243.976,32</w:t>
            </w:r>
          </w:p>
        </w:tc>
      </w:tr>
      <w:tr w:rsidR="00781AB7" w:rsidRPr="002D429A" w14:paraId="7D488B88" w14:textId="77777777" w:rsidTr="001B5A15">
        <w:trPr>
          <w:trHeight w:val="340"/>
        </w:trPr>
        <w:tc>
          <w:tcPr>
            <w:tcW w:w="2230" w:type="pct"/>
            <w:tcBorders>
              <w:top w:val="nil"/>
              <w:left w:val="nil"/>
              <w:bottom w:val="nil"/>
              <w:right w:val="nil"/>
            </w:tcBorders>
            <w:shd w:val="clear" w:color="auto" w:fill="auto"/>
            <w:noWrap/>
            <w:vAlign w:val="center"/>
          </w:tcPr>
          <w:p w14:paraId="452CC520" w14:textId="727C068B" w:rsidR="00781AB7" w:rsidRPr="00781AB7" w:rsidRDefault="00781AB7"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81AB7">
              <w:rPr>
                <w:sz w:val="18"/>
                <w:szCs w:val="18"/>
              </w:rPr>
              <w:t>Activos por impuesto corriente</w:t>
            </w:r>
          </w:p>
        </w:tc>
        <w:tc>
          <w:tcPr>
            <w:tcW w:w="663" w:type="pct"/>
            <w:tcBorders>
              <w:top w:val="nil"/>
              <w:left w:val="nil"/>
              <w:bottom w:val="nil"/>
              <w:right w:val="nil"/>
            </w:tcBorders>
            <w:shd w:val="clear" w:color="auto" w:fill="auto"/>
            <w:noWrap/>
            <w:vAlign w:val="center"/>
          </w:tcPr>
          <w:p w14:paraId="61932A06" w14:textId="200738B1" w:rsidR="00781AB7" w:rsidRPr="00691B37" w:rsidRDefault="0091696E"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085996">
              <w:rPr>
                <w:rFonts w:eastAsia="Times New Roman"/>
                <w:sz w:val="18"/>
                <w:szCs w:val="18"/>
                <w:bdr w:val="none" w:sz="0" w:space="0" w:color="auto"/>
                <w:lang w:eastAsia="es-ES"/>
              </w:rPr>
              <w:t>11</w:t>
            </w:r>
            <w:r>
              <w:rPr>
                <w:rFonts w:eastAsia="Times New Roman"/>
                <w:sz w:val="18"/>
                <w:szCs w:val="18"/>
                <w:bdr w:val="none" w:sz="0" w:space="0" w:color="auto"/>
                <w:lang w:eastAsia="es-ES"/>
              </w:rPr>
              <w:t>.1.a</w:t>
            </w:r>
          </w:p>
        </w:tc>
        <w:tc>
          <w:tcPr>
            <w:tcW w:w="1017" w:type="pct"/>
            <w:tcBorders>
              <w:top w:val="nil"/>
              <w:left w:val="nil"/>
              <w:bottom w:val="nil"/>
              <w:right w:val="nil"/>
            </w:tcBorders>
            <w:shd w:val="clear" w:color="auto" w:fill="auto"/>
            <w:noWrap/>
            <w:vAlign w:val="center"/>
          </w:tcPr>
          <w:p w14:paraId="65C025D5" w14:textId="0BE7C525" w:rsidR="00781AB7" w:rsidRPr="00547143" w:rsidRDefault="00781AB7"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sidRPr="00547143">
              <w:rPr>
                <w:sz w:val="18"/>
                <w:szCs w:val="18"/>
              </w:rPr>
              <w:t>3.623,07</w:t>
            </w:r>
          </w:p>
        </w:tc>
        <w:tc>
          <w:tcPr>
            <w:tcW w:w="1090" w:type="pct"/>
            <w:tcBorders>
              <w:top w:val="nil"/>
              <w:left w:val="nil"/>
              <w:bottom w:val="nil"/>
              <w:right w:val="nil"/>
            </w:tcBorders>
            <w:shd w:val="clear" w:color="auto" w:fill="auto"/>
            <w:noWrap/>
            <w:vAlign w:val="center"/>
          </w:tcPr>
          <w:p w14:paraId="17784DAC" w14:textId="5582D191" w:rsidR="00781AB7" w:rsidRDefault="00781AB7"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w:t>
            </w:r>
          </w:p>
        </w:tc>
      </w:tr>
      <w:tr w:rsidR="00382952" w:rsidRPr="002D429A" w14:paraId="34F43091" w14:textId="77777777" w:rsidTr="001B5A15">
        <w:trPr>
          <w:trHeight w:val="340"/>
        </w:trPr>
        <w:tc>
          <w:tcPr>
            <w:tcW w:w="2230" w:type="pct"/>
            <w:tcBorders>
              <w:top w:val="nil"/>
              <w:left w:val="nil"/>
              <w:bottom w:val="nil"/>
              <w:right w:val="nil"/>
            </w:tcBorders>
            <w:shd w:val="clear" w:color="auto" w:fill="auto"/>
            <w:noWrap/>
            <w:vAlign w:val="center"/>
            <w:hideMark/>
          </w:tcPr>
          <w:p w14:paraId="03FB7F8D"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Otros créditos con las Administraciones Públicas</w:t>
            </w:r>
          </w:p>
        </w:tc>
        <w:tc>
          <w:tcPr>
            <w:tcW w:w="663" w:type="pct"/>
            <w:tcBorders>
              <w:top w:val="nil"/>
              <w:left w:val="nil"/>
              <w:bottom w:val="nil"/>
              <w:right w:val="nil"/>
            </w:tcBorders>
            <w:shd w:val="clear" w:color="auto" w:fill="auto"/>
            <w:noWrap/>
            <w:vAlign w:val="center"/>
            <w:hideMark/>
          </w:tcPr>
          <w:p w14:paraId="6258F42D" w14:textId="50CCB1EE" w:rsidR="00382952" w:rsidRPr="003D20E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085996">
              <w:rPr>
                <w:rFonts w:eastAsia="Times New Roman"/>
                <w:sz w:val="18"/>
                <w:szCs w:val="18"/>
                <w:bdr w:val="none" w:sz="0" w:space="0" w:color="auto"/>
                <w:lang w:eastAsia="es-ES"/>
              </w:rPr>
              <w:t>11</w:t>
            </w:r>
            <w:r>
              <w:rPr>
                <w:rFonts w:eastAsia="Times New Roman"/>
                <w:sz w:val="18"/>
                <w:szCs w:val="18"/>
                <w:bdr w:val="none" w:sz="0" w:space="0" w:color="auto"/>
                <w:lang w:eastAsia="es-ES"/>
              </w:rPr>
              <w:t>.1.a</w:t>
            </w:r>
          </w:p>
        </w:tc>
        <w:tc>
          <w:tcPr>
            <w:tcW w:w="1017" w:type="pct"/>
            <w:tcBorders>
              <w:top w:val="nil"/>
              <w:left w:val="nil"/>
              <w:bottom w:val="nil"/>
              <w:right w:val="nil"/>
            </w:tcBorders>
            <w:shd w:val="clear" w:color="auto" w:fill="auto"/>
            <w:noWrap/>
            <w:vAlign w:val="center"/>
          </w:tcPr>
          <w:p w14:paraId="099C45C8" w14:textId="75AF81E9"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47143">
              <w:rPr>
                <w:sz w:val="18"/>
                <w:szCs w:val="18"/>
              </w:rPr>
              <w:t>36.945.519,55</w:t>
            </w:r>
          </w:p>
        </w:tc>
        <w:tc>
          <w:tcPr>
            <w:tcW w:w="1090" w:type="pct"/>
            <w:tcBorders>
              <w:top w:val="nil"/>
              <w:left w:val="nil"/>
              <w:bottom w:val="nil"/>
              <w:right w:val="nil"/>
            </w:tcBorders>
            <w:shd w:val="clear" w:color="auto" w:fill="auto"/>
            <w:noWrap/>
            <w:vAlign w:val="center"/>
            <w:hideMark/>
          </w:tcPr>
          <w:p w14:paraId="4B2DBE8E" w14:textId="3FCE09F1"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12.636.593,12</w:t>
            </w:r>
          </w:p>
        </w:tc>
      </w:tr>
      <w:tr w:rsidR="00382952" w:rsidRPr="002D429A" w14:paraId="35E279EF" w14:textId="77777777" w:rsidTr="001B5A15">
        <w:trPr>
          <w:trHeight w:val="340"/>
        </w:trPr>
        <w:tc>
          <w:tcPr>
            <w:tcW w:w="2230" w:type="pct"/>
            <w:tcBorders>
              <w:top w:val="nil"/>
              <w:left w:val="nil"/>
              <w:bottom w:val="nil"/>
              <w:right w:val="nil"/>
            </w:tcBorders>
            <w:shd w:val="clear" w:color="auto" w:fill="auto"/>
            <w:noWrap/>
            <w:vAlign w:val="center"/>
          </w:tcPr>
          <w:p w14:paraId="344232BA" w14:textId="2D598688"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Pr>
                <w:b/>
                <w:bCs/>
                <w:sz w:val="18"/>
                <w:szCs w:val="18"/>
              </w:rPr>
              <w:t xml:space="preserve">Inversiones financieras a corto plazo </w:t>
            </w:r>
          </w:p>
        </w:tc>
        <w:tc>
          <w:tcPr>
            <w:tcW w:w="663" w:type="pct"/>
            <w:tcBorders>
              <w:top w:val="nil"/>
              <w:left w:val="nil"/>
              <w:bottom w:val="nil"/>
              <w:right w:val="nil"/>
            </w:tcBorders>
            <w:shd w:val="clear" w:color="auto" w:fill="auto"/>
            <w:noWrap/>
            <w:vAlign w:val="center"/>
          </w:tcPr>
          <w:p w14:paraId="6AA0CF07" w14:textId="77777777" w:rsidR="00382952" w:rsidRPr="00085996"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17" w:type="pct"/>
            <w:tcBorders>
              <w:top w:val="nil"/>
              <w:left w:val="nil"/>
              <w:bottom w:val="nil"/>
              <w:right w:val="nil"/>
            </w:tcBorders>
            <w:shd w:val="clear" w:color="auto" w:fill="auto"/>
            <w:noWrap/>
            <w:vAlign w:val="center"/>
          </w:tcPr>
          <w:p w14:paraId="36333EFF" w14:textId="5E8AEA25"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sidRPr="00547143">
              <w:rPr>
                <w:b/>
                <w:bCs/>
                <w:sz w:val="18"/>
                <w:szCs w:val="18"/>
              </w:rPr>
              <w:t>7.624,20</w:t>
            </w:r>
          </w:p>
        </w:tc>
        <w:tc>
          <w:tcPr>
            <w:tcW w:w="1090" w:type="pct"/>
            <w:tcBorders>
              <w:top w:val="nil"/>
              <w:left w:val="nil"/>
              <w:bottom w:val="nil"/>
              <w:right w:val="nil"/>
            </w:tcBorders>
            <w:shd w:val="clear" w:color="auto" w:fill="auto"/>
            <w:noWrap/>
            <w:vAlign w:val="center"/>
          </w:tcPr>
          <w:p w14:paraId="6704955A" w14:textId="43065E1F" w:rsidR="00382952"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 xml:space="preserve"> -</w:t>
            </w:r>
          </w:p>
        </w:tc>
      </w:tr>
      <w:tr w:rsidR="00382952" w:rsidRPr="002D429A" w14:paraId="3AC899C9" w14:textId="77777777" w:rsidTr="001B5A15">
        <w:trPr>
          <w:trHeight w:val="340"/>
        </w:trPr>
        <w:tc>
          <w:tcPr>
            <w:tcW w:w="2230" w:type="pct"/>
            <w:tcBorders>
              <w:top w:val="nil"/>
              <w:left w:val="nil"/>
              <w:bottom w:val="nil"/>
              <w:right w:val="nil"/>
            </w:tcBorders>
            <w:shd w:val="clear" w:color="auto" w:fill="auto"/>
            <w:noWrap/>
            <w:vAlign w:val="center"/>
          </w:tcPr>
          <w:p w14:paraId="24B397D8" w14:textId="12456602"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Pr>
                <w:sz w:val="18"/>
                <w:szCs w:val="18"/>
              </w:rPr>
              <w:t>Otros activos financieros</w:t>
            </w:r>
          </w:p>
        </w:tc>
        <w:tc>
          <w:tcPr>
            <w:tcW w:w="663" w:type="pct"/>
            <w:tcBorders>
              <w:top w:val="nil"/>
              <w:left w:val="nil"/>
              <w:bottom w:val="nil"/>
              <w:right w:val="nil"/>
            </w:tcBorders>
            <w:shd w:val="clear" w:color="auto" w:fill="auto"/>
            <w:noWrap/>
            <w:vAlign w:val="center"/>
          </w:tcPr>
          <w:p w14:paraId="18D50992" w14:textId="77777777" w:rsidR="00382952" w:rsidRPr="00085996"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1017" w:type="pct"/>
            <w:tcBorders>
              <w:top w:val="nil"/>
              <w:left w:val="nil"/>
              <w:bottom w:val="nil"/>
              <w:right w:val="nil"/>
            </w:tcBorders>
            <w:shd w:val="clear" w:color="auto" w:fill="auto"/>
            <w:noWrap/>
            <w:vAlign w:val="center"/>
          </w:tcPr>
          <w:p w14:paraId="3FDCE02F" w14:textId="0B672908"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sidRPr="00547143">
              <w:rPr>
                <w:sz w:val="18"/>
                <w:szCs w:val="18"/>
              </w:rPr>
              <w:t>7.624,20</w:t>
            </w:r>
          </w:p>
        </w:tc>
        <w:tc>
          <w:tcPr>
            <w:tcW w:w="1090" w:type="pct"/>
            <w:tcBorders>
              <w:top w:val="nil"/>
              <w:left w:val="nil"/>
              <w:bottom w:val="nil"/>
              <w:right w:val="nil"/>
            </w:tcBorders>
            <w:shd w:val="clear" w:color="auto" w:fill="auto"/>
            <w:noWrap/>
            <w:vAlign w:val="center"/>
          </w:tcPr>
          <w:p w14:paraId="1791431E" w14:textId="66559E6E" w:rsidR="00382952"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 xml:space="preserve"> -</w:t>
            </w:r>
          </w:p>
        </w:tc>
      </w:tr>
      <w:tr w:rsidR="00382952" w:rsidRPr="002D429A" w14:paraId="2A2A6381" w14:textId="77777777" w:rsidTr="001B5A15">
        <w:trPr>
          <w:trHeight w:val="340"/>
        </w:trPr>
        <w:tc>
          <w:tcPr>
            <w:tcW w:w="2230" w:type="pct"/>
            <w:tcBorders>
              <w:top w:val="nil"/>
              <w:left w:val="nil"/>
              <w:bottom w:val="nil"/>
              <w:right w:val="nil"/>
            </w:tcBorders>
            <w:shd w:val="clear" w:color="auto" w:fill="auto"/>
            <w:noWrap/>
            <w:vAlign w:val="center"/>
            <w:hideMark/>
          </w:tcPr>
          <w:p w14:paraId="16F8027F"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Periodificaciones a corto plazo </w:t>
            </w:r>
          </w:p>
        </w:tc>
        <w:tc>
          <w:tcPr>
            <w:tcW w:w="663" w:type="pct"/>
            <w:tcBorders>
              <w:top w:val="nil"/>
              <w:left w:val="nil"/>
              <w:bottom w:val="nil"/>
              <w:right w:val="nil"/>
            </w:tcBorders>
            <w:shd w:val="clear" w:color="auto" w:fill="auto"/>
            <w:noWrap/>
            <w:vAlign w:val="center"/>
            <w:hideMark/>
          </w:tcPr>
          <w:p w14:paraId="4384711E" w14:textId="30FF3E9A" w:rsidR="00382952" w:rsidRPr="003D20E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6A5379">
              <w:rPr>
                <w:rFonts w:eastAsia="Times New Roman"/>
                <w:b/>
                <w:bCs/>
                <w:sz w:val="18"/>
                <w:szCs w:val="18"/>
                <w:bdr w:val="none" w:sz="0" w:space="0" w:color="auto"/>
                <w:lang w:eastAsia="es-ES"/>
              </w:rPr>
              <w:t>8.1.</w:t>
            </w:r>
            <w:r>
              <w:rPr>
                <w:rFonts w:eastAsia="Times New Roman"/>
                <w:b/>
                <w:bCs/>
                <w:sz w:val="18"/>
                <w:szCs w:val="18"/>
                <w:bdr w:val="none" w:sz="0" w:space="0" w:color="auto"/>
                <w:lang w:eastAsia="es-ES"/>
              </w:rPr>
              <w:t>b</w:t>
            </w:r>
          </w:p>
        </w:tc>
        <w:tc>
          <w:tcPr>
            <w:tcW w:w="1017" w:type="pct"/>
            <w:tcBorders>
              <w:top w:val="nil"/>
              <w:left w:val="nil"/>
              <w:bottom w:val="nil"/>
              <w:right w:val="nil"/>
            </w:tcBorders>
            <w:shd w:val="clear" w:color="auto" w:fill="auto"/>
            <w:noWrap/>
            <w:vAlign w:val="center"/>
          </w:tcPr>
          <w:p w14:paraId="4AF46177" w14:textId="44D90FCF"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881.684,75</w:t>
            </w:r>
          </w:p>
        </w:tc>
        <w:tc>
          <w:tcPr>
            <w:tcW w:w="1090" w:type="pct"/>
            <w:tcBorders>
              <w:top w:val="nil"/>
              <w:left w:val="nil"/>
              <w:bottom w:val="nil"/>
              <w:right w:val="nil"/>
            </w:tcBorders>
            <w:shd w:val="clear" w:color="auto" w:fill="auto"/>
            <w:noWrap/>
            <w:vAlign w:val="center"/>
            <w:hideMark/>
          </w:tcPr>
          <w:p w14:paraId="1C4BFCB5" w14:textId="2A253A9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1.881.921,22</w:t>
            </w:r>
          </w:p>
        </w:tc>
      </w:tr>
      <w:tr w:rsidR="00382952" w:rsidRPr="002D429A" w14:paraId="5867382A" w14:textId="77777777" w:rsidTr="001B5A15">
        <w:trPr>
          <w:trHeight w:val="340"/>
        </w:trPr>
        <w:tc>
          <w:tcPr>
            <w:tcW w:w="2230" w:type="pct"/>
            <w:tcBorders>
              <w:top w:val="nil"/>
              <w:left w:val="nil"/>
              <w:right w:val="nil"/>
            </w:tcBorders>
            <w:shd w:val="clear" w:color="auto" w:fill="auto"/>
            <w:noWrap/>
            <w:vAlign w:val="center"/>
            <w:hideMark/>
          </w:tcPr>
          <w:p w14:paraId="373804BC"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 xml:space="preserve">Efectivo y otros activos líquidos equivalentes </w:t>
            </w:r>
          </w:p>
        </w:tc>
        <w:tc>
          <w:tcPr>
            <w:tcW w:w="663" w:type="pct"/>
            <w:tcBorders>
              <w:top w:val="nil"/>
              <w:left w:val="nil"/>
              <w:right w:val="nil"/>
            </w:tcBorders>
            <w:shd w:val="clear" w:color="auto" w:fill="auto"/>
            <w:noWrap/>
            <w:vAlign w:val="center"/>
            <w:hideMark/>
          </w:tcPr>
          <w:p w14:paraId="7B1A74F6" w14:textId="64A28DE4" w:rsidR="00382952" w:rsidRPr="003D20E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6A5379">
              <w:rPr>
                <w:rFonts w:eastAsia="Times New Roman"/>
                <w:b/>
                <w:bCs/>
                <w:sz w:val="18"/>
                <w:szCs w:val="18"/>
                <w:bdr w:val="none" w:sz="0" w:space="0" w:color="auto"/>
                <w:lang w:eastAsia="es-ES"/>
              </w:rPr>
              <w:t>8.</w:t>
            </w:r>
            <w:r>
              <w:rPr>
                <w:rFonts w:eastAsia="Times New Roman"/>
                <w:b/>
                <w:bCs/>
                <w:sz w:val="18"/>
                <w:szCs w:val="18"/>
                <w:bdr w:val="none" w:sz="0" w:space="0" w:color="auto"/>
                <w:lang w:eastAsia="es-ES"/>
              </w:rPr>
              <w:t>2</w:t>
            </w:r>
          </w:p>
        </w:tc>
        <w:tc>
          <w:tcPr>
            <w:tcW w:w="1017" w:type="pct"/>
            <w:tcBorders>
              <w:top w:val="nil"/>
              <w:left w:val="nil"/>
              <w:right w:val="nil"/>
            </w:tcBorders>
            <w:shd w:val="clear" w:color="auto" w:fill="auto"/>
            <w:noWrap/>
            <w:vAlign w:val="center"/>
          </w:tcPr>
          <w:p w14:paraId="41060B4F" w14:textId="564059AE"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15.215.512,78</w:t>
            </w:r>
          </w:p>
        </w:tc>
        <w:tc>
          <w:tcPr>
            <w:tcW w:w="1090" w:type="pct"/>
            <w:tcBorders>
              <w:top w:val="nil"/>
              <w:left w:val="nil"/>
              <w:right w:val="nil"/>
            </w:tcBorders>
            <w:shd w:val="clear" w:color="auto" w:fill="auto"/>
            <w:noWrap/>
            <w:vAlign w:val="center"/>
            <w:hideMark/>
          </w:tcPr>
          <w:p w14:paraId="1FECBEFA" w14:textId="14899676"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20.864.421,45</w:t>
            </w:r>
          </w:p>
        </w:tc>
      </w:tr>
      <w:tr w:rsidR="00382952" w:rsidRPr="002D429A" w14:paraId="4DF4EC8A" w14:textId="77777777" w:rsidTr="001B5A15">
        <w:trPr>
          <w:trHeight w:val="170"/>
        </w:trPr>
        <w:tc>
          <w:tcPr>
            <w:tcW w:w="2230" w:type="pct"/>
            <w:tcBorders>
              <w:top w:val="nil"/>
              <w:left w:val="nil"/>
              <w:bottom w:val="single" w:sz="4" w:space="0" w:color="auto"/>
              <w:right w:val="nil"/>
            </w:tcBorders>
            <w:shd w:val="clear" w:color="auto" w:fill="auto"/>
            <w:noWrap/>
            <w:vAlign w:val="center"/>
            <w:hideMark/>
          </w:tcPr>
          <w:p w14:paraId="0AE277B5"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3" w:type="pct"/>
            <w:tcBorders>
              <w:top w:val="nil"/>
              <w:left w:val="nil"/>
              <w:bottom w:val="single" w:sz="4" w:space="0" w:color="auto"/>
              <w:right w:val="nil"/>
            </w:tcBorders>
            <w:shd w:val="clear" w:color="auto" w:fill="auto"/>
            <w:noWrap/>
            <w:vAlign w:val="center"/>
            <w:hideMark/>
          </w:tcPr>
          <w:p w14:paraId="2D170311"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1017" w:type="pct"/>
            <w:tcBorders>
              <w:top w:val="nil"/>
              <w:left w:val="nil"/>
              <w:bottom w:val="single" w:sz="4" w:space="0" w:color="auto"/>
              <w:right w:val="nil"/>
            </w:tcBorders>
            <w:shd w:val="clear" w:color="auto" w:fill="auto"/>
            <w:noWrap/>
            <w:vAlign w:val="center"/>
          </w:tcPr>
          <w:p w14:paraId="66DD725F" w14:textId="77777777"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1090" w:type="pct"/>
            <w:tcBorders>
              <w:top w:val="nil"/>
              <w:left w:val="nil"/>
              <w:bottom w:val="single" w:sz="4" w:space="0" w:color="auto"/>
              <w:right w:val="nil"/>
            </w:tcBorders>
            <w:shd w:val="clear" w:color="auto" w:fill="auto"/>
            <w:noWrap/>
            <w:vAlign w:val="center"/>
            <w:hideMark/>
          </w:tcPr>
          <w:p w14:paraId="5879A67D"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82952" w:rsidRPr="002D429A" w14:paraId="26FDBFA8" w14:textId="77777777" w:rsidTr="001B5A15">
        <w:trPr>
          <w:trHeight w:val="340"/>
        </w:trPr>
        <w:tc>
          <w:tcPr>
            <w:tcW w:w="2230" w:type="pct"/>
            <w:tcBorders>
              <w:top w:val="single" w:sz="4" w:space="0" w:color="auto"/>
              <w:left w:val="nil"/>
              <w:bottom w:val="single" w:sz="4" w:space="0" w:color="auto"/>
              <w:right w:val="nil"/>
            </w:tcBorders>
            <w:shd w:val="clear" w:color="auto" w:fill="F2F2F2" w:themeFill="background1" w:themeFillShade="F2"/>
            <w:noWrap/>
            <w:vAlign w:val="center"/>
            <w:hideMark/>
          </w:tcPr>
          <w:p w14:paraId="48234FE3"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TOTAL ACTIVO</w:t>
            </w:r>
          </w:p>
        </w:tc>
        <w:tc>
          <w:tcPr>
            <w:tcW w:w="663" w:type="pct"/>
            <w:tcBorders>
              <w:top w:val="single" w:sz="4" w:space="0" w:color="auto"/>
              <w:left w:val="nil"/>
              <w:bottom w:val="single" w:sz="4" w:space="0" w:color="auto"/>
              <w:right w:val="nil"/>
            </w:tcBorders>
            <w:shd w:val="clear" w:color="auto" w:fill="F2F2F2" w:themeFill="background1" w:themeFillShade="F2"/>
            <w:noWrap/>
            <w:vAlign w:val="center"/>
            <w:hideMark/>
          </w:tcPr>
          <w:p w14:paraId="0DBC8492"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1017" w:type="pct"/>
            <w:tcBorders>
              <w:top w:val="single" w:sz="4" w:space="0" w:color="auto"/>
              <w:left w:val="nil"/>
              <w:bottom w:val="single" w:sz="4" w:space="0" w:color="auto"/>
              <w:right w:val="nil"/>
            </w:tcBorders>
            <w:shd w:val="clear" w:color="auto" w:fill="F2F2F2" w:themeFill="background1" w:themeFillShade="F2"/>
            <w:noWrap/>
            <w:vAlign w:val="center"/>
          </w:tcPr>
          <w:p w14:paraId="143684FF" w14:textId="5B1B0938"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547143">
              <w:rPr>
                <w:b/>
                <w:bCs/>
                <w:sz w:val="18"/>
                <w:szCs w:val="18"/>
              </w:rPr>
              <w:t>53.593.054,82</w:t>
            </w:r>
          </w:p>
        </w:tc>
        <w:tc>
          <w:tcPr>
            <w:tcW w:w="1090" w:type="pct"/>
            <w:tcBorders>
              <w:top w:val="single" w:sz="4" w:space="0" w:color="auto"/>
              <w:left w:val="nil"/>
              <w:bottom w:val="single" w:sz="4" w:space="0" w:color="auto"/>
              <w:right w:val="nil"/>
            </w:tcBorders>
            <w:shd w:val="clear" w:color="auto" w:fill="F2F2F2" w:themeFill="background1" w:themeFillShade="F2"/>
            <w:noWrap/>
            <w:vAlign w:val="center"/>
            <w:hideMark/>
          </w:tcPr>
          <w:p w14:paraId="0A98E7B5" w14:textId="141B712A" w:rsidR="00382952" w:rsidRDefault="00382952" w:rsidP="00382952">
            <w:pPr>
              <w:jc w:val="right"/>
              <w:rPr>
                <w:b/>
                <w:bCs/>
                <w:sz w:val="18"/>
                <w:szCs w:val="18"/>
              </w:rPr>
            </w:pPr>
            <w:r>
              <w:rPr>
                <w:b/>
                <w:bCs/>
                <w:sz w:val="18"/>
                <w:szCs w:val="18"/>
              </w:rPr>
              <w:t>36.106.613,67</w:t>
            </w:r>
          </w:p>
        </w:tc>
      </w:tr>
    </w:tbl>
    <w:p w14:paraId="230AFE9B" w14:textId="309B25FB" w:rsidR="003849D9" w:rsidRPr="00BA5560" w:rsidRDefault="006220A2"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120"/>
        <w:jc w:val="center"/>
        <w:outlineLvl w:val="9"/>
        <w:rPr>
          <w:i/>
          <w:iCs/>
          <w:sz w:val="18"/>
          <w:szCs w:val="18"/>
        </w:rPr>
      </w:pPr>
      <w:r w:rsidRPr="00BA5560">
        <w:rPr>
          <w:i/>
          <w:iCs/>
          <w:sz w:val="18"/>
          <w:szCs w:val="18"/>
        </w:rPr>
        <w:t>Las Cuentas Anuales de la Sociedad, que forman una sola unidad, comprenden est</w:t>
      </w:r>
      <w:r w:rsidR="00052BF5" w:rsidRPr="00BA5560">
        <w:rPr>
          <w:i/>
          <w:iCs/>
          <w:sz w:val="18"/>
          <w:szCs w:val="18"/>
        </w:rPr>
        <w:t>e</w:t>
      </w:r>
      <w:r w:rsidRPr="00BA5560">
        <w:rPr>
          <w:i/>
          <w:iCs/>
          <w:sz w:val="18"/>
          <w:szCs w:val="18"/>
        </w:rPr>
        <w:t xml:space="preserve"> Balance, la Cuentas de Pérdidas y Ganancias, el Estado de Cambios en el Patrimonio Neto, el Estado de Flujos de Efectivo adjuntos y la Memori</w:t>
      </w:r>
      <w:r w:rsidR="007B4E43" w:rsidRPr="00BA5560">
        <w:rPr>
          <w:i/>
          <w:iCs/>
          <w:sz w:val="18"/>
          <w:szCs w:val="18"/>
        </w:rPr>
        <w:t>a Anual adjunta que consta de 20</w:t>
      </w:r>
      <w:r w:rsidRPr="00BA5560">
        <w:rPr>
          <w:i/>
          <w:iCs/>
          <w:sz w:val="18"/>
          <w:szCs w:val="18"/>
        </w:rPr>
        <w:t xml:space="preserve"> Notas</w:t>
      </w:r>
    </w:p>
    <w:p w14:paraId="77D655E0" w14:textId="77777777" w:rsidR="003A4111" w:rsidRPr="0083433F" w:rsidRDefault="006220A2" w:rsidP="006220A2">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outlineLvl w:val="0"/>
        <w:rPr>
          <w:sz w:val="20"/>
        </w:rPr>
      </w:pPr>
      <w:r w:rsidRPr="0083433F">
        <w:rPr>
          <w:sz w:val="20"/>
        </w:rPr>
        <w:br w:type="page"/>
      </w:r>
    </w:p>
    <w:p w14:paraId="74A95CD8" w14:textId="77777777"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rPr>
          <w:b/>
          <w:snapToGrid w:val="0"/>
          <w:sz w:val="20"/>
        </w:rPr>
      </w:pPr>
      <w:r w:rsidRPr="0083433F">
        <w:rPr>
          <w:b/>
          <w:snapToGrid w:val="0"/>
          <w:sz w:val="20"/>
        </w:rPr>
        <w:lastRenderedPageBreak/>
        <w:t>PROMOTUR TURISMO CANARIAS, S.A.</w:t>
      </w:r>
    </w:p>
    <w:p w14:paraId="205BCF05" w14:textId="09AD963B" w:rsidR="006220A2" w:rsidRPr="0083433F"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spacing w:val="-1"/>
          <w:sz w:val="20"/>
        </w:rPr>
      </w:pPr>
      <w:r w:rsidRPr="0083433F">
        <w:rPr>
          <w:b/>
          <w:spacing w:val="-1"/>
          <w:sz w:val="20"/>
        </w:rPr>
        <w:t>BALANCE DE SITUACIÓN AL 31 DE DICIEMBRE DE 20</w:t>
      </w:r>
      <w:r w:rsidR="002D429A">
        <w:rPr>
          <w:b/>
          <w:spacing w:val="-1"/>
          <w:sz w:val="20"/>
        </w:rPr>
        <w:t>2</w:t>
      </w:r>
      <w:r w:rsidR="00382952">
        <w:rPr>
          <w:b/>
          <w:spacing w:val="-1"/>
          <w:sz w:val="20"/>
        </w:rPr>
        <w:t>3</w:t>
      </w:r>
      <w:r w:rsidR="00D63680" w:rsidRPr="0083433F">
        <w:rPr>
          <w:b/>
          <w:spacing w:val="-1"/>
          <w:sz w:val="20"/>
        </w:rPr>
        <w:t xml:space="preserve"> Y 20</w:t>
      </w:r>
      <w:r w:rsidR="0057231A">
        <w:rPr>
          <w:b/>
          <w:spacing w:val="-1"/>
          <w:sz w:val="20"/>
        </w:rPr>
        <w:t>2</w:t>
      </w:r>
      <w:r w:rsidR="00382952">
        <w:rPr>
          <w:b/>
          <w:spacing w:val="-1"/>
          <w:sz w:val="20"/>
        </w:rPr>
        <w:t>2</w:t>
      </w:r>
      <w:r w:rsidRPr="0083433F">
        <w:rPr>
          <w:b/>
          <w:spacing w:val="-1"/>
          <w:sz w:val="20"/>
        </w:rPr>
        <w:t xml:space="preserve"> (Expresado en euros)</w:t>
      </w:r>
    </w:p>
    <w:p w14:paraId="7D21B2BA" w14:textId="77777777" w:rsidR="006220A2" w:rsidRPr="0083433F" w:rsidRDefault="006220A2" w:rsidP="006220A2">
      <w:pPr>
        <w:widowControl w:val="0"/>
        <w:tabs>
          <w:tab w:val="left" w:pos="284"/>
          <w:tab w:val="left" w:pos="567"/>
          <w:tab w:val="left" w:pos="851"/>
        </w:tabs>
        <w:rPr>
          <w:b/>
          <w:sz w:val="18"/>
          <w:szCs w:val="18"/>
        </w:rPr>
      </w:pPr>
    </w:p>
    <w:tbl>
      <w:tblPr>
        <w:tblW w:w="4943" w:type="pct"/>
        <w:tblCellMar>
          <w:left w:w="70" w:type="dxa"/>
          <w:right w:w="70" w:type="dxa"/>
        </w:tblCellMar>
        <w:tblLook w:val="04A0" w:firstRow="1" w:lastRow="0" w:firstColumn="1" w:lastColumn="0" w:noHBand="0" w:noVBand="1"/>
      </w:tblPr>
      <w:tblGrid>
        <w:gridCol w:w="4303"/>
        <w:gridCol w:w="1197"/>
        <w:gridCol w:w="1731"/>
        <w:gridCol w:w="1731"/>
      </w:tblGrid>
      <w:tr w:rsidR="002D429A" w:rsidRPr="002D429A" w14:paraId="6FF11EA5" w14:textId="77777777" w:rsidTr="004A2576">
        <w:trPr>
          <w:trHeight w:val="227"/>
        </w:trPr>
        <w:tc>
          <w:tcPr>
            <w:tcW w:w="2401" w:type="pct"/>
            <w:vMerge w:val="restart"/>
            <w:tcBorders>
              <w:top w:val="single" w:sz="4" w:space="0" w:color="auto"/>
              <w:left w:val="nil"/>
              <w:bottom w:val="single" w:sz="8" w:space="0" w:color="000000"/>
              <w:right w:val="nil"/>
            </w:tcBorders>
            <w:shd w:val="clear" w:color="auto" w:fill="D9D9D9" w:themeFill="background1" w:themeFillShade="D9"/>
            <w:vAlign w:val="bottom"/>
            <w:hideMark/>
          </w:tcPr>
          <w:p w14:paraId="10D28774" w14:textId="77777777" w:rsidR="002D429A" w:rsidRPr="002D429A" w:rsidRDefault="002D429A" w:rsidP="009112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PATRIMONIO NETO Y PASIVO</w:t>
            </w:r>
          </w:p>
        </w:tc>
        <w:tc>
          <w:tcPr>
            <w:tcW w:w="668" w:type="pct"/>
            <w:vMerge w:val="restart"/>
            <w:tcBorders>
              <w:top w:val="single" w:sz="4" w:space="0" w:color="auto"/>
              <w:left w:val="nil"/>
              <w:bottom w:val="single" w:sz="8" w:space="0" w:color="000000"/>
              <w:right w:val="nil"/>
            </w:tcBorders>
            <w:shd w:val="clear" w:color="auto" w:fill="D9D9D9" w:themeFill="background1" w:themeFillShade="D9"/>
            <w:vAlign w:val="bottom"/>
            <w:hideMark/>
          </w:tcPr>
          <w:p w14:paraId="1FAD9EC3" w14:textId="77777777" w:rsidR="00052BF5"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r>
              <w:rPr>
                <w:rFonts w:eastAsia="Times New Roman"/>
                <w:b/>
                <w:bCs/>
                <w:sz w:val="18"/>
                <w:szCs w:val="18"/>
                <w:bdr w:val="none" w:sz="0" w:space="0" w:color="auto"/>
                <w:lang w:eastAsia="es-ES"/>
              </w:rPr>
              <w:t>s</w:t>
            </w:r>
          </w:p>
          <w:p w14:paraId="77A3269C" w14:textId="62B051DD" w:rsidR="002D429A" w:rsidRPr="002D429A"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Memoria</w:t>
            </w:r>
          </w:p>
        </w:tc>
        <w:tc>
          <w:tcPr>
            <w:tcW w:w="966" w:type="pct"/>
            <w:tcBorders>
              <w:top w:val="single" w:sz="4" w:space="0" w:color="auto"/>
              <w:left w:val="nil"/>
              <w:bottom w:val="single" w:sz="4" w:space="0" w:color="auto"/>
              <w:right w:val="nil"/>
            </w:tcBorders>
            <w:shd w:val="clear" w:color="auto" w:fill="D9D9D9" w:themeFill="background1" w:themeFillShade="D9"/>
            <w:noWrap/>
            <w:vAlign w:val="bottom"/>
            <w:hideMark/>
          </w:tcPr>
          <w:p w14:paraId="490D14B9"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c>
          <w:tcPr>
            <w:tcW w:w="966" w:type="pct"/>
            <w:tcBorders>
              <w:top w:val="single" w:sz="4" w:space="0" w:color="auto"/>
              <w:left w:val="nil"/>
              <w:bottom w:val="single" w:sz="4" w:space="0" w:color="auto"/>
              <w:right w:val="nil"/>
            </w:tcBorders>
            <w:shd w:val="clear" w:color="auto" w:fill="D9D9D9" w:themeFill="background1" w:themeFillShade="D9"/>
            <w:noWrap/>
            <w:vAlign w:val="bottom"/>
            <w:hideMark/>
          </w:tcPr>
          <w:p w14:paraId="15E0E656" w14:textId="77777777" w:rsidR="002D429A" w:rsidRPr="002D429A" w:rsidRDefault="002D429A"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Al 31 de diciembre</w:t>
            </w:r>
          </w:p>
        </w:tc>
      </w:tr>
      <w:tr w:rsidR="0022442F" w:rsidRPr="002D429A" w14:paraId="5E933821" w14:textId="77777777" w:rsidTr="004A2576">
        <w:trPr>
          <w:trHeight w:val="227"/>
        </w:trPr>
        <w:tc>
          <w:tcPr>
            <w:tcW w:w="2401" w:type="pct"/>
            <w:vMerge/>
            <w:tcBorders>
              <w:top w:val="single" w:sz="8" w:space="0" w:color="auto"/>
              <w:left w:val="nil"/>
              <w:bottom w:val="single" w:sz="4" w:space="0" w:color="auto"/>
              <w:right w:val="nil"/>
            </w:tcBorders>
            <w:shd w:val="clear" w:color="auto" w:fill="D9D9D9" w:themeFill="background1" w:themeFillShade="D9"/>
            <w:vAlign w:val="center"/>
            <w:hideMark/>
          </w:tcPr>
          <w:p w14:paraId="1031A2FF"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8" w:type="pct"/>
            <w:vMerge/>
            <w:tcBorders>
              <w:top w:val="single" w:sz="8" w:space="0" w:color="auto"/>
              <w:left w:val="nil"/>
              <w:bottom w:val="single" w:sz="4" w:space="0" w:color="auto"/>
              <w:right w:val="nil"/>
            </w:tcBorders>
            <w:shd w:val="clear" w:color="auto" w:fill="D9D9D9" w:themeFill="background1" w:themeFillShade="D9"/>
            <w:vAlign w:val="center"/>
            <w:hideMark/>
          </w:tcPr>
          <w:p w14:paraId="5B46B846"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66" w:type="pct"/>
            <w:tcBorders>
              <w:top w:val="single" w:sz="4" w:space="0" w:color="auto"/>
              <w:left w:val="nil"/>
              <w:bottom w:val="single" w:sz="4" w:space="0" w:color="auto"/>
              <w:right w:val="nil"/>
            </w:tcBorders>
            <w:shd w:val="clear" w:color="auto" w:fill="D9D9D9" w:themeFill="background1" w:themeFillShade="D9"/>
            <w:vAlign w:val="bottom"/>
            <w:hideMark/>
          </w:tcPr>
          <w:p w14:paraId="431832A4" w14:textId="731CACF6"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w:t>
            </w:r>
            <w:r w:rsidR="00382952">
              <w:rPr>
                <w:rFonts w:eastAsia="Times New Roman"/>
                <w:b/>
                <w:bCs/>
                <w:color w:val="auto"/>
                <w:sz w:val="18"/>
                <w:szCs w:val="18"/>
                <w:bdr w:val="none" w:sz="0" w:space="0" w:color="auto"/>
                <w:lang w:eastAsia="es-ES"/>
              </w:rPr>
              <w:t>3</w:t>
            </w:r>
          </w:p>
        </w:tc>
        <w:tc>
          <w:tcPr>
            <w:tcW w:w="966" w:type="pct"/>
            <w:tcBorders>
              <w:top w:val="single" w:sz="4" w:space="0" w:color="auto"/>
              <w:left w:val="nil"/>
              <w:bottom w:val="single" w:sz="4" w:space="0" w:color="auto"/>
              <w:right w:val="nil"/>
            </w:tcBorders>
            <w:shd w:val="clear" w:color="auto" w:fill="D9D9D9" w:themeFill="background1" w:themeFillShade="D9"/>
            <w:vAlign w:val="bottom"/>
            <w:hideMark/>
          </w:tcPr>
          <w:p w14:paraId="125B95EC" w14:textId="5202E7BC"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2D429A">
              <w:rPr>
                <w:rFonts w:eastAsia="Times New Roman"/>
                <w:b/>
                <w:bCs/>
                <w:color w:val="auto"/>
                <w:sz w:val="18"/>
                <w:szCs w:val="18"/>
                <w:bdr w:val="none" w:sz="0" w:space="0" w:color="auto"/>
                <w:lang w:eastAsia="es-ES"/>
              </w:rPr>
              <w:t>202</w:t>
            </w:r>
            <w:r w:rsidR="00382952">
              <w:rPr>
                <w:rFonts w:eastAsia="Times New Roman"/>
                <w:b/>
                <w:bCs/>
                <w:color w:val="auto"/>
                <w:sz w:val="18"/>
                <w:szCs w:val="18"/>
                <w:bdr w:val="none" w:sz="0" w:space="0" w:color="auto"/>
                <w:lang w:eastAsia="es-ES"/>
              </w:rPr>
              <w:t>2</w:t>
            </w:r>
          </w:p>
        </w:tc>
      </w:tr>
      <w:tr w:rsidR="0022442F" w:rsidRPr="002D429A" w14:paraId="099482B8" w14:textId="77777777" w:rsidTr="004A2576">
        <w:trPr>
          <w:trHeight w:val="227"/>
        </w:trPr>
        <w:tc>
          <w:tcPr>
            <w:tcW w:w="2401" w:type="pct"/>
            <w:tcBorders>
              <w:top w:val="single" w:sz="4" w:space="0" w:color="auto"/>
              <w:left w:val="nil"/>
              <w:bottom w:val="single" w:sz="4" w:space="0" w:color="auto"/>
              <w:right w:val="nil"/>
            </w:tcBorders>
            <w:shd w:val="clear" w:color="auto" w:fill="auto"/>
            <w:vAlign w:val="center"/>
          </w:tcPr>
          <w:p w14:paraId="0D1B3ED3"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668" w:type="pct"/>
            <w:tcBorders>
              <w:top w:val="single" w:sz="4" w:space="0" w:color="auto"/>
              <w:left w:val="nil"/>
              <w:bottom w:val="single" w:sz="4" w:space="0" w:color="auto"/>
              <w:right w:val="nil"/>
            </w:tcBorders>
            <w:shd w:val="clear" w:color="auto" w:fill="auto"/>
            <w:vAlign w:val="center"/>
          </w:tcPr>
          <w:p w14:paraId="6945D49B"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single" w:sz="4" w:space="0" w:color="auto"/>
              <w:left w:val="nil"/>
              <w:bottom w:val="single" w:sz="4" w:space="0" w:color="auto"/>
              <w:right w:val="nil"/>
            </w:tcBorders>
            <w:shd w:val="clear" w:color="auto" w:fill="auto"/>
            <w:vAlign w:val="center"/>
          </w:tcPr>
          <w:p w14:paraId="36FA21BD"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66" w:type="pct"/>
            <w:tcBorders>
              <w:top w:val="single" w:sz="4" w:space="0" w:color="auto"/>
              <w:left w:val="nil"/>
              <w:bottom w:val="single" w:sz="4" w:space="0" w:color="auto"/>
              <w:right w:val="nil"/>
            </w:tcBorders>
            <w:shd w:val="clear" w:color="auto" w:fill="auto"/>
            <w:vAlign w:val="center"/>
          </w:tcPr>
          <w:p w14:paraId="34ED2AEC"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r>
      <w:tr w:rsidR="00382952" w:rsidRPr="002D429A" w14:paraId="32C3BE9B" w14:textId="77777777" w:rsidTr="004A2576">
        <w:trPr>
          <w:trHeight w:val="340"/>
        </w:trPr>
        <w:tc>
          <w:tcPr>
            <w:tcW w:w="2401" w:type="pct"/>
            <w:tcBorders>
              <w:top w:val="single" w:sz="4" w:space="0" w:color="auto"/>
              <w:left w:val="nil"/>
              <w:bottom w:val="single" w:sz="4" w:space="0" w:color="auto"/>
              <w:right w:val="nil"/>
            </w:tcBorders>
            <w:shd w:val="clear" w:color="auto" w:fill="F2F2F2" w:themeFill="background1" w:themeFillShade="F2"/>
            <w:vAlign w:val="center"/>
            <w:hideMark/>
          </w:tcPr>
          <w:p w14:paraId="50DD2912"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PATRIMONIO NETO</w:t>
            </w:r>
          </w:p>
        </w:tc>
        <w:tc>
          <w:tcPr>
            <w:tcW w:w="668" w:type="pct"/>
            <w:tcBorders>
              <w:top w:val="single" w:sz="4" w:space="0" w:color="auto"/>
              <w:left w:val="nil"/>
              <w:bottom w:val="single" w:sz="4" w:space="0" w:color="auto"/>
              <w:right w:val="nil"/>
            </w:tcBorders>
            <w:shd w:val="clear" w:color="auto" w:fill="F2F2F2" w:themeFill="background1" w:themeFillShade="F2"/>
            <w:vAlign w:val="center"/>
            <w:hideMark/>
          </w:tcPr>
          <w:p w14:paraId="4F7D84A2"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single" w:sz="4" w:space="0" w:color="auto"/>
              <w:left w:val="nil"/>
              <w:bottom w:val="single" w:sz="4" w:space="0" w:color="auto"/>
              <w:right w:val="nil"/>
            </w:tcBorders>
            <w:shd w:val="clear" w:color="auto" w:fill="F2F2F2" w:themeFill="background1" w:themeFillShade="F2"/>
            <w:vAlign w:val="center"/>
          </w:tcPr>
          <w:p w14:paraId="1D5626AD" w14:textId="19CB0A31" w:rsidR="00382952" w:rsidRPr="00BC004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664.672,25</w:t>
            </w:r>
          </w:p>
        </w:tc>
        <w:tc>
          <w:tcPr>
            <w:tcW w:w="966" w:type="pct"/>
            <w:tcBorders>
              <w:top w:val="single" w:sz="4" w:space="0" w:color="auto"/>
              <w:left w:val="nil"/>
              <w:bottom w:val="single" w:sz="4" w:space="0" w:color="auto"/>
              <w:right w:val="nil"/>
            </w:tcBorders>
            <w:shd w:val="clear" w:color="auto" w:fill="F2F2F2" w:themeFill="background1" w:themeFillShade="F2"/>
            <w:vAlign w:val="center"/>
            <w:hideMark/>
          </w:tcPr>
          <w:p w14:paraId="0D167CF0" w14:textId="7D70EDA3"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 xml:space="preserve">718.536,68 </w:t>
            </w:r>
          </w:p>
        </w:tc>
      </w:tr>
      <w:tr w:rsidR="00382952" w:rsidRPr="002D429A" w14:paraId="629A5C36" w14:textId="77777777" w:rsidTr="004A2576">
        <w:trPr>
          <w:trHeight w:val="340"/>
        </w:trPr>
        <w:tc>
          <w:tcPr>
            <w:tcW w:w="2401" w:type="pct"/>
            <w:tcBorders>
              <w:top w:val="single" w:sz="4" w:space="0" w:color="auto"/>
              <w:left w:val="nil"/>
              <w:bottom w:val="nil"/>
              <w:right w:val="nil"/>
            </w:tcBorders>
            <w:shd w:val="clear" w:color="auto" w:fill="auto"/>
            <w:vAlign w:val="center"/>
            <w:hideMark/>
          </w:tcPr>
          <w:p w14:paraId="1A741BB9"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Fondos propios</w:t>
            </w:r>
          </w:p>
        </w:tc>
        <w:tc>
          <w:tcPr>
            <w:tcW w:w="668" w:type="pct"/>
            <w:tcBorders>
              <w:top w:val="single" w:sz="4" w:space="0" w:color="auto"/>
              <w:left w:val="nil"/>
              <w:bottom w:val="nil"/>
              <w:right w:val="nil"/>
            </w:tcBorders>
            <w:shd w:val="clear" w:color="auto" w:fill="auto"/>
            <w:vAlign w:val="center"/>
            <w:hideMark/>
          </w:tcPr>
          <w:p w14:paraId="735852C2"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966" w:type="pct"/>
            <w:tcBorders>
              <w:top w:val="single" w:sz="4" w:space="0" w:color="auto"/>
              <w:left w:val="nil"/>
              <w:bottom w:val="nil"/>
              <w:right w:val="nil"/>
            </w:tcBorders>
            <w:shd w:val="clear" w:color="auto" w:fill="auto"/>
            <w:vAlign w:val="center"/>
          </w:tcPr>
          <w:p w14:paraId="1E6BD26B" w14:textId="1D52B239" w:rsidR="00382952" w:rsidRPr="00DA5AD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Pr>
                <w:b/>
                <w:bCs/>
                <w:sz w:val="18"/>
                <w:szCs w:val="18"/>
              </w:rPr>
              <w:t>600.000,00</w:t>
            </w:r>
          </w:p>
        </w:tc>
        <w:tc>
          <w:tcPr>
            <w:tcW w:w="966" w:type="pct"/>
            <w:tcBorders>
              <w:top w:val="single" w:sz="4" w:space="0" w:color="auto"/>
              <w:left w:val="nil"/>
              <w:bottom w:val="nil"/>
              <w:right w:val="nil"/>
            </w:tcBorders>
            <w:shd w:val="clear" w:color="auto" w:fill="auto"/>
            <w:vAlign w:val="center"/>
            <w:hideMark/>
          </w:tcPr>
          <w:p w14:paraId="297402C1" w14:textId="32C3686F"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rFonts w:eastAsia="Times New Roman"/>
                <w:b/>
                <w:sz w:val="18"/>
                <w:szCs w:val="18"/>
                <w:bdr w:val="none" w:sz="0" w:space="0" w:color="auto"/>
                <w:lang w:eastAsia="es-ES"/>
              </w:rPr>
              <w:t>600.000,00</w:t>
            </w:r>
          </w:p>
        </w:tc>
      </w:tr>
      <w:tr w:rsidR="00382952" w:rsidRPr="002D429A" w14:paraId="21A8EF86" w14:textId="77777777" w:rsidTr="00BA5560">
        <w:trPr>
          <w:trHeight w:val="340"/>
        </w:trPr>
        <w:tc>
          <w:tcPr>
            <w:tcW w:w="2401" w:type="pct"/>
            <w:tcBorders>
              <w:top w:val="nil"/>
              <w:left w:val="nil"/>
              <w:bottom w:val="nil"/>
              <w:right w:val="nil"/>
            </w:tcBorders>
            <w:shd w:val="clear" w:color="auto" w:fill="auto"/>
            <w:vAlign w:val="center"/>
            <w:hideMark/>
          </w:tcPr>
          <w:p w14:paraId="56D06300"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xml:space="preserve">Capital </w:t>
            </w:r>
          </w:p>
        </w:tc>
        <w:tc>
          <w:tcPr>
            <w:tcW w:w="668" w:type="pct"/>
            <w:tcBorders>
              <w:top w:val="nil"/>
              <w:left w:val="nil"/>
              <w:bottom w:val="nil"/>
              <w:right w:val="nil"/>
            </w:tcBorders>
            <w:shd w:val="clear" w:color="auto" w:fill="auto"/>
            <w:vAlign w:val="center"/>
            <w:hideMark/>
          </w:tcPr>
          <w:p w14:paraId="1372D99C" w14:textId="750F99FD" w:rsidR="00382952" w:rsidRPr="0063470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085996">
              <w:rPr>
                <w:rFonts w:eastAsia="Times New Roman"/>
                <w:sz w:val="18"/>
                <w:szCs w:val="18"/>
                <w:bdr w:val="none" w:sz="0" w:space="0" w:color="auto"/>
                <w:lang w:eastAsia="es-ES"/>
              </w:rPr>
              <w:t>8.</w:t>
            </w:r>
            <w:r>
              <w:rPr>
                <w:rFonts w:eastAsia="Times New Roman"/>
                <w:sz w:val="18"/>
                <w:szCs w:val="18"/>
                <w:bdr w:val="none" w:sz="0" w:space="0" w:color="auto"/>
                <w:lang w:eastAsia="es-ES"/>
              </w:rPr>
              <w:t>4</w:t>
            </w:r>
            <w:r w:rsidRPr="00085996">
              <w:rPr>
                <w:rFonts w:eastAsia="Times New Roman"/>
                <w:sz w:val="18"/>
                <w:szCs w:val="18"/>
                <w:bdr w:val="none" w:sz="0" w:space="0" w:color="auto"/>
                <w:lang w:eastAsia="es-ES"/>
              </w:rPr>
              <w:t>.a</w:t>
            </w:r>
          </w:p>
        </w:tc>
        <w:tc>
          <w:tcPr>
            <w:tcW w:w="966" w:type="pct"/>
            <w:tcBorders>
              <w:top w:val="nil"/>
              <w:left w:val="nil"/>
              <w:bottom w:val="nil"/>
              <w:right w:val="nil"/>
            </w:tcBorders>
            <w:shd w:val="clear" w:color="auto" w:fill="auto"/>
            <w:vAlign w:val="center"/>
          </w:tcPr>
          <w:p w14:paraId="3812EAA6" w14:textId="088C05EF"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600.000,00</w:t>
            </w:r>
          </w:p>
        </w:tc>
        <w:tc>
          <w:tcPr>
            <w:tcW w:w="966" w:type="pct"/>
            <w:tcBorders>
              <w:top w:val="nil"/>
              <w:left w:val="nil"/>
              <w:bottom w:val="nil"/>
              <w:right w:val="nil"/>
            </w:tcBorders>
            <w:shd w:val="clear" w:color="auto" w:fill="auto"/>
            <w:vAlign w:val="center"/>
            <w:hideMark/>
          </w:tcPr>
          <w:p w14:paraId="48C0A5E4" w14:textId="0A15AB93"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rFonts w:eastAsia="Times New Roman"/>
                <w:sz w:val="18"/>
                <w:szCs w:val="18"/>
                <w:bdr w:val="none" w:sz="0" w:space="0" w:color="auto"/>
                <w:lang w:eastAsia="es-ES"/>
              </w:rPr>
              <w:t>600.000,00</w:t>
            </w:r>
          </w:p>
        </w:tc>
      </w:tr>
      <w:tr w:rsidR="00382952" w:rsidRPr="002D429A" w14:paraId="609D1F73" w14:textId="77777777" w:rsidTr="00BA5560">
        <w:trPr>
          <w:trHeight w:val="340"/>
        </w:trPr>
        <w:tc>
          <w:tcPr>
            <w:tcW w:w="2401" w:type="pct"/>
            <w:tcBorders>
              <w:top w:val="nil"/>
              <w:left w:val="nil"/>
              <w:bottom w:val="nil"/>
              <w:right w:val="nil"/>
            </w:tcBorders>
            <w:shd w:val="clear" w:color="auto" w:fill="auto"/>
            <w:vAlign w:val="center"/>
            <w:hideMark/>
          </w:tcPr>
          <w:p w14:paraId="36224927"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Otras aportaciones de socios</w:t>
            </w:r>
          </w:p>
        </w:tc>
        <w:tc>
          <w:tcPr>
            <w:tcW w:w="668" w:type="pct"/>
            <w:tcBorders>
              <w:top w:val="nil"/>
              <w:left w:val="nil"/>
              <w:bottom w:val="nil"/>
              <w:right w:val="nil"/>
            </w:tcBorders>
            <w:shd w:val="clear" w:color="auto" w:fill="auto"/>
            <w:vAlign w:val="center"/>
            <w:hideMark/>
          </w:tcPr>
          <w:p w14:paraId="5C5D1FA1" w14:textId="570B20A8" w:rsidR="00382952" w:rsidRPr="0063470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085996">
              <w:rPr>
                <w:rFonts w:eastAsia="Times New Roman"/>
                <w:sz w:val="18"/>
                <w:szCs w:val="18"/>
                <w:bdr w:val="none" w:sz="0" w:space="0" w:color="auto"/>
                <w:lang w:eastAsia="es-ES"/>
              </w:rPr>
              <w:t>8.</w:t>
            </w:r>
            <w:r>
              <w:rPr>
                <w:rFonts w:eastAsia="Times New Roman"/>
                <w:sz w:val="18"/>
                <w:szCs w:val="18"/>
                <w:bdr w:val="none" w:sz="0" w:space="0" w:color="auto"/>
                <w:lang w:eastAsia="es-ES"/>
              </w:rPr>
              <w:t>4</w:t>
            </w:r>
            <w:r w:rsidRPr="00085996">
              <w:rPr>
                <w:rFonts w:eastAsia="Times New Roman"/>
                <w:sz w:val="18"/>
                <w:szCs w:val="18"/>
                <w:bdr w:val="none" w:sz="0" w:space="0" w:color="auto"/>
                <w:lang w:eastAsia="es-ES"/>
              </w:rPr>
              <w:t>.</w:t>
            </w:r>
            <w:r>
              <w:rPr>
                <w:rFonts w:eastAsia="Times New Roman"/>
                <w:sz w:val="18"/>
                <w:szCs w:val="18"/>
                <w:bdr w:val="none" w:sz="0" w:space="0" w:color="auto"/>
                <w:lang w:eastAsia="es-ES"/>
              </w:rPr>
              <w:t>c y 17.a</w:t>
            </w:r>
          </w:p>
        </w:tc>
        <w:tc>
          <w:tcPr>
            <w:tcW w:w="966" w:type="pct"/>
            <w:tcBorders>
              <w:top w:val="nil"/>
              <w:left w:val="nil"/>
              <w:bottom w:val="nil"/>
              <w:right w:val="nil"/>
            </w:tcBorders>
            <w:shd w:val="clear" w:color="auto" w:fill="auto"/>
            <w:vAlign w:val="center"/>
          </w:tcPr>
          <w:p w14:paraId="7B9341BF" w14:textId="09347DA3" w:rsidR="00382952" w:rsidRPr="00BC004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3.577.139,00</w:t>
            </w:r>
          </w:p>
        </w:tc>
        <w:tc>
          <w:tcPr>
            <w:tcW w:w="966" w:type="pct"/>
            <w:tcBorders>
              <w:top w:val="nil"/>
              <w:left w:val="nil"/>
              <w:bottom w:val="nil"/>
              <w:right w:val="nil"/>
            </w:tcBorders>
            <w:shd w:val="clear" w:color="auto" w:fill="auto"/>
            <w:vAlign w:val="center"/>
            <w:hideMark/>
          </w:tcPr>
          <w:p w14:paraId="5B4E298E" w14:textId="1E56D6A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2.327.888,00</w:t>
            </w:r>
          </w:p>
        </w:tc>
      </w:tr>
      <w:tr w:rsidR="00382952" w:rsidRPr="002D429A" w14:paraId="1FF9FE69" w14:textId="77777777" w:rsidTr="00BA5560">
        <w:trPr>
          <w:trHeight w:val="340"/>
        </w:trPr>
        <w:tc>
          <w:tcPr>
            <w:tcW w:w="2401" w:type="pct"/>
            <w:tcBorders>
              <w:top w:val="nil"/>
              <w:left w:val="nil"/>
              <w:bottom w:val="nil"/>
              <w:right w:val="nil"/>
            </w:tcBorders>
            <w:shd w:val="clear" w:color="auto" w:fill="auto"/>
            <w:vAlign w:val="center"/>
            <w:hideMark/>
          </w:tcPr>
          <w:p w14:paraId="06CC6A14"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Resultado del ejercicio</w:t>
            </w:r>
          </w:p>
        </w:tc>
        <w:tc>
          <w:tcPr>
            <w:tcW w:w="668" w:type="pct"/>
            <w:tcBorders>
              <w:top w:val="nil"/>
              <w:left w:val="nil"/>
              <w:bottom w:val="nil"/>
              <w:right w:val="nil"/>
            </w:tcBorders>
            <w:shd w:val="clear" w:color="auto" w:fill="auto"/>
            <w:vAlign w:val="center"/>
            <w:hideMark/>
          </w:tcPr>
          <w:p w14:paraId="6B0E38EF" w14:textId="77777777" w:rsidR="00382952" w:rsidRPr="0063470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highlight w:val="yellow"/>
                <w:bdr w:val="none" w:sz="0" w:space="0" w:color="auto"/>
                <w:lang w:eastAsia="es-ES"/>
              </w:rPr>
            </w:pPr>
            <w:r w:rsidRPr="006D37A3">
              <w:rPr>
                <w:rFonts w:eastAsia="Times New Roman"/>
                <w:sz w:val="18"/>
                <w:szCs w:val="18"/>
                <w:bdr w:val="none" w:sz="0" w:space="0" w:color="auto"/>
                <w:lang w:eastAsia="es-ES"/>
              </w:rPr>
              <w:t>3</w:t>
            </w:r>
          </w:p>
        </w:tc>
        <w:tc>
          <w:tcPr>
            <w:tcW w:w="966" w:type="pct"/>
            <w:tcBorders>
              <w:top w:val="nil"/>
              <w:left w:val="nil"/>
              <w:bottom w:val="nil"/>
              <w:right w:val="nil"/>
            </w:tcBorders>
            <w:shd w:val="clear" w:color="auto" w:fill="auto"/>
            <w:vAlign w:val="center"/>
          </w:tcPr>
          <w:p w14:paraId="1BAB2775" w14:textId="261FBBD2" w:rsidR="00382952" w:rsidRPr="00E13C1C" w:rsidRDefault="00547143"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w:t>
            </w:r>
            <w:r w:rsidR="00382952">
              <w:rPr>
                <w:sz w:val="18"/>
                <w:szCs w:val="18"/>
              </w:rPr>
              <w:t>3.577.139,00</w:t>
            </w:r>
            <w:r>
              <w:rPr>
                <w:sz w:val="18"/>
                <w:szCs w:val="18"/>
              </w:rPr>
              <w:t>)</w:t>
            </w:r>
          </w:p>
        </w:tc>
        <w:tc>
          <w:tcPr>
            <w:tcW w:w="966" w:type="pct"/>
            <w:tcBorders>
              <w:top w:val="nil"/>
              <w:left w:val="nil"/>
              <w:bottom w:val="nil"/>
              <w:right w:val="nil"/>
            </w:tcBorders>
            <w:shd w:val="clear" w:color="auto" w:fill="auto"/>
            <w:vAlign w:val="center"/>
            <w:hideMark/>
          </w:tcPr>
          <w:p w14:paraId="10156615" w14:textId="2CB3D0E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(2.327.888,00)</w:t>
            </w:r>
          </w:p>
        </w:tc>
      </w:tr>
      <w:tr w:rsidR="00382952" w:rsidRPr="002D429A" w14:paraId="6104050D" w14:textId="77777777" w:rsidTr="004A2576">
        <w:trPr>
          <w:trHeight w:val="340"/>
        </w:trPr>
        <w:tc>
          <w:tcPr>
            <w:tcW w:w="2401" w:type="pct"/>
            <w:tcBorders>
              <w:top w:val="nil"/>
              <w:left w:val="nil"/>
              <w:right w:val="nil"/>
            </w:tcBorders>
            <w:shd w:val="clear" w:color="auto" w:fill="auto"/>
            <w:vAlign w:val="center"/>
            <w:hideMark/>
          </w:tcPr>
          <w:p w14:paraId="54A1C042"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Subvenciones, donaciones y legados recibidos</w:t>
            </w:r>
          </w:p>
        </w:tc>
        <w:tc>
          <w:tcPr>
            <w:tcW w:w="668" w:type="pct"/>
            <w:tcBorders>
              <w:top w:val="nil"/>
              <w:left w:val="nil"/>
              <w:right w:val="nil"/>
            </w:tcBorders>
            <w:shd w:val="clear" w:color="auto" w:fill="auto"/>
            <w:vAlign w:val="center"/>
            <w:hideMark/>
          </w:tcPr>
          <w:p w14:paraId="5C599411" w14:textId="7FC4D00C" w:rsidR="00382952" w:rsidRPr="0063470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085996">
              <w:rPr>
                <w:rFonts w:eastAsia="Times New Roman"/>
                <w:b/>
                <w:bCs/>
                <w:sz w:val="18"/>
                <w:szCs w:val="18"/>
                <w:bdr w:val="none" w:sz="0" w:space="0" w:color="auto"/>
                <w:lang w:eastAsia="es-ES"/>
              </w:rPr>
              <w:t>15</w:t>
            </w:r>
            <w:r>
              <w:rPr>
                <w:rFonts w:eastAsia="Times New Roman"/>
                <w:b/>
                <w:bCs/>
                <w:sz w:val="18"/>
                <w:szCs w:val="18"/>
                <w:bdr w:val="none" w:sz="0" w:space="0" w:color="auto"/>
                <w:lang w:eastAsia="es-ES"/>
              </w:rPr>
              <w:t>.1</w:t>
            </w:r>
          </w:p>
        </w:tc>
        <w:tc>
          <w:tcPr>
            <w:tcW w:w="966" w:type="pct"/>
            <w:tcBorders>
              <w:top w:val="nil"/>
              <w:left w:val="nil"/>
              <w:right w:val="nil"/>
            </w:tcBorders>
            <w:shd w:val="clear" w:color="auto" w:fill="auto"/>
            <w:vAlign w:val="center"/>
          </w:tcPr>
          <w:p w14:paraId="7392462F" w14:textId="36E0689D" w:rsidR="00382952" w:rsidRPr="00E13C1C"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64.672,25</w:t>
            </w:r>
          </w:p>
        </w:tc>
        <w:tc>
          <w:tcPr>
            <w:tcW w:w="966" w:type="pct"/>
            <w:tcBorders>
              <w:top w:val="nil"/>
              <w:left w:val="nil"/>
              <w:right w:val="nil"/>
            </w:tcBorders>
            <w:shd w:val="clear" w:color="auto" w:fill="auto"/>
            <w:noWrap/>
            <w:vAlign w:val="center"/>
            <w:hideMark/>
          </w:tcPr>
          <w:p w14:paraId="4D9B7C7F" w14:textId="104C351A"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118.536,68</w:t>
            </w:r>
          </w:p>
        </w:tc>
      </w:tr>
      <w:tr w:rsidR="0022442F" w:rsidRPr="002D429A" w14:paraId="53FDC686" w14:textId="77777777" w:rsidTr="004A2576">
        <w:trPr>
          <w:trHeight w:val="227"/>
        </w:trPr>
        <w:tc>
          <w:tcPr>
            <w:tcW w:w="2401" w:type="pct"/>
            <w:tcBorders>
              <w:top w:val="nil"/>
              <w:left w:val="nil"/>
              <w:bottom w:val="single" w:sz="4" w:space="0" w:color="auto"/>
              <w:right w:val="nil"/>
            </w:tcBorders>
            <w:shd w:val="clear" w:color="auto" w:fill="auto"/>
            <w:vAlign w:val="center"/>
            <w:hideMark/>
          </w:tcPr>
          <w:p w14:paraId="7242B9A8"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8" w:type="pct"/>
            <w:tcBorders>
              <w:top w:val="nil"/>
              <w:left w:val="nil"/>
              <w:bottom w:val="single" w:sz="4" w:space="0" w:color="auto"/>
              <w:right w:val="nil"/>
            </w:tcBorders>
            <w:shd w:val="clear" w:color="auto" w:fill="auto"/>
            <w:vAlign w:val="center"/>
            <w:hideMark/>
          </w:tcPr>
          <w:p w14:paraId="04D95E7E" w14:textId="77777777" w:rsidR="0022442F" w:rsidRPr="00634704"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highlight w:val="yellow"/>
                <w:bdr w:val="none" w:sz="0" w:space="0" w:color="auto"/>
                <w:lang w:eastAsia="es-ES"/>
              </w:rPr>
            </w:pPr>
          </w:p>
        </w:tc>
        <w:tc>
          <w:tcPr>
            <w:tcW w:w="966" w:type="pct"/>
            <w:tcBorders>
              <w:top w:val="nil"/>
              <w:left w:val="nil"/>
              <w:bottom w:val="single" w:sz="4" w:space="0" w:color="auto"/>
              <w:right w:val="nil"/>
            </w:tcBorders>
            <w:shd w:val="clear" w:color="auto" w:fill="auto"/>
            <w:vAlign w:val="center"/>
          </w:tcPr>
          <w:p w14:paraId="220AB003"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single" w:sz="4" w:space="0" w:color="auto"/>
              <w:right w:val="nil"/>
            </w:tcBorders>
            <w:shd w:val="clear" w:color="auto" w:fill="auto"/>
            <w:vAlign w:val="center"/>
            <w:hideMark/>
          </w:tcPr>
          <w:p w14:paraId="0F0F2B53"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82952" w:rsidRPr="002D429A" w14:paraId="596AF730" w14:textId="77777777" w:rsidTr="004A2576">
        <w:trPr>
          <w:trHeight w:val="340"/>
        </w:trPr>
        <w:tc>
          <w:tcPr>
            <w:tcW w:w="2401" w:type="pct"/>
            <w:tcBorders>
              <w:top w:val="single" w:sz="4" w:space="0" w:color="auto"/>
              <w:left w:val="nil"/>
              <w:bottom w:val="single" w:sz="4" w:space="0" w:color="auto"/>
              <w:right w:val="nil"/>
            </w:tcBorders>
            <w:shd w:val="clear" w:color="auto" w:fill="F2F2F2" w:themeFill="background1" w:themeFillShade="F2"/>
            <w:vAlign w:val="center"/>
            <w:hideMark/>
          </w:tcPr>
          <w:p w14:paraId="49B5E56F"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PASIVO NO CORRIENTE</w:t>
            </w:r>
          </w:p>
        </w:tc>
        <w:tc>
          <w:tcPr>
            <w:tcW w:w="668" w:type="pct"/>
            <w:tcBorders>
              <w:top w:val="single" w:sz="4" w:space="0" w:color="auto"/>
              <w:left w:val="nil"/>
              <w:bottom w:val="single" w:sz="4" w:space="0" w:color="auto"/>
              <w:right w:val="nil"/>
            </w:tcBorders>
            <w:shd w:val="clear" w:color="auto" w:fill="F2F2F2" w:themeFill="background1" w:themeFillShade="F2"/>
            <w:vAlign w:val="center"/>
            <w:hideMark/>
          </w:tcPr>
          <w:p w14:paraId="622FBC99"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 </w:t>
            </w:r>
          </w:p>
        </w:tc>
        <w:tc>
          <w:tcPr>
            <w:tcW w:w="966" w:type="pct"/>
            <w:tcBorders>
              <w:top w:val="single" w:sz="4" w:space="0" w:color="auto"/>
              <w:left w:val="nil"/>
              <w:bottom w:val="single" w:sz="4" w:space="0" w:color="auto"/>
              <w:right w:val="nil"/>
            </w:tcBorders>
            <w:shd w:val="clear" w:color="auto" w:fill="F2F2F2" w:themeFill="background1" w:themeFillShade="F2"/>
            <w:vAlign w:val="center"/>
          </w:tcPr>
          <w:p w14:paraId="5C631B4A" w14:textId="05FDAF56" w:rsidR="00382952" w:rsidRPr="0039193B"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27.517,37</w:t>
            </w:r>
          </w:p>
        </w:tc>
        <w:tc>
          <w:tcPr>
            <w:tcW w:w="966" w:type="pct"/>
            <w:tcBorders>
              <w:top w:val="single" w:sz="4" w:space="0" w:color="auto"/>
              <w:left w:val="nil"/>
              <w:bottom w:val="single" w:sz="4" w:space="0" w:color="auto"/>
              <w:right w:val="nil"/>
            </w:tcBorders>
            <w:shd w:val="clear" w:color="auto" w:fill="F2F2F2" w:themeFill="background1" w:themeFillShade="F2"/>
            <w:vAlign w:val="center"/>
            <w:hideMark/>
          </w:tcPr>
          <w:p w14:paraId="611ABA53" w14:textId="43026965"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 xml:space="preserve">48.074,19   </w:t>
            </w:r>
          </w:p>
        </w:tc>
      </w:tr>
      <w:tr w:rsidR="00382952" w:rsidRPr="002D429A" w14:paraId="4C7D0657" w14:textId="77777777" w:rsidTr="004A2576">
        <w:trPr>
          <w:trHeight w:val="340"/>
        </w:trPr>
        <w:tc>
          <w:tcPr>
            <w:tcW w:w="2401" w:type="pct"/>
            <w:tcBorders>
              <w:top w:val="single" w:sz="4" w:space="0" w:color="auto"/>
              <w:left w:val="nil"/>
              <w:bottom w:val="nil"/>
              <w:right w:val="nil"/>
            </w:tcBorders>
            <w:shd w:val="clear" w:color="auto" w:fill="auto"/>
            <w:vAlign w:val="center"/>
            <w:hideMark/>
          </w:tcPr>
          <w:p w14:paraId="7799E1FF"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Deudas a largo plazo</w:t>
            </w:r>
          </w:p>
        </w:tc>
        <w:tc>
          <w:tcPr>
            <w:tcW w:w="668" w:type="pct"/>
            <w:tcBorders>
              <w:top w:val="single" w:sz="4" w:space="0" w:color="auto"/>
              <w:left w:val="nil"/>
              <w:bottom w:val="nil"/>
              <w:right w:val="nil"/>
            </w:tcBorders>
            <w:shd w:val="clear" w:color="auto" w:fill="auto"/>
            <w:vAlign w:val="center"/>
            <w:hideMark/>
          </w:tcPr>
          <w:p w14:paraId="657FF39D"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966" w:type="pct"/>
            <w:tcBorders>
              <w:top w:val="single" w:sz="4" w:space="0" w:color="auto"/>
              <w:left w:val="nil"/>
              <w:bottom w:val="nil"/>
              <w:right w:val="nil"/>
            </w:tcBorders>
            <w:shd w:val="clear" w:color="auto" w:fill="auto"/>
            <w:vAlign w:val="center"/>
          </w:tcPr>
          <w:p w14:paraId="78B1B12A" w14:textId="4EAEEE4D"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5.768,00</w:t>
            </w:r>
          </w:p>
        </w:tc>
        <w:tc>
          <w:tcPr>
            <w:tcW w:w="966" w:type="pct"/>
            <w:tcBorders>
              <w:top w:val="single" w:sz="4" w:space="0" w:color="auto"/>
              <w:left w:val="nil"/>
              <w:bottom w:val="nil"/>
              <w:right w:val="nil"/>
            </w:tcBorders>
            <w:shd w:val="clear" w:color="auto" w:fill="auto"/>
            <w:noWrap/>
            <w:vAlign w:val="center"/>
            <w:hideMark/>
          </w:tcPr>
          <w:p w14:paraId="53E67E02" w14:textId="57E946E5"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8.418,00</w:t>
            </w:r>
          </w:p>
        </w:tc>
      </w:tr>
      <w:tr w:rsidR="00382952" w:rsidRPr="002D429A" w14:paraId="3DFBC4F3" w14:textId="77777777" w:rsidTr="00BA5560">
        <w:trPr>
          <w:trHeight w:val="340"/>
        </w:trPr>
        <w:tc>
          <w:tcPr>
            <w:tcW w:w="2401" w:type="pct"/>
            <w:tcBorders>
              <w:top w:val="nil"/>
              <w:left w:val="nil"/>
              <w:bottom w:val="nil"/>
              <w:right w:val="nil"/>
            </w:tcBorders>
            <w:shd w:val="clear" w:color="auto" w:fill="auto"/>
            <w:vAlign w:val="center"/>
            <w:hideMark/>
          </w:tcPr>
          <w:p w14:paraId="73691BDB"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Otros pasivos financieros</w:t>
            </w:r>
          </w:p>
        </w:tc>
        <w:tc>
          <w:tcPr>
            <w:tcW w:w="668" w:type="pct"/>
            <w:tcBorders>
              <w:top w:val="nil"/>
              <w:left w:val="nil"/>
              <w:bottom w:val="nil"/>
              <w:right w:val="nil"/>
            </w:tcBorders>
            <w:shd w:val="clear" w:color="auto" w:fill="auto"/>
            <w:vAlign w:val="center"/>
            <w:hideMark/>
          </w:tcPr>
          <w:p w14:paraId="225EA21D" w14:textId="71438DA9"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8.</w:t>
            </w:r>
            <w:r>
              <w:rPr>
                <w:rFonts w:eastAsia="Times New Roman"/>
                <w:sz w:val="18"/>
                <w:szCs w:val="18"/>
                <w:bdr w:val="none" w:sz="0" w:space="0" w:color="auto"/>
                <w:lang w:eastAsia="es-ES"/>
              </w:rPr>
              <w:t>3</w:t>
            </w:r>
            <w:r w:rsidRPr="009C72B4">
              <w:rPr>
                <w:rFonts w:eastAsia="Times New Roman"/>
                <w:sz w:val="18"/>
                <w:szCs w:val="18"/>
                <w:bdr w:val="none" w:sz="0" w:space="0" w:color="auto"/>
                <w:lang w:eastAsia="es-ES"/>
              </w:rPr>
              <w:t>.a</w:t>
            </w:r>
          </w:p>
        </w:tc>
        <w:tc>
          <w:tcPr>
            <w:tcW w:w="966" w:type="pct"/>
            <w:tcBorders>
              <w:top w:val="nil"/>
              <w:left w:val="nil"/>
              <w:bottom w:val="nil"/>
              <w:right w:val="nil"/>
            </w:tcBorders>
            <w:shd w:val="clear" w:color="auto" w:fill="auto"/>
            <w:vAlign w:val="center"/>
          </w:tcPr>
          <w:p w14:paraId="237DE843" w14:textId="10951491"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547143">
              <w:rPr>
                <w:sz w:val="18"/>
                <w:szCs w:val="18"/>
              </w:rPr>
              <w:t>5.768,00</w:t>
            </w:r>
          </w:p>
        </w:tc>
        <w:tc>
          <w:tcPr>
            <w:tcW w:w="966" w:type="pct"/>
            <w:tcBorders>
              <w:top w:val="nil"/>
              <w:left w:val="nil"/>
              <w:bottom w:val="nil"/>
              <w:right w:val="nil"/>
            </w:tcBorders>
            <w:shd w:val="clear" w:color="auto" w:fill="auto"/>
            <w:noWrap/>
            <w:vAlign w:val="center"/>
            <w:hideMark/>
          </w:tcPr>
          <w:p w14:paraId="30440EE2" w14:textId="767C61A6" w:rsidR="00382952" w:rsidRPr="00547143"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547143">
              <w:rPr>
                <w:sz w:val="18"/>
                <w:szCs w:val="18"/>
              </w:rPr>
              <w:t>8.418,00</w:t>
            </w:r>
          </w:p>
        </w:tc>
      </w:tr>
      <w:tr w:rsidR="00382952" w:rsidRPr="002D429A" w14:paraId="53DBA63C" w14:textId="77777777" w:rsidTr="00BA5560">
        <w:trPr>
          <w:trHeight w:val="340"/>
        </w:trPr>
        <w:tc>
          <w:tcPr>
            <w:tcW w:w="2401" w:type="pct"/>
            <w:tcBorders>
              <w:top w:val="nil"/>
              <w:left w:val="nil"/>
              <w:bottom w:val="nil"/>
              <w:right w:val="nil"/>
            </w:tcBorders>
            <w:shd w:val="clear" w:color="auto" w:fill="auto"/>
            <w:vAlign w:val="center"/>
            <w:hideMark/>
          </w:tcPr>
          <w:p w14:paraId="7EBF77BD"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Pasivos por impuesto diferido</w:t>
            </w:r>
          </w:p>
        </w:tc>
        <w:tc>
          <w:tcPr>
            <w:tcW w:w="668" w:type="pct"/>
            <w:tcBorders>
              <w:top w:val="nil"/>
              <w:left w:val="nil"/>
              <w:bottom w:val="nil"/>
              <w:right w:val="nil"/>
            </w:tcBorders>
            <w:shd w:val="clear" w:color="auto" w:fill="auto"/>
            <w:vAlign w:val="center"/>
            <w:hideMark/>
          </w:tcPr>
          <w:p w14:paraId="12618938"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11.3</w:t>
            </w:r>
          </w:p>
        </w:tc>
        <w:tc>
          <w:tcPr>
            <w:tcW w:w="966" w:type="pct"/>
            <w:tcBorders>
              <w:top w:val="nil"/>
              <w:left w:val="nil"/>
              <w:bottom w:val="nil"/>
              <w:right w:val="nil"/>
            </w:tcBorders>
            <w:shd w:val="clear" w:color="auto" w:fill="auto"/>
            <w:vAlign w:val="center"/>
          </w:tcPr>
          <w:p w14:paraId="42D9F10D" w14:textId="13465904"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21.749,37</w:t>
            </w:r>
          </w:p>
        </w:tc>
        <w:tc>
          <w:tcPr>
            <w:tcW w:w="966" w:type="pct"/>
            <w:tcBorders>
              <w:top w:val="nil"/>
              <w:left w:val="nil"/>
              <w:bottom w:val="nil"/>
              <w:right w:val="nil"/>
            </w:tcBorders>
            <w:shd w:val="clear" w:color="auto" w:fill="auto"/>
            <w:noWrap/>
            <w:vAlign w:val="center"/>
            <w:hideMark/>
          </w:tcPr>
          <w:p w14:paraId="3E01530B" w14:textId="52116E6B"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39.656,19</w:t>
            </w:r>
          </w:p>
        </w:tc>
      </w:tr>
      <w:tr w:rsidR="00382952" w:rsidRPr="002D429A" w14:paraId="776AE32B" w14:textId="77777777" w:rsidTr="004A2576">
        <w:trPr>
          <w:trHeight w:val="340"/>
        </w:trPr>
        <w:tc>
          <w:tcPr>
            <w:tcW w:w="2401" w:type="pct"/>
            <w:tcBorders>
              <w:top w:val="nil"/>
              <w:left w:val="nil"/>
              <w:right w:val="nil"/>
            </w:tcBorders>
            <w:shd w:val="clear" w:color="auto" w:fill="auto"/>
            <w:vAlign w:val="center"/>
          </w:tcPr>
          <w:p w14:paraId="4CBAE1BB" w14:textId="0BEAD90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Periodificaciones a largo plazo</w:t>
            </w:r>
          </w:p>
        </w:tc>
        <w:tc>
          <w:tcPr>
            <w:tcW w:w="668" w:type="pct"/>
            <w:tcBorders>
              <w:top w:val="nil"/>
              <w:left w:val="nil"/>
              <w:right w:val="nil"/>
            </w:tcBorders>
            <w:shd w:val="clear" w:color="auto" w:fill="auto"/>
            <w:vAlign w:val="center"/>
          </w:tcPr>
          <w:p w14:paraId="38729F9F" w14:textId="744C910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8.</w:t>
            </w:r>
            <w:r>
              <w:rPr>
                <w:rFonts w:eastAsia="Times New Roman"/>
                <w:b/>
                <w:bCs/>
                <w:sz w:val="18"/>
                <w:szCs w:val="18"/>
                <w:bdr w:val="none" w:sz="0" w:space="0" w:color="auto"/>
                <w:lang w:eastAsia="es-ES"/>
              </w:rPr>
              <w:t>3</w:t>
            </w:r>
            <w:r w:rsidRPr="009C72B4">
              <w:rPr>
                <w:rFonts w:eastAsia="Times New Roman"/>
                <w:b/>
                <w:bCs/>
                <w:sz w:val="18"/>
                <w:szCs w:val="18"/>
                <w:bdr w:val="none" w:sz="0" w:space="0" w:color="auto"/>
                <w:lang w:eastAsia="es-ES"/>
              </w:rPr>
              <w:t>.c</w:t>
            </w:r>
          </w:p>
        </w:tc>
        <w:tc>
          <w:tcPr>
            <w:tcW w:w="966" w:type="pct"/>
            <w:tcBorders>
              <w:top w:val="nil"/>
              <w:left w:val="nil"/>
              <w:right w:val="nil"/>
            </w:tcBorders>
            <w:shd w:val="clear" w:color="auto" w:fill="auto"/>
            <w:vAlign w:val="center"/>
          </w:tcPr>
          <w:p w14:paraId="206264B0" w14:textId="71A7DFB9"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w:t>
            </w:r>
          </w:p>
        </w:tc>
        <w:tc>
          <w:tcPr>
            <w:tcW w:w="966" w:type="pct"/>
            <w:tcBorders>
              <w:top w:val="nil"/>
              <w:left w:val="nil"/>
              <w:right w:val="nil"/>
            </w:tcBorders>
            <w:shd w:val="clear" w:color="auto" w:fill="auto"/>
            <w:noWrap/>
            <w:vAlign w:val="center"/>
          </w:tcPr>
          <w:p w14:paraId="79BD8A2D" w14:textId="1E2BAEE3"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w:t>
            </w:r>
          </w:p>
        </w:tc>
      </w:tr>
      <w:tr w:rsidR="0022442F" w:rsidRPr="002D429A" w14:paraId="467C79DF" w14:textId="77777777" w:rsidTr="004A2576">
        <w:trPr>
          <w:trHeight w:val="227"/>
        </w:trPr>
        <w:tc>
          <w:tcPr>
            <w:tcW w:w="2401" w:type="pct"/>
            <w:tcBorders>
              <w:top w:val="nil"/>
              <w:left w:val="nil"/>
              <w:bottom w:val="single" w:sz="4" w:space="0" w:color="auto"/>
              <w:right w:val="nil"/>
            </w:tcBorders>
            <w:shd w:val="clear" w:color="auto" w:fill="auto"/>
            <w:vAlign w:val="center"/>
            <w:hideMark/>
          </w:tcPr>
          <w:p w14:paraId="2C853273" w14:textId="77777777" w:rsidR="0022442F" w:rsidRPr="009C72B4"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8" w:type="pct"/>
            <w:tcBorders>
              <w:top w:val="nil"/>
              <w:left w:val="nil"/>
              <w:bottom w:val="single" w:sz="4" w:space="0" w:color="auto"/>
              <w:right w:val="nil"/>
            </w:tcBorders>
            <w:shd w:val="clear" w:color="auto" w:fill="auto"/>
            <w:vAlign w:val="center"/>
            <w:hideMark/>
          </w:tcPr>
          <w:p w14:paraId="0CED39C7" w14:textId="77777777" w:rsidR="0022442F" w:rsidRPr="009C72B4"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single" w:sz="4" w:space="0" w:color="auto"/>
              <w:right w:val="nil"/>
            </w:tcBorders>
            <w:shd w:val="clear" w:color="auto" w:fill="auto"/>
            <w:vAlign w:val="center"/>
          </w:tcPr>
          <w:p w14:paraId="03CE2C29"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single" w:sz="4" w:space="0" w:color="auto"/>
              <w:right w:val="nil"/>
            </w:tcBorders>
            <w:shd w:val="clear" w:color="auto" w:fill="auto"/>
            <w:vAlign w:val="center"/>
            <w:hideMark/>
          </w:tcPr>
          <w:p w14:paraId="1780E276" w14:textId="77777777" w:rsidR="0022442F" w:rsidRPr="002D429A" w:rsidRDefault="0022442F" w:rsidP="0022442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82952" w:rsidRPr="002D429A" w14:paraId="108D1290" w14:textId="77777777" w:rsidTr="004A2576">
        <w:trPr>
          <w:trHeight w:val="340"/>
        </w:trPr>
        <w:tc>
          <w:tcPr>
            <w:tcW w:w="2401" w:type="pct"/>
            <w:tcBorders>
              <w:top w:val="single" w:sz="4" w:space="0" w:color="auto"/>
              <w:left w:val="nil"/>
              <w:bottom w:val="single" w:sz="4" w:space="0" w:color="auto"/>
              <w:right w:val="nil"/>
            </w:tcBorders>
            <w:shd w:val="clear" w:color="auto" w:fill="F2F2F2" w:themeFill="background1" w:themeFillShade="F2"/>
            <w:vAlign w:val="center"/>
            <w:hideMark/>
          </w:tcPr>
          <w:p w14:paraId="305C31E9"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PASIVO CORRIENTE</w:t>
            </w:r>
          </w:p>
        </w:tc>
        <w:tc>
          <w:tcPr>
            <w:tcW w:w="668" w:type="pct"/>
            <w:tcBorders>
              <w:top w:val="single" w:sz="4" w:space="0" w:color="auto"/>
              <w:left w:val="nil"/>
              <w:bottom w:val="single" w:sz="4" w:space="0" w:color="auto"/>
              <w:right w:val="nil"/>
            </w:tcBorders>
            <w:shd w:val="clear" w:color="auto" w:fill="F2F2F2" w:themeFill="background1" w:themeFillShade="F2"/>
            <w:vAlign w:val="center"/>
            <w:hideMark/>
          </w:tcPr>
          <w:p w14:paraId="5BF37F93"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 </w:t>
            </w:r>
          </w:p>
        </w:tc>
        <w:tc>
          <w:tcPr>
            <w:tcW w:w="966" w:type="pct"/>
            <w:tcBorders>
              <w:top w:val="single" w:sz="4" w:space="0" w:color="auto"/>
              <w:left w:val="nil"/>
              <w:bottom w:val="single" w:sz="4" w:space="0" w:color="auto"/>
              <w:right w:val="nil"/>
            </w:tcBorders>
            <w:shd w:val="clear" w:color="auto" w:fill="F2F2F2" w:themeFill="background1" w:themeFillShade="F2"/>
            <w:vAlign w:val="center"/>
          </w:tcPr>
          <w:p w14:paraId="277212A1" w14:textId="677A7C32" w:rsidR="00382952" w:rsidRPr="00B709F2"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52.900.865,20</w:t>
            </w:r>
          </w:p>
        </w:tc>
        <w:tc>
          <w:tcPr>
            <w:tcW w:w="966" w:type="pct"/>
            <w:tcBorders>
              <w:top w:val="single" w:sz="4" w:space="0" w:color="auto"/>
              <w:left w:val="nil"/>
              <w:bottom w:val="single" w:sz="4" w:space="0" w:color="auto"/>
              <w:right w:val="nil"/>
            </w:tcBorders>
            <w:shd w:val="clear" w:color="auto" w:fill="F2F2F2" w:themeFill="background1" w:themeFillShade="F2"/>
            <w:vAlign w:val="center"/>
            <w:hideMark/>
          </w:tcPr>
          <w:p w14:paraId="5E41775D" w14:textId="283A71D8" w:rsidR="00382952" w:rsidRDefault="00382952" w:rsidP="00382952">
            <w:pPr>
              <w:jc w:val="right"/>
              <w:rPr>
                <w:b/>
                <w:bCs/>
                <w:sz w:val="18"/>
                <w:szCs w:val="18"/>
              </w:rPr>
            </w:pPr>
            <w:r>
              <w:rPr>
                <w:b/>
                <w:bCs/>
                <w:sz w:val="18"/>
                <w:szCs w:val="18"/>
              </w:rPr>
              <w:t>35.340.002,80</w:t>
            </w:r>
          </w:p>
        </w:tc>
      </w:tr>
      <w:tr w:rsidR="00382952" w:rsidRPr="002D429A" w14:paraId="1E5B59BB" w14:textId="77777777" w:rsidTr="004A2576">
        <w:trPr>
          <w:trHeight w:val="340"/>
        </w:trPr>
        <w:tc>
          <w:tcPr>
            <w:tcW w:w="2401" w:type="pct"/>
            <w:tcBorders>
              <w:top w:val="single" w:sz="4" w:space="0" w:color="auto"/>
              <w:left w:val="nil"/>
              <w:bottom w:val="nil"/>
              <w:right w:val="nil"/>
            </w:tcBorders>
            <w:shd w:val="clear" w:color="auto" w:fill="auto"/>
            <w:vAlign w:val="center"/>
            <w:hideMark/>
          </w:tcPr>
          <w:p w14:paraId="0F0DE7BF"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Deudas a corto plazo</w:t>
            </w:r>
          </w:p>
        </w:tc>
        <w:tc>
          <w:tcPr>
            <w:tcW w:w="668" w:type="pct"/>
            <w:tcBorders>
              <w:top w:val="single" w:sz="4" w:space="0" w:color="auto"/>
              <w:left w:val="nil"/>
              <w:bottom w:val="nil"/>
              <w:right w:val="nil"/>
            </w:tcBorders>
            <w:shd w:val="clear" w:color="auto" w:fill="auto"/>
            <w:vAlign w:val="center"/>
            <w:hideMark/>
          </w:tcPr>
          <w:p w14:paraId="23803E2A" w14:textId="28B7ECC3"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8.</w:t>
            </w:r>
            <w:r>
              <w:rPr>
                <w:rFonts w:eastAsia="Times New Roman"/>
                <w:b/>
                <w:bCs/>
                <w:sz w:val="18"/>
                <w:szCs w:val="18"/>
                <w:bdr w:val="none" w:sz="0" w:space="0" w:color="auto"/>
                <w:lang w:eastAsia="es-ES"/>
              </w:rPr>
              <w:t>3.a</w:t>
            </w:r>
          </w:p>
        </w:tc>
        <w:tc>
          <w:tcPr>
            <w:tcW w:w="966" w:type="pct"/>
            <w:tcBorders>
              <w:top w:val="single" w:sz="4" w:space="0" w:color="auto"/>
              <w:left w:val="nil"/>
              <w:bottom w:val="nil"/>
              <w:right w:val="nil"/>
            </w:tcBorders>
            <w:shd w:val="clear" w:color="auto" w:fill="auto"/>
            <w:vAlign w:val="center"/>
          </w:tcPr>
          <w:p w14:paraId="09DD9871" w14:textId="280D02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17.972,14</w:t>
            </w:r>
          </w:p>
        </w:tc>
        <w:tc>
          <w:tcPr>
            <w:tcW w:w="966" w:type="pct"/>
            <w:tcBorders>
              <w:top w:val="single" w:sz="4" w:space="0" w:color="auto"/>
              <w:left w:val="nil"/>
              <w:bottom w:val="nil"/>
              <w:right w:val="nil"/>
            </w:tcBorders>
            <w:shd w:val="clear" w:color="auto" w:fill="auto"/>
            <w:vAlign w:val="center"/>
            <w:hideMark/>
          </w:tcPr>
          <w:p w14:paraId="152DEFF5" w14:textId="384FEA0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13.525,54</w:t>
            </w:r>
          </w:p>
        </w:tc>
      </w:tr>
      <w:tr w:rsidR="00382952" w:rsidRPr="002D429A" w14:paraId="1C2CBB9C" w14:textId="77777777" w:rsidTr="00BA5560">
        <w:trPr>
          <w:trHeight w:val="340"/>
        </w:trPr>
        <w:tc>
          <w:tcPr>
            <w:tcW w:w="2401" w:type="pct"/>
            <w:tcBorders>
              <w:top w:val="nil"/>
              <w:left w:val="nil"/>
              <w:bottom w:val="nil"/>
              <w:right w:val="nil"/>
            </w:tcBorders>
            <w:shd w:val="clear" w:color="auto" w:fill="auto"/>
            <w:vAlign w:val="center"/>
            <w:hideMark/>
          </w:tcPr>
          <w:p w14:paraId="318E189A"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Deudas con entidades de crédito</w:t>
            </w:r>
          </w:p>
        </w:tc>
        <w:tc>
          <w:tcPr>
            <w:tcW w:w="668" w:type="pct"/>
            <w:tcBorders>
              <w:top w:val="nil"/>
              <w:left w:val="nil"/>
              <w:bottom w:val="nil"/>
              <w:right w:val="nil"/>
            </w:tcBorders>
            <w:shd w:val="clear" w:color="auto" w:fill="auto"/>
            <w:vAlign w:val="center"/>
            <w:hideMark/>
          </w:tcPr>
          <w:p w14:paraId="3352923B"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nil"/>
              <w:right w:val="nil"/>
            </w:tcBorders>
            <w:shd w:val="clear" w:color="auto" w:fill="auto"/>
            <w:vAlign w:val="center"/>
          </w:tcPr>
          <w:p w14:paraId="01C0A373" w14:textId="677B6350"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378,60</w:t>
            </w:r>
          </w:p>
        </w:tc>
        <w:tc>
          <w:tcPr>
            <w:tcW w:w="966" w:type="pct"/>
            <w:tcBorders>
              <w:top w:val="nil"/>
              <w:left w:val="nil"/>
              <w:bottom w:val="nil"/>
              <w:right w:val="nil"/>
            </w:tcBorders>
            <w:shd w:val="clear" w:color="auto" w:fill="auto"/>
            <w:vAlign w:val="center"/>
            <w:hideMark/>
          </w:tcPr>
          <w:p w14:paraId="564B273A" w14:textId="4990C302"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 xml:space="preserve">1.141,82   </w:t>
            </w:r>
          </w:p>
        </w:tc>
      </w:tr>
      <w:tr w:rsidR="00382952" w:rsidRPr="002D429A" w14:paraId="06F67CC2" w14:textId="77777777" w:rsidTr="00BA5560">
        <w:trPr>
          <w:trHeight w:val="340"/>
        </w:trPr>
        <w:tc>
          <w:tcPr>
            <w:tcW w:w="2401" w:type="pct"/>
            <w:tcBorders>
              <w:top w:val="nil"/>
              <w:left w:val="nil"/>
              <w:bottom w:val="nil"/>
              <w:right w:val="nil"/>
            </w:tcBorders>
            <w:shd w:val="clear" w:color="auto" w:fill="auto"/>
            <w:vAlign w:val="center"/>
            <w:hideMark/>
          </w:tcPr>
          <w:p w14:paraId="7B260A7D"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Otros pasivos financieros</w:t>
            </w:r>
          </w:p>
        </w:tc>
        <w:tc>
          <w:tcPr>
            <w:tcW w:w="668" w:type="pct"/>
            <w:tcBorders>
              <w:top w:val="nil"/>
              <w:left w:val="nil"/>
              <w:bottom w:val="nil"/>
              <w:right w:val="nil"/>
            </w:tcBorders>
            <w:shd w:val="clear" w:color="auto" w:fill="auto"/>
            <w:vAlign w:val="center"/>
            <w:hideMark/>
          </w:tcPr>
          <w:p w14:paraId="7D6D4DCD"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966" w:type="pct"/>
            <w:tcBorders>
              <w:top w:val="nil"/>
              <w:left w:val="nil"/>
              <w:bottom w:val="nil"/>
              <w:right w:val="nil"/>
            </w:tcBorders>
            <w:shd w:val="clear" w:color="auto" w:fill="auto"/>
            <w:vAlign w:val="center"/>
          </w:tcPr>
          <w:p w14:paraId="654E9CFE" w14:textId="5D0CCDBF"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17.593,54</w:t>
            </w:r>
          </w:p>
        </w:tc>
        <w:tc>
          <w:tcPr>
            <w:tcW w:w="966" w:type="pct"/>
            <w:tcBorders>
              <w:top w:val="nil"/>
              <w:left w:val="nil"/>
              <w:bottom w:val="nil"/>
              <w:right w:val="nil"/>
            </w:tcBorders>
            <w:shd w:val="clear" w:color="auto" w:fill="auto"/>
            <w:noWrap/>
            <w:vAlign w:val="center"/>
            <w:hideMark/>
          </w:tcPr>
          <w:p w14:paraId="13E9AF4B" w14:textId="0449DD0A"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12.383,72</w:t>
            </w:r>
          </w:p>
        </w:tc>
      </w:tr>
      <w:tr w:rsidR="00382952" w:rsidRPr="002D429A" w14:paraId="41C70A6B" w14:textId="77777777" w:rsidTr="00BA5560">
        <w:trPr>
          <w:trHeight w:val="340"/>
        </w:trPr>
        <w:tc>
          <w:tcPr>
            <w:tcW w:w="3069" w:type="pct"/>
            <w:gridSpan w:val="2"/>
            <w:tcBorders>
              <w:top w:val="nil"/>
              <w:left w:val="nil"/>
              <w:bottom w:val="nil"/>
              <w:right w:val="nil"/>
            </w:tcBorders>
            <w:shd w:val="clear" w:color="auto" w:fill="auto"/>
            <w:noWrap/>
            <w:vAlign w:val="center"/>
            <w:hideMark/>
          </w:tcPr>
          <w:p w14:paraId="391CCDE8"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Acreedores comerciales y otras cuentas a pagar</w:t>
            </w:r>
          </w:p>
        </w:tc>
        <w:tc>
          <w:tcPr>
            <w:tcW w:w="966" w:type="pct"/>
            <w:tcBorders>
              <w:top w:val="nil"/>
              <w:left w:val="nil"/>
              <w:bottom w:val="nil"/>
              <w:right w:val="nil"/>
            </w:tcBorders>
            <w:shd w:val="clear" w:color="auto" w:fill="auto"/>
            <w:noWrap/>
            <w:vAlign w:val="center"/>
          </w:tcPr>
          <w:p w14:paraId="2114164C" w14:textId="544F028F" w:rsidR="00382952" w:rsidRPr="008C1360" w:rsidRDefault="008C1360" w:rsidP="008C136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14.185.910,30</w:t>
            </w:r>
          </w:p>
        </w:tc>
        <w:tc>
          <w:tcPr>
            <w:tcW w:w="966" w:type="pct"/>
            <w:tcBorders>
              <w:top w:val="nil"/>
              <w:left w:val="nil"/>
              <w:bottom w:val="nil"/>
              <w:right w:val="nil"/>
            </w:tcBorders>
            <w:shd w:val="clear" w:color="auto" w:fill="auto"/>
            <w:noWrap/>
            <w:vAlign w:val="center"/>
            <w:hideMark/>
          </w:tcPr>
          <w:p w14:paraId="1AA8335C" w14:textId="5B1ECAFA" w:rsidR="00382952" w:rsidRPr="002F682F"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18.170.650,15</w:t>
            </w:r>
          </w:p>
        </w:tc>
      </w:tr>
      <w:tr w:rsidR="00382952" w:rsidRPr="002D429A" w14:paraId="108C35CC" w14:textId="77777777" w:rsidTr="00BA5560">
        <w:trPr>
          <w:trHeight w:val="340"/>
        </w:trPr>
        <w:tc>
          <w:tcPr>
            <w:tcW w:w="2401" w:type="pct"/>
            <w:tcBorders>
              <w:top w:val="nil"/>
              <w:left w:val="nil"/>
              <w:bottom w:val="nil"/>
              <w:right w:val="nil"/>
            </w:tcBorders>
            <w:shd w:val="clear" w:color="auto" w:fill="auto"/>
            <w:vAlign w:val="center"/>
            <w:hideMark/>
          </w:tcPr>
          <w:p w14:paraId="0BE774FB"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Acreedores varios</w:t>
            </w:r>
          </w:p>
        </w:tc>
        <w:tc>
          <w:tcPr>
            <w:tcW w:w="668" w:type="pct"/>
            <w:tcBorders>
              <w:top w:val="nil"/>
              <w:left w:val="nil"/>
              <w:bottom w:val="nil"/>
              <w:right w:val="nil"/>
            </w:tcBorders>
            <w:shd w:val="clear" w:color="auto" w:fill="auto"/>
            <w:vAlign w:val="center"/>
            <w:hideMark/>
          </w:tcPr>
          <w:p w14:paraId="497F66F2" w14:textId="08B514F4" w:rsidR="00382952" w:rsidRPr="009C72B4" w:rsidRDefault="00382952" w:rsidP="00382952">
            <w:pPr>
              <w:jc w:val="center"/>
              <w:rPr>
                <w:sz w:val="18"/>
                <w:szCs w:val="18"/>
              </w:rPr>
            </w:pPr>
            <w:r w:rsidRPr="009C72B4">
              <w:rPr>
                <w:sz w:val="18"/>
                <w:szCs w:val="18"/>
              </w:rPr>
              <w:t>8.</w:t>
            </w:r>
            <w:r>
              <w:rPr>
                <w:sz w:val="18"/>
                <w:szCs w:val="18"/>
              </w:rPr>
              <w:t>3</w:t>
            </w:r>
            <w:r w:rsidRPr="009C72B4">
              <w:rPr>
                <w:sz w:val="18"/>
                <w:szCs w:val="18"/>
              </w:rPr>
              <w:t>.a</w:t>
            </w:r>
          </w:p>
        </w:tc>
        <w:tc>
          <w:tcPr>
            <w:tcW w:w="966" w:type="pct"/>
            <w:tcBorders>
              <w:top w:val="nil"/>
              <w:left w:val="nil"/>
              <w:bottom w:val="nil"/>
              <w:right w:val="nil"/>
            </w:tcBorders>
            <w:shd w:val="clear" w:color="auto" w:fill="auto"/>
            <w:vAlign w:val="center"/>
          </w:tcPr>
          <w:p w14:paraId="379D40BC" w14:textId="21AD198D" w:rsidR="00382952" w:rsidRPr="008C1360" w:rsidRDefault="008C1360" w:rsidP="008C136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8.962.917,83</w:t>
            </w:r>
          </w:p>
        </w:tc>
        <w:tc>
          <w:tcPr>
            <w:tcW w:w="966" w:type="pct"/>
            <w:tcBorders>
              <w:top w:val="nil"/>
              <w:left w:val="nil"/>
              <w:bottom w:val="nil"/>
              <w:right w:val="nil"/>
            </w:tcBorders>
            <w:shd w:val="clear" w:color="auto" w:fill="auto"/>
            <w:vAlign w:val="center"/>
            <w:hideMark/>
          </w:tcPr>
          <w:p w14:paraId="26C93893" w14:textId="52C25D8D" w:rsidR="00382952" w:rsidRPr="004D0B1C"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13.504.916,32</w:t>
            </w:r>
          </w:p>
        </w:tc>
      </w:tr>
      <w:tr w:rsidR="00382952" w:rsidRPr="002D429A" w14:paraId="3B43BF78" w14:textId="77777777" w:rsidTr="00BA5560">
        <w:trPr>
          <w:trHeight w:val="340"/>
        </w:trPr>
        <w:tc>
          <w:tcPr>
            <w:tcW w:w="2401" w:type="pct"/>
            <w:tcBorders>
              <w:top w:val="nil"/>
              <w:left w:val="nil"/>
              <w:bottom w:val="nil"/>
              <w:right w:val="nil"/>
            </w:tcBorders>
            <w:shd w:val="clear" w:color="auto" w:fill="auto"/>
            <w:vAlign w:val="center"/>
            <w:hideMark/>
          </w:tcPr>
          <w:p w14:paraId="6DF89724"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Personal (remuneraciones pendientes de pago)</w:t>
            </w:r>
          </w:p>
        </w:tc>
        <w:tc>
          <w:tcPr>
            <w:tcW w:w="668" w:type="pct"/>
            <w:tcBorders>
              <w:top w:val="nil"/>
              <w:left w:val="nil"/>
              <w:bottom w:val="nil"/>
              <w:right w:val="nil"/>
            </w:tcBorders>
            <w:shd w:val="clear" w:color="auto" w:fill="auto"/>
            <w:vAlign w:val="center"/>
            <w:hideMark/>
          </w:tcPr>
          <w:p w14:paraId="74CB3D95" w14:textId="3F4489F5"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8.</w:t>
            </w:r>
            <w:r>
              <w:rPr>
                <w:rFonts w:eastAsia="Times New Roman"/>
                <w:sz w:val="18"/>
                <w:szCs w:val="18"/>
                <w:bdr w:val="none" w:sz="0" w:space="0" w:color="auto"/>
                <w:lang w:eastAsia="es-ES"/>
              </w:rPr>
              <w:t>3</w:t>
            </w:r>
            <w:r w:rsidRPr="009C72B4">
              <w:rPr>
                <w:rFonts w:eastAsia="Times New Roman"/>
                <w:sz w:val="18"/>
                <w:szCs w:val="18"/>
                <w:bdr w:val="none" w:sz="0" w:space="0" w:color="auto"/>
                <w:lang w:eastAsia="es-ES"/>
              </w:rPr>
              <w:t>.a</w:t>
            </w:r>
          </w:p>
        </w:tc>
        <w:tc>
          <w:tcPr>
            <w:tcW w:w="966" w:type="pct"/>
            <w:tcBorders>
              <w:top w:val="nil"/>
              <w:left w:val="nil"/>
              <w:bottom w:val="nil"/>
              <w:right w:val="nil"/>
            </w:tcBorders>
            <w:shd w:val="clear" w:color="auto" w:fill="auto"/>
            <w:vAlign w:val="center"/>
          </w:tcPr>
          <w:p w14:paraId="3406608F" w14:textId="586E318A" w:rsidR="00382952" w:rsidRPr="008C1360" w:rsidRDefault="008C1360" w:rsidP="008C136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103.791,81</w:t>
            </w:r>
          </w:p>
        </w:tc>
        <w:tc>
          <w:tcPr>
            <w:tcW w:w="966" w:type="pct"/>
            <w:tcBorders>
              <w:top w:val="nil"/>
              <w:left w:val="nil"/>
              <w:bottom w:val="nil"/>
              <w:right w:val="nil"/>
            </w:tcBorders>
            <w:shd w:val="clear" w:color="auto" w:fill="auto"/>
            <w:vAlign w:val="center"/>
            <w:hideMark/>
          </w:tcPr>
          <w:p w14:paraId="73B32949" w14:textId="601552A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467.556,41</w:t>
            </w:r>
          </w:p>
        </w:tc>
      </w:tr>
      <w:tr w:rsidR="00382952" w:rsidRPr="002D429A" w14:paraId="5778BCCC" w14:textId="77777777" w:rsidTr="00BA5560">
        <w:trPr>
          <w:trHeight w:val="340"/>
        </w:trPr>
        <w:tc>
          <w:tcPr>
            <w:tcW w:w="2401" w:type="pct"/>
            <w:tcBorders>
              <w:top w:val="nil"/>
              <w:left w:val="nil"/>
              <w:bottom w:val="nil"/>
              <w:right w:val="nil"/>
            </w:tcBorders>
            <w:shd w:val="clear" w:color="auto" w:fill="auto"/>
            <w:vAlign w:val="center"/>
            <w:hideMark/>
          </w:tcPr>
          <w:p w14:paraId="31153271"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Otras deudas con las Administraciones Públicas</w:t>
            </w:r>
          </w:p>
        </w:tc>
        <w:tc>
          <w:tcPr>
            <w:tcW w:w="668" w:type="pct"/>
            <w:tcBorders>
              <w:top w:val="nil"/>
              <w:left w:val="nil"/>
              <w:bottom w:val="nil"/>
              <w:right w:val="nil"/>
            </w:tcBorders>
            <w:shd w:val="clear" w:color="auto" w:fill="auto"/>
            <w:vAlign w:val="center"/>
            <w:hideMark/>
          </w:tcPr>
          <w:p w14:paraId="153CD658" w14:textId="0EBF6256"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9C72B4">
              <w:rPr>
                <w:rFonts w:eastAsia="Times New Roman"/>
                <w:sz w:val="18"/>
                <w:szCs w:val="18"/>
                <w:bdr w:val="none" w:sz="0" w:space="0" w:color="auto"/>
                <w:lang w:eastAsia="es-ES"/>
              </w:rPr>
              <w:t>11</w:t>
            </w:r>
            <w:r>
              <w:rPr>
                <w:rFonts w:eastAsia="Times New Roman"/>
                <w:sz w:val="18"/>
                <w:szCs w:val="18"/>
                <w:bdr w:val="none" w:sz="0" w:space="0" w:color="auto"/>
                <w:lang w:eastAsia="es-ES"/>
              </w:rPr>
              <w:t>.1.b</w:t>
            </w:r>
          </w:p>
        </w:tc>
        <w:tc>
          <w:tcPr>
            <w:tcW w:w="966" w:type="pct"/>
            <w:tcBorders>
              <w:top w:val="nil"/>
              <w:left w:val="nil"/>
              <w:bottom w:val="nil"/>
              <w:right w:val="nil"/>
            </w:tcBorders>
            <w:shd w:val="clear" w:color="auto" w:fill="auto"/>
            <w:vAlign w:val="center"/>
          </w:tcPr>
          <w:p w14:paraId="59F7B7C6" w14:textId="40A429A2" w:rsidR="00382952" w:rsidRPr="008C1360" w:rsidRDefault="008C1360" w:rsidP="008C136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5.119.200,66</w:t>
            </w:r>
          </w:p>
        </w:tc>
        <w:tc>
          <w:tcPr>
            <w:tcW w:w="966" w:type="pct"/>
            <w:tcBorders>
              <w:top w:val="nil"/>
              <w:left w:val="nil"/>
              <w:bottom w:val="nil"/>
              <w:right w:val="nil"/>
            </w:tcBorders>
            <w:shd w:val="clear" w:color="auto" w:fill="auto"/>
            <w:vAlign w:val="center"/>
            <w:hideMark/>
          </w:tcPr>
          <w:p w14:paraId="0F51FD8D" w14:textId="7580B6D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Pr>
                <w:sz w:val="18"/>
                <w:szCs w:val="18"/>
              </w:rPr>
              <w:t>4.198.177,42</w:t>
            </w:r>
          </w:p>
        </w:tc>
      </w:tr>
      <w:tr w:rsidR="00382952" w:rsidRPr="002D429A" w14:paraId="0151E4EC" w14:textId="77777777" w:rsidTr="004A2576">
        <w:trPr>
          <w:trHeight w:val="340"/>
        </w:trPr>
        <w:tc>
          <w:tcPr>
            <w:tcW w:w="2401" w:type="pct"/>
            <w:tcBorders>
              <w:top w:val="nil"/>
              <w:left w:val="nil"/>
              <w:right w:val="nil"/>
            </w:tcBorders>
            <w:shd w:val="clear" w:color="auto" w:fill="auto"/>
            <w:vAlign w:val="center"/>
            <w:hideMark/>
          </w:tcPr>
          <w:p w14:paraId="4DEFCF40" w14:textId="77777777"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Periodificaciones a corto plazo</w:t>
            </w:r>
          </w:p>
        </w:tc>
        <w:tc>
          <w:tcPr>
            <w:tcW w:w="668" w:type="pct"/>
            <w:tcBorders>
              <w:top w:val="nil"/>
              <w:left w:val="nil"/>
              <w:right w:val="nil"/>
            </w:tcBorders>
            <w:shd w:val="clear" w:color="auto" w:fill="auto"/>
            <w:vAlign w:val="center"/>
            <w:hideMark/>
          </w:tcPr>
          <w:p w14:paraId="03EEAEBC" w14:textId="7A30A8EA" w:rsidR="00382952" w:rsidRPr="009C72B4"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72B4">
              <w:rPr>
                <w:rFonts w:eastAsia="Times New Roman"/>
                <w:b/>
                <w:bCs/>
                <w:sz w:val="18"/>
                <w:szCs w:val="18"/>
                <w:bdr w:val="none" w:sz="0" w:space="0" w:color="auto"/>
                <w:lang w:eastAsia="es-ES"/>
              </w:rPr>
              <w:t>8.</w:t>
            </w:r>
            <w:r>
              <w:rPr>
                <w:rFonts w:eastAsia="Times New Roman"/>
                <w:b/>
                <w:bCs/>
                <w:sz w:val="18"/>
                <w:szCs w:val="18"/>
                <w:bdr w:val="none" w:sz="0" w:space="0" w:color="auto"/>
                <w:lang w:eastAsia="es-ES"/>
              </w:rPr>
              <w:t>3</w:t>
            </w:r>
            <w:r w:rsidRPr="009C72B4">
              <w:rPr>
                <w:rFonts w:eastAsia="Times New Roman"/>
                <w:b/>
                <w:bCs/>
                <w:sz w:val="18"/>
                <w:szCs w:val="18"/>
                <w:bdr w:val="none" w:sz="0" w:space="0" w:color="auto"/>
                <w:lang w:eastAsia="es-ES"/>
              </w:rPr>
              <w:t>.c</w:t>
            </w:r>
          </w:p>
        </w:tc>
        <w:tc>
          <w:tcPr>
            <w:tcW w:w="966" w:type="pct"/>
            <w:tcBorders>
              <w:top w:val="nil"/>
              <w:left w:val="nil"/>
              <w:right w:val="nil"/>
            </w:tcBorders>
            <w:shd w:val="clear" w:color="auto" w:fill="auto"/>
            <w:vAlign w:val="center"/>
          </w:tcPr>
          <w:p w14:paraId="76B205A9" w14:textId="60EFF4DE" w:rsidR="00382952" w:rsidRPr="008C1360" w:rsidRDefault="008C1360" w:rsidP="008C136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38.696.982,76</w:t>
            </w:r>
          </w:p>
        </w:tc>
        <w:tc>
          <w:tcPr>
            <w:tcW w:w="966" w:type="pct"/>
            <w:tcBorders>
              <w:top w:val="nil"/>
              <w:left w:val="nil"/>
              <w:right w:val="nil"/>
            </w:tcBorders>
            <w:shd w:val="clear" w:color="auto" w:fill="auto"/>
            <w:vAlign w:val="center"/>
            <w:hideMark/>
          </w:tcPr>
          <w:p w14:paraId="26901A69" w14:textId="434E65EE"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Pr>
                <w:b/>
                <w:bCs/>
                <w:sz w:val="18"/>
                <w:szCs w:val="18"/>
              </w:rPr>
              <w:t>17.155.827,11</w:t>
            </w:r>
          </w:p>
        </w:tc>
      </w:tr>
      <w:tr w:rsidR="00382952" w:rsidRPr="002D429A" w14:paraId="4A95625C" w14:textId="77777777" w:rsidTr="004A2576">
        <w:trPr>
          <w:trHeight w:val="227"/>
        </w:trPr>
        <w:tc>
          <w:tcPr>
            <w:tcW w:w="2401" w:type="pct"/>
            <w:tcBorders>
              <w:top w:val="nil"/>
              <w:left w:val="nil"/>
              <w:bottom w:val="single" w:sz="4" w:space="0" w:color="auto"/>
              <w:right w:val="nil"/>
            </w:tcBorders>
            <w:shd w:val="clear" w:color="auto" w:fill="auto"/>
            <w:vAlign w:val="center"/>
            <w:hideMark/>
          </w:tcPr>
          <w:p w14:paraId="3DC7DCBE"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p>
        </w:tc>
        <w:tc>
          <w:tcPr>
            <w:tcW w:w="668" w:type="pct"/>
            <w:tcBorders>
              <w:top w:val="nil"/>
              <w:left w:val="nil"/>
              <w:bottom w:val="single" w:sz="4" w:space="0" w:color="auto"/>
              <w:right w:val="nil"/>
            </w:tcBorders>
            <w:shd w:val="clear" w:color="auto" w:fill="auto"/>
            <w:vAlign w:val="center"/>
            <w:hideMark/>
          </w:tcPr>
          <w:p w14:paraId="376C48E8"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single" w:sz="4" w:space="0" w:color="auto"/>
              <w:right w:val="nil"/>
            </w:tcBorders>
            <w:shd w:val="clear" w:color="auto" w:fill="auto"/>
            <w:vAlign w:val="center"/>
          </w:tcPr>
          <w:p w14:paraId="5035B017"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c>
          <w:tcPr>
            <w:tcW w:w="966" w:type="pct"/>
            <w:tcBorders>
              <w:top w:val="nil"/>
              <w:left w:val="nil"/>
              <w:bottom w:val="single" w:sz="4" w:space="0" w:color="auto"/>
              <w:right w:val="nil"/>
            </w:tcBorders>
            <w:shd w:val="clear" w:color="auto" w:fill="auto"/>
            <w:vAlign w:val="center"/>
            <w:hideMark/>
          </w:tcPr>
          <w:p w14:paraId="36B14AF5"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382952" w:rsidRPr="002D429A" w14:paraId="58FC67A1" w14:textId="77777777" w:rsidTr="004A2576">
        <w:trPr>
          <w:trHeight w:val="340"/>
        </w:trPr>
        <w:tc>
          <w:tcPr>
            <w:tcW w:w="2401" w:type="pct"/>
            <w:tcBorders>
              <w:top w:val="single" w:sz="4" w:space="0" w:color="auto"/>
              <w:left w:val="nil"/>
              <w:bottom w:val="single" w:sz="4" w:space="0" w:color="auto"/>
              <w:right w:val="nil"/>
            </w:tcBorders>
            <w:shd w:val="clear" w:color="auto" w:fill="F2F2F2" w:themeFill="background1" w:themeFillShade="F2"/>
            <w:vAlign w:val="center"/>
            <w:hideMark/>
          </w:tcPr>
          <w:p w14:paraId="5FEB3697"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TOTAL PATRIMONIO NETO Y PASIVO</w:t>
            </w:r>
          </w:p>
        </w:tc>
        <w:tc>
          <w:tcPr>
            <w:tcW w:w="668" w:type="pct"/>
            <w:tcBorders>
              <w:top w:val="single" w:sz="4" w:space="0" w:color="auto"/>
              <w:left w:val="nil"/>
              <w:bottom w:val="single" w:sz="4" w:space="0" w:color="auto"/>
              <w:right w:val="nil"/>
            </w:tcBorders>
            <w:shd w:val="clear" w:color="auto" w:fill="F2F2F2" w:themeFill="background1" w:themeFillShade="F2"/>
            <w:vAlign w:val="center"/>
            <w:hideMark/>
          </w:tcPr>
          <w:p w14:paraId="5D9A3085" w14:textId="77777777" w:rsidR="00382952" w:rsidRPr="002D429A" w:rsidRDefault="00382952" w:rsidP="0038295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2D429A">
              <w:rPr>
                <w:rFonts w:eastAsia="Times New Roman"/>
                <w:sz w:val="18"/>
                <w:szCs w:val="18"/>
                <w:bdr w:val="none" w:sz="0" w:space="0" w:color="auto"/>
                <w:lang w:eastAsia="es-ES"/>
              </w:rPr>
              <w:t> </w:t>
            </w:r>
          </w:p>
        </w:tc>
        <w:tc>
          <w:tcPr>
            <w:tcW w:w="966" w:type="pct"/>
            <w:tcBorders>
              <w:top w:val="single" w:sz="4" w:space="0" w:color="auto"/>
              <w:left w:val="nil"/>
              <w:bottom w:val="single" w:sz="4" w:space="0" w:color="auto"/>
              <w:right w:val="nil"/>
            </w:tcBorders>
            <w:shd w:val="clear" w:color="auto" w:fill="F2F2F2" w:themeFill="background1" w:themeFillShade="F2"/>
            <w:vAlign w:val="center"/>
          </w:tcPr>
          <w:p w14:paraId="7F444D35" w14:textId="4E19C2FF" w:rsidR="00382952" w:rsidRPr="008C1360" w:rsidRDefault="008C1360" w:rsidP="008C136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53.593.054,82</w:t>
            </w:r>
          </w:p>
        </w:tc>
        <w:tc>
          <w:tcPr>
            <w:tcW w:w="966" w:type="pct"/>
            <w:tcBorders>
              <w:top w:val="single" w:sz="4" w:space="0" w:color="auto"/>
              <w:left w:val="nil"/>
              <w:bottom w:val="single" w:sz="4" w:space="0" w:color="auto"/>
              <w:right w:val="nil"/>
            </w:tcBorders>
            <w:shd w:val="clear" w:color="auto" w:fill="F2F2F2" w:themeFill="background1" w:themeFillShade="F2"/>
            <w:vAlign w:val="center"/>
            <w:hideMark/>
          </w:tcPr>
          <w:p w14:paraId="7A52E3DC" w14:textId="41F04DD8" w:rsidR="00382952" w:rsidRDefault="00382952" w:rsidP="00382952">
            <w:pPr>
              <w:jc w:val="right"/>
              <w:rPr>
                <w:b/>
                <w:bCs/>
                <w:sz w:val="18"/>
                <w:szCs w:val="18"/>
              </w:rPr>
            </w:pPr>
            <w:r>
              <w:rPr>
                <w:b/>
                <w:bCs/>
                <w:sz w:val="18"/>
                <w:szCs w:val="18"/>
              </w:rPr>
              <w:t>36.106.613,67</w:t>
            </w:r>
          </w:p>
        </w:tc>
      </w:tr>
    </w:tbl>
    <w:p w14:paraId="37991720" w14:textId="3C84F3FB" w:rsidR="003A4111" w:rsidRPr="00BA5560" w:rsidRDefault="006220A2"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120"/>
        <w:jc w:val="center"/>
        <w:outlineLvl w:val="9"/>
        <w:rPr>
          <w:i/>
          <w:iCs/>
          <w:sz w:val="18"/>
          <w:szCs w:val="18"/>
        </w:rPr>
      </w:pPr>
      <w:r w:rsidRPr="00BA5560">
        <w:rPr>
          <w:i/>
          <w:iCs/>
          <w:sz w:val="18"/>
          <w:szCs w:val="18"/>
        </w:rPr>
        <w:t>Las Cuentas Anuales de la Sociedad, que fo</w:t>
      </w:r>
      <w:r w:rsidR="002E3C11" w:rsidRPr="00BA5560">
        <w:rPr>
          <w:i/>
          <w:iCs/>
          <w:sz w:val="18"/>
          <w:szCs w:val="18"/>
        </w:rPr>
        <w:t>r</w:t>
      </w:r>
      <w:r w:rsidRPr="00BA5560">
        <w:rPr>
          <w:i/>
          <w:iCs/>
          <w:sz w:val="18"/>
          <w:szCs w:val="18"/>
        </w:rPr>
        <w:t>man una sola unidad, comprenden est</w:t>
      </w:r>
      <w:r w:rsidR="00052BF5" w:rsidRPr="00BA5560">
        <w:rPr>
          <w:i/>
          <w:iCs/>
          <w:sz w:val="18"/>
          <w:szCs w:val="18"/>
        </w:rPr>
        <w:t>e</w:t>
      </w:r>
      <w:r w:rsidRPr="00BA5560">
        <w:rPr>
          <w:i/>
          <w:iCs/>
          <w:sz w:val="18"/>
          <w:szCs w:val="18"/>
        </w:rPr>
        <w:t xml:space="preserve"> Balance, la Cuentas de Pérdidas y Ganancias, el Estado de Cambios en el Patrimonio Neto, el Estado de Flujos de Efectivo adjuntos y la Memoria Anual adjunta que consta de </w:t>
      </w:r>
      <w:r w:rsidR="00BC1D00" w:rsidRPr="00BA5560">
        <w:rPr>
          <w:i/>
          <w:iCs/>
          <w:sz w:val="18"/>
          <w:szCs w:val="18"/>
        </w:rPr>
        <w:t>20</w:t>
      </w:r>
      <w:r w:rsidRPr="00BA5560">
        <w:rPr>
          <w:i/>
          <w:iCs/>
          <w:sz w:val="18"/>
          <w:szCs w:val="18"/>
        </w:rPr>
        <w:t xml:space="preserve"> Notas</w:t>
      </w:r>
      <w:r w:rsidRPr="00BA5560">
        <w:rPr>
          <w:i/>
          <w:iCs/>
          <w:sz w:val="18"/>
          <w:szCs w:val="18"/>
        </w:rPr>
        <w:br w:type="page"/>
      </w:r>
    </w:p>
    <w:p w14:paraId="07190A5C" w14:textId="77777777"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14:paraId="66AF15D4" w14:textId="38B323B0" w:rsidR="006220A2" w:rsidRDefault="006220A2"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bCs/>
          <w:sz w:val="20"/>
        </w:rPr>
      </w:pPr>
      <w:r w:rsidRPr="0083433F">
        <w:rPr>
          <w:b/>
          <w:sz w:val="20"/>
        </w:rPr>
        <w:t>CUENTA DE PÉRDIDAS Y GANANCIAS CORRESPONDIENTE A</w:t>
      </w:r>
      <w:r w:rsidR="002E3C11">
        <w:rPr>
          <w:b/>
          <w:sz w:val="20"/>
        </w:rPr>
        <w:t xml:space="preserve"> </w:t>
      </w:r>
      <w:r w:rsidRPr="0083433F">
        <w:rPr>
          <w:b/>
          <w:sz w:val="20"/>
        </w:rPr>
        <w:t>L</w:t>
      </w:r>
      <w:r w:rsidR="002E3C11">
        <w:rPr>
          <w:b/>
          <w:sz w:val="20"/>
        </w:rPr>
        <w:t>OS</w:t>
      </w:r>
      <w:r w:rsidRPr="0083433F">
        <w:rPr>
          <w:b/>
          <w:sz w:val="20"/>
        </w:rPr>
        <w:t xml:space="preserve"> EJERCICIOS </w:t>
      </w:r>
      <w:r w:rsidR="00801015" w:rsidRPr="0083433F">
        <w:rPr>
          <w:b/>
          <w:sz w:val="20"/>
        </w:rPr>
        <w:t>20</w:t>
      </w:r>
      <w:r w:rsidR="006248B7">
        <w:rPr>
          <w:b/>
          <w:sz w:val="20"/>
        </w:rPr>
        <w:t>2</w:t>
      </w:r>
      <w:r w:rsidR="008C1360">
        <w:rPr>
          <w:b/>
          <w:sz w:val="20"/>
        </w:rPr>
        <w:t>3</w:t>
      </w:r>
      <w:r w:rsidR="00801015" w:rsidRPr="0083433F">
        <w:rPr>
          <w:b/>
          <w:sz w:val="20"/>
        </w:rPr>
        <w:t xml:space="preserve"> Y 20</w:t>
      </w:r>
      <w:r w:rsidR="005A360B">
        <w:rPr>
          <w:b/>
          <w:sz w:val="20"/>
        </w:rPr>
        <w:t>2</w:t>
      </w:r>
      <w:r w:rsidR="008C1360">
        <w:rPr>
          <w:b/>
          <w:sz w:val="20"/>
        </w:rPr>
        <w:t>2</w:t>
      </w:r>
      <w:r w:rsidRPr="0083433F">
        <w:rPr>
          <w:b/>
          <w:sz w:val="20"/>
        </w:rPr>
        <w:t xml:space="preserve"> </w:t>
      </w:r>
      <w:r w:rsidRPr="0083433F">
        <w:rPr>
          <w:b/>
          <w:bCs/>
          <w:sz w:val="20"/>
        </w:rPr>
        <w:t>(Expresada en euros)</w:t>
      </w:r>
    </w:p>
    <w:p w14:paraId="65E55EDF" w14:textId="77777777" w:rsidR="006248B7" w:rsidRPr="0083433F" w:rsidRDefault="006248B7" w:rsidP="007825C6">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line="280" w:lineRule="exact"/>
        <w:jc w:val="both"/>
        <w:rPr>
          <w:b/>
          <w:bCs/>
          <w:sz w:val="20"/>
        </w:rPr>
      </w:pPr>
    </w:p>
    <w:tbl>
      <w:tblPr>
        <w:tblW w:w="4994" w:type="pct"/>
        <w:jc w:val="center"/>
        <w:tblLayout w:type="fixed"/>
        <w:tblCellMar>
          <w:left w:w="70" w:type="dxa"/>
          <w:right w:w="70" w:type="dxa"/>
        </w:tblCellMar>
        <w:tblLook w:val="04A0" w:firstRow="1" w:lastRow="0" w:firstColumn="1" w:lastColumn="0" w:noHBand="0" w:noVBand="1"/>
      </w:tblPr>
      <w:tblGrid>
        <w:gridCol w:w="4708"/>
        <w:gridCol w:w="1192"/>
        <w:gridCol w:w="1577"/>
        <w:gridCol w:w="1577"/>
      </w:tblGrid>
      <w:tr w:rsidR="009A2A1E" w:rsidRPr="00992840" w14:paraId="24B71A05" w14:textId="77777777" w:rsidTr="007B50EC">
        <w:trPr>
          <w:trHeight w:val="340"/>
          <w:jc w:val="center"/>
        </w:trPr>
        <w:tc>
          <w:tcPr>
            <w:tcW w:w="2600" w:type="pct"/>
            <w:tcBorders>
              <w:top w:val="single" w:sz="4" w:space="0" w:color="auto"/>
              <w:left w:val="nil"/>
              <w:bottom w:val="single" w:sz="4" w:space="0" w:color="auto"/>
              <w:right w:val="nil"/>
            </w:tcBorders>
            <w:shd w:val="clear" w:color="auto" w:fill="D9D9D9" w:themeFill="background1" w:themeFillShade="D9"/>
            <w:noWrap/>
            <w:vAlign w:val="bottom"/>
            <w:hideMark/>
          </w:tcPr>
          <w:p w14:paraId="2B7590B1" w14:textId="77777777" w:rsidR="00BE76DE" w:rsidRPr="00992840" w:rsidRDefault="00BE76DE" w:rsidP="00B05CA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bookmarkStart w:id="0" w:name="RANGE!A1:E28"/>
            <w:r w:rsidRPr="00992840">
              <w:rPr>
                <w:rFonts w:eastAsia="Times New Roman"/>
                <w:b/>
                <w:bCs/>
                <w:sz w:val="18"/>
                <w:szCs w:val="18"/>
                <w:bdr w:val="none" w:sz="0" w:space="0" w:color="auto"/>
                <w:lang w:eastAsia="es-ES"/>
              </w:rPr>
              <w:t>CUENTA DE PÉRDIDAS Y GANANCIAS</w:t>
            </w:r>
            <w:bookmarkEnd w:id="0"/>
          </w:p>
        </w:tc>
        <w:tc>
          <w:tcPr>
            <w:tcW w:w="658" w:type="pct"/>
            <w:tcBorders>
              <w:top w:val="single" w:sz="4" w:space="0" w:color="auto"/>
              <w:left w:val="nil"/>
              <w:bottom w:val="single" w:sz="4" w:space="0" w:color="auto"/>
              <w:right w:val="nil"/>
            </w:tcBorders>
            <w:shd w:val="clear" w:color="auto" w:fill="D9D9D9" w:themeFill="background1" w:themeFillShade="D9"/>
            <w:noWrap/>
            <w:vAlign w:val="bottom"/>
            <w:hideMark/>
          </w:tcPr>
          <w:p w14:paraId="68D38020" w14:textId="77777777" w:rsidR="00052BF5"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2D429A">
              <w:rPr>
                <w:rFonts w:eastAsia="Times New Roman"/>
                <w:b/>
                <w:bCs/>
                <w:sz w:val="18"/>
                <w:szCs w:val="18"/>
                <w:bdr w:val="none" w:sz="0" w:space="0" w:color="auto"/>
                <w:lang w:eastAsia="es-ES"/>
              </w:rPr>
              <w:t>Nota</w:t>
            </w:r>
            <w:r>
              <w:rPr>
                <w:rFonts w:eastAsia="Times New Roman"/>
                <w:b/>
                <w:bCs/>
                <w:sz w:val="18"/>
                <w:szCs w:val="18"/>
                <w:bdr w:val="none" w:sz="0" w:space="0" w:color="auto"/>
                <w:lang w:eastAsia="es-ES"/>
              </w:rPr>
              <w:t>s</w:t>
            </w:r>
          </w:p>
          <w:p w14:paraId="583C9D8E" w14:textId="14E73DF8" w:rsidR="00BE76DE" w:rsidRPr="00992840" w:rsidRDefault="00052BF5" w:rsidP="00052BF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rFonts w:eastAsia="Times New Roman"/>
                <w:b/>
                <w:bCs/>
                <w:sz w:val="18"/>
                <w:szCs w:val="18"/>
                <w:bdr w:val="none" w:sz="0" w:space="0" w:color="auto"/>
                <w:lang w:eastAsia="es-ES"/>
              </w:rPr>
              <w:t>Memoria</w:t>
            </w:r>
          </w:p>
        </w:tc>
        <w:tc>
          <w:tcPr>
            <w:tcW w:w="871" w:type="pct"/>
            <w:tcBorders>
              <w:top w:val="single" w:sz="4" w:space="0" w:color="auto"/>
              <w:left w:val="nil"/>
              <w:bottom w:val="single" w:sz="4" w:space="0" w:color="auto"/>
              <w:right w:val="nil"/>
            </w:tcBorders>
            <w:shd w:val="clear" w:color="auto" w:fill="D9D9D9" w:themeFill="background1" w:themeFillShade="D9"/>
            <w:noWrap/>
            <w:vAlign w:val="bottom"/>
          </w:tcPr>
          <w:p w14:paraId="287546D3" w14:textId="4F273835" w:rsidR="00BE76DE" w:rsidRPr="00992840" w:rsidRDefault="00BE76DE" w:rsidP="00B05CA5">
            <w:pPr>
              <w:jc w:val="center"/>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202</w:t>
            </w:r>
            <w:r w:rsidR="000E5AB3">
              <w:rPr>
                <w:rFonts w:eastAsia="Times New Roman"/>
                <w:b/>
                <w:bCs/>
                <w:sz w:val="18"/>
                <w:szCs w:val="18"/>
                <w:bdr w:val="none" w:sz="0" w:space="0" w:color="auto"/>
                <w:lang w:eastAsia="es-ES"/>
              </w:rPr>
              <w:t>3</w:t>
            </w:r>
          </w:p>
        </w:tc>
        <w:tc>
          <w:tcPr>
            <w:tcW w:w="871" w:type="pct"/>
            <w:tcBorders>
              <w:top w:val="single" w:sz="4" w:space="0" w:color="auto"/>
              <w:left w:val="nil"/>
              <w:bottom w:val="single" w:sz="4" w:space="0" w:color="auto"/>
              <w:right w:val="nil"/>
            </w:tcBorders>
            <w:shd w:val="clear" w:color="auto" w:fill="D9D9D9" w:themeFill="background1" w:themeFillShade="D9"/>
            <w:noWrap/>
            <w:vAlign w:val="bottom"/>
          </w:tcPr>
          <w:p w14:paraId="362AD842" w14:textId="5E48BF74" w:rsidR="00BE76DE" w:rsidRPr="00992840" w:rsidRDefault="000E5AB3" w:rsidP="00B05CA5">
            <w:pPr>
              <w:jc w:val="center"/>
              <w:rPr>
                <w:rFonts w:eastAsia="Times New Roman"/>
                <w:b/>
                <w:bCs/>
                <w:sz w:val="18"/>
                <w:szCs w:val="18"/>
                <w:bdr w:val="none" w:sz="0" w:space="0" w:color="auto"/>
                <w:lang w:eastAsia="es-ES"/>
              </w:rPr>
            </w:pPr>
            <w:r>
              <w:rPr>
                <w:rFonts w:eastAsia="Times New Roman"/>
                <w:b/>
                <w:bCs/>
                <w:sz w:val="18"/>
                <w:szCs w:val="18"/>
                <w:bdr w:val="none" w:sz="0" w:space="0" w:color="auto"/>
                <w:lang w:eastAsia="es-ES"/>
              </w:rPr>
              <w:t>2022</w:t>
            </w:r>
          </w:p>
        </w:tc>
      </w:tr>
      <w:tr w:rsidR="009A2A1E" w:rsidRPr="00992840" w14:paraId="662CA909" w14:textId="77777777" w:rsidTr="007B50EC">
        <w:trPr>
          <w:trHeight w:val="340"/>
          <w:jc w:val="center"/>
        </w:trPr>
        <w:tc>
          <w:tcPr>
            <w:tcW w:w="2600" w:type="pct"/>
            <w:tcBorders>
              <w:top w:val="single" w:sz="4" w:space="0" w:color="auto"/>
              <w:left w:val="nil"/>
              <w:bottom w:val="nil"/>
              <w:right w:val="nil"/>
            </w:tcBorders>
            <w:shd w:val="clear" w:color="auto" w:fill="auto"/>
            <w:noWrap/>
            <w:vAlign w:val="center"/>
            <w:hideMark/>
          </w:tcPr>
          <w:p w14:paraId="3FF3A06D"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992840">
              <w:rPr>
                <w:rFonts w:eastAsia="Times New Roman"/>
                <w:b/>
                <w:bCs/>
                <w:sz w:val="18"/>
                <w:szCs w:val="18"/>
                <w:u w:val="single"/>
                <w:bdr w:val="none" w:sz="0" w:space="0" w:color="auto"/>
                <w:lang w:eastAsia="es-ES"/>
              </w:rPr>
              <w:t>OPERACIONES CONTINUADAS</w:t>
            </w:r>
          </w:p>
        </w:tc>
        <w:tc>
          <w:tcPr>
            <w:tcW w:w="658" w:type="pct"/>
            <w:tcBorders>
              <w:top w:val="single" w:sz="4" w:space="0" w:color="auto"/>
              <w:left w:val="nil"/>
              <w:bottom w:val="nil"/>
              <w:right w:val="nil"/>
            </w:tcBorders>
            <w:shd w:val="clear" w:color="auto" w:fill="auto"/>
            <w:noWrap/>
            <w:vAlign w:val="center"/>
            <w:hideMark/>
          </w:tcPr>
          <w:p w14:paraId="005E5BF4" w14:textId="303BF456" w:rsidR="00B05CA5" w:rsidRPr="00F61C20" w:rsidRDefault="00B05CA5" w:rsidP="002E279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single" w:sz="4" w:space="0" w:color="auto"/>
              <w:left w:val="nil"/>
              <w:bottom w:val="nil"/>
              <w:right w:val="nil"/>
            </w:tcBorders>
            <w:shd w:val="clear" w:color="auto" w:fill="auto"/>
            <w:noWrap/>
            <w:vAlign w:val="center"/>
            <w:hideMark/>
          </w:tcPr>
          <w:p w14:paraId="3EFA57C3"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c>
          <w:tcPr>
            <w:tcW w:w="871" w:type="pct"/>
            <w:tcBorders>
              <w:top w:val="single" w:sz="4" w:space="0" w:color="auto"/>
              <w:left w:val="nil"/>
              <w:bottom w:val="nil"/>
              <w:right w:val="nil"/>
            </w:tcBorders>
            <w:shd w:val="clear" w:color="auto" w:fill="auto"/>
            <w:noWrap/>
            <w:vAlign w:val="center"/>
            <w:hideMark/>
          </w:tcPr>
          <w:p w14:paraId="2505AF8E" w14:textId="77777777" w:rsidR="00B05CA5" w:rsidRPr="00992840" w:rsidRDefault="00B05CA5" w:rsidP="006248B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 </w:t>
            </w:r>
          </w:p>
        </w:tc>
      </w:tr>
      <w:tr w:rsidR="000E5AB3" w:rsidRPr="00992840" w14:paraId="1B9D5023"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5A5D9EED"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Importe neto de la cifra de negocios</w:t>
            </w:r>
          </w:p>
        </w:tc>
        <w:tc>
          <w:tcPr>
            <w:tcW w:w="658" w:type="pct"/>
            <w:tcBorders>
              <w:top w:val="nil"/>
              <w:left w:val="nil"/>
              <w:bottom w:val="nil"/>
              <w:right w:val="nil"/>
            </w:tcBorders>
            <w:shd w:val="clear" w:color="auto" w:fill="auto"/>
            <w:noWrap/>
            <w:vAlign w:val="center"/>
            <w:hideMark/>
          </w:tcPr>
          <w:p w14:paraId="54A6D013" w14:textId="3B42D73B"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12.a</w:t>
            </w:r>
            <w:r>
              <w:rPr>
                <w:rFonts w:eastAsia="Times New Roman"/>
                <w:b/>
                <w:bCs/>
                <w:sz w:val="18"/>
                <w:szCs w:val="18"/>
                <w:bdr w:val="none" w:sz="0" w:space="0" w:color="auto"/>
                <w:lang w:eastAsia="es-ES"/>
              </w:rPr>
              <w:t xml:space="preserve"> y 17.a</w:t>
            </w:r>
          </w:p>
        </w:tc>
        <w:tc>
          <w:tcPr>
            <w:tcW w:w="871" w:type="pct"/>
            <w:tcBorders>
              <w:top w:val="nil"/>
              <w:left w:val="nil"/>
              <w:bottom w:val="nil"/>
              <w:right w:val="nil"/>
            </w:tcBorders>
            <w:shd w:val="clear" w:color="auto" w:fill="auto"/>
            <w:noWrap/>
            <w:vAlign w:val="center"/>
          </w:tcPr>
          <w:p w14:paraId="1E894AE9" w14:textId="6CAE7A07"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278.650,74</w:t>
            </w:r>
          </w:p>
        </w:tc>
        <w:tc>
          <w:tcPr>
            <w:tcW w:w="871" w:type="pct"/>
            <w:tcBorders>
              <w:top w:val="nil"/>
              <w:left w:val="nil"/>
              <w:bottom w:val="nil"/>
              <w:right w:val="nil"/>
            </w:tcBorders>
            <w:shd w:val="clear" w:color="auto" w:fill="auto"/>
            <w:noWrap/>
            <w:vAlign w:val="center"/>
            <w:hideMark/>
          </w:tcPr>
          <w:p w14:paraId="140B969A" w14:textId="3C7D901F"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230.000,00</w:t>
            </w:r>
          </w:p>
        </w:tc>
      </w:tr>
      <w:tr w:rsidR="000E5AB3" w:rsidRPr="00992840" w14:paraId="7977E99B"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7D181F69"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Prestaciones de servicios</w:t>
            </w:r>
          </w:p>
        </w:tc>
        <w:tc>
          <w:tcPr>
            <w:tcW w:w="658" w:type="pct"/>
            <w:tcBorders>
              <w:top w:val="nil"/>
              <w:left w:val="nil"/>
              <w:bottom w:val="nil"/>
              <w:right w:val="nil"/>
            </w:tcBorders>
            <w:shd w:val="clear" w:color="auto" w:fill="auto"/>
            <w:noWrap/>
            <w:vAlign w:val="center"/>
            <w:hideMark/>
          </w:tcPr>
          <w:p w14:paraId="2179F10A"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5E20C3B4" w14:textId="1C70F35D"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E5AB3">
              <w:rPr>
                <w:sz w:val="18"/>
                <w:szCs w:val="18"/>
              </w:rPr>
              <w:t>278.650,74</w:t>
            </w:r>
          </w:p>
        </w:tc>
        <w:tc>
          <w:tcPr>
            <w:tcW w:w="871" w:type="pct"/>
            <w:tcBorders>
              <w:top w:val="nil"/>
              <w:left w:val="nil"/>
              <w:bottom w:val="nil"/>
              <w:right w:val="nil"/>
            </w:tcBorders>
            <w:shd w:val="clear" w:color="auto" w:fill="auto"/>
            <w:noWrap/>
            <w:vAlign w:val="center"/>
            <w:hideMark/>
          </w:tcPr>
          <w:p w14:paraId="2A00BDA3" w14:textId="2A5453D1"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E5AB3">
              <w:rPr>
                <w:sz w:val="18"/>
                <w:szCs w:val="18"/>
              </w:rPr>
              <w:t>230.000,00</w:t>
            </w:r>
          </w:p>
        </w:tc>
      </w:tr>
      <w:tr w:rsidR="000E5AB3" w:rsidRPr="00992840" w14:paraId="4AD90003"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0849E5E2"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Aprovisionamientos</w:t>
            </w:r>
          </w:p>
        </w:tc>
        <w:tc>
          <w:tcPr>
            <w:tcW w:w="658" w:type="pct"/>
            <w:tcBorders>
              <w:top w:val="nil"/>
              <w:left w:val="nil"/>
              <w:bottom w:val="nil"/>
              <w:right w:val="nil"/>
            </w:tcBorders>
            <w:shd w:val="clear" w:color="auto" w:fill="auto"/>
            <w:noWrap/>
            <w:vAlign w:val="center"/>
            <w:hideMark/>
          </w:tcPr>
          <w:p w14:paraId="1604CB46"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12.b</w:t>
            </w:r>
          </w:p>
        </w:tc>
        <w:tc>
          <w:tcPr>
            <w:tcW w:w="871" w:type="pct"/>
            <w:tcBorders>
              <w:top w:val="nil"/>
              <w:left w:val="nil"/>
              <w:bottom w:val="nil"/>
              <w:right w:val="nil"/>
            </w:tcBorders>
            <w:shd w:val="clear" w:color="auto" w:fill="auto"/>
            <w:noWrap/>
            <w:vAlign w:val="center"/>
          </w:tcPr>
          <w:p w14:paraId="50F6EA6F" w14:textId="59400B13"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(47.226.197,07)</w:t>
            </w:r>
          </w:p>
        </w:tc>
        <w:tc>
          <w:tcPr>
            <w:tcW w:w="871" w:type="pct"/>
            <w:tcBorders>
              <w:top w:val="nil"/>
              <w:left w:val="nil"/>
              <w:bottom w:val="nil"/>
              <w:right w:val="nil"/>
            </w:tcBorders>
            <w:shd w:val="clear" w:color="auto" w:fill="auto"/>
            <w:noWrap/>
            <w:vAlign w:val="center"/>
            <w:hideMark/>
          </w:tcPr>
          <w:p w14:paraId="2B8C9265" w14:textId="735617E6"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(42.448.526,82)</w:t>
            </w:r>
          </w:p>
        </w:tc>
      </w:tr>
      <w:tr w:rsidR="000E5AB3" w:rsidRPr="00992840" w14:paraId="6A349C6C"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01E24C55"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Trabajos realizados por otras empresas</w:t>
            </w:r>
          </w:p>
        </w:tc>
        <w:tc>
          <w:tcPr>
            <w:tcW w:w="658" w:type="pct"/>
            <w:tcBorders>
              <w:top w:val="nil"/>
              <w:left w:val="nil"/>
              <w:bottom w:val="nil"/>
              <w:right w:val="nil"/>
            </w:tcBorders>
            <w:shd w:val="clear" w:color="auto" w:fill="auto"/>
            <w:noWrap/>
            <w:vAlign w:val="center"/>
            <w:hideMark/>
          </w:tcPr>
          <w:p w14:paraId="6197192A"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7CAD5A9D" w14:textId="272BBB4A"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(47.226.197,07)</w:t>
            </w:r>
          </w:p>
        </w:tc>
        <w:tc>
          <w:tcPr>
            <w:tcW w:w="871" w:type="pct"/>
            <w:tcBorders>
              <w:top w:val="nil"/>
              <w:left w:val="nil"/>
              <w:bottom w:val="nil"/>
              <w:right w:val="nil"/>
            </w:tcBorders>
            <w:shd w:val="clear" w:color="auto" w:fill="auto"/>
            <w:noWrap/>
            <w:vAlign w:val="center"/>
            <w:hideMark/>
          </w:tcPr>
          <w:p w14:paraId="217A41A2" w14:textId="4ADF3C7A"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(42.448.526,82)</w:t>
            </w:r>
          </w:p>
        </w:tc>
      </w:tr>
      <w:tr w:rsidR="000E5AB3" w:rsidRPr="00992840" w14:paraId="27B5ED4D"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7F61BA64" w14:textId="77777777" w:rsidR="000E5AB3" w:rsidRPr="00BB2CD8"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BB2CD8">
              <w:rPr>
                <w:rFonts w:eastAsia="Times New Roman"/>
                <w:b/>
                <w:bCs/>
                <w:sz w:val="18"/>
                <w:szCs w:val="18"/>
                <w:bdr w:val="none" w:sz="0" w:space="0" w:color="auto"/>
                <w:lang w:eastAsia="es-ES"/>
              </w:rPr>
              <w:t>Otros ingresos de explotación</w:t>
            </w:r>
          </w:p>
        </w:tc>
        <w:tc>
          <w:tcPr>
            <w:tcW w:w="658" w:type="pct"/>
            <w:tcBorders>
              <w:top w:val="nil"/>
              <w:left w:val="nil"/>
              <w:bottom w:val="nil"/>
              <w:right w:val="nil"/>
            </w:tcBorders>
            <w:shd w:val="clear" w:color="auto" w:fill="auto"/>
            <w:noWrap/>
            <w:vAlign w:val="center"/>
            <w:hideMark/>
          </w:tcPr>
          <w:p w14:paraId="63388264"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12.a</w:t>
            </w:r>
          </w:p>
        </w:tc>
        <w:tc>
          <w:tcPr>
            <w:tcW w:w="871" w:type="pct"/>
            <w:tcBorders>
              <w:top w:val="nil"/>
              <w:left w:val="nil"/>
              <w:bottom w:val="nil"/>
              <w:right w:val="nil"/>
            </w:tcBorders>
            <w:shd w:val="clear" w:color="auto" w:fill="auto"/>
            <w:noWrap/>
            <w:vAlign w:val="center"/>
          </w:tcPr>
          <w:p w14:paraId="09EF1E1C" w14:textId="3BF9DE80"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47.052.733,71</w:t>
            </w:r>
          </w:p>
        </w:tc>
        <w:tc>
          <w:tcPr>
            <w:tcW w:w="871" w:type="pct"/>
            <w:tcBorders>
              <w:top w:val="nil"/>
              <w:left w:val="nil"/>
              <w:bottom w:val="nil"/>
              <w:right w:val="nil"/>
            </w:tcBorders>
            <w:shd w:val="clear" w:color="auto" w:fill="auto"/>
            <w:noWrap/>
            <w:vAlign w:val="center"/>
            <w:hideMark/>
          </w:tcPr>
          <w:p w14:paraId="3562BB3D" w14:textId="7347F24F"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43.265.038,20</w:t>
            </w:r>
          </w:p>
        </w:tc>
      </w:tr>
      <w:tr w:rsidR="000E5AB3" w:rsidRPr="00992840" w14:paraId="726D69A1"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095D6A28"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Ingresos accesorios y otros de gestión corriente</w:t>
            </w:r>
          </w:p>
        </w:tc>
        <w:tc>
          <w:tcPr>
            <w:tcW w:w="658" w:type="pct"/>
            <w:tcBorders>
              <w:top w:val="nil"/>
              <w:left w:val="nil"/>
              <w:bottom w:val="nil"/>
              <w:right w:val="nil"/>
            </w:tcBorders>
            <w:shd w:val="clear" w:color="auto" w:fill="auto"/>
            <w:noWrap/>
            <w:vAlign w:val="center"/>
            <w:hideMark/>
          </w:tcPr>
          <w:p w14:paraId="5FBE496F"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22141D6A" w14:textId="70BD3234"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E5AB3">
              <w:rPr>
                <w:rFonts w:eastAsia="Times New Roman"/>
                <w:sz w:val="18"/>
                <w:szCs w:val="18"/>
                <w:bdr w:val="none" w:sz="0" w:space="0" w:color="auto"/>
                <w:lang w:eastAsia="es-ES"/>
              </w:rPr>
              <w:t>308.839,43</w:t>
            </w:r>
          </w:p>
        </w:tc>
        <w:tc>
          <w:tcPr>
            <w:tcW w:w="871" w:type="pct"/>
            <w:tcBorders>
              <w:top w:val="nil"/>
              <w:left w:val="nil"/>
              <w:bottom w:val="nil"/>
              <w:right w:val="nil"/>
            </w:tcBorders>
            <w:shd w:val="clear" w:color="auto" w:fill="auto"/>
            <w:noWrap/>
            <w:vAlign w:val="center"/>
            <w:hideMark/>
          </w:tcPr>
          <w:p w14:paraId="78B9292C" w14:textId="532E6382"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266.604,72</w:t>
            </w:r>
          </w:p>
        </w:tc>
      </w:tr>
      <w:tr w:rsidR="000E5AB3" w:rsidRPr="00992840" w14:paraId="3B99A28B" w14:textId="77777777" w:rsidTr="00BA5560">
        <w:trPr>
          <w:trHeight w:val="340"/>
          <w:jc w:val="center"/>
        </w:trPr>
        <w:tc>
          <w:tcPr>
            <w:tcW w:w="2600" w:type="pct"/>
            <w:tcBorders>
              <w:top w:val="nil"/>
              <w:left w:val="nil"/>
              <w:bottom w:val="nil"/>
              <w:right w:val="nil"/>
            </w:tcBorders>
            <w:shd w:val="clear" w:color="auto" w:fill="auto"/>
            <w:noWrap/>
            <w:vAlign w:val="center"/>
          </w:tcPr>
          <w:p w14:paraId="6A7A2E03"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Subvenciones de explotación incorporadas al resultado</w:t>
            </w:r>
          </w:p>
        </w:tc>
        <w:tc>
          <w:tcPr>
            <w:tcW w:w="658" w:type="pct"/>
            <w:tcBorders>
              <w:top w:val="nil"/>
              <w:left w:val="nil"/>
              <w:bottom w:val="nil"/>
              <w:right w:val="nil"/>
            </w:tcBorders>
            <w:shd w:val="clear" w:color="auto" w:fill="auto"/>
            <w:noWrap/>
            <w:vAlign w:val="center"/>
          </w:tcPr>
          <w:p w14:paraId="6C4411EA" w14:textId="60FB1EED"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F61C20">
              <w:rPr>
                <w:rFonts w:eastAsia="Times New Roman"/>
                <w:sz w:val="18"/>
                <w:szCs w:val="18"/>
                <w:bdr w:val="none" w:sz="0" w:space="0" w:color="auto"/>
                <w:lang w:eastAsia="es-ES"/>
              </w:rPr>
              <w:t>15.2</w:t>
            </w:r>
            <w:r>
              <w:rPr>
                <w:rFonts w:eastAsia="Times New Roman"/>
                <w:sz w:val="18"/>
                <w:szCs w:val="18"/>
                <w:bdr w:val="none" w:sz="0" w:space="0" w:color="auto"/>
                <w:lang w:eastAsia="es-ES"/>
              </w:rPr>
              <w:t xml:space="preserve"> y 17.a</w:t>
            </w:r>
          </w:p>
        </w:tc>
        <w:tc>
          <w:tcPr>
            <w:tcW w:w="871" w:type="pct"/>
            <w:tcBorders>
              <w:top w:val="nil"/>
              <w:left w:val="nil"/>
              <w:bottom w:val="nil"/>
              <w:right w:val="nil"/>
            </w:tcBorders>
            <w:shd w:val="clear" w:color="auto" w:fill="auto"/>
            <w:noWrap/>
            <w:vAlign w:val="center"/>
          </w:tcPr>
          <w:p w14:paraId="0A701C45" w14:textId="02AB1068" w:rsidR="000E5AB3" w:rsidRPr="00085996"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E5AB3">
              <w:rPr>
                <w:rFonts w:eastAsia="Times New Roman"/>
                <w:sz w:val="18"/>
                <w:szCs w:val="18"/>
                <w:bdr w:val="none" w:sz="0" w:space="0" w:color="auto"/>
                <w:lang w:eastAsia="es-ES"/>
              </w:rPr>
              <w:t>46.743.894,28</w:t>
            </w:r>
          </w:p>
        </w:tc>
        <w:tc>
          <w:tcPr>
            <w:tcW w:w="871" w:type="pct"/>
            <w:tcBorders>
              <w:top w:val="nil"/>
              <w:left w:val="nil"/>
              <w:bottom w:val="nil"/>
              <w:right w:val="nil"/>
            </w:tcBorders>
            <w:shd w:val="clear" w:color="auto" w:fill="auto"/>
            <w:noWrap/>
            <w:vAlign w:val="center"/>
          </w:tcPr>
          <w:p w14:paraId="09F94A07" w14:textId="2E595510"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42.998.433,48</w:t>
            </w:r>
          </w:p>
        </w:tc>
      </w:tr>
      <w:tr w:rsidR="000E5AB3" w:rsidRPr="00992840" w14:paraId="3CC473FB"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0FFD8A96"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Gastos de personal</w:t>
            </w:r>
          </w:p>
        </w:tc>
        <w:tc>
          <w:tcPr>
            <w:tcW w:w="658" w:type="pct"/>
            <w:tcBorders>
              <w:top w:val="nil"/>
              <w:left w:val="nil"/>
              <w:bottom w:val="nil"/>
              <w:right w:val="nil"/>
            </w:tcBorders>
            <w:shd w:val="clear" w:color="auto" w:fill="auto"/>
            <w:noWrap/>
            <w:vAlign w:val="center"/>
            <w:hideMark/>
          </w:tcPr>
          <w:p w14:paraId="0CBA590A"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12.c</w:t>
            </w:r>
          </w:p>
        </w:tc>
        <w:tc>
          <w:tcPr>
            <w:tcW w:w="871" w:type="pct"/>
            <w:tcBorders>
              <w:top w:val="nil"/>
              <w:left w:val="nil"/>
              <w:bottom w:val="nil"/>
              <w:right w:val="nil"/>
            </w:tcBorders>
            <w:shd w:val="clear" w:color="auto" w:fill="auto"/>
            <w:noWrap/>
            <w:vAlign w:val="center"/>
          </w:tcPr>
          <w:p w14:paraId="63F67F1E" w14:textId="55062D6A"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(2.771.645,33)</w:t>
            </w:r>
          </w:p>
        </w:tc>
        <w:tc>
          <w:tcPr>
            <w:tcW w:w="871" w:type="pct"/>
            <w:tcBorders>
              <w:top w:val="nil"/>
              <w:left w:val="nil"/>
              <w:bottom w:val="nil"/>
              <w:right w:val="nil"/>
            </w:tcBorders>
            <w:shd w:val="clear" w:color="auto" w:fill="auto"/>
            <w:noWrap/>
            <w:vAlign w:val="center"/>
            <w:hideMark/>
          </w:tcPr>
          <w:p w14:paraId="02777B5E" w14:textId="7602976E"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(2.851.202,93)</w:t>
            </w:r>
          </w:p>
        </w:tc>
      </w:tr>
      <w:tr w:rsidR="000E5AB3" w:rsidRPr="00992840" w14:paraId="70551B2D"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57A22BD1"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Sueldos, salarios y asimilados</w:t>
            </w:r>
          </w:p>
        </w:tc>
        <w:tc>
          <w:tcPr>
            <w:tcW w:w="658" w:type="pct"/>
            <w:tcBorders>
              <w:top w:val="nil"/>
              <w:left w:val="nil"/>
              <w:bottom w:val="nil"/>
              <w:right w:val="nil"/>
            </w:tcBorders>
            <w:shd w:val="clear" w:color="auto" w:fill="auto"/>
            <w:noWrap/>
            <w:vAlign w:val="center"/>
            <w:hideMark/>
          </w:tcPr>
          <w:p w14:paraId="0377D449"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2717A274" w14:textId="6888F221" w:rsidR="000E5AB3" w:rsidRP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(2.153.407,05)</w:t>
            </w:r>
          </w:p>
        </w:tc>
        <w:tc>
          <w:tcPr>
            <w:tcW w:w="871" w:type="pct"/>
            <w:tcBorders>
              <w:top w:val="nil"/>
              <w:left w:val="nil"/>
              <w:bottom w:val="nil"/>
              <w:right w:val="nil"/>
            </w:tcBorders>
            <w:shd w:val="clear" w:color="auto" w:fill="auto"/>
            <w:noWrap/>
            <w:vAlign w:val="center"/>
            <w:hideMark/>
          </w:tcPr>
          <w:p w14:paraId="50BFFCE1" w14:textId="11108849"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(2.265.962,75)</w:t>
            </w:r>
          </w:p>
        </w:tc>
      </w:tr>
      <w:tr w:rsidR="000E5AB3" w:rsidRPr="00992840" w14:paraId="06494A80"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0C008C94"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Cargas sociales</w:t>
            </w:r>
          </w:p>
        </w:tc>
        <w:tc>
          <w:tcPr>
            <w:tcW w:w="658" w:type="pct"/>
            <w:tcBorders>
              <w:top w:val="nil"/>
              <w:left w:val="nil"/>
              <w:bottom w:val="nil"/>
              <w:right w:val="nil"/>
            </w:tcBorders>
            <w:shd w:val="clear" w:color="auto" w:fill="auto"/>
            <w:noWrap/>
            <w:vAlign w:val="center"/>
            <w:hideMark/>
          </w:tcPr>
          <w:p w14:paraId="0C1DCDBB"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6E6A28BE" w14:textId="6B31D942" w:rsidR="000E5AB3" w:rsidRPr="00746A5E"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(618.238,28)</w:t>
            </w:r>
          </w:p>
        </w:tc>
        <w:tc>
          <w:tcPr>
            <w:tcW w:w="871" w:type="pct"/>
            <w:tcBorders>
              <w:top w:val="nil"/>
              <w:left w:val="nil"/>
              <w:bottom w:val="nil"/>
              <w:right w:val="nil"/>
            </w:tcBorders>
            <w:shd w:val="clear" w:color="auto" w:fill="auto"/>
            <w:noWrap/>
            <w:vAlign w:val="center"/>
            <w:hideMark/>
          </w:tcPr>
          <w:p w14:paraId="79A9E87F" w14:textId="074FA7F5"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(585.240,18)</w:t>
            </w:r>
          </w:p>
        </w:tc>
      </w:tr>
      <w:tr w:rsidR="000E5AB3" w:rsidRPr="00992840" w14:paraId="2FD88E29"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44BBB571"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Otros gastos de explotación</w:t>
            </w:r>
          </w:p>
        </w:tc>
        <w:tc>
          <w:tcPr>
            <w:tcW w:w="658" w:type="pct"/>
            <w:tcBorders>
              <w:top w:val="nil"/>
              <w:left w:val="nil"/>
              <w:bottom w:val="nil"/>
              <w:right w:val="nil"/>
            </w:tcBorders>
            <w:shd w:val="clear" w:color="auto" w:fill="auto"/>
            <w:noWrap/>
            <w:vAlign w:val="center"/>
            <w:hideMark/>
          </w:tcPr>
          <w:p w14:paraId="702C7894" w14:textId="4ECBEE1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 xml:space="preserve">8.1.a y </w:t>
            </w:r>
            <w:r w:rsidRPr="00F61C20">
              <w:rPr>
                <w:rFonts w:eastAsia="Times New Roman"/>
                <w:b/>
                <w:bCs/>
                <w:sz w:val="18"/>
                <w:szCs w:val="18"/>
                <w:bdr w:val="none" w:sz="0" w:space="0" w:color="auto"/>
                <w:lang w:eastAsia="es-ES"/>
              </w:rPr>
              <w:t>12.d</w:t>
            </w:r>
          </w:p>
        </w:tc>
        <w:tc>
          <w:tcPr>
            <w:tcW w:w="871" w:type="pct"/>
            <w:tcBorders>
              <w:top w:val="nil"/>
              <w:left w:val="nil"/>
              <w:bottom w:val="nil"/>
              <w:right w:val="nil"/>
            </w:tcBorders>
            <w:shd w:val="clear" w:color="auto" w:fill="auto"/>
            <w:noWrap/>
            <w:vAlign w:val="center"/>
          </w:tcPr>
          <w:p w14:paraId="751ABF5F" w14:textId="4C1E7B13" w:rsidR="000E5AB3" w:rsidRPr="00746A5E"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(954.265,62)</w:t>
            </w:r>
          </w:p>
        </w:tc>
        <w:tc>
          <w:tcPr>
            <w:tcW w:w="871" w:type="pct"/>
            <w:tcBorders>
              <w:top w:val="nil"/>
              <w:left w:val="nil"/>
              <w:bottom w:val="nil"/>
              <w:right w:val="nil"/>
            </w:tcBorders>
            <w:shd w:val="clear" w:color="auto" w:fill="auto"/>
            <w:noWrap/>
            <w:vAlign w:val="center"/>
            <w:hideMark/>
          </w:tcPr>
          <w:p w14:paraId="1E2C9839" w14:textId="79A91E90"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(461.135,80)</w:t>
            </w:r>
          </w:p>
        </w:tc>
      </w:tr>
      <w:tr w:rsidR="000E5AB3" w:rsidRPr="00992840" w14:paraId="62518493"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21D2915D"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Servicios exteriores</w:t>
            </w:r>
          </w:p>
        </w:tc>
        <w:tc>
          <w:tcPr>
            <w:tcW w:w="658" w:type="pct"/>
            <w:tcBorders>
              <w:top w:val="nil"/>
              <w:left w:val="nil"/>
              <w:bottom w:val="nil"/>
              <w:right w:val="nil"/>
            </w:tcBorders>
            <w:shd w:val="clear" w:color="auto" w:fill="auto"/>
            <w:noWrap/>
            <w:vAlign w:val="center"/>
            <w:hideMark/>
          </w:tcPr>
          <w:p w14:paraId="261F67CA"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1DDD8368" w14:textId="5A26115F" w:rsidR="000E5AB3" w:rsidRPr="00746A5E"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(944.610,74)</w:t>
            </w:r>
          </w:p>
        </w:tc>
        <w:tc>
          <w:tcPr>
            <w:tcW w:w="871" w:type="pct"/>
            <w:tcBorders>
              <w:top w:val="nil"/>
              <w:left w:val="nil"/>
              <w:bottom w:val="nil"/>
              <w:right w:val="nil"/>
            </w:tcBorders>
            <w:shd w:val="clear" w:color="auto" w:fill="auto"/>
            <w:noWrap/>
            <w:vAlign w:val="center"/>
            <w:hideMark/>
          </w:tcPr>
          <w:p w14:paraId="5606EA26" w14:textId="5C1E05B2"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(446.210,50)</w:t>
            </w:r>
          </w:p>
        </w:tc>
      </w:tr>
      <w:tr w:rsidR="000E5AB3" w:rsidRPr="00992840" w14:paraId="39B1A314"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6C57F442"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92840">
              <w:rPr>
                <w:rFonts w:eastAsia="Times New Roman"/>
                <w:sz w:val="18"/>
                <w:szCs w:val="18"/>
                <w:bdr w:val="none" w:sz="0" w:space="0" w:color="auto"/>
                <w:lang w:eastAsia="es-ES"/>
              </w:rPr>
              <w:t>Tributos</w:t>
            </w:r>
          </w:p>
        </w:tc>
        <w:tc>
          <w:tcPr>
            <w:tcW w:w="658" w:type="pct"/>
            <w:tcBorders>
              <w:top w:val="nil"/>
              <w:left w:val="nil"/>
              <w:bottom w:val="nil"/>
              <w:right w:val="nil"/>
            </w:tcBorders>
            <w:shd w:val="clear" w:color="auto" w:fill="auto"/>
            <w:noWrap/>
            <w:vAlign w:val="center"/>
            <w:hideMark/>
          </w:tcPr>
          <w:p w14:paraId="054287A9"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645AFF49" w14:textId="4EC6F801" w:rsidR="000E5AB3"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r w:rsidRPr="00746A5E">
              <w:rPr>
                <w:rFonts w:eastAsia="Times New Roman"/>
                <w:sz w:val="18"/>
                <w:szCs w:val="18"/>
                <w:bdr w:val="none" w:sz="0" w:space="0" w:color="auto"/>
                <w:lang w:eastAsia="es-ES"/>
              </w:rPr>
              <w:t>9.654,88</w:t>
            </w:r>
            <w:r>
              <w:rPr>
                <w:rFonts w:eastAsia="Times New Roman"/>
                <w:sz w:val="18"/>
                <w:szCs w:val="18"/>
                <w:bdr w:val="none" w:sz="0" w:space="0" w:color="auto"/>
                <w:lang w:eastAsia="es-ES"/>
              </w:rPr>
              <w:t>)</w:t>
            </w:r>
          </w:p>
        </w:tc>
        <w:tc>
          <w:tcPr>
            <w:tcW w:w="871" w:type="pct"/>
            <w:tcBorders>
              <w:top w:val="nil"/>
              <w:left w:val="nil"/>
              <w:bottom w:val="nil"/>
              <w:right w:val="nil"/>
            </w:tcBorders>
            <w:shd w:val="clear" w:color="auto" w:fill="auto"/>
            <w:noWrap/>
            <w:vAlign w:val="center"/>
            <w:hideMark/>
          </w:tcPr>
          <w:p w14:paraId="120089C2" w14:textId="10604D7E"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(8.237,21)</w:t>
            </w:r>
          </w:p>
        </w:tc>
      </w:tr>
      <w:tr w:rsidR="000E5AB3" w:rsidRPr="00992840" w14:paraId="452E15EA" w14:textId="77777777" w:rsidTr="00BA5560">
        <w:trPr>
          <w:trHeight w:val="340"/>
          <w:jc w:val="center"/>
        </w:trPr>
        <w:tc>
          <w:tcPr>
            <w:tcW w:w="2600" w:type="pct"/>
            <w:tcBorders>
              <w:top w:val="nil"/>
              <w:left w:val="nil"/>
              <w:bottom w:val="nil"/>
              <w:right w:val="nil"/>
            </w:tcBorders>
            <w:shd w:val="clear" w:color="auto" w:fill="auto"/>
            <w:noWrap/>
            <w:vAlign w:val="center"/>
          </w:tcPr>
          <w:p w14:paraId="5362C00C" w14:textId="137CACB5"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712D3F">
              <w:rPr>
                <w:rFonts w:eastAsia="Times New Roman"/>
                <w:sz w:val="18"/>
                <w:szCs w:val="18"/>
                <w:bdr w:val="none" w:sz="0" w:space="0" w:color="auto"/>
                <w:lang w:eastAsia="es-ES"/>
              </w:rPr>
              <w:t xml:space="preserve">Pérdidas, deterioro y </w:t>
            </w:r>
            <w:proofErr w:type="spellStart"/>
            <w:r w:rsidRPr="00712D3F">
              <w:rPr>
                <w:rFonts w:eastAsia="Times New Roman"/>
                <w:sz w:val="18"/>
                <w:szCs w:val="18"/>
                <w:bdr w:val="none" w:sz="0" w:space="0" w:color="auto"/>
                <w:lang w:eastAsia="es-ES"/>
              </w:rPr>
              <w:t>var</w:t>
            </w:r>
            <w:proofErr w:type="spellEnd"/>
            <w:r>
              <w:rPr>
                <w:rFonts w:eastAsia="Times New Roman"/>
                <w:sz w:val="18"/>
                <w:szCs w:val="18"/>
                <w:bdr w:val="none" w:sz="0" w:space="0" w:color="auto"/>
                <w:lang w:eastAsia="es-ES"/>
              </w:rPr>
              <w:t xml:space="preserve">. </w:t>
            </w:r>
            <w:r w:rsidRPr="00712D3F">
              <w:rPr>
                <w:rFonts w:eastAsia="Times New Roman"/>
                <w:sz w:val="18"/>
                <w:szCs w:val="18"/>
                <w:bdr w:val="none" w:sz="0" w:space="0" w:color="auto"/>
                <w:lang w:eastAsia="es-ES"/>
              </w:rPr>
              <w:t xml:space="preserve">provisiones </w:t>
            </w:r>
            <w:proofErr w:type="spellStart"/>
            <w:r w:rsidRPr="00712D3F">
              <w:rPr>
                <w:rFonts w:eastAsia="Times New Roman"/>
                <w:sz w:val="18"/>
                <w:szCs w:val="18"/>
                <w:bdr w:val="none" w:sz="0" w:space="0" w:color="auto"/>
                <w:lang w:eastAsia="es-ES"/>
              </w:rPr>
              <w:t>op</w:t>
            </w:r>
            <w:proofErr w:type="spellEnd"/>
            <w:r w:rsidRPr="00712D3F">
              <w:rPr>
                <w:rFonts w:eastAsia="Times New Roman"/>
                <w:sz w:val="18"/>
                <w:szCs w:val="18"/>
                <w:bdr w:val="none" w:sz="0" w:space="0" w:color="auto"/>
                <w:lang w:eastAsia="es-ES"/>
              </w:rPr>
              <w:t xml:space="preserve"> comerciales</w:t>
            </w:r>
          </w:p>
        </w:tc>
        <w:tc>
          <w:tcPr>
            <w:tcW w:w="658" w:type="pct"/>
            <w:tcBorders>
              <w:top w:val="nil"/>
              <w:left w:val="nil"/>
              <w:bottom w:val="nil"/>
              <w:right w:val="nil"/>
            </w:tcBorders>
            <w:shd w:val="clear" w:color="auto" w:fill="auto"/>
            <w:noWrap/>
            <w:vAlign w:val="center"/>
          </w:tcPr>
          <w:p w14:paraId="0E6E7F14" w14:textId="120DB43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rFonts w:eastAsia="Times New Roman"/>
                <w:sz w:val="18"/>
                <w:szCs w:val="18"/>
                <w:bdr w:val="none" w:sz="0" w:space="0" w:color="auto"/>
                <w:lang w:eastAsia="es-ES"/>
              </w:rPr>
              <w:t>8.1.a</w:t>
            </w:r>
          </w:p>
        </w:tc>
        <w:tc>
          <w:tcPr>
            <w:tcW w:w="871" w:type="pct"/>
            <w:tcBorders>
              <w:top w:val="nil"/>
              <w:left w:val="nil"/>
              <w:bottom w:val="nil"/>
              <w:right w:val="nil"/>
            </w:tcBorders>
            <w:shd w:val="clear" w:color="auto" w:fill="auto"/>
            <w:noWrap/>
            <w:vAlign w:val="center"/>
          </w:tcPr>
          <w:p w14:paraId="400DD943" w14:textId="25BEC5CD" w:rsidR="000E5AB3" w:rsidRPr="00992840" w:rsidRDefault="00746A5E"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b/>
                <w:bCs/>
                <w:sz w:val="18"/>
                <w:szCs w:val="18"/>
              </w:rPr>
              <w:t>-</w:t>
            </w:r>
          </w:p>
        </w:tc>
        <w:tc>
          <w:tcPr>
            <w:tcW w:w="871" w:type="pct"/>
            <w:tcBorders>
              <w:top w:val="nil"/>
              <w:left w:val="nil"/>
              <w:bottom w:val="nil"/>
              <w:right w:val="nil"/>
            </w:tcBorders>
            <w:shd w:val="clear" w:color="auto" w:fill="auto"/>
            <w:noWrap/>
            <w:vAlign w:val="center"/>
          </w:tcPr>
          <w:p w14:paraId="6E54C59D" w14:textId="0F14488D" w:rsidR="000E5AB3"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(6.688,09)</w:t>
            </w:r>
          </w:p>
        </w:tc>
      </w:tr>
      <w:tr w:rsidR="000E5AB3" w:rsidRPr="00992840" w14:paraId="0D835AAA"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6ECA1AAB"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Amortización del inmovilizado</w:t>
            </w:r>
          </w:p>
        </w:tc>
        <w:tc>
          <w:tcPr>
            <w:tcW w:w="658" w:type="pct"/>
            <w:tcBorders>
              <w:top w:val="nil"/>
              <w:left w:val="nil"/>
              <w:bottom w:val="nil"/>
              <w:right w:val="nil"/>
            </w:tcBorders>
            <w:shd w:val="clear" w:color="auto" w:fill="auto"/>
            <w:noWrap/>
            <w:vAlign w:val="center"/>
            <w:hideMark/>
          </w:tcPr>
          <w:p w14:paraId="5A6DFB3F" w14:textId="77777777"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5 y 6</w:t>
            </w:r>
          </w:p>
        </w:tc>
        <w:tc>
          <w:tcPr>
            <w:tcW w:w="871" w:type="pct"/>
            <w:tcBorders>
              <w:top w:val="nil"/>
              <w:left w:val="nil"/>
              <w:bottom w:val="nil"/>
              <w:right w:val="nil"/>
            </w:tcBorders>
            <w:shd w:val="clear" w:color="auto" w:fill="auto"/>
            <w:noWrap/>
            <w:vAlign w:val="center"/>
          </w:tcPr>
          <w:p w14:paraId="484C73BB" w14:textId="564771A9" w:rsidR="000E5AB3"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w:t>
            </w:r>
            <w:r w:rsidRPr="00746A5E">
              <w:rPr>
                <w:rFonts w:eastAsia="Times New Roman"/>
                <w:b/>
                <w:bCs/>
                <w:sz w:val="18"/>
                <w:szCs w:val="18"/>
                <w:bdr w:val="none" w:sz="0" w:space="0" w:color="auto"/>
                <w:lang w:eastAsia="es-ES"/>
              </w:rPr>
              <w:t>127.094,75</w:t>
            </w:r>
            <w:r>
              <w:rPr>
                <w:rFonts w:eastAsia="Times New Roman"/>
                <w:b/>
                <w:bCs/>
                <w:sz w:val="18"/>
                <w:szCs w:val="18"/>
                <w:bdr w:val="none" w:sz="0" w:space="0" w:color="auto"/>
                <w:lang w:eastAsia="es-ES"/>
              </w:rPr>
              <w:t>)</w:t>
            </w:r>
          </w:p>
        </w:tc>
        <w:tc>
          <w:tcPr>
            <w:tcW w:w="871" w:type="pct"/>
            <w:tcBorders>
              <w:top w:val="nil"/>
              <w:left w:val="nil"/>
              <w:bottom w:val="nil"/>
              <w:right w:val="nil"/>
            </w:tcBorders>
            <w:shd w:val="clear" w:color="auto" w:fill="auto"/>
            <w:noWrap/>
            <w:vAlign w:val="center"/>
            <w:hideMark/>
          </w:tcPr>
          <w:p w14:paraId="3800B097" w14:textId="065135EF"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(133.832,51)</w:t>
            </w:r>
          </w:p>
        </w:tc>
      </w:tr>
      <w:tr w:rsidR="000E5AB3" w:rsidRPr="00992840" w14:paraId="1752FE1D" w14:textId="77777777" w:rsidTr="00BA5560">
        <w:trPr>
          <w:trHeight w:val="340"/>
          <w:jc w:val="center"/>
        </w:trPr>
        <w:tc>
          <w:tcPr>
            <w:tcW w:w="2600" w:type="pct"/>
            <w:tcBorders>
              <w:top w:val="nil"/>
              <w:left w:val="nil"/>
              <w:bottom w:val="nil"/>
              <w:right w:val="nil"/>
            </w:tcBorders>
            <w:shd w:val="clear" w:color="auto" w:fill="auto"/>
            <w:noWrap/>
            <w:vAlign w:val="center"/>
            <w:hideMark/>
          </w:tcPr>
          <w:p w14:paraId="0339DC04" w14:textId="77777777"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Imputación de subvenciones de inmovilizado no financiero y otras</w:t>
            </w:r>
          </w:p>
        </w:tc>
        <w:tc>
          <w:tcPr>
            <w:tcW w:w="658" w:type="pct"/>
            <w:tcBorders>
              <w:top w:val="nil"/>
              <w:left w:val="nil"/>
              <w:bottom w:val="nil"/>
              <w:right w:val="nil"/>
            </w:tcBorders>
            <w:shd w:val="clear" w:color="auto" w:fill="auto"/>
            <w:noWrap/>
            <w:vAlign w:val="center"/>
            <w:hideMark/>
          </w:tcPr>
          <w:p w14:paraId="5DBA3807" w14:textId="15DB601F" w:rsidR="000E5AB3" w:rsidRPr="00F61C2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15</w:t>
            </w:r>
            <w:r>
              <w:rPr>
                <w:rFonts w:eastAsia="Times New Roman"/>
                <w:b/>
                <w:bCs/>
                <w:sz w:val="18"/>
                <w:szCs w:val="18"/>
                <w:bdr w:val="none" w:sz="0" w:space="0" w:color="auto"/>
                <w:lang w:eastAsia="es-ES"/>
              </w:rPr>
              <w:t>.1</w:t>
            </w:r>
          </w:p>
        </w:tc>
        <w:tc>
          <w:tcPr>
            <w:tcW w:w="871" w:type="pct"/>
            <w:tcBorders>
              <w:top w:val="nil"/>
              <w:left w:val="nil"/>
              <w:bottom w:val="nil"/>
              <w:right w:val="nil"/>
            </w:tcBorders>
            <w:shd w:val="clear" w:color="auto" w:fill="auto"/>
            <w:noWrap/>
            <w:vAlign w:val="center"/>
          </w:tcPr>
          <w:p w14:paraId="4C0455B0" w14:textId="7079E6B2" w:rsidR="000E5AB3" w:rsidRPr="00992840" w:rsidRDefault="00746A5E"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71.771,25</w:t>
            </w:r>
          </w:p>
        </w:tc>
        <w:tc>
          <w:tcPr>
            <w:tcW w:w="871" w:type="pct"/>
            <w:tcBorders>
              <w:top w:val="nil"/>
              <w:left w:val="nil"/>
              <w:bottom w:val="nil"/>
              <w:right w:val="nil"/>
            </w:tcBorders>
            <w:shd w:val="clear" w:color="auto" w:fill="auto"/>
            <w:noWrap/>
            <w:vAlign w:val="center"/>
            <w:hideMark/>
          </w:tcPr>
          <w:p w14:paraId="5D58160E" w14:textId="22C6DD12" w:rsidR="000E5AB3" w:rsidRPr="00992840" w:rsidRDefault="000E5AB3" w:rsidP="000E5AB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71.771,25</w:t>
            </w:r>
          </w:p>
        </w:tc>
      </w:tr>
      <w:tr w:rsidR="00746A5E" w:rsidRPr="00992840" w14:paraId="695D8FA0" w14:textId="77777777" w:rsidTr="00BA5560">
        <w:trPr>
          <w:trHeight w:val="340"/>
          <w:jc w:val="center"/>
        </w:trPr>
        <w:tc>
          <w:tcPr>
            <w:tcW w:w="2600" w:type="pct"/>
            <w:tcBorders>
              <w:top w:val="nil"/>
              <w:left w:val="nil"/>
              <w:bottom w:val="nil"/>
              <w:right w:val="nil"/>
            </w:tcBorders>
            <w:shd w:val="clear" w:color="auto" w:fill="auto"/>
            <w:noWrap/>
            <w:vAlign w:val="center"/>
          </w:tcPr>
          <w:p w14:paraId="27598938" w14:textId="399D7B7B" w:rsidR="00746A5E" w:rsidRPr="00746A5E"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Pr>
                <w:b/>
                <w:bCs/>
                <w:sz w:val="18"/>
                <w:szCs w:val="18"/>
              </w:rPr>
              <w:t>Excesos de provisiones</w:t>
            </w:r>
          </w:p>
        </w:tc>
        <w:tc>
          <w:tcPr>
            <w:tcW w:w="658" w:type="pct"/>
            <w:tcBorders>
              <w:top w:val="nil"/>
              <w:left w:val="nil"/>
              <w:bottom w:val="nil"/>
              <w:right w:val="nil"/>
            </w:tcBorders>
            <w:shd w:val="clear" w:color="auto" w:fill="auto"/>
            <w:noWrap/>
            <w:vAlign w:val="center"/>
          </w:tcPr>
          <w:p w14:paraId="30F1F5EC" w14:textId="7777777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871" w:type="pct"/>
            <w:tcBorders>
              <w:top w:val="nil"/>
              <w:left w:val="nil"/>
              <w:bottom w:val="nil"/>
              <w:right w:val="nil"/>
            </w:tcBorders>
            <w:shd w:val="clear" w:color="auto" w:fill="auto"/>
            <w:noWrap/>
            <w:vAlign w:val="center"/>
          </w:tcPr>
          <w:p w14:paraId="4D742AA3" w14:textId="2148F115" w:rsidR="00746A5E"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b/>
                <w:bCs/>
                <w:sz w:val="18"/>
                <w:szCs w:val="18"/>
              </w:rPr>
            </w:pPr>
            <w:r w:rsidRPr="00746A5E">
              <w:rPr>
                <w:b/>
                <w:bCs/>
                <w:sz w:val="18"/>
                <w:szCs w:val="18"/>
              </w:rPr>
              <w:t>69.506,52</w:t>
            </w:r>
          </w:p>
        </w:tc>
        <w:tc>
          <w:tcPr>
            <w:tcW w:w="871" w:type="pct"/>
            <w:tcBorders>
              <w:top w:val="nil"/>
              <w:left w:val="nil"/>
              <w:bottom w:val="nil"/>
              <w:right w:val="nil"/>
            </w:tcBorders>
            <w:shd w:val="clear" w:color="auto" w:fill="auto"/>
            <w:noWrap/>
            <w:vAlign w:val="center"/>
          </w:tcPr>
          <w:p w14:paraId="7C948920" w14:textId="08E89EAC" w:rsidR="00746A5E"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b/>
                <w:bCs/>
                <w:sz w:val="18"/>
                <w:szCs w:val="18"/>
              </w:rPr>
            </w:pPr>
            <w:r>
              <w:rPr>
                <w:b/>
                <w:bCs/>
                <w:sz w:val="18"/>
                <w:szCs w:val="18"/>
              </w:rPr>
              <w:t xml:space="preserve"> -</w:t>
            </w:r>
          </w:p>
        </w:tc>
      </w:tr>
      <w:tr w:rsidR="00746A5E" w:rsidRPr="00992840" w14:paraId="12770BF4" w14:textId="77777777" w:rsidTr="004A2576">
        <w:trPr>
          <w:trHeight w:val="340"/>
          <w:jc w:val="center"/>
        </w:trPr>
        <w:tc>
          <w:tcPr>
            <w:tcW w:w="2600" w:type="pct"/>
            <w:tcBorders>
              <w:top w:val="nil"/>
              <w:left w:val="nil"/>
              <w:bottom w:val="single" w:sz="4" w:space="0" w:color="auto"/>
              <w:right w:val="nil"/>
            </w:tcBorders>
            <w:shd w:val="clear" w:color="auto" w:fill="auto"/>
            <w:noWrap/>
            <w:vAlign w:val="center"/>
            <w:hideMark/>
          </w:tcPr>
          <w:p w14:paraId="65EB6F02" w14:textId="77777777"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Otros resultados</w:t>
            </w:r>
          </w:p>
        </w:tc>
        <w:tc>
          <w:tcPr>
            <w:tcW w:w="658" w:type="pct"/>
            <w:tcBorders>
              <w:top w:val="nil"/>
              <w:left w:val="nil"/>
              <w:bottom w:val="single" w:sz="4" w:space="0" w:color="auto"/>
              <w:right w:val="nil"/>
            </w:tcBorders>
            <w:shd w:val="clear" w:color="auto" w:fill="auto"/>
            <w:noWrap/>
            <w:vAlign w:val="center"/>
            <w:hideMark/>
          </w:tcPr>
          <w:p w14:paraId="140E7CB7" w14:textId="7777777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871" w:type="pct"/>
            <w:tcBorders>
              <w:top w:val="nil"/>
              <w:left w:val="nil"/>
              <w:bottom w:val="single" w:sz="4" w:space="0" w:color="auto"/>
              <w:right w:val="nil"/>
            </w:tcBorders>
            <w:shd w:val="clear" w:color="auto" w:fill="auto"/>
            <w:noWrap/>
            <w:vAlign w:val="center"/>
          </w:tcPr>
          <w:p w14:paraId="0AD33BEB" w14:textId="3D78C778" w:rsidR="00746A5E" w:rsidRPr="005E201B"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46A5E">
              <w:rPr>
                <w:rFonts w:eastAsia="Times New Roman"/>
                <w:b/>
                <w:bCs/>
                <w:sz w:val="18"/>
                <w:szCs w:val="18"/>
                <w:bdr w:val="none" w:sz="0" w:space="0" w:color="auto"/>
                <w:lang w:eastAsia="es-ES"/>
              </w:rPr>
              <w:t>2.676,08</w:t>
            </w:r>
          </w:p>
        </w:tc>
        <w:tc>
          <w:tcPr>
            <w:tcW w:w="871" w:type="pct"/>
            <w:tcBorders>
              <w:top w:val="nil"/>
              <w:left w:val="nil"/>
              <w:bottom w:val="single" w:sz="4" w:space="0" w:color="auto"/>
              <w:right w:val="nil"/>
            </w:tcBorders>
            <w:shd w:val="clear" w:color="auto" w:fill="auto"/>
            <w:noWrap/>
            <w:vAlign w:val="center"/>
            <w:hideMark/>
          </w:tcPr>
          <w:p w14:paraId="64AE6C21" w14:textId="5E544860"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0,70</w:t>
            </w:r>
          </w:p>
        </w:tc>
      </w:tr>
      <w:tr w:rsidR="00746A5E" w:rsidRPr="00992840" w14:paraId="135E4421" w14:textId="77777777" w:rsidTr="004A2576">
        <w:trPr>
          <w:trHeight w:val="340"/>
          <w:jc w:val="center"/>
        </w:trPr>
        <w:tc>
          <w:tcPr>
            <w:tcW w:w="2600" w:type="pct"/>
            <w:tcBorders>
              <w:top w:val="single" w:sz="4" w:space="0" w:color="auto"/>
              <w:left w:val="nil"/>
              <w:bottom w:val="single" w:sz="4" w:space="0" w:color="auto"/>
              <w:right w:val="nil"/>
            </w:tcBorders>
            <w:shd w:val="clear" w:color="000000" w:fill="F2F2F2"/>
            <w:noWrap/>
            <w:vAlign w:val="center"/>
            <w:hideMark/>
          </w:tcPr>
          <w:p w14:paraId="7C123A92" w14:textId="77777777"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DE EXPLOTACIÓN</w:t>
            </w:r>
          </w:p>
        </w:tc>
        <w:tc>
          <w:tcPr>
            <w:tcW w:w="658" w:type="pct"/>
            <w:tcBorders>
              <w:top w:val="single" w:sz="4" w:space="0" w:color="auto"/>
              <w:left w:val="nil"/>
              <w:bottom w:val="single" w:sz="4" w:space="0" w:color="auto"/>
              <w:right w:val="nil"/>
            </w:tcBorders>
            <w:shd w:val="clear" w:color="000000" w:fill="F2F2F2"/>
            <w:noWrap/>
            <w:vAlign w:val="center"/>
            <w:hideMark/>
          </w:tcPr>
          <w:p w14:paraId="625DF650" w14:textId="071942F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single" w:sz="4" w:space="0" w:color="auto"/>
              <w:left w:val="nil"/>
              <w:bottom w:val="single" w:sz="4" w:space="0" w:color="auto"/>
              <w:right w:val="nil"/>
            </w:tcBorders>
            <w:shd w:val="clear" w:color="000000" w:fill="F2F2F2"/>
            <w:noWrap/>
            <w:vAlign w:val="center"/>
          </w:tcPr>
          <w:p w14:paraId="49BF3DE5" w14:textId="3EC2E7F5" w:rsidR="00746A5E" w:rsidRPr="00712D3F"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w:t>
            </w:r>
            <w:r w:rsidRPr="00746A5E">
              <w:rPr>
                <w:rFonts w:eastAsia="Times New Roman"/>
                <w:b/>
                <w:bCs/>
                <w:sz w:val="18"/>
                <w:szCs w:val="18"/>
                <w:bdr w:val="none" w:sz="0" w:space="0" w:color="auto"/>
                <w:lang w:eastAsia="es-ES"/>
              </w:rPr>
              <w:t>3.603.864,47</w:t>
            </w:r>
            <w:r>
              <w:rPr>
                <w:rFonts w:eastAsia="Times New Roman"/>
                <w:b/>
                <w:bCs/>
                <w:sz w:val="18"/>
                <w:szCs w:val="18"/>
                <w:bdr w:val="none" w:sz="0" w:space="0" w:color="auto"/>
                <w:lang w:eastAsia="es-ES"/>
              </w:rPr>
              <w:t>)</w:t>
            </w:r>
          </w:p>
        </w:tc>
        <w:tc>
          <w:tcPr>
            <w:tcW w:w="871" w:type="pct"/>
            <w:tcBorders>
              <w:top w:val="single" w:sz="4" w:space="0" w:color="auto"/>
              <w:left w:val="nil"/>
              <w:bottom w:val="single" w:sz="4" w:space="0" w:color="auto"/>
              <w:right w:val="nil"/>
            </w:tcBorders>
            <w:shd w:val="clear" w:color="000000" w:fill="F2F2F2"/>
            <w:noWrap/>
            <w:vAlign w:val="center"/>
            <w:hideMark/>
          </w:tcPr>
          <w:p w14:paraId="48B64412" w14:textId="021191AF"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(2.327.887,91)</w:t>
            </w:r>
          </w:p>
        </w:tc>
      </w:tr>
      <w:tr w:rsidR="00746A5E" w:rsidRPr="00992840" w14:paraId="09CBDC22" w14:textId="77777777" w:rsidTr="004A2576">
        <w:trPr>
          <w:trHeight w:val="340"/>
          <w:jc w:val="center"/>
        </w:trPr>
        <w:tc>
          <w:tcPr>
            <w:tcW w:w="2600" w:type="pct"/>
            <w:tcBorders>
              <w:top w:val="single" w:sz="4" w:space="0" w:color="auto"/>
              <w:left w:val="nil"/>
              <w:bottom w:val="nil"/>
              <w:right w:val="nil"/>
            </w:tcBorders>
            <w:shd w:val="clear" w:color="auto" w:fill="auto"/>
            <w:noWrap/>
            <w:vAlign w:val="center"/>
            <w:hideMark/>
          </w:tcPr>
          <w:p w14:paraId="22685472" w14:textId="77777777"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Ingresos financieros</w:t>
            </w:r>
          </w:p>
        </w:tc>
        <w:tc>
          <w:tcPr>
            <w:tcW w:w="658" w:type="pct"/>
            <w:tcBorders>
              <w:top w:val="single" w:sz="4" w:space="0" w:color="auto"/>
              <w:left w:val="nil"/>
              <w:bottom w:val="nil"/>
              <w:right w:val="nil"/>
            </w:tcBorders>
            <w:shd w:val="clear" w:color="auto" w:fill="auto"/>
            <w:noWrap/>
            <w:vAlign w:val="center"/>
            <w:hideMark/>
          </w:tcPr>
          <w:p w14:paraId="177C6492" w14:textId="7777777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12.e</w:t>
            </w:r>
          </w:p>
        </w:tc>
        <w:tc>
          <w:tcPr>
            <w:tcW w:w="871" w:type="pct"/>
            <w:tcBorders>
              <w:top w:val="single" w:sz="4" w:space="0" w:color="auto"/>
              <w:left w:val="nil"/>
              <w:bottom w:val="nil"/>
              <w:right w:val="nil"/>
            </w:tcBorders>
            <w:shd w:val="clear" w:color="auto" w:fill="auto"/>
            <w:noWrap/>
            <w:vAlign w:val="center"/>
          </w:tcPr>
          <w:p w14:paraId="1A2AEFA3" w14:textId="235F8D38"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46A5E">
              <w:rPr>
                <w:rFonts w:eastAsia="Times New Roman"/>
                <w:b/>
                <w:bCs/>
                <w:sz w:val="18"/>
                <w:szCs w:val="18"/>
                <w:bdr w:val="none" w:sz="0" w:space="0" w:color="auto"/>
                <w:lang w:eastAsia="es-ES"/>
              </w:rPr>
              <w:t>26.725,47</w:t>
            </w:r>
          </w:p>
        </w:tc>
        <w:tc>
          <w:tcPr>
            <w:tcW w:w="871" w:type="pct"/>
            <w:tcBorders>
              <w:top w:val="single" w:sz="4" w:space="0" w:color="auto"/>
              <w:left w:val="nil"/>
              <w:bottom w:val="nil"/>
              <w:right w:val="nil"/>
            </w:tcBorders>
            <w:shd w:val="clear" w:color="auto" w:fill="auto"/>
            <w:noWrap/>
            <w:vAlign w:val="center"/>
            <w:hideMark/>
          </w:tcPr>
          <w:p w14:paraId="7C37F556" w14:textId="75FD5FC2"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 -</w:t>
            </w:r>
          </w:p>
        </w:tc>
      </w:tr>
      <w:tr w:rsidR="00746A5E" w:rsidRPr="00992840" w14:paraId="5A93FBB5" w14:textId="77777777" w:rsidTr="004A2576">
        <w:trPr>
          <w:trHeight w:val="340"/>
          <w:jc w:val="center"/>
        </w:trPr>
        <w:tc>
          <w:tcPr>
            <w:tcW w:w="2600" w:type="pct"/>
            <w:tcBorders>
              <w:top w:val="nil"/>
              <w:left w:val="nil"/>
              <w:right w:val="nil"/>
            </w:tcBorders>
            <w:shd w:val="clear" w:color="auto" w:fill="auto"/>
            <w:noWrap/>
            <w:vAlign w:val="center"/>
            <w:hideMark/>
          </w:tcPr>
          <w:p w14:paraId="6CC8A970" w14:textId="77777777"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Gastos financieros</w:t>
            </w:r>
          </w:p>
        </w:tc>
        <w:tc>
          <w:tcPr>
            <w:tcW w:w="658" w:type="pct"/>
            <w:tcBorders>
              <w:top w:val="nil"/>
              <w:left w:val="nil"/>
              <w:right w:val="nil"/>
            </w:tcBorders>
            <w:shd w:val="clear" w:color="auto" w:fill="auto"/>
            <w:noWrap/>
            <w:vAlign w:val="center"/>
            <w:hideMark/>
          </w:tcPr>
          <w:p w14:paraId="69192A84" w14:textId="7777777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12.e</w:t>
            </w:r>
          </w:p>
        </w:tc>
        <w:tc>
          <w:tcPr>
            <w:tcW w:w="871" w:type="pct"/>
            <w:tcBorders>
              <w:top w:val="nil"/>
              <w:left w:val="nil"/>
              <w:right w:val="nil"/>
            </w:tcBorders>
            <w:shd w:val="clear" w:color="auto" w:fill="auto"/>
            <w:noWrap/>
            <w:vAlign w:val="center"/>
          </w:tcPr>
          <w:p w14:paraId="0580FB79" w14:textId="18AEAAD5"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w:t>
            </w:r>
          </w:p>
        </w:tc>
        <w:tc>
          <w:tcPr>
            <w:tcW w:w="871" w:type="pct"/>
            <w:tcBorders>
              <w:top w:val="nil"/>
              <w:left w:val="nil"/>
              <w:right w:val="nil"/>
            </w:tcBorders>
            <w:shd w:val="clear" w:color="auto" w:fill="auto"/>
            <w:noWrap/>
            <w:vAlign w:val="center"/>
            <w:hideMark/>
          </w:tcPr>
          <w:p w14:paraId="403C0B8D" w14:textId="4A119E45"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 -</w:t>
            </w:r>
          </w:p>
        </w:tc>
      </w:tr>
      <w:tr w:rsidR="00746A5E" w:rsidRPr="00992840" w14:paraId="11EE5FA7" w14:textId="77777777" w:rsidTr="004A2576">
        <w:trPr>
          <w:trHeight w:val="340"/>
          <w:jc w:val="center"/>
        </w:trPr>
        <w:tc>
          <w:tcPr>
            <w:tcW w:w="2600" w:type="pct"/>
            <w:tcBorders>
              <w:top w:val="nil"/>
              <w:left w:val="nil"/>
              <w:bottom w:val="single" w:sz="4" w:space="0" w:color="auto"/>
              <w:right w:val="nil"/>
            </w:tcBorders>
            <w:shd w:val="clear" w:color="auto" w:fill="auto"/>
            <w:noWrap/>
            <w:vAlign w:val="center"/>
            <w:hideMark/>
          </w:tcPr>
          <w:p w14:paraId="7A2C46A3" w14:textId="77777777"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Diferencias de cambio</w:t>
            </w:r>
          </w:p>
        </w:tc>
        <w:tc>
          <w:tcPr>
            <w:tcW w:w="658" w:type="pct"/>
            <w:tcBorders>
              <w:top w:val="nil"/>
              <w:left w:val="nil"/>
              <w:bottom w:val="single" w:sz="4" w:space="0" w:color="auto"/>
              <w:right w:val="nil"/>
            </w:tcBorders>
            <w:shd w:val="clear" w:color="auto" w:fill="auto"/>
            <w:noWrap/>
            <w:vAlign w:val="center"/>
            <w:hideMark/>
          </w:tcPr>
          <w:p w14:paraId="0F9ECD09" w14:textId="7777777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12.e</w:t>
            </w:r>
          </w:p>
        </w:tc>
        <w:tc>
          <w:tcPr>
            <w:tcW w:w="871" w:type="pct"/>
            <w:tcBorders>
              <w:top w:val="nil"/>
              <w:left w:val="nil"/>
              <w:bottom w:val="single" w:sz="4" w:space="0" w:color="auto"/>
              <w:right w:val="nil"/>
            </w:tcBorders>
            <w:shd w:val="clear" w:color="auto" w:fill="auto"/>
            <w:noWrap/>
            <w:vAlign w:val="center"/>
          </w:tcPr>
          <w:p w14:paraId="5A2C8272" w14:textId="2DF89A8B"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w:t>
            </w:r>
          </w:p>
        </w:tc>
        <w:tc>
          <w:tcPr>
            <w:tcW w:w="871" w:type="pct"/>
            <w:tcBorders>
              <w:top w:val="nil"/>
              <w:left w:val="nil"/>
              <w:bottom w:val="single" w:sz="4" w:space="0" w:color="auto"/>
              <w:right w:val="nil"/>
            </w:tcBorders>
            <w:shd w:val="clear" w:color="auto" w:fill="auto"/>
            <w:noWrap/>
            <w:vAlign w:val="center"/>
            <w:hideMark/>
          </w:tcPr>
          <w:p w14:paraId="789547BF" w14:textId="71509BC4"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(0,09)</w:t>
            </w:r>
          </w:p>
        </w:tc>
      </w:tr>
      <w:tr w:rsidR="00746A5E" w:rsidRPr="00992840" w14:paraId="15054402" w14:textId="77777777" w:rsidTr="004A2576">
        <w:trPr>
          <w:trHeight w:val="340"/>
          <w:jc w:val="center"/>
        </w:trPr>
        <w:tc>
          <w:tcPr>
            <w:tcW w:w="2600" w:type="pct"/>
            <w:tcBorders>
              <w:top w:val="single" w:sz="4" w:space="0" w:color="auto"/>
              <w:left w:val="nil"/>
              <w:bottom w:val="single" w:sz="4" w:space="0" w:color="auto"/>
              <w:right w:val="nil"/>
            </w:tcBorders>
            <w:shd w:val="clear" w:color="000000" w:fill="F2F2F2"/>
            <w:noWrap/>
            <w:vAlign w:val="center"/>
            <w:hideMark/>
          </w:tcPr>
          <w:p w14:paraId="00D8477D" w14:textId="77777777" w:rsidR="00746A5E" w:rsidRPr="00085996"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085996">
              <w:rPr>
                <w:rFonts w:eastAsia="Times New Roman"/>
                <w:b/>
                <w:bCs/>
                <w:sz w:val="18"/>
                <w:szCs w:val="18"/>
                <w:bdr w:val="none" w:sz="0" w:space="0" w:color="auto"/>
                <w:lang w:eastAsia="es-ES"/>
              </w:rPr>
              <w:t>RESULTADO FINANCIERO</w:t>
            </w:r>
          </w:p>
        </w:tc>
        <w:tc>
          <w:tcPr>
            <w:tcW w:w="658" w:type="pct"/>
            <w:tcBorders>
              <w:top w:val="single" w:sz="4" w:space="0" w:color="auto"/>
              <w:left w:val="nil"/>
              <w:bottom w:val="single" w:sz="4" w:space="0" w:color="auto"/>
              <w:right w:val="nil"/>
            </w:tcBorders>
            <w:shd w:val="clear" w:color="000000" w:fill="F2F2F2"/>
            <w:noWrap/>
            <w:vAlign w:val="center"/>
            <w:hideMark/>
          </w:tcPr>
          <w:p w14:paraId="043B3445" w14:textId="6F2AA84A"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single" w:sz="4" w:space="0" w:color="auto"/>
              <w:left w:val="nil"/>
              <w:bottom w:val="single" w:sz="4" w:space="0" w:color="auto"/>
              <w:right w:val="nil"/>
            </w:tcBorders>
            <w:shd w:val="clear" w:color="000000" w:fill="F2F2F2"/>
            <w:noWrap/>
            <w:vAlign w:val="center"/>
          </w:tcPr>
          <w:p w14:paraId="6E50F4D6" w14:textId="7C9F2F61"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46A5E">
              <w:rPr>
                <w:rFonts w:eastAsia="Times New Roman"/>
                <w:b/>
                <w:bCs/>
                <w:sz w:val="18"/>
                <w:szCs w:val="18"/>
                <w:bdr w:val="none" w:sz="0" w:space="0" w:color="auto"/>
                <w:lang w:eastAsia="es-ES"/>
              </w:rPr>
              <w:t>26.725,47</w:t>
            </w:r>
          </w:p>
        </w:tc>
        <w:tc>
          <w:tcPr>
            <w:tcW w:w="871" w:type="pct"/>
            <w:tcBorders>
              <w:top w:val="single" w:sz="4" w:space="0" w:color="auto"/>
              <w:left w:val="nil"/>
              <w:bottom w:val="single" w:sz="4" w:space="0" w:color="auto"/>
              <w:right w:val="nil"/>
            </w:tcBorders>
            <w:shd w:val="clear" w:color="000000" w:fill="F2F2F2"/>
            <w:noWrap/>
            <w:vAlign w:val="center"/>
            <w:hideMark/>
          </w:tcPr>
          <w:p w14:paraId="32CD9CCD" w14:textId="21C52C1C"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(0,09)</w:t>
            </w:r>
          </w:p>
        </w:tc>
      </w:tr>
      <w:tr w:rsidR="00746A5E" w:rsidRPr="00992840" w14:paraId="55B54D92" w14:textId="77777777" w:rsidTr="004A2576">
        <w:trPr>
          <w:trHeight w:val="340"/>
          <w:jc w:val="center"/>
        </w:trPr>
        <w:tc>
          <w:tcPr>
            <w:tcW w:w="2600" w:type="pct"/>
            <w:tcBorders>
              <w:top w:val="single" w:sz="4" w:space="0" w:color="auto"/>
              <w:left w:val="nil"/>
              <w:bottom w:val="single" w:sz="4" w:space="0" w:color="auto"/>
              <w:right w:val="nil"/>
            </w:tcBorders>
            <w:shd w:val="clear" w:color="000000" w:fill="F2F2F2"/>
            <w:noWrap/>
            <w:vAlign w:val="center"/>
            <w:hideMark/>
          </w:tcPr>
          <w:p w14:paraId="060ECAE9" w14:textId="77777777" w:rsidR="00746A5E" w:rsidRPr="00085996"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085996">
              <w:rPr>
                <w:rFonts w:eastAsia="Times New Roman"/>
                <w:b/>
                <w:bCs/>
                <w:sz w:val="18"/>
                <w:szCs w:val="18"/>
                <w:bdr w:val="none" w:sz="0" w:space="0" w:color="auto"/>
                <w:lang w:eastAsia="es-ES"/>
              </w:rPr>
              <w:t>RESULTADO ANTES DE IMPUESTOS</w:t>
            </w:r>
          </w:p>
        </w:tc>
        <w:tc>
          <w:tcPr>
            <w:tcW w:w="658" w:type="pct"/>
            <w:tcBorders>
              <w:top w:val="single" w:sz="4" w:space="0" w:color="auto"/>
              <w:left w:val="nil"/>
              <w:bottom w:val="single" w:sz="4" w:space="0" w:color="auto"/>
              <w:right w:val="nil"/>
            </w:tcBorders>
            <w:shd w:val="clear" w:color="000000" w:fill="F2F2F2"/>
            <w:noWrap/>
            <w:vAlign w:val="center"/>
            <w:hideMark/>
          </w:tcPr>
          <w:p w14:paraId="008AF962" w14:textId="5286FF51"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p>
        </w:tc>
        <w:tc>
          <w:tcPr>
            <w:tcW w:w="871" w:type="pct"/>
            <w:tcBorders>
              <w:top w:val="single" w:sz="4" w:space="0" w:color="auto"/>
              <w:left w:val="nil"/>
              <w:bottom w:val="single" w:sz="4" w:space="0" w:color="auto"/>
              <w:right w:val="nil"/>
            </w:tcBorders>
            <w:shd w:val="clear" w:color="000000" w:fill="F2F2F2"/>
            <w:noWrap/>
            <w:vAlign w:val="center"/>
          </w:tcPr>
          <w:p w14:paraId="6E8DC292" w14:textId="5C10A4D2" w:rsidR="00746A5E" w:rsidRPr="00746A5E"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(3.577.139,00)</w:t>
            </w:r>
          </w:p>
        </w:tc>
        <w:tc>
          <w:tcPr>
            <w:tcW w:w="871" w:type="pct"/>
            <w:tcBorders>
              <w:top w:val="single" w:sz="4" w:space="0" w:color="auto"/>
              <w:left w:val="nil"/>
              <w:bottom w:val="single" w:sz="4" w:space="0" w:color="auto"/>
              <w:right w:val="nil"/>
            </w:tcBorders>
            <w:shd w:val="clear" w:color="000000" w:fill="F2F2F2"/>
            <w:noWrap/>
            <w:vAlign w:val="center"/>
            <w:hideMark/>
          </w:tcPr>
          <w:p w14:paraId="4F6E4E0E" w14:textId="7CBA9231"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(2.327.888,00)</w:t>
            </w:r>
          </w:p>
        </w:tc>
      </w:tr>
      <w:tr w:rsidR="00746A5E" w:rsidRPr="00992840" w14:paraId="1E98B89E" w14:textId="77777777" w:rsidTr="004A2576">
        <w:trPr>
          <w:trHeight w:val="340"/>
          <w:jc w:val="center"/>
        </w:trPr>
        <w:tc>
          <w:tcPr>
            <w:tcW w:w="2600" w:type="pct"/>
            <w:tcBorders>
              <w:top w:val="single" w:sz="4" w:space="0" w:color="auto"/>
              <w:left w:val="nil"/>
              <w:bottom w:val="single" w:sz="4" w:space="0" w:color="auto"/>
              <w:right w:val="nil"/>
            </w:tcBorders>
            <w:shd w:val="clear" w:color="auto" w:fill="auto"/>
            <w:noWrap/>
            <w:vAlign w:val="center"/>
            <w:hideMark/>
          </w:tcPr>
          <w:p w14:paraId="276DB5C1" w14:textId="77777777"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Impuestos sobre beneficios</w:t>
            </w:r>
          </w:p>
        </w:tc>
        <w:tc>
          <w:tcPr>
            <w:tcW w:w="658" w:type="pct"/>
            <w:tcBorders>
              <w:top w:val="single" w:sz="4" w:space="0" w:color="auto"/>
              <w:left w:val="nil"/>
              <w:bottom w:val="single" w:sz="4" w:space="0" w:color="auto"/>
              <w:right w:val="nil"/>
            </w:tcBorders>
            <w:shd w:val="clear" w:color="auto" w:fill="auto"/>
            <w:noWrap/>
            <w:vAlign w:val="center"/>
            <w:hideMark/>
          </w:tcPr>
          <w:p w14:paraId="36E26D2E" w14:textId="7777777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11.2</w:t>
            </w:r>
          </w:p>
        </w:tc>
        <w:tc>
          <w:tcPr>
            <w:tcW w:w="871" w:type="pct"/>
            <w:tcBorders>
              <w:top w:val="single" w:sz="4" w:space="0" w:color="auto"/>
              <w:left w:val="nil"/>
              <w:bottom w:val="single" w:sz="4" w:space="0" w:color="auto"/>
              <w:right w:val="nil"/>
            </w:tcBorders>
            <w:shd w:val="clear" w:color="auto" w:fill="auto"/>
            <w:noWrap/>
            <w:vAlign w:val="center"/>
          </w:tcPr>
          <w:p w14:paraId="27833CCD" w14:textId="7D9DF0F0" w:rsidR="00746A5E" w:rsidRPr="00085996"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r w:rsidRPr="00085996">
              <w:rPr>
                <w:b/>
                <w:bCs/>
                <w:sz w:val="18"/>
                <w:szCs w:val="18"/>
              </w:rPr>
              <w:t>-</w:t>
            </w:r>
          </w:p>
        </w:tc>
        <w:tc>
          <w:tcPr>
            <w:tcW w:w="871" w:type="pct"/>
            <w:tcBorders>
              <w:top w:val="single" w:sz="4" w:space="0" w:color="auto"/>
              <w:left w:val="nil"/>
              <w:bottom w:val="single" w:sz="4" w:space="0" w:color="auto"/>
              <w:right w:val="nil"/>
            </w:tcBorders>
            <w:shd w:val="clear" w:color="auto" w:fill="auto"/>
            <w:noWrap/>
            <w:vAlign w:val="center"/>
            <w:hideMark/>
          </w:tcPr>
          <w:p w14:paraId="70C05C10" w14:textId="50325EBF"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85996">
              <w:rPr>
                <w:b/>
                <w:bCs/>
                <w:sz w:val="18"/>
                <w:szCs w:val="18"/>
              </w:rPr>
              <w:t xml:space="preserve"> -</w:t>
            </w:r>
          </w:p>
        </w:tc>
      </w:tr>
      <w:tr w:rsidR="00746A5E" w:rsidRPr="00992840" w14:paraId="4E61994B" w14:textId="77777777" w:rsidTr="004A2576">
        <w:trPr>
          <w:trHeight w:val="340"/>
          <w:jc w:val="center"/>
        </w:trPr>
        <w:tc>
          <w:tcPr>
            <w:tcW w:w="2600" w:type="pct"/>
            <w:tcBorders>
              <w:top w:val="single" w:sz="4" w:space="0" w:color="auto"/>
              <w:left w:val="nil"/>
              <w:bottom w:val="single" w:sz="4" w:space="0" w:color="auto"/>
              <w:right w:val="nil"/>
            </w:tcBorders>
            <w:shd w:val="clear" w:color="000000" w:fill="F2F2F2"/>
            <w:noWrap/>
            <w:vAlign w:val="center"/>
            <w:hideMark/>
          </w:tcPr>
          <w:p w14:paraId="63EF40F7" w14:textId="77777777"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992840">
              <w:rPr>
                <w:rFonts w:eastAsia="Times New Roman"/>
                <w:b/>
                <w:bCs/>
                <w:sz w:val="18"/>
                <w:szCs w:val="18"/>
                <w:bdr w:val="none" w:sz="0" w:space="0" w:color="auto"/>
                <w:lang w:eastAsia="es-ES"/>
              </w:rPr>
              <w:t>RESULTADO DEL EJERCICIO</w:t>
            </w:r>
          </w:p>
        </w:tc>
        <w:tc>
          <w:tcPr>
            <w:tcW w:w="658" w:type="pct"/>
            <w:tcBorders>
              <w:top w:val="single" w:sz="4" w:space="0" w:color="auto"/>
              <w:left w:val="nil"/>
              <w:bottom w:val="single" w:sz="4" w:space="0" w:color="auto"/>
              <w:right w:val="nil"/>
            </w:tcBorders>
            <w:shd w:val="clear" w:color="000000" w:fill="F2F2F2"/>
            <w:noWrap/>
            <w:vAlign w:val="center"/>
            <w:hideMark/>
          </w:tcPr>
          <w:p w14:paraId="6C9C2D14" w14:textId="77777777" w:rsidR="00746A5E" w:rsidRPr="00F61C2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F61C20">
              <w:rPr>
                <w:rFonts w:eastAsia="Times New Roman"/>
                <w:b/>
                <w:bCs/>
                <w:sz w:val="18"/>
                <w:szCs w:val="18"/>
                <w:bdr w:val="none" w:sz="0" w:space="0" w:color="auto"/>
                <w:lang w:eastAsia="es-ES"/>
              </w:rPr>
              <w:t>3</w:t>
            </w:r>
          </w:p>
        </w:tc>
        <w:tc>
          <w:tcPr>
            <w:tcW w:w="871" w:type="pct"/>
            <w:tcBorders>
              <w:top w:val="single" w:sz="4" w:space="0" w:color="auto"/>
              <w:left w:val="nil"/>
              <w:bottom w:val="single" w:sz="4" w:space="0" w:color="auto"/>
              <w:right w:val="nil"/>
            </w:tcBorders>
            <w:shd w:val="clear" w:color="000000" w:fill="F2F2F2"/>
            <w:noWrap/>
            <w:vAlign w:val="center"/>
          </w:tcPr>
          <w:p w14:paraId="3E7A40F1" w14:textId="0DCD86BF" w:rsidR="00746A5E" w:rsidRPr="006D37A3"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(3.577.139,00)</w:t>
            </w:r>
          </w:p>
        </w:tc>
        <w:tc>
          <w:tcPr>
            <w:tcW w:w="871" w:type="pct"/>
            <w:tcBorders>
              <w:top w:val="single" w:sz="4" w:space="0" w:color="auto"/>
              <w:left w:val="nil"/>
              <w:bottom w:val="single" w:sz="4" w:space="0" w:color="auto"/>
              <w:right w:val="nil"/>
            </w:tcBorders>
            <w:shd w:val="clear" w:color="000000" w:fill="F2F2F2"/>
            <w:noWrap/>
            <w:vAlign w:val="center"/>
            <w:hideMark/>
          </w:tcPr>
          <w:p w14:paraId="731A2DF2" w14:textId="0C1C84DB" w:rsidR="00746A5E" w:rsidRPr="00992840" w:rsidRDefault="00746A5E" w:rsidP="00746A5E">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(2.327.888,00)</w:t>
            </w:r>
          </w:p>
        </w:tc>
      </w:tr>
    </w:tbl>
    <w:p w14:paraId="605AC2D8" w14:textId="6F9DC2F7" w:rsidR="006220A2" w:rsidRPr="00BA5560" w:rsidRDefault="006220A2"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120"/>
        <w:jc w:val="center"/>
        <w:outlineLvl w:val="9"/>
        <w:rPr>
          <w:i/>
          <w:iCs/>
          <w:sz w:val="18"/>
          <w:szCs w:val="18"/>
        </w:rPr>
      </w:pPr>
      <w:r w:rsidRPr="00BA5560">
        <w:rPr>
          <w:i/>
          <w:iCs/>
          <w:sz w:val="18"/>
          <w:szCs w:val="18"/>
        </w:rPr>
        <w:t>Las Cuentas Anuales de la Sociedad, que forman una sola unidad, comprenden esta Cuenta de Pérdidas y Ganancias, el Balance, el Estado de Cambios en el Patrimonio Neto, el Estado de Flujos de Efectivo adjuntos y la Memoria Anual adjunta que const</w:t>
      </w:r>
      <w:r w:rsidR="00A05A11" w:rsidRPr="00BA5560">
        <w:rPr>
          <w:i/>
          <w:iCs/>
          <w:sz w:val="18"/>
          <w:szCs w:val="18"/>
        </w:rPr>
        <w:t>a de 20</w:t>
      </w:r>
      <w:r w:rsidRPr="00BA5560">
        <w:rPr>
          <w:i/>
          <w:iCs/>
          <w:sz w:val="18"/>
          <w:szCs w:val="18"/>
        </w:rPr>
        <w:t xml:space="preserve"> Notas</w:t>
      </w:r>
    </w:p>
    <w:p w14:paraId="14F1BE60" w14:textId="77777777" w:rsidR="003A4111" w:rsidRPr="0083433F" w:rsidRDefault="006220A2" w:rsidP="006220A2">
      <w:pPr>
        <w:widowControl w:val="0"/>
        <w:tabs>
          <w:tab w:val="left" w:pos="284"/>
          <w:tab w:val="left" w:pos="567"/>
          <w:tab w:val="left" w:pos="851"/>
        </w:tabs>
        <w:rPr>
          <w:sz w:val="20"/>
        </w:rPr>
      </w:pPr>
      <w:r w:rsidRPr="0083433F">
        <w:rPr>
          <w:sz w:val="20"/>
        </w:rPr>
        <w:br w:type="page"/>
      </w:r>
    </w:p>
    <w:p w14:paraId="19211D8D" w14:textId="77777777" w:rsidR="006220A2" w:rsidRPr="0083433F" w:rsidRDefault="006220A2" w:rsidP="007825C6">
      <w:pPr>
        <w:widowControl w:val="0"/>
        <w:tabs>
          <w:tab w:val="left" w:pos="284"/>
          <w:tab w:val="left" w:pos="567"/>
          <w:tab w:val="left" w:pos="851"/>
        </w:tabs>
        <w:spacing w:line="280" w:lineRule="exact"/>
        <w:rPr>
          <w:b/>
          <w:snapToGrid w:val="0"/>
          <w:sz w:val="20"/>
        </w:rPr>
      </w:pPr>
      <w:r w:rsidRPr="0083433F">
        <w:rPr>
          <w:b/>
          <w:snapToGrid w:val="0"/>
          <w:sz w:val="20"/>
        </w:rPr>
        <w:lastRenderedPageBreak/>
        <w:t>PROMOTUR TURISMO CANARIAS, S.A.</w:t>
      </w:r>
    </w:p>
    <w:p w14:paraId="2677784D" w14:textId="193E3BFB" w:rsidR="006220A2" w:rsidRPr="0083433F" w:rsidRDefault="006220A2" w:rsidP="007825C6">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both"/>
        <w:rPr>
          <w:b/>
          <w:snapToGrid w:val="0"/>
          <w:sz w:val="20"/>
        </w:rPr>
      </w:pPr>
      <w:r w:rsidRPr="0083433F">
        <w:rPr>
          <w:b/>
          <w:snapToGrid w:val="0"/>
          <w:sz w:val="20"/>
        </w:rPr>
        <w:t>ESTADO DE CAMBIOS EN EL PATRIMONIO NETO CORRESPONDIENTE AL EJERCICIO ANUAL TERMI</w:t>
      </w:r>
      <w:r w:rsidR="00556E1C" w:rsidRPr="0083433F">
        <w:rPr>
          <w:b/>
          <w:snapToGrid w:val="0"/>
          <w:sz w:val="20"/>
        </w:rPr>
        <w:t>NADO EL 31 DE DICIEMBRE DE 20</w:t>
      </w:r>
      <w:r w:rsidR="006248B7">
        <w:rPr>
          <w:b/>
          <w:snapToGrid w:val="0"/>
          <w:sz w:val="20"/>
        </w:rPr>
        <w:t>2</w:t>
      </w:r>
      <w:r w:rsidR="00746A5E">
        <w:rPr>
          <w:b/>
          <w:snapToGrid w:val="0"/>
          <w:sz w:val="20"/>
        </w:rPr>
        <w:t>3</w:t>
      </w:r>
      <w:r w:rsidR="00556E1C" w:rsidRPr="0083433F">
        <w:rPr>
          <w:b/>
          <w:snapToGrid w:val="0"/>
          <w:sz w:val="20"/>
        </w:rPr>
        <w:t xml:space="preserve"> Y 20</w:t>
      </w:r>
      <w:r w:rsidR="00C97B50">
        <w:rPr>
          <w:b/>
          <w:snapToGrid w:val="0"/>
          <w:sz w:val="20"/>
        </w:rPr>
        <w:t>2</w:t>
      </w:r>
      <w:r w:rsidR="00746A5E">
        <w:rPr>
          <w:b/>
          <w:snapToGrid w:val="0"/>
          <w:sz w:val="20"/>
        </w:rPr>
        <w:t>2</w:t>
      </w:r>
    </w:p>
    <w:p w14:paraId="504EDFCA"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7CEC1C99"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A) ESTADO DE INGRESOS Y GASTOS RECONOCIDOS </w:t>
      </w:r>
      <w:r w:rsidRPr="0083433F">
        <w:rPr>
          <w:b/>
          <w:bCs/>
          <w:sz w:val="20"/>
        </w:rPr>
        <w:t>(Expresado en euros)</w:t>
      </w:r>
      <w:r w:rsidRPr="0083433F">
        <w:rPr>
          <w:b/>
          <w:bCs/>
          <w:snapToGrid w:val="0"/>
          <w:sz w:val="20"/>
        </w:rPr>
        <w:t xml:space="preserve"> </w:t>
      </w:r>
    </w:p>
    <w:p w14:paraId="09122015" w14:textId="77777777" w:rsidR="006220A2" w:rsidRPr="0083433F" w:rsidRDefault="006220A2" w:rsidP="006220A2">
      <w:pPr>
        <w:widowControl w:val="0"/>
        <w:tabs>
          <w:tab w:val="left" w:pos="284"/>
          <w:tab w:val="left" w:pos="567"/>
          <w:tab w:val="left" w:pos="851"/>
        </w:tabs>
        <w:rPr>
          <w:b/>
          <w:snapToGrid w:val="0"/>
          <w:sz w:val="20"/>
        </w:rPr>
      </w:pPr>
    </w:p>
    <w:tbl>
      <w:tblPr>
        <w:tblW w:w="5000" w:type="pct"/>
        <w:jc w:val="center"/>
        <w:tblCellMar>
          <w:left w:w="70" w:type="dxa"/>
          <w:right w:w="70" w:type="dxa"/>
        </w:tblCellMar>
        <w:tblLook w:val="04A0" w:firstRow="1" w:lastRow="0" w:firstColumn="1" w:lastColumn="0" w:noHBand="0" w:noVBand="1"/>
      </w:tblPr>
      <w:tblGrid>
        <w:gridCol w:w="4542"/>
        <w:gridCol w:w="841"/>
        <w:gridCol w:w="1885"/>
        <w:gridCol w:w="1797"/>
      </w:tblGrid>
      <w:tr w:rsidR="009524CA" w:rsidRPr="00433906" w14:paraId="65DA3B98" w14:textId="77777777" w:rsidTr="00866EC2">
        <w:trPr>
          <w:trHeight w:val="238"/>
          <w:jc w:val="center"/>
        </w:trPr>
        <w:tc>
          <w:tcPr>
            <w:tcW w:w="2505" w:type="pct"/>
            <w:tcBorders>
              <w:top w:val="single" w:sz="4" w:space="0" w:color="auto"/>
              <w:left w:val="nil"/>
              <w:bottom w:val="nil"/>
              <w:right w:val="nil"/>
            </w:tcBorders>
            <w:shd w:val="clear" w:color="auto" w:fill="D9D9D9" w:themeFill="background1" w:themeFillShade="D9"/>
            <w:noWrap/>
            <w:vAlign w:val="bottom"/>
            <w:hideMark/>
          </w:tcPr>
          <w:p w14:paraId="17657AE8" w14:textId="77777777" w:rsidR="006220A2" w:rsidRPr="00433906" w:rsidRDefault="006220A2" w:rsidP="00852114">
            <w:pPr>
              <w:rPr>
                <w:rFonts w:eastAsia="Times New Roman"/>
                <w:color w:val="auto"/>
                <w:sz w:val="18"/>
                <w:szCs w:val="18"/>
              </w:rPr>
            </w:pPr>
            <w:r w:rsidRPr="00433906">
              <w:rPr>
                <w:rFonts w:eastAsia="Times New Roman"/>
                <w:color w:val="auto"/>
                <w:sz w:val="18"/>
                <w:szCs w:val="18"/>
              </w:rPr>
              <w:t> </w:t>
            </w:r>
          </w:p>
        </w:tc>
        <w:tc>
          <w:tcPr>
            <w:tcW w:w="464" w:type="pct"/>
            <w:tcBorders>
              <w:top w:val="single" w:sz="4" w:space="0" w:color="auto"/>
              <w:left w:val="nil"/>
              <w:bottom w:val="nil"/>
              <w:right w:val="nil"/>
            </w:tcBorders>
            <w:shd w:val="clear" w:color="auto" w:fill="D9D9D9" w:themeFill="background1" w:themeFillShade="D9"/>
            <w:noWrap/>
            <w:vAlign w:val="bottom"/>
            <w:hideMark/>
          </w:tcPr>
          <w:p w14:paraId="2B28CF61" w14:textId="77777777" w:rsidR="006220A2" w:rsidRPr="00433906" w:rsidRDefault="006220A2" w:rsidP="00852114">
            <w:pPr>
              <w:rPr>
                <w:rFonts w:eastAsia="Times New Roman"/>
                <w:color w:val="auto"/>
                <w:sz w:val="18"/>
                <w:szCs w:val="18"/>
              </w:rPr>
            </w:pPr>
            <w:r w:rsidRPr="00433906">
              <w:rPr>
                <w:rFonts w:eastAsia="Times New Roman"/>
                <w:color w:val="auto"/>
                <w:sz w:val="18"/>
                <w:szCs w:val="18"/>
              </w:rPr>
              <w:t> </w:t>
            </w:r>
          </w:p>
        </w:tc>
        <w:tc>
          <w:tcPr>
            <w:tcW w:w="1040" w:type="pct"/>
            <w:tcBorders>
              <w:top w:val="single" w:sz="4" w:space="0" w:color="auto"/>
              <w:left w:val="nil"/>
              <w:bottom w:val="single" w:sz="4" w:space="0" w:color="auto"/>
              <w:right w:val="nil"/>
            </w:tcBorders>
            <w:shd w:val="clear" w:color="auto" w:fill="D9D9D9" w:themeFill="background1" w:themeFillShade="D9"/>
            <w:noWrap/>
            <w:vAlign w:val="bottom"/>
            <w:hideMark/>
          </w:tcPr>
          <w:p w14:paraId="57A87F73" w14:textId="77777777" w:rsidR="006220A2" w:rsidRPr="00433906" w:rsidRDefault="006220A2" w:rsidP="00414B3D">
            <w:pPr>
              <w:jc w:val="center"/>
              <w:rPr>
                <w:rFonts w:eastAsia="Times New Roman"/>
                <w:b/>
                <w:bCs/>
                <w:color w:val="auto"/>
                <w:sz w:val="18"/>
                <w:szCs w:val="18"/>
              </w:rPr>
            </w:pPr>
            <w:r w:rsidRPr="00433906">
              <w:rPr>
                <w:rFonts w:eastAsia="Times New Roman"/>
                <w:b/>
                <w:bCs/>
                <w:color w:val="auto"/>
                <w:sz w:val="18"/>
                <w:szCs w:val="18"/>
              </w:rPr>
              <w:t>Al 31 de diciembre</w:t>
            </w:r>
          </w:p>
        </w:tc>
        <w:tc>
          <w:tcPr>
            <w:tcW w:w="991" w:type="pct"/>
            <w:tcBorders>
              <w:top w:val="single" w:sz="4" w:space="0" w:color="auto"/>
              <w:left w:val="nil"/>
              <w:bottom w:val="single" w:sz="4" w:space="0" w:color="auto"/>
              <w:right w:val="nil"/>
            </w:tcBorders>
            <w:shd w:val="clear" w:color="auto" w:fill="D9D9D9" w:themeFill="background1" w:themeFillShade="D9"/>
            <w:noWrap/>
            <w:vAlign w:val="bottom"/>
            <w:hideMark/>
          </w:tcPr>
          <w:p w14:paraId="762E35FE" w14:textId="77777777" w:rsidR="006220A2" w:rsidRPr="00433906" w:rsidRDefault="006220A2" w:rsidP="00414B3D">
            <w:pPr>
              <w:jc w:val="center"/>
              <w:rPr>
                <w:rFonts w:eastAsia="Times New Roman"/>
                <w:b/>
                <w:bCs/>
                <w:color w:val="auto"/>
                <w:sz w:val="18"/>
                <w:szCs w:val="18"/>
              </w:rPr>
            </w:pPr>
            <w:r w:rsidRPr="00433906">
              <w:rPr>
                <w:rFonts w:eastAsia="Times New Roman"/>
                <w:b/>
                <w:bCs/>
                <w:color w:val="auto"/>
                <w:sz w:val="18"/>
                <w:szCs w:val="18"/>
              </w:rPr>
              <w:t>Al 31 de diciembre</w:t>
            </w:r>
          </w:p>
        </w:tc>
      </w:tr>
      <w:tr w:rsidR="000C344E" w:rsidRPr="00433906" w14:paraId="4B5F68CF" w14:textId="77777777" w:rsidTr="00866EC2">
        <w:trPr>
          <w:trHeight w:val="238"/>
          <w:jc w:val="center"/>
        </w:trPr>
        <w:tc>
          <w:tcPr>
            <w:tcW w:w="2505" w:type="pct"/>
            <w:tcBorders>
              <w:top w:val="nil"/>
              <w:left w:val="nil"/>
              <w:bottom w:val="single" w:sz="4" w:space="0" w:color="auto"/>
              <w:right w:val="nil"/>
            </w:tcBorders>
            <w:shd w:val="clear" w:color="auto" w:fill="D9D9D9" w:themeFill="background1" w:themeFillShade="D9"/>
            <w:noWrap/>
            <w:vAlign w:val="bottom"/>
            <w:hideMark/>
          </w:tcPr>
          <w:p w14:paraId="002D2CD6" w14:textId="77777777" w:rsidR="000C344E" w:rsidRPr="00433906" w:rsidRDefault="000C344E" w:rsidP="000C344E">
            <w:pPr>
              <w:rPr>
                <w:rFonts w:eastAsia="Times New Roman"/>
                <w:color w:val="auto"/>
                <w:sz w:val="18"/>
                <w:szCs w:val="18"/>
              </w:rPr>
            </w:pPr>
            <w:r w:rsidRPr="00433906">
              <w:rPr>
                <w:rFonts w:eastAsia="Times New Roman"/>
                <w:color w:val="auto"/>
                <w:sz w:val="18"/>
                <w:szCs w:val="18"/>
              </w:rPr>
              <w:t> </w:t>
            </w:r>
          </w:p>
        </w:tc>
        <w:tc>
          <w:tcPr>
            <w:tcW w:w="464" w:type="pct"/>
            <w:tcBorders>
              <w:top w:val="nil"/>
              <w:left w:val="nil"/>
              <w:bottom w:val="single" w:sz="4" w:space="0" w:color="auto"/>
              <w:right w:val="nil"/>
            </w:tcBorders>
            <w:shd w:val="clear" w:color="auto" w:fill="D9D9D9" w:themeFill="background1" w:themeFillShade="D9"/>
            <w:noWrap/>
            <w:vAlign w:val="center"/>
            <w:hideMark/>
          </w:tcPr>
          <w:p w14:paraId="601DAF75" w14:textId="77777777" w:rsidR="000C344E" w:rsidRPr="00433906" w:rsidRDefault="000C344E" w:rsidP="000C344E">
            <w:pPr>
              <w:jc w:val="center"/>
              <w:rPr>
                <w:rFonts w:eastAsia="Times New Roman"/>
                <w:b/>
                <w:bCs/>
                <w:color w:val="auto"/>
                <w:sz w:val="18"/>
                <w:szCs w:val="18"/>
              </w:rPr>
            </w:pPr>
            <w:r w:rsidRPr="00433906">
              <w:rPr>
                <w:rFonts w:eastAsia="Times New Roman"/>
                <w:b/>
                <w:bCs/>
                <w:color w:val="auto"/>
                <w:sz w:val="18"/>
                <w:szCs w:val="18"/>
              </w:rPr>
              <w:t>Notas</w:t>
            </w:r>
          </w:p>
        </w:tc>
        <w:tc>
          <w:tcPr>
            <w:tcW w:w="1040" w:type="pct"/>
            <w:tcBorders>
              <w:top w:val="single" w:sz="4" w:space="0" w:color="auto"/>
              <w:left w:val="nil"/>
              <w:bottom w:val="single" w:sz="4" w:space="0" w:color="auto"/>
              <w:right w:val="nil"/>
            </w:tcBorders>
            <w:shd w:val="clear" w:color="auto" w:fill="D9D9D9" w:themeFill="background1" w:themeFillShade="D9"/>
            <w:noWrap/>
            <w:vAlign w:val="bottom"/>
            <w:hideMark/>
          </w:tcPr>
          <w:p w14:paraId="6DE111AA" w14:textId="0762D511" w:rsidR="000C344E" w:rsidRPr="00433906" w:rsidRDefault="000C344E" w:rsidP="000C344E">
            <w:pPr>
              <w:jc w:val="center"/>
              <w:rPr>
                <w:rFonts w:eastAsia="Times New Roman"/>
                <w:b/>
                <w:bCs/>
                <w:color w:val="auto"/>
                <w:sz w:val="18"/>
                <w:szCs w:val="18"/>
              </w:rPr>
            </w:pPr>
            <w:r w:rsidRPr="00433906">
              <w:rPr>
                <w:rFonts w:eastAsia="Times New Roman"/>
                <w:b/>
                <w:bCs/>
                <w:color w:val="auto"/>
                <w:sz w:val="18"/>
                <w:szCs w:val="18"/>
              </w:rPr>
              <w:t>202</w:t>
            </w:r>
            <w:r w:rsidR="00D053B4">
              <w:rPr>
                <w:rFonts w:eastAsia="Times New Roman"/>
                <w:b/>
                <w:bCs/>
                <w:color w:val="auto"/>
                <w:sz w:val="18"/>
                <w:szCs w:val="18"/>
              </w:rPr>
              <w:t>3</w:t>
            </w:r>
          </w:p>
        </w:tc>
        <w:tc>
          <w:tcPr>
            <w:tcW w:w="991" w:type="pct"/>
            <w:tcBorders>
              <w:top w:val="single" w:sz="4" w:space="0" w:color="auto"/>
              <w:left w:val="nil"/>
              <w:bottom w:val="single" w:sz="4" w:space="0" w:color="auto"/>
              <w:right w:val="nil"/>
            </w:tcBorders>
            <w:shd w:val="clear" w:color="auto" w:fill="D9D9D9" w:themeFill="background1" w:themeFillShade="D9"/>
            <w:noWrap/>
            <w:vAlign w:val="bottom"/>
            <w:hideMark/>
          </w:tcPr>
          <w:p w14:paraId="6E6FA024" w14:textId="3BF4F0BD" w:rsidR="000C344E" w:rsidRPr="00433906" w:rsidRDefault="00D053B4" w:rsidP="000C344E">
            <w:pPr>
              <w:jc w:val="center"/>
              <w:rPr>
                <w:rFonts w:eastAsia="Times New Roman"/>
                <w:b/>
                <w:bCs/>
                <w:color w:val="auto"/>
                <w:sz w:val="18"/>
                <w:szCs w:val="18"/>
              </w:rPr>
            </w:pPr>
            <w:r>
              <w:rPr>
                <w:rFonts w:eastAsia="Times New Roman"/>
                <w:b/>
                <w:bCs/>
                <w:color w:val="auto"/>
                <w:sz w:val="18"/>
                <w:szCs w:val="18"/>
              </w:rPr>
              <w:t>2022</w:t>
            </w:r>
          </w:p>
        </w:tc>
      </w:tr>
      <w:tr w:rsidR="00D053B4" w:rsidRPr="00433906" w14:paraId="3870BF95" w14:textId="77777777" w:rsidTr="00866EC2">
        <w:trPr>
          <w:trHeight w:val="340"/>
          <w:jc w:val="center"/>
        </w:trPr>
        <w:tc>
          <w:tcPr>
            <w:tcW w:w="2505" w:type="pct"/>
            <w:tcBorders>
              <w:top w:val="single" w:sz="4" w:space="0" w:color="auto"/>
              <w:left w:val="nil"/>
              <w:bottom w:val="single" w:sz="4" w:space="0" w:color="auto"/>
              <w:right w:val="nil"/>
            </w:tcBorders>
            <w:shd w:val="clear" w:color="auto" w:fill="F2F2F2" w:themeFill="background1" w:themeFillShade="F2"/>
            <w:noWrap/>
            <w:vAlign w:val="center"/>
            <w:hideMark/>
          </w:tcPr>
          <w:p w14:paraId="26449E0C" w14:textId="77777777" w:rsidR="00D053B4" w:rsidRPr="00433906" w:rsidRDefault="00D053B4" w:rsidP="00D053B4">
            <w:pPr>
              <w:rPr>
                <w:rFonts w:eastAsia="Times New Roman"/>
                <w:b/>
                <w:bCs/>
                <w:color w:val="auto"/>
                <w:sz w:val="18"/>
                <w:szCs w:val="18"/>
              </w:rPr>
            </w:pPr>
            <w:r w:rsidRPr="00433906">
              <w:rPr>
                <w:rFonts w:eastAsia="Times New Roman"/>
                <w:b/>
                <w:bCs/>
                <w:color w:val="auto"/>
                <w:sz w:val="18"/>
                <w:szCs w:val="18"/>
              </w:rPr>
              <w:t>Resultado de la cuenta de pérdidas y ganancias</w:t>
            </w:r>
          </w:p>
        </w:tc>
        <w:tc>
          <w:tcPr>
            <w:tcW w:w="464" w:type="pct"/>
            <w:tcBorders>
              <w:top w:val="single" w:sz="4" w:space="0" w:color="auto"/>
              <w:left w:val="nil"/>
              <w:bottom w:val="single" w:sz="4" w:space="0" w:color="auto"/>
              <w:right w:val="nil"/>
            </w:tcBorders>
            <w:shd w:val="clear" w:color="auto" w:fill="F2F2F2" w:themeFill="background1" w:themeFillShade="F2"/>
            <w:noWrap/>
            <w:vAlign w:val="center"/>
            <w:hideMark/>
          </w:tcPr>
          <w:p w14:paraId="31700BD3" w14:textId="604A6AD4" w:rsidR="00D053B4" w:rsidRPr="00433906" w:rsidRDefault="00D053B4" w:rsidP="00D053B4">
            <w:pPr>
              <w:jc w:val="center"/>
              <w:rPr>
                <w:rFonts w:eastAsia="Times New Roman"/>
                <w:color w:val="auto"/>
                <w:sz w:val="18"/>
                <w:szCs w:val="18"/>
              </w:rPr>
            </w:pPr>
          </w:p>
        </w:tc>
        <w:tc>
          <w:tcPr>
            <w:tcW w:w="1040" w:type="pct"/>
            <w:tcBorders>
              <w:top w:val="single" w:sz="4" w:space="0" w:color="auto"/>
              <w:left w:val="nil"/>
              <w:bottom w:val="single" w:sz="4" w:space="0" w:color="auto"/>
              <w:right w:val="nil"/>
            </w:tcBorders>
            <w:shd w:val="clear" w:color="auto" w:fill="F2F2F2" w:themeFill="background1" w:themeFillShade="F2"/>
            <w:noWrap/>
            <w:vAlign w:val="center"/>
          </w:tcPr>
          <w:p w14:paraId="328272D9" w14:textId="73A7D809" w:rsidR="00D053B4" w:rsidRPr="00547143" w:rsidRDefault="00547143" w:rsidP="0054714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547143">
              <w:rPr>
                <w:b/>
                <w:bCs/>
                <w:sz w:val="18"/>
                <w:szCs w:val="18"/>
              </w:rPr>
              <w:t>(3.577.139,00)</w:t>
            </w:r>
          </w:p>
        </w:tc>
        <w:tc>
          <w:tcPr>
            <w:tcW w:w="991" w:type="pct"/>
            <w:tcBorders>
              <w:top w:val="single" w:sz="4" w:space="0" w:color="auto"/>
              <w:left w:val="nil"/>
              <w:bottom w:val="single" w:sz="4" w:space="0" w:color="auto"/>
              <w:right w:val="nil"/>
            </w:tcBorders>
            <w:shd w:val="clear" w:color="auto" w:fill="F2F2F2" w:themeFill="background1" w:themeFillShade="F2"/>
            <w:noWrap/>
            <w:vAlign w:val="center"/>
            <w:hideMark/>
          </w:tcPr>
          <w:p w14:paraId="517CB676" w14:textId="7CD4E4A2" w:rsidR="00D053B4" w:rsidRPr="00433906" w:rsidRDefault="00D053B4" w:rsidP="00D053B4">
            <w:pPr>
              <w:jc w:val="right"/>
              <w:rPr>
                <w:b/>
                <w:bCs/>
                <w:color w:val="auto"/>
                <w:sz w:val="18"/>
                <w:szCs w:val="18"/>
              </w:rPr>
            </w:pPr>
            <w:r>
              <w:rPr>
                <w:b/>
                <w:bCs/>
                <w:sz w:val="18"/>
                <w:szCs w:val="18"/>
              </w:rPr>
              <w:t>(2.327.888,00)</w:t>
            </w:r>
          </w:p>
        </w:tc>
      </w:tr>
      <w:tr w:rsidR="00D053B4" w:rsidRPr="00433906" w14:paraId="2D389334" w14:textId="77777777" w:rsidTr="00866EC2">
        <w:trPr>
          <w:trHeight w:val="255"/>
          <w:jc w:val="center"/>
        </w:trPr>
        <w:tc>
          <w:tcPr>
            <w:tcW w:w="2505" w:type="pct"/>
            <w:tcBorders>
              <w:top w:val="single" w:sz="4" w:space="0" w:color="auto"/>
              <w:left w:val="nil"/>
              <w:right w:val="nil"/>
            </w:tcBorders>
            <w:shd w:val="clear" w:color="auto" w:fill="auto"/>
            <w:noWrap/>
            <w:vAlign w:val="center"/>
            <w:hideMark/>
          </w:tcPr>
          <w:p w14:paraId="5872947D" w14:textId="77777777" w:rsidR="00D053B4" w:rsidRPr="00433906" w:rsidRDefault="00D053B4" w:rsidP="00D053B4">
            <w:pPr>
              <w:rPr>
                <w:rFonts w:eastAsia="Times New Roman"/>
                <w:b/>
                <w:bCs/>
                <w:color w:val="auto"/>
                <w:sz w:val="18"/>
                <w:szCs w:val="18"/>
              </w:rPr>
            </w:pPr>
            <w:r w:rsidRPr="00433906">
              <w:rPr>
                <w:rFonts w:eastAsia="Times New Roman"/>
                <w:b/>
                <w:bCs/>
                <w:color w:val="auto"/>
                <w:sz w:val="18"/>
                <w:szCs w:val="18"/>
              </w:rPr>
              <w:t xml:space="preserve">Ingresos y gastos imputados directamente </w:t>
            </w:r>
          </w:p>
          <w:p w14:paraId="3EB765B0" w14:textId="77777777" w:rsidR="00D053B4" w:rsidRPr="00433906" w:rsidRDefault="00D053B4" w:rsidP="00D053B4">
            <w:pPr>
              <w:rPr>
                <w:rFonts w:eastAsia="Times New Roman"/>
                <w:b/>
                <w:bCs/>
                <w:color w:val="auto"/>
                <w:sz w:val="18"/>
                <w:szCs w:val="18"/>
              </w:rPr>
            </w:pPr>
            <w:r w:rsidRPr="00433906">
              <w:rPr>
                <w:rFonts w:eastAsia="Times New Roman"/>
                <w:b/>
                <w:bCs/>
                <w:color w:val="auto"/>
                <w:sz w:val="18"/>
                <w:szCs w:val="18"/>
              </w:rPr>
              <w:t>al patrimonio neto</w:t>
            </w:r>
          </w:p>
        </w:tc>
        <w:tc>
          <w:tcPr>
            <w:tcW w:w="464" w:type="pct"/>
            <w:tcBorders>
              <w:top w:val="single" w:sz="4" w:space="0" w:color="auto"/>
              <w:left w:val="nil"/>
              <w:right w:val="nil"/>
            </w:tcBorders>
            <w:shd w:val="clear" w:color="auto" w:fill="auto"/>
            <w:noWrap/>
            <w:vAlign w:val="center"/>
            <w:hideMark/>
          </w:tcPr>
          <w:p w14:paraId="1CC4E875" w14:textId="21F139E2" w:rsidR="00D053B4" w:rsidRPr="00433906" w:rsidRDefault="00D053B4" w:rsidP="00D053B4">
            <w:pPr>
              <w:jc w:val="center"/>
              <w:rPr>
                <w:rFonts w:eastAsia="Times New Roman"/>
                <w:color w:val="auto"/>
                <w:sz w:val="18"/>
                <w:szCs w:val="18"/>
              </w:rPr>
            </w:pPr>
          </w:p>
        </w:tc>
        <w:tc>
          <w:tcPr>
            <w:tcW w:w="1040" w:type="pct"/>
            <w:tcBorders>
              <w:top w:val="single" w:sz="4" w:space="0" w:color="auto"/>
              <w:left w:val="nil"/>
              <w:right w:val="nil"/>
            </w:tcBorders>
            <w:shd w:val="clear" w:color="auto" w:fill="auto"/>
            <w:noWrap/>
            <w:vAlign w:val="center"/>
          </w:tcPr>
          <w:p w14:paraId="491689F9" w14:textId="13627D6D" w:rsidR="00D053B4" w:rsidRPr="00547143" w:rsidRDefault="00D053B4" w:rsidP="00D053B4">
            <w:pPr>
              <w:jc w:val="right"/>
              <w:rPr>
                <w:color w:val="auto"/>
                <w:sz w:val="18"/>
                <w:szCs w:val="18"/>
              </w:rPr>
            </w:pPr>
            <w:r w:rsidRPr="00547143">
              <w:rPr>
                <w:color w:val="auto"/>
                <w:sz w:val="18"/>
                <w:szCs w:val="18"/>
              </w:rPr>
              <w:t>-</w:t>
            </w:r>
          </w:p>
        </w:tc>
        <w:tc>
          <w:tcPr>
            <w:tcW w:w="991" w:type="pct"/>
            <w:tcBorders>
              <w:top w:val="single" w:sz="4" w:space="0" w:color="auto"/>
              <w:left w:val="nil"/>
              <w:right w:val="nil"/>
            </w:tcBorders>
            <w:shd w:val="clear" w:color="auto" w:fill="auto"/>
            <w:noWrap/>
            <w:vAlign w:val="center"/>
            <w:hideMark/>
          </w:tcPr>
          <w:p w14:paraId="00B7FB83" w14:textId="4D7BE45D" w:rsidR="00D053B4" w:rsidRPr="00433906" w:rsidRDefault="00D053B4" w:rsidP="00D053B4">
            <w:pPr>
              <w:jc w:val="right"/>
              <w:rPr>
                <w:color w:val="auto"/>
                <w:sz w:val="18"/>
                <w:szCs w:val="18"/>
              </w:rPr>
            </w:pPr>
            <w:r w:rsidRPr="00433906">
              <w:rPr>
                <w:color w:val="auto"/>
                <w:sz w:val="18"/>
                <w:szCs w:val="18"/>
              </w:rPr>
              <w:t>-</w:t>
            </w:r>
          </w:p>
        </w:tc>
      </w:tr>
      <w:tr w:rsidR="00D053B4" w:rsidRPr="00433906" w14:paraId="509815AD" w14:textId="77777777" w:rsidTr="00866EC2">
        <w:trPr>
          <w:trHeight w:val="255"/>
          <w:jc w:val="center"/>
        </w:trPr>
        <w:tc>
          <w:tcPr>
            <w:tcW w:w="2505" w:type="pct"/>
            <w:tcBorders>
              <w:left w:val="nil"/>
              <w:right w:val="nil"/>
            </w:tcBorders>
            <w:shd w:val="clear" w:color="auto" w:fill="auto"/>
            <w:noWrap/>
            <w:vAlign w:val="center"/>
          </w:tcPr>
          <w:p w14:paraId="6E73F7B9" w14:textId="77777777" w:rsidR="00D053B4" w:rsidRPr="00433906" w:rsidRDefault="00D053B4" w:rsidP="00D053B4">
            <w:pPr>
              <w:rPr>
                <w:rFonts w:eastAsia="Times New Roman"/>
                <w:color w:val="auto"/>
                <w:sz w:val="18"/>
                <w:szCs w:val="18"/>
              </w:rPr>
            </w:pPr>
            <w:r w:rsidRPr="00433906">
              <w:rPr>
                <w:rFonts w:eastAsia="Times New Roman"/>
                <w:color w:val="auto"/>
                <w:sz w:val="18"/>
                <w:szCs w:val="18"/>
              </w:rPr>
              <w:t>Subvenciones, donaciones y legados recibidos</w:t>
            </w:r>
          </w:p>
        </w:tc>
        <w:tc>
          <w:tcPr>
            <w:tcW w:w="464" w:type="pct"/>
            <w:tcBorders>
              <w:left w:val="nil"/>
              <w:right w:val="nil"/>
            </w:tcBorders>
            <w:shd w:val="clear" w:color="auto" w:fill="auto"/>
            <w:noWrap/>
            <w:vAlign w:val="center"/>
          </w:tcPr>
          <w:p w14:paraId="71F364A2" w14:textId="77777777" w:rsidR="00D053B4" w:rsidRPr="00433906" w:rsidRDefault="00D053B4" w:rsidP="00D053B4">
            <w:pPr>
              <w:jc w:val="center"/>
              <w:rPr>
                <w:rFonts w:eastAsia="Times New Roman"/>
                <w:color w:val="auto"/>
                <w:sz w:val="18"/>
                <w:szCs w:val="18"/>
              </w:rPr>
            </w:pPr>
            <w:r w:rsidRPr="00433906">
              <w:rPr>
                <w:rFonts w:eastAsia="Times New Roman"/>
                <w:color w:val="auto"/>
                <w:sz w:val="18"/>
                <w:szCs w:val="18"/>
              </w:rPr>
              <w:t>15</w:t>
            </w:r>
          </w:p>
        </w:tc>
        <w:tc>
          <w:tcPr>
            <w:tcW w:w="1040" w:type="pct"/>
            <w:tcBorders>
              <w:left w:val="nil"/>
              <w:right w:val="nil"/>
            </w:tcBorders>
            <w:shd w:val="clear" w:color="auto" w:fill="auto"/>
            <w:noWrap/>
            <w:vAlign w:val="center"/>
          </w:tcPr>
          <w:p w14:paraId="21689D27" w14:textId="44727CDD" w:rsidR="00D053B4" w:rsidRPr="00547143"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547143">
              <w:rPr>
                <w:rFonts w:eastAsia="Times New Roman"/>
                <w:color w:val="auto"/>
                <w:sz w:val="18"/>
                <w:szCs w:val="18"/>
                <w:bdr w:val="none" w:sz="0" w:space="0" w:color="auto"/>
                <w:lang w:eastAsia="es-ES"/>
              </w:rPr>
              <w:t>-</w:t>
            </w:r>
          </w:p>
        </w:tc>
        <w:tc>
          <w:tcPr>
            <w:tcW w:w="991" w:type="pct"/>
            <w:tcBorders>
              <w:left w:val="nil"/>
              <w:right w:val="nil"/>
            </w:tcBorders>
            <w:shd w:val="clear" w:color="auto" w:fill="auto"/>
            <w:noWrap/>
            <w:vAlign w:val="center"/>
          </w:tcPr>
          <w:p w14:paraId="4561B636" w14:textId="59411E6C" w:rsidR="00D053B4" w:rsidRPr="00433906" w:rsidRDefault="00D053B4" w:rsidP="00D053B4">
            <w:pPr>
              <w:jc w:val="right"/>
              <w:rPr>
                <w:color w:val="auto"/>
                <w:sz w:val="18"/>
                <w:szCs w:val="18"/>
              </w:rPr>
            </w:pPr>
            <w:r w:rsidRPr="00433906">
              <w:rPr>
                <w:rFonts w:eastAsia="Times New Roman"/>
                <w:color w:val="auto"/>
                <w:sz w:val="18"/>
                <w:szCs w:val="18"/>
                <w:bdr w:val="none" w:sz="0" w:space="0" w:color="auto"/>
                <w:lang w:eastAsia="es-ES"/>
              </w:rPr>
              <w:t>-</w:t>
            </w:r>
          </w:p>
        </w:tc>
      </w:tr>
      <w:tr w:rsidR="00D053B4" w:rsidRPr="00433906" w14:paraId="552CC16D" w14:textId="77777777" w:rsidTr="00866EC2">
        <w:trPr>
          <w:trHeight w:val="255"/>
          <w:jc w:val="center"/>
        </w:trPr>
        <w:tc>
          <w:tcPr>
            <w:tcW w:w="2505" w:type="pct"/>
            <w:tcBorders>
              <w:left w:val="nil"/>
              <w:bottom w:val="single" w:sz="4" w:space="0" w:color="auto"/>
              <w:right w:val="nil"/>
            </w:tcBorders>
            <w:shd w:val="clear" w:color="auto" w:fill="auto"/>
            <w:noWrap/>
            <w:vAlign w:val="center"/>
          </w:tcPr>
          <w:p w14:paraId="75846270" w14:textId="77777777" w:rsidR="00D053B4" w:rsidRPr="00433906" w:rsidRDefault="00D053B4" w:rsidP="00D053B4">
            <w:pPr>
              <w:rPr>
                <w:rFonts w:eastAsia="Times New Roman"/>
                <w:color w:val="auto"/>
                <w:sz w:val="18"/>
                <w:szCs w:val="18"/>
              </w:rPr>
            </w:pPr>
            <w:r w:rsidRPr="00433906">
              <w:rPr>
                <w:rFonts w:eastAsia="Times New Roman"/>
                <w:color w:val="auto"/>
                <w:sz w:val="18"/>
                <w:szCs w:val="18"/>
              </w:rPr>
              <w:t>Efecto impositivo</w:t>
            </w:r>
          </w:p>
        </w:tc>
        <w:tc>
          <w:tcPr>
            <w:tcW w:w="464" w:type="pct"/>
            <w:tcBorders>
              <w:left w:val="nil"/>
              <w:bottom w:val="single" w:sz="4" w:space="0" w:color="auto"/>
              <w:right w:val="nil"/>
            </w:tcBorders>
            <w:shd w:val="clear" w:color="auto" w:fill="auto"/>
            <w:noWrap/>
            <w:vAlign w:val="center"/>
          </w:tcPr>
          <w:p w14:paraId="72C165A9" w14:textId="77777777" w:rsidR="00D053B4" w:rsidRPr="00433906" w:rsidRDefault="00D053B4" w:rsidP="00D053B4">
            <w:pPr>
              <w:jc w:val="center"/>
              <w:rPr>
                <w:rFonts w:eastAsia="Times New Roman"/>
                <w:color w:val="auto"/>
                <w:sz w:val="18"/>
                <w:szCs w:val="18"/>
              </w:rPr>
            </w:pPr>
            <w:r w:rsidRPr="00433906">
              <w:rPr>
                <w:rFonts w:eastAsia="Times New Roman"/>
                <w:color w:val="auto"/>
                <w:sz w:val="18"/>
                <w:szCs w:val="18"/>
              </w:rPr>
              <w:t>11.3 / 15</w:t>
            </w:r>
          </w:p>
        </w:tc>
        <w:tc>
          <w:tcPr>
            <w:tcW w:w="1040" w:type="pct"/>
            <w:tcBorders>
              <w:left w:val="nil"/>
              <w:bottom w:val="single" w:sz="4" w:space="0" w:color="auto"/>
              <w:right w:val="nil"/>
            </w:tcBorders>
            <w:shd w:val="clear" w:color="auto" w:fill="auto"/>
            <w:noWrap/>
            <w:vAlign w:val="center"/>
          </w:tcPr>
          <w:p w14:paraId="0065F1B8" w14:textId="772D01F3" w:rsidR="00D053B4" w:rsidRPr="00547143" w:rsidRDefault="00D053B4" w:rsidP="00D053B4">
            <w:pPr>
              <w:jc w:val="right"/>
              <w:rPr>
                <w:sz w:val="18"/>
                <w:szCs w:val="18"/>
              </w:rPr>
            </w:pPr>
            <w:r w:rsidRPr="00547143">
              <w:rPr>
                <w:sz w:val="18"/>
                <w:szCs w:val="18"/>
              </w:rPr>
              <w:t>-</w:t>
            </w:r>
          </w:p>
        </w:tc>
        <w:tc>
          <w:tcPr>
            <w:tcW w:w="991" w:type="pct"/>
            <w:tcBorders>
              <w:left w:val="nil"/>
              <w:bottom w:val="single" w:sz="4" w:space="0" w:color="auto"/>
              <w:right w:val="nil"/>
            </w:tcBorders>
            <w:shd w:val="clear" w:color="auto" w:fill="auto"/>
            <w:noWrap/>
            <w:vAlign w:val="center"/>
          </w:tcPr>
          <w:p w14:paraId="61F6D3EB" w14:textId="4F8B82CE" w:rsidR="00D053B4" w:rsidRPr="00433906" w:rsidRDefault="00D053B4" w:rsidP="00D053B4">
            <w:pPr>
              <w:jc w:val="right"/>
              <w:rPr>
                <w:color w:val="auto"/>
                <w:sz w:val="18"/>
                <w:szCs w:val="18"/>
              </w:rPr>
            </w:pPr>
            <w:r w:rsidRPr="00433906">
              <w:rPr>
                <w:sz w:val="18"/>
                <w:szCs w:val="18"/>
              </w:rPr>
              <w:t>-</w:t>
            </w:r>
          </w:p>
        </w:tc>
      </w:tr>
      <w:tr w:rsidR="00D053B4" w:rsidRPr="00433906" w14:paraId="7E95668D" w14:textId="77777777" w:rsidTr="00866EC2">
        <w:trPr>
          <w:trHeight w:val="340"/>
          <w:jc w:val="center"/>
        </w:trPr>
        <w:tc>
          <w:tcPr>
            <w:tcW w:w="2505" w:type="pct"/>
            <w:tcBorders>
              <w:top w:val="single" w:sz="4" w:space="0" w:color="auto"/>
              <w:left w:val="nil"/>
              <w:bottom w:val="single" w:sz="4" w:space="0" w:color="auto"/>
              <w:right w:val="nil"/>
            </w:tcBorders>
            <w:shd w:val="clear" w:color="auto" w:fill="F2F2F2" w:themeFill="background1" w:themeFillShade="F2"/>
            <w:noWrap/>
            <w:vAlign w:val="center"/>
            <w:hideMark/>
          </w:tcPr>
          <w:p w14:paraId="31055FC5" w14:textId="77777777" w:rsidR="00D053B4" w:rsidRPr="00433906" w:rsidRDefault="00D053B4" w:rsidP="00D053B4">
            <w:pPr>
              <w:rPr>
                <w:rFonts w:eastAsia="Times New Roman"/>
                <w:b/>
                <w:bCs/>
                <w:color w:val="auto"/>
                <w:sz w:val="18"/>
                <w:szCs w:val="18"/>
              </w:rPr>
            </w:pPr>
            <w:r w:rsidRPr="00433906">
              <w:rPr>
                <w:rFonts w:eastAsia="Times New Roman"/>
                <w:b/>
                <w:bCs/>
                <w:color w:val="auto"/>
                <w:sz w:val="18"/>
                <w:szCs w:val="18"/>
              </w:rPr>
              <w:t xml:space="preserve">Ingresos y Gastos imputados directamente </w:t>
            </w:r>
          </w:p>
          <w:p w14:paraId="3637D4FF" w14:textId="77777777" w:rsidR="00D053B4" w:rsidRPr="00433906" w:rsidRDefault="00D053B4" w:rsidP="00D053B4">
            <w:pPr>
              <w:rPr>
                <w:rFonts w:eastAsia="Times New Roman"/>
                <w:b/>
                <w:bCs/>
                <w:color w:val="auto"/>
                <w:sz w:val="18"/>
                <w:szCs w:val="18"/>
              </w:rPr>
            </w:pPr>
            <w:r w:rsidRPr="00433906">
              <w:rPr>
                <w:rFonts w:eastAsia="Times New Roman"/>
                <w:b/>
                <w:bCs/>
                <w:color w:val="auto"/>
                <w:sz w:val="18"/>
                <w:szCs w:val="18"/>
              </w:rPr>
              <w:t>en el Patrimonio neto</w:t>
            </w:r>
          </w:p>
        </w:tc>
        <w:tc>
          <w:tcPr>
            <w:tcW w:w="464" w:type="pct"/>
            <w:tcBorders>
              <w:top w:val="single" w:sz="4" w:space="0" w:color="auto"/>
              <w:left w:val="nil"/>
              <w:bottom w:val="single" w:sz="4" w:space="0" w:color="auto"/>
              <w:right w:val="nil"/>
            </w:tcBorders>
            <w:shd w:val="clear" w:color="auto" w:fill="F2F2F2" w:themeFill="background1" w:themeFillShade="F2"/>
            <w:noWrap/>
            <w:vAlign w:val="center"/>
            <w:hideMark/>
          </w:tcPr>
          <w:p w14:paraId="16F2F89B" w14:textId="3E465809" w:rsidR="00D053B4" w:rsidRPr="00433906" w:rsidRDefault="00D053B4" w:rsidP="00D053B4">
            <w:pPr>
              <w:jc w:val="center"/>
              <w:rPr>
                <w:rFonts w:eastAsia="Times New Roman"/>
                <w:color w:val="auto"/>
                <w:sz w:val="18"/>
                <w:szCs w:val="18"/>
                <w:highlight w:val="yellow"/>
              </w:rPr>
            </w:pPr>
          </w:p>
        </w:tc>
        <w:tc>
          <w:tcPr>
            <w:tcW w:w="1040" w:type="pct"/>
            <w:tcBorders>
              <w:top w:val="single" w:sz="4" w:space="0" w:color="auto"/>
              <w:left w:val="nil"/>
              <w:bottom w:val="single" w:sz="4" w:space="0" w:color="auto"/>
              <w:right w:val="nil"/>
            </w:tcBorders>
            <w:shd w:val="clear" w:color="auto" w:fill="F2F2F2" w:themeFill="background1" w:themeFillShade="F2"/>
            <w:noWrap/>
            <w:vAlign w:val="center"/>
          </w:tcPr>
          <w:p w14:paraId="02380E1B" w14:textId="14B0B50D" w:rsidR="00D053B4" w:rsidRPr="00547143" w:rsidRDefault="00D053B4" w:rsidP="00D053B4">
            <w:pPr>
              <w:jc w:val="right"/>
              <w:rPr>
                <w:b/>
                <w:bCs/>
                <w:sz w:val="18"/>
                <w:szCs w:val="18"/>
              </w:rPr>
            </w:pPr>
            <w:r w:rsidRPr="00547143">
              <w:rPr>
                <w:b/>
                <w:bCs/>
                <w:sz w:val="18"/>
                <w:szCs w:val="18"/>
              </w:rPr>
              <w:t>-</w:t>
            </w:r>
          </w:p>
        </w:tc>
        <w:tc>
          <w:tcPr>
            <w:tcW w:w="991" w:type="pct"/>
            <w:tcBorders>
              <w:top w:val="single" w:sz="4" w:space="0" w:color="auto"/>
              <w:left w:val="nil"/>
              <w:bottom w:val="single" w:sz="4" w:space="0" w:color="auto"/>
              <w:right w:val="nil"/>
            </w:tcBorders>
            <w:shd w:val="clear" w:color="auto" w:fill="F2F2F2" w:themeFill="background1" w:themeFillShade="F2"/>
            <w:noWrap/>
            <w:vAlign w:val="center"/>
            <w:hideMark/>
          </w:tcPr>
          <w:p w14:paraId="3B81D356" w14:textId="676E98F1" w:rsidR="00D053B4" w:rsidRPr="00433906" w:rsidRDefault="00D053B4" w:rsidP="00D053B4">
            <w:pPr>
              <w:jc w:val="right"/>
              <w:rPr>
                <w:b/>
                <w:bCs/>
                <w:color w:val="auto"/>
                <w:sz w:val="18"/>
                <w:szCs w:val="18"/>
              </w:rPr>
            </w:pPr>
            <w:r w:rsidRPr="00433906">
              <w:rPr>
                <w:b/>
                <w:bCs/>
                <w:sz w:val="18"/>
                <w:szCs w:val="18"/>
              </w:rPr>
              <w:t>-</w:t>
            </w:r>
          </w:p>
        </w:tc>
      </w:tr>
      <w:tr w:rsidR="00547143" w:rsidRPr="00433906" w14:paraId="6D188F0B" w14:textId="77777777" w:rsidTr="00866EC2">
        <w:trPr>
          <w:trHeight w:val="255"/>
          <w:jc w:val="center"/>
        </w:trPr>
        <w:tc>
          <w:tcPr>
            <w:tcW w:w="2505" w:type="pct"/>
            <w:tcBorders>
              <w:top w:val="single" w:sz="4" w:space="0" w:color="auto"/>
              <w:left w:val="nil"/>
              <w:bottom w:val="nil"/>
              <w:right w:val="nil"/>
            </w:tcBorders>
            <w:shd w:val="clear" w:color="auto" w:fill="auto"/>
            <w:noWrap/>
            <w:vAlign w:val="center"/>
            <w:hideMark/>
          </w:tcPr>
          <w:p w14:paraId="448C3E09" w14:textId="77777777" w:rsidR="00547143" w:rsidRPr="00433906" w:rsidRDefault="00547143" w:rsidP="00547143">
            <w:pPr>
              <w:rPr>
                <w:rFonts w:eastAsia="Times New Roman"/>
                <w:color w:val="auto"/>
                <w:sz w:val="18"/>
                <w:szCs w:val="18"/>
              </w:rPr>
            </w:pPr>
            <w:r w:rsidRPr="00433906">
              <w:rPr>
                <w:rFonts w:eastAsia="Times New Roman"/>
                <w:color w:val="auto"/>
                <w:sz w:val="18"/>
                <w:szCs w:val="18"/>
              </w:rPr>
              <w:t>Subvenciones, donaciones y legados recibidos</w:t>
            </w:r>
          </w:p>
        </w:tc>
        <w:tc>
          <w:tcPr>
            <w:tcW w:w="464" w:type="pct"/>
            <w:tcBorders>
              <w:top w:val="single" w:sz="4" w:space="0" w:color="auto"/>
              <w:left w:val="nil"/>
              <w:bottom w:val="nil"/>
              <w:right w:val="nil"/>
            </w:tcBorders>
            <w:shd w:val="clear" w:color="auto" w:fill="auto"/>
            <w:noWrap/>
            <w:vAlign w:val="center"/>
            <w:hideMark/>
          </w:tcPr>
          <w:p w14:paraId="5334C133" w14:textId="77777777" w:rsidR="00547143" w:rsidRPr="00433906" w:rsidRDefault="00547143" w:rsidP="00547143">
            <w:pPr>
              <w:jc w:val="center"/>
              <w:rPr>
                <w:rFonts w:eastAsia="Times New Roman"/>
                <w:color w:val="auto"/>
                <w:sz w:val="18"/>
                <w:szCs w:val="18"/>
              </w:rPr>
            </w:pPr>
            <w:r w:rsidRPr="00433906">
              <w:rPr>
                <w:rFonts w:eastAsia="Times New Roman"/>
                <w:color w:val="auto"/>
                <w:sz w:val="18"/>
                <w:szCs w:val="18"/>
              </w:rPr>
              <w:t>15</w:t>
            </w:r>
          </w:p>
        </w:tc>
        <w:tc>
          <w:tcPr>
            <w:tcW w:w="1040" w:type="pct"/>
            <w:tcBorders>
              <w:top w:val="single" w:sz="4" w:space="0" w:color="auto"/>
              <w:left w:val="nil"/>
              <w:bottom w:val="nil"/>
              <w:right w:val="nil"/>
            </w:tcBorders>
            <w:shd w:val="clear" w:color="auto" w:fill="auto"/>
            <w:noWrap/>
            <w:vAlign w:val="center"/>
          </w:tcPr>
          <w:p w14:paraId="29E4AAE1" w14:textId="412EF21A" w:rsidR="00547143" w:rsidRPr="00547143" w:rsidRDefault="00547143" w:rsidP="00547143">
            <w:pPr>
              <w:jc w:val="right"/>
              <w:rPr>
                <w:sz w:val="18"/>
                <w:szCs w:val="18"/>
                <w:highlight w:val="yellow"/>
              </w:rPr>
            </w:pPr>
            <w:r w:rsidRPr="00547143">
              <w:rPr>
                <w:sz w:val="18"/>
                <w:szCs w:val="18"/>
              </w:rPr>
              <w:t>(71.771,25)</w:t>
            </w:r>
          </w:p>
        </w:tc>
        <w:tc>
          <w:tcPr>
            <w:tcW w:w="991" w:type="pct"/>
            <w:tcBorders>
              <w:top w:val="single" w:sz="4" w:space="0" w:color="auto"/>
              <w:left w:val="nil"/>
              <w:bottom w:val="nil"/>
              <w:right w:val="nil"/>
            </w:tcBorders>
            <w:shd w:val="clear" w:color="auto" w:fill="auto"/>
            <w:noWrap/>
            <w:vAlign w:val="center"/>
            <w:hideMark/>
          </w:tcPr>
          <w:p w14:paraId="447C3C0D" w14:textId="1CB3082E" w:rsidR="00547143" w:rsidRPr="00433906" w:rsidRDefault="00547143" w:rsidP="00547143">
            <w:pPr>
              <w:jc w:val="right"/>
              <w:rPr>
                <w:color w:val="auto"/>
                <w:sz w:val="18"/>
                <w:szCs w:val="18"/>
              </w:rPr>
            </w:pPr>
            <w:r>
              <w:rPr>
                <w:sz w:val="18"/>
                <w:szCs w:val="18"/>
              </w:rPr>
              <w:t>(71.771,25)</w:t>
            </w:r>
          </w:p>
        </w:tc>
      </w:tr>
      <w:tr w:rsidR="00547143" w:rsidRPr="00433906" w14:paraId="479C1167" w14:textId="77777777" w:rsidTr="00866EC2">
        <w:trPr>
          <w:trHeight w:val="255"/>
          <w:jc w:val="center"/>
        </w:trPr>
        <w:tc>
          <w:tcPr>
            <w:tcW w:w="2505" w:type="pct"/>
            <w:tcBorders>
              <w:top w:val="nil"/>
              <w:left w:val="nil"/>
              <w:bottom w:val="single" w:sz="4" w:space="0" w:color="auto"/>
              <w:right w:val="nil"/>
            </w:tcBorders>
            <w:shd w:val="clear" w:color="auto" w:fill="auto"/>
            <w:noWrap/>
            <w:vAlign w:val="center"/>
            <w:hideMark/>
          </w:tcPr>
          <w:p w14:paraId="62348E68" w14:textId="77777777" w:rsidR="00547143" w:rsidRPr="00433906" w:rsidRDefault="00547143" w:rsidP="00547143">
            <w:pPr>
              <w:rPr>
                <w:rFonts w:eastAsia="Times New Roman"/>
                <w:color w:val="auto"/>
                <w:sz w:val="18"/>
                <w:szCs w:val="18"/>
              </w:rPr>
            </w:pPr>
            <w:r w:rsidRPr="00433906">
              <w:rPr>
                <w:rFonts w:eastAsia="Times New Roman"/>
                <w:color w:val="auto"/>
                <w:sz w:val="18"/>
                <w:szCs w:val="18"/>
              </w:rPr>
              <w:t>Efecto impositivo</w:t>
            </w:r>
          </w:p>
        </w:tc>
        <w:tc>
          <w:tcPr>
            <w:tcW w:w="464" w:type="pct"/>
            <w:tcBorders>
              <w:top w:val="nil"/>
              <w:left w:val="nil"/>
              <w:bottom w:val="single" w:sz="4" w:space="0" w:color="auto"/>
              <w:right w:val="nil"/>
            </w:tcBorders>
            <w:shd w:val="clear" w:color="auto" w:fill="auto"/>
            <w:noWrap/>
            <w:vAlign w:val="center"/>
            <w:hideMark/>
          </w:tcPr>
          <w:p w14:paraId="15481DE6" w14:textId="77777777" w:rsidR="00547143" w:rsidRPr="00433906" w:rsidRDefault="00547143" w:rsidP="00547143">
            <w:pPr>
              <w:jc w:val="center"/>
              <w:rPr>
                <w:rFonts w:eastAsia="Times New Roman"/>
                <w:color w:val="auto"/>
                <w:sz w:val="18"/>
                <w:szCs w:val="18"/>
              </w:rPr>
            </w:pPr>
            <w:r w:rsidRPr="00433906">
              <w:rPr>
                <w:rFonts w:eastAsia="Times New Roman"/>
                <w:color w:val="auto"/>
                <w:sz w:val="18"/>
                <w:szCs w:val="18"/>
              </w:rPr>
              <w:t>11.3 / 15</w:t>
            </w:r>
          </w:p>
        </w:tc>
        <w:tc>
          <w:tcPr>
            <w:tcW w:w="1040" w:type="pct"/>
            <w:tcBorders>
              <w:top w:val="nil"/>
              <w:left w:val="nil"/>
              <w:bottom w:val="single" w:sz="4" w:space="0" w:color="auto"/>
              <w:right w:val="nil"/>
            </w:tcBorders>
            <w:shd w:val="clear" w:color="auto" w:fill="auto"/>
            <w:noWrap/>
            <w:vAlign w:val="center"/>
          </w:tcPr>
          <w:p w14:paraId="0AAFCC89" w14:textId="4F441BC1" w:rsidR="00547143" w:rsidRPr="00547143" w:rsidRDefault="00547143" w:rsidP="00547143">
            <w:pPr>
              <w:jc w:val="right"/>
              <w:rPr>
                <w:sz w:val="18"/>
                <w:szCs w:val="18"/>
                <w:highlight w:val="yellow"/>
              </w:rPr>
            </w:pPr>
            <w:r w:rsidRPr="00547143">
              <w:rPr>
                <w:sz w:val="18"/>
                <w:szCs w:val="18"/>
              </w:rPr>
              <w:t>17.906,82</w:t>
            </w:r>
          </w:p>
        </w:tc>
        <w:tc>
          <w:tcPr>
            <w:tcW w:w="991" w:type="pct"/>
            <w:tcBorders>
              <w:top w:val="nil"/>
              <w:left w:val="nil"/>
              <w:bottom w:val="single" w:sz="4" w:space="0" w:color="auto"/>
              <w:right w:val="nil"/>
            </w:tcBorders>
            <w:shd w:val="clear" w:color="auto" w:fill="auto"/>
            <w:noWrap/>
            <w:vAlign w:val="center"/>
            <w:hideMark/>
          </w:tcPr>
          <w:p w14:paraId="15465E4B" w14:textId="0B3DB4F2" w:rsidR="00547143" w:rsidRPr="00433906" w:rsidRDefault="00547143" w:rsidP="00547143">
            <w:pPr>
              <w:jc w:val="right"/>
              <w:rPr>
                <w:color w:val="auto"/>
                <w:sz w:val="18"/>
                <w:szCs w:val="18"/>
              </w:rPr>
            </w:pPr>
            <w:r>
              <w:rPr>
                <w:sz w:val="18"/>
                <w:szCs w:val="18"/>
              </w:rPr>
              <w:t>17.906,82</w:t>
            </w:r>
          </w:p>
        </w:tc>
      </w:tr>
      <w:tr w:rsidR="00547143" w:rsidRPr="00433906" w14:paraId="1FEE4BEB" w14:textId="77777777" w:rsidTr="00866EC2">
        <w:trPr>
          <w:trHeight w:val="283"/>
          <w:jc w:val="center"/>
        </w:trPr>
        <w:tc>
          <w:tcPr>
            <w:tcW w:w="2505" w:type="pct"/>
            <w:tcBorders>
              <w:top w:val="single" w:sz="4" w:space="0" w:color="auto"/>
              <w:left w:val="nil"/>
              <w:bottom w:val="single" w:sz="4" w:space="0" w:color="auto"/>
              <w:right w:val="nil"/>
            </w:tcBorders>
            <w:shd w:val="clear" w:color="auto" w:fill="F2F2F2" w:themeFill="background1" w:themeFillShade="F2"/>
            <w:noWrap/>
            <w:vAlign w:val="center"/>
          </w:tcPr>
          <w:p w14:paraId="49547210" w14:textId="77777777" w:rsidR="00547143" w:rsidRPr="00433906" w:rsidRDefault="00547143" w:rsidP="00547143">
            <w:pPr>
              <w:rPr>
                <w:rFonts w:eastAsia="Times New Roman"/>
                <w:b/>
                <w:bCs/>
                <w:color w:val="auto"/>
                <w:sz w:val="18"/>
                <w:szCs w:val="18"/>
              </w:rPr>
            </w:pPr>
            <w:r w:rsidRPr="00433906">
              <w:rPr>
                <w:rFonts w:eastAsia="Times New Roman"/>
                <w:b/>
                <w:bCs/>
                <w:color w:val="auto"/>
                <w:sz w:val="18"/>
                <w:szCs w:val="18"/>
              </w:rPr>
              <w:t>Transferencias a la cuenta de pérdidas y ganancias</w:t>
            </w:r>
          </w:p>
        </w:tc>
        <w:tc>
          <w:tcPr>
            <w:tcW w:w="464" w:type="pct"/>
            <w:tcBorders>
              <w:top w:val="single" w:sz="4" w:space="0" w:color="auto"/>
              <w:left w:val="nil"/>
              <w:bottom w:val="single" w:sz="4" w:space="0" w:color="auto"/>
              <w:right w:val="nil"/>
            </w:tcBorders>
            <w:shd w:val="clear" w:color="auto" w:fill="F2F2F2" w:themeFill="background1" w:themeFillShade="F2"/>
            <w:noWrap/>
            <w:vAlign w:val="center"/>
          </w:tcPr>
          <w:p w14:paraId="47A89AE4" w14:textId="2BAC2F4E" w:rsidR="00547143" w:rsidRPr="00433906" w:rsidRDefault="00547143" w:rsidP="00547143">
            <w:pPr>
              <w:jc w:val="center"/>
              <w:rPr>
                <w:rFonts w:eastAsia="Times New Roman"/>
                <w:color w:val="auto"/>
                <w:sz w:val="18"/>
                <w:szCs w:val="18"/>
              </w:rPr>
            </w:pPr>
          </w:p>
        </w:tc>
        <w:tc>
          <w:tcPr>
            <w:tcW w:w="1040" w:type="pct"/>
            <w:tcBorders>
              <w:top w:val="single" w:sz="4" w:space="0" w:color="auto"/>
              <w:left w:val="nil"/>
              <w:bottom w:val="single" w:sz="4" w:space="0" w:color="auto"/>
              <w:right w:val="nil"/>
            </w:tcBorders>
            <w:shd w:val="clear" w:color="auto" w:fill="F2F2F2" w:themeFill="background1" w:themeFillShade="F2"/>
            <w:noWrap/>
            <w:vAlign w:val="center"/>
          </w:tcPr>
          <w:p w14:paraId="2A4AF6D2" w14:textId="02E99794" w:rsidR="00547143" w:rsidRPr="00547143" w:rsidRDefault="00547143" w:rsidP="00547143">
            <w:pPr>
              <w:jc w:val="right"/>
              <w:rPr>
                <w:b/>
                <w:bCs/>
                <w:sz w:val="18"/>
                <w:szCs w:val="18"/>
              </w:rPr>
            </w:pPr>
            <w:r w:rsidRPr="00547143">
              <w:rPr>
                <w:b/>
                <w:bCs/>
                <w:sz w:val="18"/>
                <w:szCs w:val="18"/>
              </w:rPr>
              <w:t>(53.864,43)</w:t>
            </w:r>
          </w:p>
        </w:tc>
        <w:tc>
          <w:tcPr>
            <w:tcW w:w="991" w:type="pct"/>
            <w:tcBorders>
              <w:top w:val="single" w:sz="4" w:space="0" w:color="auto"/>
              <w:left w:val="nil"/>
              <w:bottom w:val="single" w:sz="4" w:space="0" w:color="auto"/>
              <w:right w:val="nil"/>
            </w:tcBorders>
            <w:shd w:val="clear" w:color="auto" w:fill="F2F2F2" w:themeFill="background1" w:themeFillShade="F2"/>
            <w:noWrap/>
            <w:vAlign w:val="center"/>
          </w:tcPr>
          <w:p w14:paraId="18EB8F89" w14:textId="6BD214EC" w:rsidR="00547143" w:rsidRPr="00433906" w:rsidRDefault="00547143" w:rsidP="00547143">
            <w:pPr>
              <w:jc w:val="right"/>
              <w:rPr>
                <w:b/>
                <w:bCs/>
                <w:color w:val="auto"/>
                <w:sz w:val="18"/>
                <w:szCs w:val="18"/>
              </w:rPr>
            </w:pPr>
            <w:r>
              <w:rPr>
                <w:b/>
                <w:bCs/>
                <w:sz w:val="18"/>
                <w:szCs w:val="18"/>
              </w:rPr>
              <w:t>(53.864,43)</w:t>
            </w:r>
          </w:p>
        </w:tc>
      </w:tr>
      <w:tr w:rsidR="00547143" w:rsidRPr="00433906" w14:paraId="42D48848" w14:textId="77777777" w:rsidTr="00866EC2">
        <w:trPr>
          <w:trHeight w:val="283"/>
          <w:jc w:val="center"/>
        </w:trPr>
        <w:tc>
          <w:tcPr>
            <w:tcW w:w="2505" w:type="pct"/>
            <w:tcBorders>
              <w:top w:val="single" w:sz="4" w:space="0" w:color="auto"/>
              <w:left w:val="nil"/>
              <w:bottom w:val="single" w:sz="4" w:space="0" w:color="auto"/>
              <w:right w:val="nil"/>
            </w:tcBorders>
            <w:shd w:val="clear" w:color="auto" w:fill="F2F2F2" w:themeFill="background1" w:themeFillShade="F2"/>
            <w:noWrap/>
            <w:vAlign w:val="center"/>
            <w:hideMark/>
          </w:tcPr>
          <w:p w14:paraId="13E34559" w14:textId="77777777" w:rsidR="00547143" w:rsidRPr="00433906" w:rsidRDefault="00547143" w:rsidP="00547143">
            <w:pPr>
              <w:rPr>
                <w:rFonts w:eastAsia="Times New Roman"/>
                <w:b/>
                <w:bCs/>
                <w:color w:val="auto"/>
                <w:sz w:val="18"/>
                <w:szCs w:val="18"/>
              </w:rPr>
            </w:pPr>
            <w:r w:rsidRPr="00433906">
              <w:rPr>
                <w:rFonts w:eastAsia="Times New Roman"/>
                <w:b/>
                <w:bCs/>
                <w:color w:val="auto"/>
                <w:sz w:val="18"/>
                <w:szCs w:val="18"/>
              </w:rPr>
              <w:t>TOTAL DE INGRESOS Y GASTOS RECONOCIDOS</w:t>
            </w:r>
          </w:p>
        </w:tc>
        <w:tc>
          <w:tcPr>
            <w:tcW w:w="464" w:type="pct"/>
            <w:tcBorders>
              <w:top w:val="single" w:sz="4" w:space="0" w:color="auto"/>
              <w:left w:val="nil"/>
              <w:bottom w:val="single" w:sz="4" w:space="0" w:color="auto"/>
              <w:right w:val="nil"/>
            </w:tcBorders>
            <w:shd w:val="clear" w:color="auto" w:fill="F2F2F2" w:themeFill="background1" w:themeFillShade="F2"/>
            <w:noWrap/>
            <w:vAlign w:val="center"/>
            <w:hideMark/>
          </w:tcPr>
          <w:p w14:paraId="10E82C0B" w14:textId="77777777" w:rsidR="00547143" w:rsidRPr="00433906" w:rsidRDefault="00547143" w:rsidP="00547143">
            <w:pPr>
              <w:rPr>
                <w:rFonts w:eastAsia="Times New Roman"/>
                <w:color w:val="auto"/>
                <w:sz w:val="18"/>
                <w:szCs w:val="18"/>
              </w:rPr>
            </w:pPr>
            <w:r w:rsidRPr="00433906">
              <w:rPr>
                <w:rFonts w:eastAsia="Times New Roman"/>
                <w:color w:val="auto"/>
                <w:sz w:val="18"/>
                <w:szCs w:val="18"/>
              </w:rPr>
              <w:t> </w:t>
            </w:r>
          </w:p>
        </w:tc>
        <w:tc>
          <w:tcPr>
            <w:tcW w:w="1040" w:type="pct"/>
            <w:tcBorders>
              <w:top w:val="single" w:sz="4" w:space="0" w:color="auto"/>
              <w:left w:val="nil"/>
              <w:bottom w:val="single" w:sz="4" w:space="0" w:color="auto"/>
              <w:right w:val="nil"/>
            </w:tcBorders>
            <w:shd w:val="clear" w:color="auto" w:fill="F2F2F2" w:themeFill="background1" w:themeFillShade="F2"/>
            <w:noWrap/>
            <w:vAlign w:val="center"/>
          </w:tcPr>
          <w:p w14:paraId="35EE6B21" w14:textId="5668C1C9" w:rsidR="00547143" w:rsidRPr="00547143" w:rsidRDefault="00547143" w:rsidP="00547143">
            <w:pPr>
              <w:jc w:val="right"/>
              <w:rPr>
                <w:b/>
                <w:bCs/>
                <w:sz w:val="18"/>
                <w:szCs w:val="18"/>
              </w:rPr>
            </w:pPr>
            <w:r w:rsidRPr="00547143">
              <w:rPr>
                <w:b/>
                <w:bCs/>
                <w:sz w:val="18"/>
                <w:szCs w:val="18"/>
              </w:rPr>
              <w:t>(3.631.003,43)</w:t>
            </w:r>
          </w:p>
        </w:tc>
        <w:tc>
          <w:tcPr>
            <w:tcW w:w="991" w:type="pct"/>
            <w:tcBorders>
              <w:top w:val="single" w:sz="4" w:space="0" w:color="auto"/>
              <w:left w:val="nil"/>
              <w:bottom w:val="single" w:sz="4" w:space="0" w:color="auto"/>
              <w:right w:val="nil"/>
            </w:tcBorders>
            <w:shd w:val="clear" w:color="auto" w:fill="F2F2F2" w:themeFill="background1" w:themeFillShade="F2"/>
            <w:noWrap/>
            <w:vAlign w:val="center"/>
            <w:hideMark/>
          </w:tcPr>
          <w:p w14:paraId="16908F42" w14:textId="557A2F0A" w:rsidR="00547143" w:rsidRPr="00433906" w:rsidRDefault="00547143" w:rsidP="00547143">
            <w:pPr>
              <w:jc w:val="right"/>
              <w:rPr>
                <w:b/>
                <w:bCs/>
                <w:color w:val="auto"/>
                <w:sz w:val="18"/>
                <w:szCs w:val="18"/>
              </w:rPr>
            </w:pPr>
            <w:r>
              <w:rPr>
                <w:b/>
                <w:bCs/>
                <w:sz w:val="18"/>
                <w:szCs w:val="18"/>
              </w:rPr>
              <w:t>(2.381.752,43)</w:t>
            </w:r>
          </w:p>
        </w:tc>
      </w:tr>
    </w:tbl>
    <w:p w14:paraId="6E7CF98F" w14:textId="77777777" w:rsidR="006220A2" w:rsidRPr="0083433F" w:rsidRDefault="006220A2" w:rsidP="006220A2">
      <w:pPr>
        <w:widowControl w:val="0"/>
        <w:tabs>
          <w:tab w:val="left" w:pos="284"/>
          <w:tab w:val="left" w:pos="567"/>
          <w:tab w:val="left" w:pos="851"/>
        </w:tabs>
        <w:rPr>
          <w:b/>
          <w:snapToGrid w:val="0"/>
          <w:sz w:val="20"/>
        </w:rPr>
      </w:pPr>
    </w:p>
    <w:p w14:paraId="4B7EE71F"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20"/>
        </w:rPr>
      </w:pPr>
    </w:p>
    <w:p w14:paraId="5E7579FC"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sz w:val="20"/>
        </w:rPr>
      </w:pPr>
      <w:r w:rsidRPr="0083433F">
        <w:rPr>
          <w:b/>
          <w:snapToGrid w:val="0"/>
          <w:sz w:val="20"/>
        </w:rPr>
        <w:t xml:space="preserve">B) </w:t>
      </w:r>
      <w:r w:rsidRPr="00A347E9">
        <w:rPr>
          <w:b/>
          <w:snapToGrid w:val="0"/>
          <w:sz w:val="20"/>
        </w:rPr>
        <w:t xml:space="preserve">ESTADO TOTAL DE CAMBIOS EN EL PATRIMONIO NETO </w:t>
      </w:r>
      <w:r w:rsidRPr="00A347E9">
        <w:rPr>
          <w:b/>
          <w:bCs/>
          <w:sz w:val="20"/>
        </w:rPr>
        <w:t>(Expresado en euros)</w:t>
      </w:r>
    </w:p>
    <w:p w14:paraId="5BD59DB3" w14:textId="77777777" w:rsidR="006220A2" w:rsidRPr="0083433F" w:rsidRDefault="006220A2" w:rsidP="006220A2">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0"/>
        </w:rPr>
      </w:pPr>
    </w:p>
    <w:tbl>
      <w:tblPr>
        <w:tblW w:w="5000" w:type="pct"/>
        <w:tblCellMar>
          <w:left w:w="70" w:type="dxa"/>
          <w:right w:w="70" w:type="dxa"/>
        </w:tblCellMar>
        <w:tblLook w:val="04A0" w:firstRow="1" w:lastRow="0" w:firstColumn="1" w:lastColumn="0" w:noHBand="0" w:noVBand="1"/>
      </w:tblPr>
      <w:tblGrid>
        <w:gridCol w:w="3032"/>
        <w:gridCol w:w="997"/>
        <w:gridCol w:w="1298"/>
        <w:gridCol w:w="1294"/>
        <w:gridCol w:w="1146"/>
        <w:gridCol w:w="1298"/>
      </w:tblGrid>
      <w:tr w:rsidR="00BA5560" w:rsidRPr="00724D7B" w14:paraId="2315E829" w14:textId="77777777" w:rsidTr="00D053B4">
        <w:trPr>
          <w:trHeight w:val="278"/>
        </w:trPr>
        <w:tc>
          <w:tcPr>
            <w:tcW w:w="1672" w:type="pct"/>
            <w:tcBorders>
              <w:top w:val="single" w:sz="4" w:space="0" w:color="auto"/>
              <w:left w:val="nil"/>
              <w:bottom w:val="single" w:sz="4" w:space="0" w:color="auto"/>
              <w:right w:val="nil"/>
            </w:tcBorders>
            <w:shd w:val="clear" w:color="000000" w:fill="D9D9D9"/>
            <w:noWrap/>
            <w:vAlign w:val="bottom"/>
            <w:hideMark/>
          </w:tcPr>
          <w:p w14:paraId="2D0FBE1C" w14:textId="50C6E863" w:rsidR="00BA5560" w:rsidRPr="00724D7B"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550" w:type="pct"/>
            <w:tcBorders>
              <w:top w:val="single" w:sz="4" w:space="0" w:color="auto"/>
              <w:left w:val="nil"/>
              <w:bottom w:val="single" w:sz="4" w:space="0" w:color="auto"/>
              <w:right w:val="nil"/>
            </w:tcBorders>
            <w:shd w:val="clear" w:color="000000" w:fill="D9D9D9"/>
            <w:vAlign w:val="bottom"/>
            <w:hideMark/>
          </w:tcPr>
          <w:p w14:paraId="4FFD0918" w14:textId="77777777" w:rsidR="00BA5560" w:rsidRPr="00724D7B"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Capital</w:t>
            </w:r>
          </w:p>
        </w:tc>
        <w:tc>
          <w:tcPr>
            <w:tcW w:w="716" w:type="pct"/>
            <w:tcBorders>
              <w:top w:val="single" w:sz="4" w:space="0" w:color="auto"/>
              <w:left w:val="nil"/>
              <w:bottom w:val="single" w:sz="4" w:space="0" w:color="auto"/>
              <w:right w:val="nil"/>
            </w:tcBorders>
            <w:shd w:val="clear" w:color="000000" w:fill="D9D9D9"/>
            <w:vAlign w:val="bottom"/>
            <w:hideMark/>
          </w:tcPr>
          <w:p w14:paraId="3655AF3E" w14:textId="77777777" w:rsidR="00BA5560" w:rsidRPr="00724D7B"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Otras aportaciones de socios</w:t>
            </w:r>
          </w:p>
        </w:tc>
        <w:tc>
          <w:tcPr>
            <w:tcW w:w="714" w:type="pct"/>
            <w:tcBorders>
              <w:top w:val="single" w:sz="4" w:space="0" w:color="auto"/>
              <w:left w:val="nil"/>
              <w:bottom w:val="single" w:sz="4" w:space="0" w:color="auto"/>
              <w:right w:val="nil"/>
            </w:tcBorders>
            <w:shd w:val="clear" w:color="000000" w:fill="D9D9D9"/>
            <w:vAlign w:val="bottom"/>
            <w:hideMark/>
          </w:tcPr>
          <w:p w14:paraId="1030A588" w14:textId="77777777" w:rsidR="00BA5560" w:rsidRPr="00724D7B"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Resultado del ejercicio</w:t>
            </w:r>
          </w:p>
        </w:tc>
        <w:tc>
          <w:tcPr>
            <w:tcW w:w="632" w:type="pct"/>
            <w:tcBorders>
              <w:top w:val="single" w:sz="4" w:space="0" w:color="auto"/>
              <w:left w:val="nil"/>
              <w:bottom w:val="single" w:sz="4" w:space="0" w:color="auto"/>
              <w:right w:val="nil"/>
            </w:tcBorders>
            <w:shd w:val="clear" w:color="000000" w:fill="D9D9D9"/>
            <w:vAlign w:val="bottom"/>
            <w:hideMark/>
          </w:tcPr>
          <w:p w14:paraId="354B1B3D" w14:textId="6F82B62B" w:rsidR="00BA5560" w:rsidRPr="00724D7B"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724D7B">
              <w:rPr>
                <w:rFonts w:eastAsia="Times New Roman"/>
                <w:b/>
                <w:bCs/>
                <w:sz w:val="16"/>
                <w:szCs w:val="16"/>
                <w:bdr w:val="none" w:sz="0" w:space="0" w:color="auto"/>
                <w:lang w:eastAsia="es-ES"/>
              </w:rPr>
              <w:t>Subv</w:t>
            </w:r>
            <w:proofErr w:type="spellEnd"/>
            <w:r w:rsidRPr="00724D7B">
              <w:rPr>
                <w:rFonts w:eastAsia="Times New Roman"/>
                <w:b/>
                <w:bCs/>
                <w:sz w:val="16"/>
                <w:szCs w:val="16"/>
                <w:bdr w:val="none" w:sz="0" w:space="0" w:color="auto"/>
                <w:lang w:eastAsia="es-ES"/>
              </w:rPr>
              <w:t>, donaciones y legados recibidos</w:t>
            </w:r>
          </w:p>
        </w:tc>
        <w:tc>
          <w:tcPr>
            <w:tcW w:w="716" w:type="pct"/>
            <w:tcBorders>
              <w:top w:val="single" w:sz="4" w:space="0" w:color="auto"/>
              <w:left w:val="nil"/>
              <w:bottom w:val="single" w:sz="4" w:space="0" w:color="auto"/>
              <w:right w:val="nil"/>
            </w:tcBorders>
            <w:shd w:val="clear" w:color="000000" w:fill="D9D9D9"/>
            <w:vAlign w:val="bottom"/>
            <w:hideMark/>
          </w:tcPr>
          <w:p w14:paraId="1D60BBEB" w14:textId="77777777" w:rsidR="00BA5560" w:rsidRPr="00724D7B"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Total</w:t>
            </w:r>
          </w:p>
        </w:tc>
      </w:tr>
      <w:tr w:rsidR="00D053B4" w:rsidRPr="00724D7B" w14:paraId="21118D78" w14:textId="77777777" w:rsidTr="00D053B4">
        <w:trPr>
          <w:trHeight w:val="283"/>
        </w:trPr>
        <w:tc>
          <w:tcPr>
            <w:tcW w:w="1672" w:type="pct"/>
            <w:tcBorders>
              <w:top w:val="single" w:sz="4" w:space="0" w:color="auto"/>
              <w:left w:val="nil"/>
              <w:bottom w:val="single" w:sz="4" w:space="0" w:color="auto"/>
              <w:right w:val="nil"/>
            </w:tcBorders>
            <w:shd w:val="clear" w:color="auto" w:fill="F2F2F2" w:themeFill="background1" w:themeFillShade="F2"/>
            <w:noWrap/>
            <w:vAlign w:val="center"/>
            <w:hideMark/>
          </w:tcPr>
          <w:p w14:paraId="1A7832CE" w14:textId="53373D59"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FINAL 31.12.</w:t>
            </w:r>
            <w:r>
              <w:rPr>
                <w:rFonts w:eastAsia="Times New Roman"/>
                <w:b/>
                <w:bCs/>
                <w:sz w:val="16"/>
                <w:szCs w:val="16"/>
                <w:bdr w:val="none" w:sz="0" w:space="0" w:color="auto"/>
                <w:lang w:eastAsia="es-ES"/>
              </w:rPr>
              <w:t>21</w:t>
            </w:r>
          </w:p>
        </w:tc>
        <w:tc>
          <w:tcPr>
            <w:tcW w:w="550" w:type="pct"/>
            <w:tcBorders>
              <w:top w:val="single" w:sz="4" w:space="0" w:color="auto"/>
              <w:left w:val="nil"/>
              <w:bottom w:val="single" w:sz="4" w:space="0" w:color="auto"/>
              <w:right w:val="nil"/>
            </w:tcBorders>
            <w:shd w:val="clear" w:color="auto" w:fill="F2F2F2" w:themeFill="background1" w:themeFillShade="F2"/>
            <w:noWrap/>
            <w:vAlign w:val="center"/>
            <w:hideMark/>
          </w:tcPr>
          <w:p w14:paraId="1041CE5F" w14:textId="63AA6890"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600.000,00</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01722757" w14:textId="7F03B932" w:rsidR="00D053B4" w:rsidRPr="00D053B4"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2.267.888,00</w:t>
            </w:r>
          </w:p>
        </w:tc>
        <w:tc>
          <w:tcPr>
            <w:tcW w:w="714" w:type="pct"/>
            <w:tcBorders>
              <w:top w:val="single" w:sz="4" w:space="0" w:color="auto"/>
              <w:left w:val="nil"/>
              <w:bottom w:val="single" w:sz="4" w:space="0" w:color="auto"/>
              <w:right w:val="nil"/>
            </w:tcBorders>
            <w:shd w:val="clear" w:color="auto" w:fill="F2F2F2" w:themeFill="background1" w:themeFillShade="F2"/>
            <w:noWrap/>
            <w:vAlign w:val="center"/>
          </w:tcPr>
          <w:p w14:paraId="135BEA08" w14:textId="03077C0E" w:rsidR="00D053B4" w:rsidRPr="00D053B4"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(2.267.888,00)</w:t>
            </w:r>
          </w:p>
        </w:tc>
        <w:tc>
          <w:tcPr>
            <w:tcW w:w="632" w:type="pct"/>
            <w:tcBorders>
              <w:top w:val="single" w:sz="4" w:space="0" w:color="auto"/>
              <w:left w:val="nil"/>
              <w:bottom w:val="single" w:sz="4" w:space="0" w:color="auto"/>
              <w:right w:val="nil"/>
            </w:tcBorders>
            <w:shd w:val="clear" w:color="auto" w:fill="F2F2F2" w:themeFill="background1" w:themeFillShade="F2"/>
            <w:noWrap/>
            <w:vAlign w:val="center"/>
          </w:tcPr>
          <w:p w14:paraId="482DFBF0" w14:textId="753AAA54"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172.401,11</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27271306" w14:textId="7096F92C"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772.401,11</w:t>
            </w:r>
          </w:p>
        </w:tc>
      </w:tr>
      <w:tr w:rsidR="00BA5560" w:rsidRPr="00724D7B" w14:paraId="570FED82" w14:textId="77777777" w:rsidTr="00D053B4">
        <w:trPr>
          <w:trHeight w:val="283"/>
        </w:trPr>
        <w:tc>
          <w:tcPr>
            <w:tcW w:w="1672" w:type="pct"/>
            <w:tcBorders>
              <w:top w:val="single" w:sz="4" w:space="0" w:color="auto"/>
              <w:left w:val="nil"/>
              <w:bottom w:val="single" w:sz="4" w:space="0" w:color="auto"/>
              <w:right w:val="nil"/>
            </w:tcBorders>
            <w:shd w:val="clear" w:color="auto" w:fill="auto"/>
            <w:noWrap/>
            <w:vAlign w:val="center"/>
            <w:hideMark/>
          </w:tcPr>
          <w:p w14:paraId="396D0897" w14:textId="77777777"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Ajustes corrección de errores</w:t>
            </w:r>
          </w:p>
        </w:tc>
        <w:tc>
          <w:tcPr>
            <w:tcW w:w="550" w:type="pct"/>
            <w:tcBorders>
              <w:top w:val="single" w:sz="4" w:space="0" w:color="auto"/>
              <w:left w:val="nil"/>
              <w:bottom w:val="single" w:sz="4" w:space="0" w:color="auto"/>
              <w:right w:val="nil"/>
            </w:tcBorders>
            <w:shd w:val="clear" w:color="auto" w:fill="auto"/>
            <w:noWrap/>
            <w:vAlign w:val="center"/>
            <w:hideMark/>
          </w:tcPr>
          <w:p w14:paraId="26EF5416" w14:textId="77777777"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716" w:type="pct"/>
            <w:tcBorders>
              <w:top w:val="single" w:sz="4" w:space="0" w:color="auto"/>
              <w:left w:val="nil"/>
              <w:bottom w:val="single" w:sz="4" w:space="0" w:color="auto"/>
              <w:right w:val="nil"/>
            </w:tcBorders>
            <w:shd w:val="clear" w:color="auto" w:fill="auto"/>
            <w:noWrap/>
            <w:vAlign w:val="center"/>
          </w:tcPr>
          <w:p w14:paraId="40D1CBF4" w14:textId="5588466C"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c>
          <w:tcPr>
            <w:tcW w:w="714" w:type="pct"/>
            <w:tcBorders>
              <w:top w:val="single" w:sz="4" w:space="0" w:color="auto"/>
              <w:left w:val="nil"/>
              <w:bottom w:val="single" w:sz="4" w:space="0" w:color="auto"/>
              <w:right w:val="nil"/>
            </w:tcBorders>
            <w:shd w:val="clear" w:color="auto" w:fill="auto"/>
            <w:noWrap/>
            <w:vAlign w:val="center"/>
          </w:tcPr>
          <w:p w14:paraId="4B8A2189" w14:textId="6802792B"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c>
          <w:tcPr>
            <w:tcW w:w="632" w:type="pct"/>
            <w:tcBorders>
              <w:top w:val="single" w:sz="4" w:space="0" w:color="auto"/>
              <w:left w:val="nil"/>
              <w:bottom w:val="single" w:sz="4" w:space="0" w:color="auto"/>
              <w:right w:val="nil"/>
            </w:tcBorders>
            <w:shd w:val="clear" w:color="auto" w:fill="auto"/>
            <w:noWrap/>
            <w:vAlign w:val="center"/>
          </w:tcPr>
          <w:p w14:paraId="0D357311" w14:textId="41EF61F4"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c>
          <w:tcPr>
            <w:tcW w:w="716" w:type="pct"/>
            <w:tcBorders>
              <w:top w:val="single" w:sz="4" w:space="0" w:color="auto"/>
              <w:left w:val="nil"/>
              <w:bottom w:val="single" w:sz="4" w:space="0" w:color="auto"/>
              <w:right w:val="nil"/>
            </w:tcBorders>
            <w:shd w:val="clear" w:color="auto" w:fill="auto"/>
            <w:noWrap/>
            <w:vAlign w:val="center"/>
          </w:tcPr>
          <w:p w14:paraId="568C1509" w14:textId="178DA6BC"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r>
      <w:tr w:rsidR="00D053B4" w:rsidRPr="00724D7B" w14:paraId="6EB7177F" w14:textId="77777777" w:rsidTr="00D053B4">
        <w:trPr>
          <w:trHeight w:val="283"/>
        </w:trPr>
        <w:tc>
          <w:tcPr>
            <w:tcW w:w="1672" w:type="pct"/>
            <w:tcBorders>
              <w:top w:val="single" w:sz="4" w:space="0" w:color="auto"/>
              <w:left w:val="nil"/>
              <w:bottom w:val="single" w:sz="4" w:space="0" w:color="auto"/>
              <w:right w:val="nil"/>
            </w:tcBorders>
            <w:shd w:val="clear" w:color="auto" w:fill="F2F2F2" w:themeFill="background1" w:themeFillShade="F2"/>
            <w:noWrap/>
            <w:vAlign w:val="center"/>
            <w:hideMark/>
          </w:tcPr>
          <w:p w14:paraId="19177C01" w14:textId="79F90099"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AJUSTADO, 01.01.</w:t>
            </w:r>
            <w:r>
              <w:rPr>
                <w:rFonts w:eastAsia="Times New Roman"/>
                <w:b/>
                <w:bCs/>
                <w:sz w:val="16"/>
                <w:szCs w:val="16"/>
                <w:bdr w:val="none" w:sz="0" w:space="0" w:color="auto"/>
                <w:lang w:eastAsia="es-ES"/>
              </w:rPr>
              <w:t>22</w:t>
            </w:r>
          </w:p>
        </w:tc>
        <w:tc>
          <w:tcPr>
            <w:tcW w:w="550" w:type="pct"/>
            <w:tcBorders>
              <w:top w:val="single" w:sz="4" w:space="0" w:color="auto"/>
              <w:left w:val="nil"/>
              <w:bottom w:val="single" w:sz="4" w:space="0" w:color="auto"/>
              <w:right w:val="nil"/>
            </w:tcBorders>
            <w:shd w:val="clear" w:color="auto" w:fill="F2F2F2" w:themeFill="background1" w:themeFillShade="F2"/>
            <w:noWrap/>
            <w:vAlign w:val="center"/>
            <w:hideMark/>
          </w:tcPr>
          <w:p w14:paraId="34FCFBCB" w14:textId="3649A151" w:rsidR="00D053B4" w:rsidRPr="00D053B4"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600.000,00</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0B14EFA6" w14:textId="73256443" w:rsidR="00D053B4" w:rsidRPr="00D053B4"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2.267.888,00</w:t>
            </w:r>
          </w:p>
        </w:tc>
        <w:tc>
          <w:tcPr>
            <w:tcW w:w="714" w:type="pct"/>
            <w:tcBorders>
              <w:top w:val="single" w:sz="4" w:space="0" w:color="auto"/>
              <w:left w:val="nil"/>
              <w:bottom w:val="single" w:sz="4" w:space="0" w:color="auto"/>
              <w:right w:val="nil"/>
            </w:tcBorders>
            <w:shd w:val="clear" w:color="auto" w:fill="F2F2F2" w:themeFill="background1" w:themeFillShade="F2"/>
            <w:noWrap/>
            <w:vAlign w:val="center"/>
          </w:tcPr>
          <w:p w14:paraId="3D3A7C36" w14:textId="4FA6F775"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(2.267.888,00)</w:t>
            </w:r>
          </w:p>
        </w:tc>
        <w:tc>
          <w:tcPr>
            <w:tcW w:w="632" w:type="pct"/>
            <w:tcBorders>
              <w:top w:val="single" w:sz="4" w:space="0" w:color="auto"/>
              <w:left w:val="nil"/>
              <w:bottom w:val="single" w:sz="4" w:space="0" w:color="auto"/>
              <w:right w:val="nil"/>
            </w:tcBorders>
            <w:shd w:val="clear" w:color="auto" w:fill="F2F2F2" w:themeFill="background1" w:themeFillShade="F2"/>
            <w:noWrap/>
            <w:vAlign w:val="center"/>
          </w:tcPr>
          <w:p w14:paraId="07BBF358" w14:textId="5370365E"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172.401,11</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507334A2" w14:textId="12E29F73"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772.401,11</w:t>
            </w:r>
          </w:p>
        </w:tc>
      </w:tr>
      <w:tr w:rsidR="00D053B4" w:rsidRPr="00724D7B" w14:paraId="668EADF9" w14:textId="77777777" w:rsidTr="00D053B4">
        <w:trPr>
          <w:trHeight w:val="283"/>
        </w:trPr>
        <w:tc>
          <w:tcPr>
            <w:tcW w:w="1672" w:type="pct"/>
            <w:tcBorders>
              <w:top w:val="single" w:sz="4" w:space="0" w:color="auto"/>
              <w:left w:val="nil"/>
              <w:bottom w:val="nil"/>
              <w:right w:val="nil"/>
            </w:tcBorders>
            <w:shd w:val="clear" w:color="auto" w:fill="auto"/>
            <w:noWrap/>
            <w:vAlign w:val="center"/>
            <w:hideMark/>
          </w:tcPr>
          <w:p w14:paraId="010D4B84" w14:textId="77777777"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Total ingresos y gastos reconocidos</w:t>
            </w:r>
          </w:p>
        </w:tc>
        <w:tc>
          <w:tcPr>
            <w:tcW w:w="550" w:type="pct"/>
            <w:tcBorders>
              <w:top w:val="single" w:sz="4" w:space="0" w:color="auto"/>
              <w:left w:val="nil"/>
              <w:bottom w:val="nil"/>
              <w:right w:val="nil"/>
            </w:tcBorders>
            <w:shd w:val="clear" w:color="auto" w:fill="auto"/>
            <w:noWrap/>
            <w:vAlign w:val="center"/>
            <w:hideMark/>
          </w:tcPr>
          <w:p w14:paraId="7616BB7A" w14:textId="298A94D5"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716" w:type="pct"/>
            <w:tcBorders>
              <w:top w:val="single" w:sz="4" w:space="0" w:color="auto"/>
              <w:left w:val="nil"/>
              <w:bottom w:val="nil"/>
              <w:right w:val="nil"/>
            </w:tcBorders>
            <w:shd w:val="clear" w:color="auto" w:fill="auto"/>
            <w:noWrap/>
            <w:vAlign w:val="center"/>
          </w:tcPr>
          <w:p w14:paraId="1B3BF940" w14:textId="2560A57F"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714" w:type="pct"/>
            <w:tcBorders>
              <w:top w:val="single" w:sz="4" w:space="0" w:color="auto"/>
              <w:left w:val="nil"/>
              <w:bottom w:val="nil"/>
              <w:right w:val="nil"/>
            </w:tcBorders>
            <w:shd w:val="clear" w:color="auto" w:fill="auto"/>
            <w:noWrap/>
            <w:vAlign w:val="center"/>
          </w:tcPr>
          <w:p w14:paraId="66D5DEAB" w14:textId="55439880"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(2.327.888,00)</w:t>
            </w:r>
          </w:p>
        </w:tc>
        <w:tc>
          <w:tcPr>
            <w:tcW w:w="632" w:type="pct"/>
            <w:tcBorders>
              <w:top w:val="single" w:sz="4" w:space="0" w:color="auto"/>
              <w:left w:val="nil"/>
              <w:bottom w:val="nil"/>
              <w:right w:val="nil"/>
            </w:tcBorders>
            <w:shd w:val="clear" w:color="auto" w:fill="auto"/>
            <w:noWrap/>
            <w:vAlign w:val="center"/>
          </w:tcPr>
          <w:p w14:paraId="35CC3ED5" w14:textId="1D3E3B79"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(53.864,43)</w:t>
            </w:r>
          </w:p>
        </w:tc>
        <w:tc>
          <w:tcPr>
            <w:tcW w:w="716" w:type="pct"/>
            <w:tcBorders>
              <w:top w:val="single" w:sz="4" w:space="0" w:color="auto"/>
              <w:left w:val="nil"/>
              <w:bottom w:val="nil"/>
              <w:right w:val="nil"/>
            </w:tcBorders>
            <w:shd w:val="clear" w:color="auto" w:fill="auto"/>
            <w:noWrap/>
            <w:vAlign w:val="center"/>
          </w:tcPr>
          <w:p w14:paraId="77933CC1" w14:textId="777C43AE"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(2.381.752,43)</w:t>
            </w:r>
          </w:p>
        </w:tc>
      </w:tr>
      <w:tr w:rsidR="00D053B4" w:rsidRPr="00724D7B" w14:paraId="68EB2C5B" w14:textId="77777777" w:rsidTr="00D053B4">
        <w:trPr>
          <w:trHeight w:val="283"/>
        </w:trPr>
        <w:tc>
          <w:tcPr>
            <w:tcW w:w="1672" w:type="pct"/>
            <w:tcBorders>
              <w:top w:val="nil"/>
              <w:left w:val="nil"/>
              <w:bottom w:val="nil"/>
              <w:right w:val="nil"/>
            </w:tcBorders>
            <w:shd w:val="clear" w:color="auto" w:fill="auto"/>
            <w:noWrap/>
            <w:vAlign w:val="center"/>
            <w:hideMark/>
          </w:tcPr>
          <w:p w14:paraId="0AB51F06" w14:textId="77777777"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Operaciones con socios</w:t>
            </w:r>
          </w:p>
        </w:tc>
        <w:tc>
          <w:tcPr>
            <w:tcW w:w="550" w:type="pct"/>
            <w:tcBorders>
              <w:top w:val="nil"/>
              <w:left w:val="nil"/>
              <w:bottom w:val="nil"/>
              <w:right w:val="nil"/>
            </w:tcBorders>
            <w:shd w:val="clear" w:color="auto" w:fill="auto"/>
            <w:noWrap/>
            <w:vAlign w:val="center"/>
            <w:hideMark/>
          </w:tcPr>
          <w:p w14:paraId="6173DC6E" w14:textId="5D84EADB"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716" w:type="pct"/>
            <w:tcBorders>
              <w:top w:val="nil"/>
              <w:left w:val="nil"/>
              <w:bottom w:val="nil"/>
              <w:right w:val="nil"/>
            </w:tcBorders>
            <w:shd w:val="clear" w:color="auto" w:fill="auto"/>
            <w:noWrap/>
            <w:vAlign w:val="center"/>
          </w:tcPr>
          <w:p w14:paraId="0239971D" w14:textId="0E180061"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2.327.888,00</w:t>
            </w:r>
          </w:p>
        </w:tc>
        <w:tc>
          <w:tcPr>
            <w:tcW w:w="714" w:type="pct"/>
            <w:tcBorders>
              <w:top w:val="nil"/>
              <w:left w:val="nil"/>
              <w:bottom w:val="nil"/>
              <w:right w:val="nil"/>
            </w:tcBorders>
            <w:shd w:val="clear" w:color="auto" w:fill="auto"/>
            <w:noWrap/>
            <w:vAlign w:val="center"/>
          </w:tcPr>
          <w:p w14:paraId="7666DA45" w14:textId="4A833AEB"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632" w:type="pct"/>
            <w:tcBorders>
              <w:top w:val="nil"/>
              <w:left w:val="nil"/>
              <w:bottom w:val="nil"/>
              <w:right w:val="nil"/>
            </w:tcBorders>
            <w:shd w:val="clear" w:color="auto" w:fill="auto"/>
            <w:noWrap/>
            <w:vAlign w:val="center"/>
          </w:tcPr>
          <w:p w14:paraId="62D085BF" w14:textId="4A0D9C35"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716" w:type="pct"/>
            <w:tcBorders>
              <w:top w:val="nil"/>
              <w:left w:val="nil"/>
              <w:bottom w:val="nil"/>
              <w:right w:val="nil"/>
            </w:tcBorders>
            <w:shd w:val="clear" w:color="auto" w:fill="auto"/>
            <w:noWrap/>
            <w:vAlign w:val="center"/>
          </w:tcPr>
          <w:p w14:paraId="74A7EAE4" w14:textId="1CB5843B"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2.327.888,00</w:t>
            </w:r>
          </w:p>
        </w:tc>
      </w:tr>
      <w:tr w:rsidR="00D053B4" w:rsidRPr="00724D7B" w14:paraId="32941C20" w14:textId="77777777" w:rsidTr="00D053B4">
        <w:trPr>
          <w:trHeight w:val="283"/>
        </w:trPr>
        <w:tc>
          <w:tcPr>
            <w:tcW w:w="1672" w:type="pct"/>
            <w:tcBorders>
              <w:top w:val="nil"/>
              <w:left w:val="nil"/>
              <w:right w:val="nil"/>
            </w:tcBorders>
            <w:shd w:val="clear" w:color="auto" w:fill="auto"/>
            <w:noWrap/>
            <w:vAlign w:val="center"/>
            <w:hideMark/>
          </w:tcPr>
          <w:p w14:paraId="13D01423" w14:textId="598EA7C4"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Distribución del </w:t>
            </w:r>
            <w:proofErr w:type="spellStart"/>
            <w:r w:rsidRPr="00724D7B">
              <w:rPr>
                <w:rFonts w:eastAsia="Times New Roman"/>
                <w:sz w:val="16"/>
                <w:szCs w:val="16"/>
                <w:bdr w:val="none" w:sz="0" w:space="0" w:color="auto"/>
                <w:lang w:eastAsia="es-ES"/>
              </w:rPr>
              <w:t>rtdo</w:t>
            </w:r>
            <w:proofErr w:type="spellEnd"/>
            <w:r w:rsidRPr="00724D7B">
              <w:rPr>
                <w:rFonts w:eastAsia="Times New Roman"/>
                <w:sz w:val="16"/>
                <w:szCs w:val="16"/>
                <w:bdr w:val="none" w:sz="0" w:space="0" w:color="auto"/>
                <w:lang w:eastAsia="es-ES"/>
              </w:rPr>
              <w:t xml:space="preserve"> del </w:t>
            </w:r>
          </w:p>
          <w:p w14:paraId="21117EE5" w14:textId="1AE24C47"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ejercicio anterior</w:t>
            </w:r>
          </w:p>
        </w:tc>
        <w:tc>
          <w:tcPr>
            <w:tcW w:w="550" w:type="pct"/>
            <w:tcBorders>
              <w:top w:val="nil"/>
              <w:left w:val="nil"/>
              <w:right w:val="nil"/>
            </w:tcBorders>
            <w:shd w:val="clear" w:color="auto" w:fill="auto"/>
            <w:noWrap/>
            <w:vAlign w:val="center"/>
            <w:hideMark/>
          </w:tcPr>
          <w:p w14:paraId="373DD6E2" w14:textId="007A7939"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716" w:type="pct"/>
            <w:tcBorders>
              <w:top w:val="nil"/>
              <w:left w:val="nil"/>
              <w:right w:val="nil"/>
            </w:tcBorders>
            <w:shd w:val="clear" w:color="auto" w:fill="auto"/>
            <w:noWrap/>
            <w:vAlign w:val="center"/>
          </w:tcPr>
          <w:p w14:paraId="17635851" w14:textId="0EF31AB7"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(2.267.888,00)</w:t>
            </w:r>
          </w:p>
        </w:tc>
        <w:tc>
          <w:tcPr>
            <w:tcW w:w="714" w:type="pct"/>
            <w:tcBorders>
              <w:top w:val="nil"/>
              <w:left w:val="nil"/>
              <w:right w:val="nil"/>
            </w:tcBorders>
            <w:shd w:val="clear" w:color="auto" w:fill="auto"/>
            <w:noWrap/>
            <w:vAlign w:val="center"/>
          </w:tcPr>
          <w:p w14:paraId="593FD9FD" w14:textId="0B648AB0"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2.267.888,00</w:t>
            </w:r>
          </w:p>
        </w:tc>
        <w:tc>
          <w:tcPr>
            <w:tcW w:w="632" w:type="pct"/>
            <w:tcBorders>
              <w:top w:val="nil"/>
              <w:left w:val="nil"/>
              <w:right w:val="nil"/>
            </w:tcBorders>
            <w:shd w:val="clear" w:color="auto" w:fill="auto"/>
            <w:noWrap/>
            <w:vAlign w:val="center"/>
          </w:tcPr>
          <w:p w14:paraId="019AB274" w14:textId="3F5EC0A6"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716" w:type="pct"/>
            <w:tcBorders>
              <w:top w:val="nil"/>
              <w:left w:val="nil"/>
              <w:right w:val="nil"/>
            </w:tcBorders>
            <w:shd w:val="clear" w:color="auto" w:fill="auto"/>
            <w:noWrap/>
            <w:vAlign w:val="center"/>
          </w:tcPr>
          <w:p w14:paraId="26BCC311" w14:textId="31116B9C"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r>
      <w:tr w:rsidR="00BA5560" w:rsidRPr="00724D7B" w14:paraId="051D6F26" w14:textId="77777777" w:rsidTr="00D053B4">
        <w:trPr>
          <w:trHeight w:val="283"/>
        </w:trPr>
        <w:tc>
          <w:tcPr>
            <w:tcW w:w="1672" w:type="pct"/>
            <w:tcBorders>
              <w:top w:val="nil"/>
              <w:left w:val="nil"/>
              <w:bottom w:val="single" w:sz="4" w:space="0" w:color="auto"/>
              <w:right w:val="nil"/>
            </w:tcBorders>
            <w:shd w:val="clear" w:color="auto" w:fill="auto"/>
            <w:noWrap/>
            <w:vAlign w:val="center"/>
            <w:hideMark/>
          </w:tcPr>
          <w:p w14:paraId="7707B866" w14:textId="40EA4088"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Otras variaciones</w:t>
            </w:r>
          </w:p>
        </w:tc>
        <w:tc>
          <w:tcPr>
            <w:tcW w:w="550" w:type="pct"/>
            <w:tcBorders>
              <w:top w:val="nil"/>
              <w:left w:val="nil"/>
              <w:bottom w:val="single" w:sz="4" w:space="0" w:color="auto"/>
              <w:right w:val="nil"/>
            </w:tcBorders>
            <w:shd w:val="clear" w:color="auto" w:fill="auto"/>
            <w:noWrap/>
            <w:vAlign w:val="center"/>
            <w:hideMark/>
          </w:tcPr>
          <w:p w14:paraId="7E3A0F29" w14:textId="16CDC7D2"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sz w:val="16"/>
                <w:szCs w:val="16"/>
                <w:bdr w:val="none" w:sz="0" w:space="0" w:color="auto"/>
                <w:lang w:eastAsia="es-ES"/>
              </w:rPr>
              <w:t>-</w:t>
            </w:r>
          </w:p>
        </w:tc>
        <w:tc>
          <w:tcPr>
            <w:tcW w:w="716" w:type="pct"/>
            <w:tcBorders>
              <w:top w:val="nil"/>
              <w:left w:val="nil"/>
              <w:bottom w:val="single" w:sz="4" w:space="0" w:color="auto"/>
              <w:right w:val="nil"/>
            </w:tcBorders>
            <w:shd w:val="clear" w:color="auto" w:fill="auto"/>
            <w:noWrap/>
            <w:vAlign w:val="center"/>
          </w:tcPr>
          <w:p w14:paraId="6ED8EF1B" w14:textId="0CF98624"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714" w:type="pct"/>
            <w:tcBorders>
              <w:top w:val="nil"/>
              <w:left w:val="nil"/>
              <w:bottom w:val="single" w:sz="4" w:space="0" w:color="auto"/>
              <w:right w:val="nil"/>
            </w:tcBorders>
            <w:shd w:val="clear" w:color="auto" w:fill="auto"/>
            <w:noWrap/>
            <w:vAlign w:val="center"/>
          </w:tcPr>
          <w:p w14:paraId="1359DDBD" w14:textId="5B9BBEFC"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632" w:type="pct"/>
            <w:tcBorders>
              <w:top w:val="nil"/>
              <w:left w:val="nil"/>
              <w:bottom w:val="single" w:sz="4" w:space="0" w:color="auto"/>
              <w:right w:val="nil"/>
            </w:tcBorders>
            <w:shd w:val="clear" w:color="auto" w:fill="auto"/>
            <w:noWrap/>
            <w:vAlign w:val="center"/>
          </w:tcPr>
          <w:p w14:paraId="799C6A1B" w14:textId="00FAB453"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716" w:type="pct"/>
            <w:tcBorders>
              <w:top w:val="nil"/>
              <w:left w:val="nil"/>
              <w:bottom w:val="single" w:sz="4" w:space="0" w:color="auto"/>
              <w:right w:val="nil"/>
            </w:tcBorders>
            <w:shd w:val="clear" w:color="auto" w:fill="auto"/>
            <w:noWrap/>
            <w:vAlign w:val="center"/>
          </w:tcPr>
          <w:p w14:paraId="009F94D5" w14:textId="2CE48169"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r>
      <w:tr w:rsidR="00D053B4" w:rsidRPr="00724D7B" w14:paraId="3B74CF9B" w14:textId="77777777" w:rsidTr="00D053B4">
        <w:trPr>
          <w:trHeight w:val="283"/>
        </w:trPr>
        <w:tc>
          <w:tcPr>
            <w:tcW w:w="1672" w:type="pct"/>
            <w:tcBorders>
              <w:top w:val="single" w:sz="4" w:space="0" w:color="auto"/>
              <w:left w:val="nil"/>
              <w:bottom w:val="single" w:sz="4" w:space="0" w:color="auto"/>
              <w:right w:val="nil"/>
            </w:tcBorders>
            <w:shd w:val="clear" w:color="auto" w:fill="F2F2F2" w:themeFill="background1" w:themeFillShade="F2"/>
            <w:noWrap/>
            <w:vAlign w:val="center"/>
            <w:hideMark/>
          </w:tcPr>
          <w:p w14:paraId="553DA805" w14:textId="5FD9264C"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FINAL 31.12.</w:t>
            </w:r>
            <w:r>
              <w:rPr>
                <w:rFonts w:eastAsia="Times New Roman"/>
                <w:b/>
                <w:bCs/>
                <w:sz w:val="16"/>
                <w:szCs w:val="16"/>
                <w:bdr w:val="none" w:sz="0" w:space="0" w:color="auto"/>
                <w:lang w:eastAsia="es-ES"/>
              </w:rPr>
              <w:t>22</w:t>
            </w:r>
          </w:p>
        </w:tc>
        <w:tc>
          <w:tcPr>
            <w:tcW w:w="550" w:type="pct"/>
            <w:tcBorders>
              <w:top w:val="single" w:sz="4" w:space="0" w:color="auto"/>
              <w:left w:val="nil"/>
              <w:bottom w:val="single" w:sz="4" w:space="0" w:color="auto"/>
              <w:right w:val="nil"/>
            </w:tcBorders>
            <w:shd w:val="clear" w:color="auto" w:fill="F2F2F2" w:themeFill="background1" w:themeFillShade="F2"/>
            <w:noWrap/>
            <w:vAlign w:val="center"/>
            <w:hideMark/>
          </w:tcPr>
          <w:p w14:paraId="3963BB64" w14:textId="4F12F6DA"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600.000,00</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48571690" w14:textId="521FB66C"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2.327.888,00</w:t>
            </w:r>
          </w:p>
        </w:tc>
        <w:tc>
          <w:tcPr>
            <w:tcW w:w="714" w:type="pct"/>
            <w:tcBorders>
              <w:top w:val="single" w:sz="4" w:space="0" w:color="auto"/>
              <w:left w:val="nil"/>
              <w:bottom w:val="single" w:sz="4" w:space="0" w:color="auto"/>
              <w:right w:val="nil"/>
            </w:tcBorders>
            <w:shd w:val="clear" w:color="auto" w:fill="F2F2F2" w:themeFill="background1" w:themeFillShade="F2"/>
            <w:noWrap/>
            <w:vAlign w:val="center"/>
          </w:tcPr>
          <w:p w14:paraId="50097D9C" w14:textId="70D1659C"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(2.327.888,00)</w:t>
            </w:r>
          </w:p>
        </w:tc>
        <w:tc>
          <w:tcPr>
            <w:tcW w:w="632" w:type="pct"/>
            <w:tcBorders>
              <w:top w:val="single" w:sz="4" w:space="0" w:color="auto"/>
              <w:left w:val="nil"/>
              <w:bottom w:val="single" w:sz="4" w:space="0" w:color="auto"/>
              <w:right w:val="nil"/>
            </w:tcBorders>
            <w:shd w:val="clear" w:color="auto" w:fill="F2F2F2" w:themeFill="background1" w:themeFillShade="F2"/>
            <w:noWrap/>
            <w:vAlign w:val="center"/>
          </w:tcPr>
          <w:p w14:paraId="1724A7B6" w14:textId="60A4FDE7"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118.536,68</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7442A304" w14:textId="7B881715"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718.536,68</w:t>
            </w:r>
          </w:p>
        </w:tc>
      </w:tr>
      <w:tr w:rsidR="00BA5560" w:rsidRPr="00724D7B" w14:paraId="293943BA" w14:textId="77777777" w:rsidTr="00D053B4">
        <w:trPr>
          <w:trHeight w:val="283"/>
        </w:trPr>
        <w:tc>
          <w:tcPr>
            <w:tcW w:w="1672" w:type="pct"/>
            <w:tcBorders>
              <w:top w:val="single" w:sz="4" w:space="0" w:color="auto"/>
              <w:left w:val="nil"/>
              <w:bottom w:val="single" w:sz="4" w:space="0" w:color="auto"/>
              <w:right w:val="nil"/>
            </w:tcBorders>
            <w:shd w:val="clear" w:color="auto" w:fill="auto"/>
            <w:noWrap/>
            <w:vAlign w:val="center"/>
            <w:hideMark/>
          </w:tcPr>
          <w:p w14:paraId="0B4D5098" w14:textId="77777777"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Ajustes corrección de errores</w:t>
            </w:r>
          </w:p>
        </w:tc>
        <w:tc>
          <w:tcPr>
            <w:tcW w:w="550" w:type="pct"/>
            <w:tcBorders>
              <w:top w:val="single" w:sz="4" w:space="0" w:color="auto"/>
              <w:left w:val="nil"/>
              <w:bottom w:val="single" w:sz="4" w:space="0" w:color="auto"/>
              <w:right w:val="nil"/>
            </w:tcBorders>
            <w:shd w:val="clear" w:color="auto" w:fill="auto"/>
            <w:noWrap/>
            <w:vAlign w:val="center"/>
            <w:hideMark/>
          </w:tcPr>
          <w:p w14:paraId="30197E2F" w14:textId="77777777"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w:t>
            </w:r>
          </w:p>
        </w:tc>
        <w:tc>
          <w:tcPr>
            <w:tcW w:w="716" w:type="pct"/>
            <w:tcBorders>
              <w:top w:val="single" w:sz="4" w:space="0" w:color="auto"/>
              <w:left w:val="nil"/>
              <w:bottom w:val="single" w:sz="4" w:space="0" w:color="auto"/>
              <w:right w:val="nil"/>
            </w:tcBorders>
            <w:shd w:val="clear" w:color="auto" w:fill="auto"/>
            <w:noWrap/>
            <w:vAlign w:val="center"/>
          </w:tcPr>
          <w:p w14:paraId="7A26C8E3" w14:textId="37F59E73"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c>
          <w:tcPr>
            <w:tcW w:w="714" w:type="pct"/>
            <w:tcBorders>
              <w:top w:val="single" w:sz="4" w:space="0" w:color="auto"/>
              <w:left w:val="nil"/>
              <w:bottom w:val="single" w:sz="4" w:space="0" w:color="auto"/>
              <w:right w:val="nil"/>
            </w:tcBorders>
            <w:shd w:val="clear" w:color="auto" w:fill="auto"/>
            <w:noWrap/>
            <w:vAlign w:val="center"/>
          </w:tcPr>
          <w:p w14:paraId="3CF5AF37" w14:textId="64CC7DB6"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c>
          <w:tcPr>
            <w:tcW w:w="632" w:type="pct"/>
            <w:tcBorders>
              <w:top w:val="single" w:sz="4" w:space="0" w:color="auto"/>
              <w:left w:val="nil"/>
              <w:bottom w:val="single" w:sz="4" w:space="0" w:color="auto"/>
              <w:right w:val="nil"/>
            </w:tcBorders>
            <w:shd w:val="clear" w:color="auto" w:fill="auto"/>
            <w:noWrap/>
            <w:vAlign w:val="center"/>
          </w:tcPr>
          <w:p w14:paraId="384FA979" w14:textId="13FFAA74"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c>
          <w:tcPr>
            <w:tcW w:w="716" w:type="pct"/>
            <w:tcBorders>
              <w:top w:val="single" w:sz="4" w:space="0" w:color="auto"/>
              <w:left w:val="nil"/>
              <w:bottom w:val="single" w:sz="4" w:space="0" w:color="auto"/>
              <w:right w:val="nil"/>
            </w:tcBorders>
            <w:shd w:val="clear" w:color="auto" w:fill="auto"/>
            <w:noWrap/>
            <w:vAlign w:val="center"/>
          </w:tcPr>
          <w:p w14:paraId="63254E49" w14:textId="523AD6DE"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FB2137">
              <w:rPr>
                <w:b/>
                <w:bCs/>
                <w:sz w:val="16"/>
                <w:szCs w:val="16"/>
              </w:rPr>
              <w:t xml:space="preserve"> -</w:t>
            </w:r>
          </w:p>
        </w:tc>
      </w:tr>
      <w:tr w:rsidR="00D053B4" w:rsidRPr="00724D7B" w14:paraId="5D896EDB" w14:textId="77777777" w:rsidTr="00D053B4">
        <w:trPr>
          <w:trHeight w:val="283"/>
        </w:trPr>
        <w:tc>
          <w:tcPr>
            <w:tcW w:w="1672" w:type="pct"/>
            <w:tcBorders>
              <w:top w:val="single" w:sz="4" w:space="0" w:color="auto"/>
              <w:left w:val="nil"/>
              <w:bottom w:val="single" w:sz="4" w:space="0" w:color="auto"/>
              <w:right w:val="nil"/>
            </w:tcBorders>
            <w:shd w:val="clear" w:color="auto" w:fill="F2F2F2" w:themeFill="background1" w:themeFillShade="F2"/>
            <w:noWrap/>
            <w:vAlign w:val="center"/>
            <w:hideMark/>
          </w:tcPr>
          <w:p w14:paraId="14E7FE0E" w14:textId="76295404"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AJUSTADO, 01.01.2</w:t>
            </w:r>
            <w:r>
              <w:rPr>
                <w:rFonts w:eastAsia="Times New Roman"/>
                <w:b/>
                <w:bCs/>
                <w:sz w:val="16"/>
                <w:szCs w:val="16"/>
                <w:bdr w:val="none" w:sz="0" w:space="0" w:color="auto"/>
                <w:lang w:eastAsia="es-ES"/>
              </w:rPr>
              <w:t>3</w:t>
            </w:r>
          </w:p>
        </w:tc>
        <w:tc>
          <w:tcPr>
            <w:tcW w:w="550" w:type="pct"/>
            <w:tcBorders>
              <w:top w:val="single" w:sz="4" w:space="0" w:color="auto"/>
              <w:left w:val="nil"/>
              <w:bottom w:val="single" w:sz="4" w:space="0" w:color="auto"/>
              <w:right w:val="nil"/>
            </w:tcBorders>
            <w:shd w:val="clear" w:color="auto" w:fill="F2F2F2" w:themeFill="background1" w:themeFillShade="F2"/>
            <w:noWrap/>
            <w:vAlign w:val="center"/>
          </w:tcPr>
          <w:p w14:paraId="230A1D81" w14:textId="61CD70CB"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600.000,00</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5609D3F9" w14:textId="3E283103"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ascii="Trebuchet MS" w:hAnsi="Trebuchet MS" w:cs="Calibri"/>
                <w:b/>
                <w:bCs/>
                <w:sz w:val="16"/>
                <w:szCs w:val="16"/>
              </w:rPr>
              <w:t>2.327.888,00</w:t>
            </w:r>
          </w:p>
        </w:tc>
        <w:tc>
          <w:tcPr>
            <w:tcW w:w="714" w:type="pct"/>
            <w:tcBorders>
              <w:top w:val="single" w:sz="4" w:space="0" w:color="auto"/>
              <w:left w:val="nil"/>
              <w:bottom w:val="single" w:sz="4" w:space="0" w:color="auto"/>
              <w:right w:val="nil"/>
            </w:tcBorders>
            <w:shd w:val="clear" w:color="auto" w:fill="F2F2F2" w:themeFill="background1" w:themeFillShade="F2"/>
            <w:noWrap/>
            <w:vAlign w:val="center"/>
          </w:tcPr>
          <w:p w14:paraId="5215D604" w14:textId="6E8A6DD7"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ascii="Trebuchet MS" w:hAnsi="Trebuchet MS" w:cs="Calibri"/>
                <w:b/>
                <w:bCs/>
                <w:sz w:val="16"/>
                <w:szCs w:val="16"/>
              </w:rPr>
              <w:t>(2.327.888,00)</w:t>
            </w:r>
          </w:p>
        </w:tc>
        <w:tc>
          <w:tcPr>
            <w:tcW w:w="632" w:type="pct"/>
            <w:tcBorders>
              <w:top w:val="single" w:sz="4" w:space="0" w:color="auto"/>
              <w:left w:val="nil"/>
              <w:bottom w:val="single" w:sz="4" w:space="0" w:color="auto"/>
              <w:right w:val="nil"/>
            </w:tcBorders>
            <w:shd w:val="clear" w:color="auto" w:fill="F2F2F2" w:themeFill="background1" w:themeFillShade="F2"/>
            <w:noWrap/>
            <w:vAlign w:val="center"/>
          </w:tcPr>
          <w:p w14:paraId="2AC03A23" w14:textId="000D2050"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ascii="Trebuchet MS" w:hAnsi="Trebuchet MS" w:cs="Calibri"/>
                <w:b/>
                <w:bCs/>
                <w:sz w:val="16"/>
                <w:szCs w:val="16"/>
              </w:rPr>
              <w:t>118.536,68</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2B830CA9" w14:textId="39442301"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ascii="Trebuchet MS" w:hAnsi="Trebuchet MS" w:cs="Calibri"/>
                <w:b/>
                <w:bCs/>
                <w:sz w:val="16"/>
                <w:szCs w:val="16"/>
              </w:rPr>
              <w:t>718.536,68</w:t>
            </w:r>
          </w:p>
        </w:tc>
      </w:tr>
      <w:tr w:rsidR="003D1564" w:rsidRPr="00724D7B" w14:paraId="2F120B83" w14:textId="77777777" w:rsidTr="00D053B4">
        <w:trPr>
          <w:trHeight w:val="283"/>
        </w:trPr>
        <w:tc>
          <w:tcPr>
            <w:tcW w:w="1672" w:type="pct"/>
            <w:tcBorders>
              <w:top w:val="single" w:sz="4" w:space="0" w:color="auto"/>
              <w:left w:val="nil"/>
              <w:bottom w:val="nil"/>
              <w:right w:val="nil"/>
            </w:tcBorders>
            <w:shd w:val="clear" w:color="auto" w:fill="auto"/>
            <w:noWrap/>
            <w:vAlign w:val="center"/>
            <w:hideMark/>
          </w:tcPr>
          <w:p w14:paraId="7C6EC1FD" w14:textId="77777777" w:rsidR="003D1564" w:rsidRPr="00724D7B"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Total ingresos y gastos reconocidos</w:t>
            </w:r>
          </w:p>
        </w:tc>
        <w:tc>
          <w:tcPr>
            <w:tcW w:w="550" w:type="pct"/>
            <w:tcBorders>
              <w:top w:val="single" w:sz="4" w:space="0" w:color="auto"/>
              <w:left w:val="nil"/>
              <w:bottom w:val="nil"/>
              <w:right w:val="nil"/>
            </w:tcBorders>
            <w:shd w:val="clear" w:color="auto" w:fill="auto"/>
            <w:noWrap/>
            <w:vAlign w:val="center"/>
          </w:tcPr>
          <w:p w14:paraId="4014FF78" w14:textId="56CB289C" w:rsidR="003D1564" w:rsidRPr="00724D7B"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716" w:type="pct"/>
            <w:tcBorders>
              <w:top w:val="single" w:sz="4" w:space="0" w:color="auto"/>
              <w:left w:val="nil"/>
              <w:bottom w:val="nil"/>
              <w:right w:val="nil"/>
            </w:tcBorders>
            <w:shd w:val="clear" w:color="auto" w:fill="auto"/>
            <w:noWrap/>
            <w:vAlign w:val="center"/>
          </w:tcPr>
          <w:p w14:paraId="1C2F3AAB" w14:textId="08A6F4D3"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1564">
              <w:rPr>
                <w:sz w:val="16"/>
                <w:szCs w:val="16"/>
              </w:rPr>
              <w:t xml:space="preserve"> -</w:t>
            </w:r>
          </w:p>
        </w:tc>
        <w:tc>
          <w:tcPr>
            <w:tcW w:w="714" w:type="pct"/>
            <w:tcBorders>
              <w:top w:val="single" w:sz="4" w:space="0" w:color="auto"/>
              <w:left w:val="nil"/>
              <w:bottom w:val="nil"/>
              <w:right w:val="nil"/>
            </w:tcBorders>
            <w:shd w:val="clear" w:color="auto" w:fill="auto"/>
            <w:noWrap/>
            <w:vAlign w:val="center"/>
          </w:tcPr>
          <w:p w14:paraId="5AEA7C60" w14:textId="28EFD1E2"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1564">
              <w:rPr>
                <w:sz w:val="16"/>
                <w:szCs w:val="16"/>
              </w:rPr>
              <w:t>(3.577.139,00)</w:t>
            </w:r>
          </w:p>
        </w:tc>
        <w:tc>
          <w:tcPr>
            <w:tcW w:w="632" w:type="pct"/>
            <w:tcBorders>
              <w:top w:val="single" w:sz="4" w:space="0" w:color="auto"/>
              <w:left w:val="nil"/>
              <w:bottom w:val="nil"/>
              <w:right w:val="nil"/>
            </w:tcBorders>
            <w:shd w:val="clear" w:color="auto" w:fill="auto"/>
            <w:noWrap/>
            <w:vAlign w:val="center"/>
          </w:tcPr>
          <w:p w14:paraId="70B25470" w14:textId="0A3F0AFC"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1564">
              <w:rPr>
                <w:sz w:val="16"/>
                <w:szCs w:val="16"/>
              </w:rPr>
              <w:t>(53.864,43)</w:t>
            </w:r>
          </w:p>
        </w:tc>
        <w:tc>
          <w:tcPr>
            <w:tcW w:w="716" w:type="pct"/>
            <w:tcBorders>
              <w:top w:val="single" w:sz="4" w:space="0" w:color="auto"/>
              <w:left w:val="nil"/>
              <w:bottom w:val="nil"/>
              <w:right w:val="nil"/>
            </w:tcBorders>
            <w:shd w:val="clear" w:color="auto" w:fill="auto"/>
            <w:noWrap/>
            <w:vAlign w:val="center"/>
          </w:tcPr>
          <w:p w14:paraId="045E41E1" w14:textId="086BF025"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1564">
              <w:rPr>
                <w:sz w:val="16"/>
                <w:szCs w:val="16"/>
              </w:rPr>
              <w:t>(3.631.003,43)</w:t>
            </w:r>
          </w:p>
        </w:tc>
      </w:tr>
      <w:tr w:rsidR="003D1564" w:rsidRPr="00724D7B" w14:paraId="7366D61E" w14:textId="77777777" w:rsidTr="00D053B4">
        <w:trPr>
          <w:trHeight w:val="283"/>
        </w:trPr>
        <w:tc>
          <w:tcPr>
            <w:tcW w:w="1672" w:type="pct"/>
            <w:tcBorders>
              <w:top w:val="nil"/>
              <w:left w:val="nil"/>
              <w:bottom w:val="nil"/>
              <w:right w:val="nil"/>
            </w:tcBorders>
            <w:shd w:val="clear" w:color="auto" w:fill="auto"/>
            <w:noWrap/>
            <w:vAlign w:val="center"/>
            <w:hideMark/>
          </w:tcPr>
          <w:p w14:paraId="625071F6" w14:textId="77777777" w:rsidR="003D1564" w:rsidRPr="00724D7B"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Operaciones con socios</w:t>
            </w:r>
          </w:p>
        </w:tc>
        <w:tc>
          <w:tcPr>
            <w:tcW w:w="550" w:type="pct"/>
            <w:tcBorders>
              <w:top w:val="nil"/>
              <w:left w:val="nil"/>
              <w:bottom w:val="nil"/>
              <w:right w:val="nil"/>
            </w:tcBorders>
            <w:shd w:val="clear" w:color="auto" w:fill="auto"/>
            <w:noWrap/>
            <w:vAlign w:val="center"/>
          </w:tcPr>
          <w:p w14:paraId="4330CE3F" w14:textId="20CB58EB" w:rsidR="003D1564" w:rsidRPr="00724D7B"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716" w:type="pct"/>
            <w:tcBorders>
              <w:top w:val="nil"/>
              <w:left w:val="nil"/>
              <w:bottom w:val="nil"/>
              <w:right w:val="nil"/>
            </w:tcBorders>
            <w:shd w:val="clear" w:color="auto" w:fill="auto"/>
            <w:noWrap/>
            <w:vAlign w:val="center"/>
          </w:tcPr>
          <w:p w14:paraId="3D6028D6" w14:textId="03C2F5BC"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3D1564">
              <w:rPr>
                <w:sz w:val="16"/>
                <w:szCs w:val="16"/>
              </w:rPr>
              <w:t>3.577.139,00</w:t>
            </w:r>
          </w:p>
        </w:tc>
        <w:tc>
          <w:tcPr>
            <w:tcW w:w="714" w:type="pct"/>
            <w:tcBorders>
              <w:top w:val="nil"/>
              <w:left w:val="nil"/>
              <w:bottom w:val="nil"/>
              <w:right w:val="nil"/>
            </w:tcBorders>
            <w:shd w:val="clear" w:color="auto" w:fill="auto"/>
            <w:noWrap/>
            <w:vAlign w:val="center"/>
          </w:tcPr>
          <w:p w14:paraId="2D0B73CF" w14:textId="39868CCA"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1564">
              <w:rPr>
                <w:sz w:val="16"/>
                <w:szCs w:val="16"/>
              </w:rPr>
              <w:t xml:space="preserve"> -</w:t>
            </w:r>
          </w:p>
        </w:tc>
        <w:tc>
          <w:tcPr>
            <w:tcW w:w="632" w:type="pct"/>
            <w:tcBorders>
              <w:top w:val="nil"/>
              <w:left w:val="nil"/>
              <w:bottom w:val="nil"/>
              <w:right w:val="nil"/>
            </w:tcBorders>
            <w:shd w:val="clear" w:color="auto" w:fill="auto"/>
            <w:noWrap/>
            <w:vAlign w:val="center"/>
          </w:tcPr>
          <w:p w14:paraId="2B668C6A" w14:textId="547C09D3"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3D1564">
              <w:rPr>
                <w:sz w:val="16"/>
                <w:szCs w:val="16"/>
              </w:rPr>
              <w:t xml:space="preserve"> -</w:t>
            </w:r>
          </w:p>
        </w:tc>
        <w:tc>
          <w:tcPr>
            <w:tcW w:w="716" w:type="pct"/>
            <w:tcBorders>
              <w:top w:val="nil"/>
              <w:left w:val="nil"/>
              <w:bottom w:val="nil"/>
              <w:right w:val="nil"/>
            </w:tcBorders>
            <w:shd w:val="clear" w:color="auto" w:fill="auto"/>
            <w:noWrap/>
            <w:vAlign w:val="center"/>
          </w:tcPr>
          <w:p w14:paraId="18258B89" w14:textId="372A2DE4" w:rsidR="003D1564" w:rsidRPr="003D156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3D1564">
              <w:rPr>
                <w:sz w:val="16"/>
                <w:szCs w:val="16"/>
              </w:rPr>
              <w:t>3.577.139,00</w:t>
            </w:r>
          </w:p>
        </w:tc>
      </w:tr>
      <w:tr w:rsidR="00D053B4" w:rsidRPr="00724D7B" w14:paraId="6CDC5B04" w14:textId="77777777" w:rsidTr="00D053B4">
        <w:trPr>
          <w:trHeight w:val="283"/>
        </w:trPr>
        <w:tc>
          <w:tcPr>
            <w:tcW w:w="1672" w:type="pct"/>
            <w:tcBorders>
              <w:top w:val="nil"/>
              <w:left w:val="nil"/>
              <w:right w:val="nil"/>
            </w:tcBorders>
            <w:shd w:val="clear" w:color="auto" w:fill="auto"/>
            <w:noWrap/>
            <w:vAlign w:val="center"/>
          </w:tcPr>
          <w:p w14:paraId="4B312473" w14:textId="001BBF95"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 xml:space="preserve">Distribución del </w:t>
            </w:r>
            <w:proofErr w:type="spellStart"/>
            <w:r w:rsidRPr="00724D7B">
              <w:rPr>
                <w:rFonts w:eastAsia="Times New Roman"/>
                <w:sz w:val="16"/>
                <w:szCs w:val="16"/>
                <w:bdr w:val="none" w:sz="0" w:space="0" w:color="auto"/>
                <w:lang w:eastAsia="es-ES"/>
              </w:rPr>
              <w:t>rtdo</w:t>
            </w:r>
            <w:proofErr w:type="spellEnd"/>
            <w:r w:rsidRPr="00724D7B">
              <w:rPr>
                <w:rFonts w:eastAsia="Times New Roman"/>
                <w:sz w:val="16"/>
                <w:szCs w:val="16"/>
                <w:bdr w:val="none" w:sz="0" w:space="0" w:color="auto"/>
                <w:lang w:eastAsia="es-ES"/>
              </w:rPr>
              <w:t xml:space="preserve"> del ejercicio anterior</w:t>
            </w:r>
          </w:p>
        </w:tc>
        <w:tc>
          <w:tcPr>
            <w:tcW w:w="550" w:type="pct"/>
            <w:tcBorders>
              <w:top w:val="nil"/>
              <w:left w:val="nil"/>
              <w:right w:val="nil"/>
            </w:tcBorders>
            <w:shd w:val="clear" w:color="auto" w:fill="auto"/>
            <w:noWrap/>
            <w:vAlign w:val="center"/>
          </w:tcPr>
          <w:p w14:paraId="37502AD1" w14:textId="72DAC7CA" w:rsidR="00D053B4" w:rsidRPr="00724D7B"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716" w:type="pct"/>
            <w:tcBorders>
              <w:top w:val="nil"/>
              <w:left w:val="nil"/>
              <w:right w:val="nil"/>
            </w:tcBorders>
            <w:shd w:val="clear" w:color="auto" w:fill="auto"/>
            <w:noWrap/>
            <w:vAlign w:val="center"/>
          </w:tcPr>
          <w:p w14:paraId="79C77E2D" w14:textId="6B42E121" w:rsidR="00D053B4" w:rsidRPr="00D053B4"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053B4">
              <w:rPr>
                <w:sz w:val="16"/>
                <w:szCs w:val="16"/>
              </w:rPr>
              <w:t>(2.327.888,00)</w:t>
            </w:r>
          </w:p>
        </w:tc>
        <w:tc>
          <w:tcPr>
            <w:tcW w:w="714" w:type="pct"/>
            <w:tcBorders>
              <w:top w:val="nil"/>
              <w:left w:val="nil"/>
              <w:right w:val="nil"/>
            </w:tcBorders>
            <w:shd w:val="clear" w:color="auto" w:fill="auto"/>
            <w:noWrap/>
            <w:vAlign w:val="center"/>
          </w:tcPr>
          <w:p w14:paraId="75407EED" w14:textId="0DE0421C" w:rsidR="00D053B4" w:rsidRPr="00D053B4"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053B4">
              <w:rPr>
                <w:sz w:val="16"/>
                <w:szCs w:val="16"/>
              </w:rPr>
              <w:t>2.327.888,00</w:t>
            </w:r>
          </w:p>
        </w:tc>
        <w:tc>
          <w:tcPr>
            <w:tcW w:w="632" w:type="pct"/>
            <w:tcBorders>
              <w:top w:val="nil"/>
              <w:left w:val="nil"/>
              <w:right w:val="nil"/>
            </w:tcBorders>
            <w:shd w:val="clear" w:color="auto" w:fill="auto"/>
            <w:noWrap/>
            <w:vAlign w:val="center"/>
          </w:tcPr>
          <w:p w14:paraId="46525098" w14:textId="76AFC535"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716" w:type="pct"/>
            <w:tcBorders>
              <w:top w:val="nil"/>
              <w:left w:val="nil"/>
              <w:right w:val="nil"/>
            </w:tcBorders>
            <w:shd w:val="clear" w:color="auto" w:fill="auto"/>
            <w:noWrap/>
            <w:vAlign w:val="center"/>
          </w:tcPr>
          <w:p w14:paraId="5EEAB2DB" w14:textId="502D7B90" w:rsidR="00D053B4" w:rsidRPr="00FB2137" w:rsidRDefault="00D053B4" w:rsidP="00D053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r>
      <w:tr w:rsidR="00BA5560" w:rsidRPr="00724D7B" w14:paraId="51F97058" w14:textId="77777777" w:rsidTr="00D053B4">
        <w:trPr>
          <w:trHeight w:val="283"/>
        </w:trPr>
        <w:tc>
          <w:tcPr>
            <w:tcW w:w="1672" w:type="pct"/>
            <w:tcBorders>
              <w:top w:val="nil"/>
              <w:left w:val="nil"/>
              <w:bottom w:val="single" w:sz="4" w:space="0" w:color="auto"/>
              <w:right w:val="nil"/>
            </w:tcBorders>
            <w:shd w:val="clear" w:color="auto" w:fill="auto"/>
            <w:noWrap/>
            <w:vAlign w:val="center"/>
            <w:hideMark/>
          </w:tcPr>
          <w:p w14:paraId="5C9C9207" w14:textId="77777777"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24D7B">
              <w:rPr>
                <w:rFonts w:eastAsia="Times New Roman"/>
                <w:sz w:val="16"/>
                <w:szCs w:val="16"/>
                <w:bdr w:val="none" w:sz="0" w:space="0" w:color="auto"/>
                <w:lang w:eastAsia="es-ES"/>
              </w:rPr>
              <w:t>Otras variaciones</w:t>
            </w:r>
          </w:p>
        </w:tc>
        <w:tc>
          <w:tcPr>
            <w:tcW w:w="550" w:type="pct"/>
            <w:tcBorders>
              <w:top w:val="nil"/>
              <w:left w:val="nil"/>
              <w:bottom w:val="single" w:sz="4" w:space="0" w:color="auto"/>
              <w:right w:val="nil"/>
            </w:tcBorders>
            <w:shd w:val="clear" w:color="auto" w:fill="auto"/>
            <w:noWrap/>
            <w:vAlign w:val="center"/>
          </w:tcPr>
          <w:p w14:paraId="7D9AEDD5" w14:textId="2B890A4E" w:rsidR="00BA5560" w:rsidRPr="00724D7B"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24D7B">
              <w:rPr>
                <w:b/>
                <w:bCs/>
                <w:sz w:val="16"/>
                <w:szCs w:val="16"/>
              </w:rPr>
              <w:t xml:space="preserve"> -</w:t>
            </w:r>
          </w:p>
        </w:tc>
        <w:tc>
          <w:tcPr>
            <w:tcW w:w="716" w:type="pct"/>
            <w:tcBorders>
              <w:top w:val="nil"/>
              <w:left w:val="nil"/>
              <w:bottom w:val="single" w:sz="4" w:space="0" w:color="auto"/>
              <w:right w:val="nil"/>
            </w:tcBorders>
            <w:shd w:val="clear" w:color="auto" w:fill="auto"/>
            <w:noWrap/>
            <w:vAlign w:val="center"/>
          </w:tcPr>
          <w:p w14:paraId="75B79389" w14:textId="5FE02DAA"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714" w:type="pct"/>
            <w:tcBorders>
              <w:top w:val="nil"/>
              <w:left w:val="nil"/>
              <w:bottom w:val="single" w:sz="4" w:space="0" w:color="auto"/>
              <w:right w:val="nil"/>
            </w:tcBorders>
            <w:shd w:val="clear" w:color="auto" w:fill="auto"/>
            <w:noWrap/>
            <w:vAlign w:val="center"/>
          </w:tcPr>
          <w:p w14:paraId="1EA3D69F" w14:textId="3644C746"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632" w:type="pct"/>
            <w:tcBorders>
              <w:top w:val="nil"/>
              <w:left w:val="nil"/>
              <w:bottom w:val="single" w:sz="4" w:space="0" w:color="auto"/>
              <w:right w:val="nil"/>
            </w:tcBorders>
            <w:shd w:val="clear" w:color="auto" w:fill="auto"/>
            <w:noWrap/>
            <w:vAlign w:val="center"/>
          </w:tcPr>
          <w:p w14:paraId="0E6D6250" w14:textId="079D8D38"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c>
          <w:tcPr>
            <w:tcW w:w="716" w:type="pct"/>
            <w:tcBorders>
              <w:top w:val="nil"/>
              <w:left w:val="nil"/>
              <w:bottom w:val="single" w:sz="4" w:space="0" w:color="auto"/>
              <w:right w:val="nil"/>
            </w:tcBorders>
            <w:shd w:val="clear" w:color="auto" w:fill="auto"/>
            <w:noWrap/>
            <w:vAlign w:val="center"/>
          </w:tcPr>
          <w:p w14:paraId="156154A8" w14:textId="423F4714" w:rsidR="00BA5560" w:rsidRPr="00FB2137" w:rsidRDefault="00BA5560" w:rsidP="00FB213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FB2137">
              <w:rPr>
                <w:sz w:val="16"/>
                <w:szCs w:val="16"/>
              </w:rPr>
              <w:t xml:space="preserve"> -</w:t>
            </w:r>
          </w:p>
        </w:tc>
      </w:tr>
      <w:tr w:rsidR="003D1564" w:rsidRPr="00724D7B" w14:paraId="21387E3E" w14:textId="77777777" w:rsidTr="00D053B4">
        <w:trPr>
          <w:trHeight w:val="283"/>
        </w:trPr>
        <w:tc>
          <w:tcPr>
            <w:tcW w:w="1672" w:type="pct"/>
            <w:tcBorders>
              <w:top w:val="single" w:sz="4" w:space="0" w:color="auto"/>
              <w:left w:val="nil"/>
              <w:bottom w:val="single" w:sz="4" w:space="0" w:color="auto"/>
              <w:right w:val="nil"/>
            </w:tcBorders>
            <w:shd w:val="clear" w:color="auto" w:fill="F2F2F2" w:themeFill="background1" w:themeFillShade="F2"/>
            <w:noWrap/>
            <w:vAlign w:val="center"/>
            <w:hideMark/>
          </w:tcPr>
          <w:p w14:paraId="6957CC76" w14:textId="7F2BC7B1" w:rsidR="003D1564" w:rsidRPr="00724D7B"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24D7B">
              <w:rPr>
                <w:rFonts w:eastAsia="Times New Roman"/>
                <w:b/>
                <w:bCs/>
                <w:sz w:val="16"/>
                <w:szCs w:val="16"/>
                <w:bdr w:val="none" w:sz="0" w:space="0" w:color="auto"/>
                <w:lang w:eastAsia="es-ES"/>
              </w:rPr>
              <w:t>SALDO, FINAL 31.12.2</w:t>
            </w:r>
            <w:r w:rsidR="008D2CC2">
              <w:rPr>
                <w:rFonts w:eastAsia="Times New Roman"/>
                <w:b/>
                <w:bCs/>
                <w:sz w:val="16"/>
                <w:szCs w:val="16"/>
                <w:bdr w:val="none" w:sz="0" w:space="0" w:color="auto"/>
                <w:lang w:eastAsia="es-ES"/>
              </w:rPr>
              <w:t>3</w:t>
            </w:r>
          </w:p>
        </w:tc>
        <w:tc>
          <w:tcPr>
            <w:tcW w:w="550" w:type="pct"/>
            <w:tcBorders>
              <w:top w:val="single" w:sz="4" w:space="0" w:color="auto"/>
              <w:left w:val="nil"/>
              <w:bottom w:val="single" w:sz="4" w:space="0" w:color="auto"/>
              <w:right w:val="nil"/>
            </w:tcBorders>
            <w:shd w:val="clear" w:color="auto" w:fill="F2F2F2" w:themeFill="background1" w:themeFillShade="F2"/>
            <w:noWrap/>
            <w:vAlign w:val="center"/>
          </w:tcPr>
          <w:p w14:paraId="684BCBAB" w14:textId="2799A19D" w:rsidR="003D1564" w:rsidRPr="00724D7B"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24D7B">
              <w:rPr>
                <w:b/>
                <w:bCs/>
                <w:sz w:val="16"/>
                <w:szCs w:val="16"/>
              </w:rPr>
              <w:t>600.000,00</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7CE49721" w14:textId="1285C24C" w:rsidR="003D1564" w:rsidRPr="00D053B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D053B4">
              <w:rPr>
                <w:b/>
                <w:bCs/>
                <w:sz w:val="16"/>
                <w:szCs w:val="16"/>
              </w:rPr>
              <w:t>3.577.139,00</w:t>
            </w:r>
          </w:p>
        </w:tc>
        <w:tc>
          <w:tcPr>
            <w:tcW w:w="714" w:type="pct"/>
            <w:tcBorders>
              <w:top w:val="single" w:sz="4" w:space="0" w:color="auto"/>
              <w:left w:val="nil"/>
              <w:bottom w:val="single" w:sz="4" w:space="0" w:color="auto"/>
              <w:right w:val="nil"/>
            </w:tcBorders>
            <w:shd w:val="clear" w:color="auto" w:fill="F2F2F2" w:themeFill="background1" w:themeFillShade="F2"/>
            <w:noWrap/>
            <w:vAlign w:val="center"/>
          </w:tcPr>
          <w:p w14:paraId="6886C492" w14:textId="1311FEF0" w:rsidR="003D1564" w:rsidRPr="00D053B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(3.577.139,00)</w:t>
            </w:r>
          </w:p>
        </w:tc>
        <w:tc>
          <w:tcPr>
            <w:tcW w:w="632" w:type="pct"/>
            <w:tcBorders>
              <w:top w:val="single" w:sz="4" w:space="0" w:color="auto"/>
              <w:left w:val="nil"/>
              <w:bottom w:val="single" w:sz="4" w:space="0" w:color="auto"/>
              <w:right w:val="nil"/>
            </w:tcBorders>
            <w:shd w:val="clear" w:color="auto" w:fill="F2F2F2" w:themeFill="background1" w:themeFillShade="F2"/>
            <w:noWrap/>
            <w:vAlign w:val="center"/>
          </w:tcPr>
          <w:p w14:paraId="15301159" w14:textId="78C1FAE9" w:rsidR="003D1564" w:rsidRPr="00D053B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64.672,25</w:t>
            </w:r>
          </w:p>
        </w:tc>
        <w:tc>
          <w:tcPr>
            <w:tcW w:w="716" w:type="pct"/>
            <w:tcBorders>
              <w:top w:val="single" w:sz="4" w:space="0" w:color="auto"/>
              <w:left w:val="nil"/>
              <w:bottom w:val="single" w:sz="4" w:space="0" w:color="auto"/>
              <w:right w:val="nil"/>
            </w:tcBorders>
            <w:shd w:val="clear" w:color="auto" w:fill="F2F2F2" w:themeFill="background1" w:themeFillShade="F2"/>
            <w:noWrap/>
            <w:vAlign w:val="center"/>
          </w:tcPr>
          <w:p w14:paraId="701643EB" w14:textId="21A6FFCF" w:rsidR="003D1564" w:rsidRPr="00D053B4" w:rsidRDefault="003D1564" w:rsidP="003D156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664.672,25</w:t>
            </w:r>
          </w:p>
        </w:tc>
      </w:tr>
    </w:tbl>
    <w:p w14:paraId="321DFA29" w14:textId="7B68286F" w:rsidR="003A4111" w:rsidRPr="00BA5560" w:rsidRDefault="006220A2"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120"/>
        <w:jc w:val="center"/>
        <w:outlineLvl w:val="9"/>
        <w:rPr>
          <w:i/>
          <w:iCs/>
          <w:sz w:val="18"/>
          <w:szCs w:val="18"/>
        </w:rPr>
      </w:pPr>
      <w:r w:rsidRPr="00BA5560">
        <w:rPr>
          <w:i/>
          <w:iCs/>
          <w:sz w:val="18"/>
          <w:szCs w:val="18"/>
        </w:rPr>
        <w:t>Las Cuentas Anuales de la Sociedad, que forman una sola unidad, comprenden este Estado de Cambios en el Patrimonio Neto, el Balance, la Cuenta de Pérdidas y Ganancias, el Estado de Flujos de Efectivo adjuntos y la Memoria Anual adjunta q</w:t>
      </w:r>
      <w:r w:rsidR="00A721D1" w:rsidRPr="00BA5560">
        <w:rPr>
          <w:i/>
          <w:iCs/>
          <w:sz w:val="18"/>
          <w:szCs w:val="18"/>
        </w:rPr>
        <w:t>ue consta de 20</w:t>
      </w:r>
      <w:r w:rsidRPr="00BA5560">
        <w:rPr>
          <w:i/>
          <w:iCs/>
          <w:sz w:val="18"/>
          <w:szCs w:val="18"/>
        </w:rPr>
        <w:t xml:space="preserve"> Notas</w:t>
      </w:r>
      <w:r w:rsidRPr="00BA5560">
        <w:rPr>
          <w:i/>
          <w:iCs/>
          <w:sz w:val="18"/>
          <w:szCs w:val="18"/>
        </w:rPr>
        <w:br w:type="page"/>
      </w:r>
    </w:p>
    <w:p w14:paraId="41E1DBDD" w14:textId="77777777" w:rsidR="006220A2" w:rsidRPr="00C16D40" w:rsidRDefault="006220A2" w:rsidP="006220A2">
      <w:pPr>
        <w:widowControl w:val="0"/>
        <w:tabs>
          <w:tab w:val="left" w:pos="284"/>
          <w:tab w:val="left" w:pos="567"/>
          <w:tab w:val="left" w:pos="851"/>
        </w:tabs>
        <w:rPr>
          <w:b/>
          <w:snapToGrid w:val="0"/>
          <w:sz w:val="20"/>
        </w:rPr>
      </w:pPr>
      <w:r w:rsidRPr="00C16D40">
        <w:rPr>
          <w:b/>
          <w:snapToGrid w:val="0"/>
          <w:sz w:val="20"/>
        </w:rPr>
        <w:lastRenderedPageBreak/>
        <w:t>PROMOTUR TURISMO CANARIAS, S.A.</w:t>
      </w:r>
    </w:p>
    <w:p w14:paraId="2A3FB7D1" w14:textId="36B9B087" w:rsidR="006220A2" w:rsidRPr="00C16D40" w:rsidRDefault="006220A2" w:rsidP="002E3C11">
      <w:pPr>
        <w:widowControl w:val="0"/>
        <w:tabs>
          <w:tab w:val="left" w:pos="284"/>
          <w:tab w:val="left" w:pos="567"/>
          <w:tab w:val="left" w:pos="851"/>
        </w:tabs>
        <w:spacing w:after="120"/>
        <w:jc w:val="both"/>
        <w:rPr>
          <w:szCs w:val="18"/>
        </w:rPr>
      </w:pPr>
      <w:r w:rsidRPr="00C16D40">
        <w:rPr>
          <w:b/>
          <w:sz w:val="20"/>
        </w:rPr>
        <w:t>ESTADO DE FLUJOS DE EFECTIVO CORRESPONDIENTE AL EJERCICIO ANUAL TERM</w:t>
      </w:r>
      <w:r w:rsidR="00026BFA" w:rsidRPr="00C16D40">
        <w:rPr>
          <w:b/>
          <w:sz w:val="20"/>
        </w:rPr>
        <w:t>INADO EL 31 DE DICIEMBRE DE 20</w:t>
      </w:r>
      <w:r w:rsidR="00135E45" w:rsidRPr="00C16D40">
        <w:rPr>
          <w:b/>
          <w:sz w:val="20"/>
        </w:rPr>
        <w:t>2</w:t>
      </w:r>
      <w:r w:rsidR="00EC270D" w:rsidRPr="00C16D40">
        <w:rPr>
          <w:b/>
          <w:sz w:val="20"/>
        </w:rPr>
        <w:t>3</w:t>
      </w:r>
      <w:r w:rsidRPr="00C16D40">
        <w:rPr>
          <w:b/>
          <w:sz w:val="20"/>
        </w:rPr>
        <w:t xml:space="preserve"> Y 20</w:t>
      </w:r>
      <w:r w:rsidR="00222A9D" w:rsidRPr="00C16D40">
        <w:rPr>
          <w:b/>
          <w:sz w:val="20"/>
        </w:rPr>
        <w:t>2</w:t>
      </w:r>
      <w:r w:rsidR="00EC270D" w:rsidRPr="00C16D40">
        <w:rPr>
          <w:b/>
          <w:sz w:val="20"/>
        </w:rPr>
        <w:t>2</w:t>
      </w:r>
      <w:r w:rsidRPr="00C16D40">
        <w:rPr>
          <w:b/>
          <w:sz w:val="20"/>
        </w:rPr>
        <w:t xml:space="preserve"> </w:t>
      </w:r>
      <w:r w:rsidRPr="00C16D40">
        <w:rPr>
          <w:b/>
          <w:bCs/>
          <w:sz w:val="20"/>
        </w:rPr>
        <w:t>(Expresado en euros)</w:t>
      </w:r>
    </w:p>
    <w:tbl>
      <w:tblPr>
        <w:tblW w:w="5000" w:type="pct"/>
        <w:tblCellMar>
          <w:left w:w="70" w:type="dxa"/>
          <w:right w:w="70" w:type="dxa"/>
        </w:tblCellMar>
        <w:tblLook w:val="04A0" w:firstRow="1" w:lastRow="0" w:firstColumn="1" w:lastColumn="0" w:noHBand="0" w:noVBand="1"/>
      </w:tblPr>
      <w:tblGrid>
        <w:gridCol w:w="5448"/>
        <w:gridCol w:w="865"/>
        <w:gridCol w:w="1331"/>
        <w:gridCol w:w="1421"/>
      </w:tblGrid>
      <w:tr w:rsidR="00BA5560" w:rsidRPr="00C16D40" w14:paraId="25025DE5" w14:textId="77777777" w:rsidTr="00BA5560">
        <w:trPr>
          <w:trHeight w:val="283"/>
        </w:trPr>
        <w:tc>
          <w:tcPr>
            <w:tcW w:w="3005" w:type="pct"/>
            <w:tcBorders>
              <w:top w:val="single" w:sz="4" w:space="0" w:color="auto"/>
              <w:left w:val="nil"/>
              <w:bottom w:val="single" w:sz="4" w:space="0" w:color="auto"/>
              <w:right w:val="nil"/>
            </w:tcBorders>
            <w:shd w:val="clear" w:color="auto" w:fill="D9D9D9" w:themeFill="background1" w:themeFillShade="D9"/>
            <w:vAlign w:val="bottom"/>
            <w:hideMark/>
          </w:tcPr>
          <w:p w14:paraId="67C6D3FF" w14:textId="1D9A7E77" w:rsidR="00BA5560" w:rsidRPr="00C16D40"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477" w:type="pct"/>
            <w:tcBorders>
              <w:top w:val="single" w:sz="4" w:space="0" w:color="auto"/>
              <w:left w:val="nil"/>
              <w:bottom w:val="single" w:sz="4" w:space="0" w:color="auto"/>
              <w:right w:val="nil"/>
            </w:tcBorders>
            <w:shd w:val="clear" w:color="auto" w:fill="D9D9D9" w:themeFill="background1" w:themeFillShade="D9"/>
            <w:vAlign w:val="bottom"/>
            <w:hideMark/>
          </w:tcPr>
          <w:p w14:paraId="72D492C4" w14:textId="77777777" w:rsidR="00BA5560" w:rsidRPr="00C16D40"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Notas</w:t>
            </w:r>
          </w:p>
          <w:p w14:paraId="51BFDBBE" w14:textId="462D882F" w:rsidR="00BA5560" w:rsidRPr="00C16D40"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Memoria</w:t>
            </w:r>
          </w:p>
        </w:tc>
        <w:tc>
          <w:tcPr>
            <w:tcW w:w="734" w:type="pct"/>
            <w:tcBorders>
              <w:top w:val="single" w:sz="4" w:space="0" w:color="auto"/>
              <w:left w:val="nil"/>
              <w:bottom w:val="single" w:sz="4" w:space="0" w:color="auto"/>
              <w:right w:val="nil"/>
            </w:tcBorders>
            <w:shd w:val="clear" w:color="auto" w:fill="D9D9D9" w:themeFill="background1" w:themeFillShade="D9"/>
            <w:vAlign w:val="bottom"/>
            <w:hideMark/>
          </w:tcPr>
          <w:p w14:paraId="52F6E0BE" w14:textId="3BCF7BD4" w:rsidR="00BA5560" w:rsidRPr="00C16D40" w:rsidRDefault="00BA5560" w:rsidP="002E3C1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202</w:t>
            </w:r>
            <w:r w:rsidR="00EC270D" w:rsidRPr="00C16D40">
              <w:rPr>
                <w:rFonts w:eastAsia="Times New Roman"/>
                <w:b/>
                <w:bCs/>
                <w:color w:val="auto"/>
                <w:sz w:val="16"/>
                <w:szCs w:val="16"/>
                <w:bdr w:val="none" w:sz="0" w:space="0" w:color="auto"/>
                <w:lang w:eastAsia="es-ES"/>
              </w:rPr>
              <w:t>3</w:t>
            </w:r>
          </w:p>
        </w:tc>
        <w:tc>
          <w:tcPr>
            <w:tcW w:w="784" w:type="pct"/>
            <w:tcBorders>
              <w:top w:val="single" w:sz="4" w:space="0" w:color="auto"/>
              <w:left w:val="nil"/>
              <w:bottom w:val="single" w:sz="4" w:space="0" w:color="auto"/>
              <w:right w:val="nil"/>
            </w:tcBorders>
            <w:shd w:val="clear" w:color="auto" w:fill="D9D9D9" w:themeFill="background1" w:themeFillShade="D9"/>
            <w:vAlign w:val="bottom"/>
            <w:hideMark/>
          </w:tcPr>
          <w:p w14:paraId="6418C31F" w14:textId="7AF52010" w:rsidR="00EC270D" w:rsidRPr="00C16D40" w:rsidRDefault="00BA5560"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202</w:t>
            </w:r>
            <w:r w:rsidR="00EC270D" w:rsidRPr="00C16D40">
              <w:rPr>
                <w:rFonts w:eastAsia="Times New Roman"/>
                <w:b/>
                <w:bCs/>
                <w:color w:val="auto"/>
                <w:sz w:val="16"/>
                <w:szCs w:val="16"/>
                <w:bdr w:val="none" w:sz="0" w:space="0" w:color="auto"/>
                <w:lang w:eastAsia="es-ES"/>
              </w:rPr>
              <w:t>2</w:t>
            </w:r>
          </w:p>
        </w:tc>
      </w:tr>
      <w:tr w:rsidR="00EC270D" w:rsidRPr="00C16D40" w14:paraId="22F2A0DA" w14:textId="77777777" w:rsidTr="00BA5560">
        <w:trPr>
          <w:trHeight w:val="326"/>
        </w:trPr>
        <w:tc>
          <w:tcPr>
            <w:tcW w:w="3005" w:type="pct"/>
            <w:tcBorders>
              <w:top w:val="nil"/>
              <w:left w:val="nil"/>
              <w:bottom w:val="single" w:sz="4" w:space="0" w:color="auto"/>
              <w:right w:val="nil"/>
            </w:tcBorders>
            <w:shd w:val="clear" w:color="000000" w:fill="F2F2F2"/>
            <w:vAlign w:val="center"/>
            <w:hideMark/>
          </w:tcPr>
          <w:p w14:paraId="6056E9FB"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 xml:space="preserve">A) FLUJOS DE EFECTIVO DE LAS ACTIVIDADES </w:t>
            </w:r>
          </w:p>
          <w:p w14:paraId="66D8E7AA" w14:textId="157C65B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DE EXPLOTACIÓN</w:t>
            </w:r>
          </w:p>
        </w:tc>
        <w:tc>
          <w:tcPr>
            <w:tcW w:w="477" w:type="pct"/>
            <w:tcBorders>
              <w:top w:val="nil"/>
              <w:left w:val="nil"/>
              <w:bottom w:val="single" w:sz="4" w:space="0" w:color="auto"/>
              <w:right w:val="nil"/>
            </w:tcBorders>
            <w:shd w:val="clear" w:color="000000" w:fill="F2F2F2"/>
            <w:vAlign w:val="center"/>
            <w:hideMark/>
          </w:tcPr>
          <w:p w14:paraId="2A3C5DEB" w14:textId="0895C965"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nil"/>
              <w:left w:val="nil"/>
              <w:bottom w:val="single" w:sz="4" w:space="0" w:color="auto"/>
              <w:right w:val="nil"/>
            </w:tcBorders>
            <w:shd w:val="clear" w:color="000000" w:fill="F2F2F2"/>
            <w:vAlign w:val="center"/>
          </w:tcPr>
          <w:p w14:paraId="39788E4D" w14:textId="666ADA94" w:rsidR="00EC270D"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(9.221.528,67)</w:t>
            </w:r>
          </w:p>
        </w:tc>
        <w:tc>
          <w:tcPr>
            <w:tcW w:w="784" w:type="pct"/>
            <w:tcBorders>
              <w:top w:val="nil"/>
              <w:left w:val="nil"/>
              <w:bottom w:val="single" w:sz="4" w:space="0" w:color="auto"/>
              <w:right w:val="nil"/>
            </w:tcBorders>
            <w:shd w:val="clear" w:color="000000" w:fill="F2F2F2"/>
            <w:vAlign w:val="center"/>
            <w:hideMark/>
          </w:tcPr>
          <w:p w14:paraId="60F7F158" w14:textId="56A928DE"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4.058.350,91</w:t>
            </w:r>
          </w:p>
        </w:tc>
      </w:tr>
      <w:tr w:rsidR="00EC270D" w:rsidRPr="00C16D40" w14:paraId="6A738728" w14:textId="77777777" w:rsidTr="00BA5560">
        <w:trPr>
          <w:trHeight w:val="76"/>
        </w:trPr>
        <w:tc>
          <w:tcPr>
            <w:tcW w:w="3005" w:type="pct"/>
            <w:tcBorders>
              <w:top w:val="nil"/>
              <w:left w:val="nil"/>
              <w:bottom w:val="nil"/>
              <w:right w:val="nil"/>
            </w:tcBorders>
            <w:shd w:val="clear" w:color="auto" w:fill="auto"/>
            <w:vAlign w:val="center"/>
            <w:hideMark/>
          </w:tcPr>
          <w:p w14:paraId="5111838A"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p>
        </w:tc>
        <w:tc>
          <w:tcPr>
            <w:tcW w:w="477" w:type="pct"/>
            <w:tcBorders>
              <w:top w:val="nil"/>
              <w:left w:val="nil"/>
              <w:bottom w:val="nil"/>
              <w:right w:val="nil"/>
            </w:tcBorders>
            <w:shd w:val="clear" w:color="auto" w:fill="auto"/>
            <w:vAlign w:val="center"/>
            <w:hideMark/>
          </w:tcPr>
          <w:p w14:paraId="27F035C0"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649F7223"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vAlign w:val="center"/>
            <w:hideMark/>
          </w:tcPr>
          <w:p w14:paraId="53EA9C1B"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C16D40" w:rsidRPr="00C16D40" w14:paraId="1EA45C0A" w14:textId="77777777" w:rsidTr="00BA5560">
        <w:trPr>
          <w:trHeight w:val="227"/>
        </w:trPr>
        <w:tc>
          <w:tcPr>
            <w:tcW w:w="3005" w:type="pct"/>
            <w:tcBorders>
              <w:top w:val="nil"/>
              <w:left w:val="nil"/>
              <w:bottom w:val="nil"/>
              <w:right w:val="nil"/>
            </w:tcBorders>
            <w:shd w:val="clear" w:color="auto" w:fill="auto"/>
            <w:vAlign w:val="center"/>
            <w:hideMark/>
          </w:tcPr>
          <w:p w14:paraId="6D14F114"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Resultado del ejercicio antes de impuestos</w:t>
            </w:r>
          </w:p>
        </w:tc>
        <w:tc>
          <w:tcPr>
            <w:tcW w:w="477" w:type="pct"/>
            <w:tcBorders>
              <w:top w:val="nil"/>
              <w:left w:val="nil"/>
              <w:bottom w:val="nil"/>
              <w:right w:val="nil"/>
            </w:tcBorders>
            <w:shd w:val="clear" w:color="auto" w:fill="auto"/>
            <w:noWrap/>
            <w:vAlign w:val="center"/>
            <w:hideMark/>
          </w:tcPr>
          <w:p w14:paraId="57718D84"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auto"/>
            <w:vAlign w:val="center"/>
          </w:tcPr>
          <w:p w14:paraId="00151970" w14:textId="1C2D3495"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(3.577.139,00)</w:t>
            </w:r>
          </w:p>
        </w:tc>
        <w:tc>
          <w:tcPr>
            <w:tcW w:w="784" w:type="pct"/>
            <w:tcBorders>
              <w:top w:val="single" w:sz="4" w:space="0" w:color="auto"/>
              <w:left w:val="nil"/>
              <w:bottom w:val="single" w:sz="4" w:space="0" w:color="auto"/>
              <w:right w:val="nil"/>
            </w:tcBorders>
            <w:shd w:val="clear" w:color="auto" w:fill="auto"/>
            <w:vAlign w:val="center"/>
            <w:hideMark/>
          </w:tcPr>
          <w:p w14:paraId="447D86AC" w14:textId="176AE992"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(2.327.888,00)</w:t>
            </w:r>
          </w:p>
        </w:tc>
      </w:tr>
      <w:tr w:rsidR="00C16D40" w:rsidRPr="00C16D40" w14:paraId="732A1716" w14:textId="77777777" w:rsidTr="00BA5560">
        <w:trPr>
          <w:trHeight w:val="227"/>
        </w:trPr>
        <w:tc>
          <w:tcPr>
            <w:tcW w:w="3005" w:type="pct"/>
            <w:tcBorders>
              <w:top w:val="nil"/>
              <w:left w:val="nil"/>
              <w:bottom w:val="nil"/>
              <w:right w:val="nil"/>
            </w:tcBorders>
            <w:shd w:val="clear" w:color="auto" w:fill="auto"/>
            <w:vAlign w:val="center"/>
            <w:hideMark/>
          </w:tcPr>
          <w:p w14:paraId="226BADCC"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Ajustes al resultado</w:t>
            </w:r>
          </w:p>
        </w:tc>
        <w:tc>
          <w:tcPr>
            <w:tcW w:w="477" w:type="pct"/>
            <w:tcBorders>
              <w:top w:val="nil"/>
              <w:left w:val="nil"/>
              <w:bottom w:val="nil"/>
              <w:right w:val="nil"/>
            </w:tcBorders>
            <w:shd w:val="clear" w:color="auto" w:fill="auto"/>
            <w:noWrap/>
            <w:vAlign w:val="center"/>
            <w:hideMark/>
          </w:tcPr>
          <w:p w14:paraId="17F72D80"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nil"/>
              <w:left w:val="nil"/>
              <w:bottom w:val="single" w:sz="4" w:space="0" w:color="auto"/>
              <w:right w:val="nil"/>
            </w:tcBorders>
            <w:shd w:val="clear" w:color="auto" w:fill="auto"/>
            <w:vAlign w:val="center"/>
          </w:tcPr>
          <w:p w14:paraId="11169EE4" w14:textId="0D46FD3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28.598,03</w:t>
            </w:r>
          </w:p>
        </w:tc>
        <w:tc>
          <w:tcPr>
            <w:tcW w:w="784" w:type="pct"/>
            <w:tcBorders>
              <w:top w:val="nil"/>
              <w:left w:val="nil"/>
              <w:bottom w:val="single" w:sz="4" w:space="0" w:color="auto"/>
              <w:right w:val="nil"/>
            </w:tcBorders>
            <w:shd w:val="clear" w:color="auto" w:fill="auto"/>
            <w:vAlign w:val="center"/>
            <w:hideMark/>
          </w:tcPr>
          <w:p w14:paraId="2BDA5CE2" w14:textId="40BB0D55"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62.061,35</w:t>
            </w:r>
          </w:p>
        </w:tc>
      </w:tr>
      <w:tr w:rsidR="00C16D40" w:rsidRPr="00C16D40" w14:paraId="75E6C336" w14:textId="77777777" w:rsidTr="00BA5560">
        <w:trPr>
          <w:trHeight w:val="227"/>
        </w:trPr>
        <w:tc>
          <w:tcPr>
            <w:tcW w:w="3005" w:type="pct"/>
            <w:tcBorders>
              <w:top w:val="nil"/>
              <w:left w:val="nil"/>
              <w:bottom w:val="nil"/>
              <w:right w:val="nil"/>
            </w:tcBorders>
            <w:shd w:val="clear" w:color="auto" w:fill="auto"/>
            <w:vAlign w:val="center"/>
            <w:hideMark/>
          </w:tcPr>
          <w:p w14:paraId="30C4AC67"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Amortización del inmovilizado</w:t>
            </w:r>
          </w:p>
        </w:tc>
        <w:tc>
          <w:tcPr>
            <w:tcW w:w="477" w:type="pct"/>
            <w:tcBorders>
              <w:top w:val="nil"/>
              <w:left w:val="nil"/>
              <w:bottom w:val="nil"/>
              <w:right w:val="nil"/>
            </w:tcBorders>
            <w:shd w:val="clear" w:color="auto" w:fill="auto"/>
            <w:noWrap/>
            <w:vAlign w:val="center"/>
            <w:hideMark/>
          </w:tcPr>
          <w:p w14:paraId="0416C1F7"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5 y 6</w:t>
            </w:r>
          </w:p>
        </w:tc>
        <w:tc>
          <w:tcPr>
            <w:tcW w:w="734" w:type="pct"/>
            <w:tcBorders>
              <w:top w:val="nil"/>
              <w:left w:val="nil"/>
              <w:bottom w:val="nil"/>
              <w:right w:val="nil"/>
            </w:tcBorders>
            <w:shd w:val="clear" w:color="auto" w:fill="auto"/>
            <w:vAlign w:val="center"/>
          </w:tcPr>
          <w:p w14:paraId="5D7AF481" w14:textId="776CEC96"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127.094,75</w:t>
            </w:r>
          </w:p>
        </w:tc>
        <w:tc>
          <w:tcPr>
            <w:tcW w:w="784" w:type="pct"/>
            <w:tcBorders>
              <w:top w:val="nil"/>
              <w:left w:val="nil"/>
              <w:bottom w:val="nil"/>
              <w:right w:val="nil"/>
            </w:tcBorders>
            <w:shd w:val="clear" w:color="auto" w:fill="auto"/>
            <w:vAlign w:val="center"/>
            <w:hideMark/>
          </w:tcPr>
          <w:p w14:paraId="5102DD0B" w14:textId="5DAF9D34"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133.832,51</w:t>
            </w:r>
          </w:p>
        </w:tc>
      </w:tr>
      <w:tr w:rsidR="00C16D40" w:rsidRPr="00C16D40" w14:paraId="0157A4FB" w14:textId="77777777" w:rsidTr="00BA5560">
        <w:trPr>
          <w:trHeight w:val="227"/>
        </w:trPr>
        <w:tc>
          <w:tcPr>
            <w:tcW w:w="3005" w:type="pct"/>
            <w:tcBorders>
              <w:top w:val="nil"/>
              <w:left w:val="nil"/>
              <w:bottom w:val="nil"/>
              <w:right w:val="nil"/>
            </w:tcBorders>
            <w:shd w:val="clear" w:color="auto" w:fill="auto"/>
            <w:vAlign w:val="center"/>
            <w:hideMark/>
          </w:tcPr>
          <w:p w14:paraId="58DE58EA"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Imputación de subvenciones</w:t>
            </w:r>
          </w:p>
        </w:tc>
        <w:tc>
          <w:tcPr>
            <w:tcW w:w="477" w:type="pct"/>
            <w:tcBorders>
              <w:top w:val="nil"/>
              <w:left w:val="nil"/>
              <w:bottom w:val="nil"/>
              <w:right w:val="nil"/>
            </w:tcBorders>
            <w:shd w:val="clear" w:color="auto" w:fill="auto"/>
            <w:noWrap/>
            <w:vAlign w:val="center"/>
            <w:hideMark/>
          </w:tcPr>
          <w:p w14:paraId="6505F281"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15.1</w:t>
            </w:r>
          </w:p>
        </w:tc>
        <w:tc>
          <w:tcPr>
            <w:tcW w:w="734" w:type="pct"/>
            <w:tcBorders>
              <w:top w:val="nil"/>
              <w:left w:val="nil"/>
              <w:bottom w:val="nil"/>
              <w:right w:val="nil"/>
            </w:tcBorders>
            <w:shd w:val="clear" w:color="auto" w:fill="auto"/>
            <w:vAlign w:val="center"/>
          </w:tcPr>
          <w:p w14:paraId="04515168" w14:textId="257B16BC"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(71.771,25)</w:t>
            </w:r>
          </w:p>
        </w:tc>
        <w:tc>
          <w:tcPr>
            <w:tcW w:w="784" w:type="pct"/>
            <w:tcBorders>
              <w:top w:val="nil"/>
              <w:left w:val="nil"/>
              <w:bottom w:val="nil"/>
              <w:right w:val="nil"/>
            </w:tcBorders>
            <w:shd w:val="clear" w:color="auto" w:fill="auto"/>
            <w:vAlign w:val="center"/>
            <w:hideMark/>
          </w:tcPr>
          <w:p w14:paraId="3EACAC38" w14:textId="5EE7C145"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(71.771,25)</w:t>
            </w:r>
          </w:p>
        </w:tc>
      </w:tr>
      <w:tr w:rsidR="00C16D40" w:rsidRPr="00C16D40" w14:paraId="6D65A250" w14:textId="77777777" w:rsidTr="00BA5560">
        <w:trPr>
          <w:trHeight w:val="227"/>
        </w:trPr>
        <w:tc>
          <w:tcPr>
            <w:tcW w:w="3005" w:type="pct"/>
            <w:tcBorders>
              <w:top w:val="nil"/>
              <w:left w:val="nil"/>
              <w:bottom w:val="nil"/>
              <w:right w:val="nil"/>
            </w:tcBorders>
            <w:shd w:val="clear" w:color="auto" w:fill="auto"/>
            <w:vAlign w:val="center"/>
            <w:hideMark/>
          </w:tcPr>
          <w:p w14:paraId="1A60F359"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Ingresos financieros</w:t>
            </w:r>
          </w:p>
        </w:tc>
        <w:tc>
          <w:tcPr>
            <w:tcW w:w="477" w:type="pct"/>
            <w:tcBorders>
              <w:top w:val="nil"/>
              <w:left w:val="nil"/>
              <w:bottom w:val="nil"/>
              <w:right w:val="nil"/>
            </w:tcBorders>
            <w:shd w:val="clear" w:color="auto" w:fill="auto"/>
            <w:noWrap/>
            <w:vAlign w:val="center"/>
            <w:hideMark/>
          </w:tcPr>
          <w:p w14:paraId="14645FB9"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12.e</w:t>
            </w:r>
          </w:p>
        </w:tc>
        <w:tc>
          <w:tcPr>
            <w:tcW w:w="734" w:type="pct"/>
            <w:tcBorders>
              <w:top w:val="nil"/>
              <w:left w:val="nil"/>
              <w:bottom w:val="nil"/>
              <w:right w:val="nil"/>
            </w:tcBorders>
            <w:shd w:val="clear" w:color="auto" w:fill="auto"/>
            <w:vAlign w:val="center"/>
          </w:tcPr>
          <w:p w14:paraId="78275ECA" w14:textId="7E2402DC"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(26.725,47)</w:t>
            </w:r>
          </w:p>
        </w:tc>
        <w:tc>
          <w:tcPr>
            <w:tcW w:w="784" w:type="pct"/>
            <w:tcBorders>
              <w:top w:val="nil"/>
              <w:left w:val="nil"/>
              <w:bottom w:val="nil"/>
              <w:right w:val="nil"/>
            </w:tcBorders>
            <w:shd w:val="clear" w:color="auto" w:fill="auto"/>
            <w:vAlign w:val="center"/>
            <w:hideMark/>
          </w:tcPr>
          <w:p w14:paraId="196C5E2D" w14:textId="040C6278"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 xml:space="preserve"> -</w:t>
            </w:r>
          </w:p>
        </w:tc>
      </w:tr>
      <w:tr w:rsidR="00C16D40" w:rsidRPr="00C16D40" w14:paraId="38E6CA75" w14:textId="77777777" w:rsidTr="00BA5560">
        <w:trPr>
          <w:trHeight w:val="227"/>
        </w:trPr>
        <w:tc>
          <w:tcPr>
            <w:tcW w:w="3005" w:type="pct"/>
            <w:tcBorders>
              <w:top w:val="nil"/>
              <w:left w:val="nil"/>
              <w:bottom w:val="nil"/>
              <w:right w:val="nil"/>
            </w:tcBorders>
            <w:shd w:val="clear" w:color="auto" w:fill="auto"/>
            <w:vAlign w:val="center"/>
            <w:hideMark/>
          </w:tcPr>
          <w:p w14:paraId="6F10B937"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Diferencias de cambio</w:t>
            </w:r>
          </w:p>
        </w:tc>
        <w:tc>
          <w:tcPr>
            <w:tcW w:w="477" w:type="pct"/>
            <w:tcBorders>
              <w:top w:val="nil"/>
              <w:left w:val="nil"/>
              <w:bottom w:val="nil"/>
              <w:right w:val="nil"/>
            </w:tcBorders>
            <w:shd w:val="clear" w:color="auto" w:fill="auto"/>
            <w:noWrap/>
            <w:vAlign w:val="center"/>
            <w:hideMark/>
          </w:tcPr>
          <w:p w14:paraId="6F9E7162"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78C0A258" w14:textId="468EA696"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784" w:type="pct"/>
            <w:tcBorders>
              <w:top w:val="nil"/>
              <w:left w:val="nil"/>
              <w:bottom w:val="nil"/>
              <w:right w:val="nil"/>
            </w:tcBorders>
            <w:shd w:val="clear" w:color="auto" w:fill="auto"/>
            <w:vAlign w:val="center"/>
            <w:hideMark/>
          </w:tcPr>
          <w:p w14:paraId="1120F86B" w14:textId="737B869F"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0,09</w:t>
            </w:r>
          </w:p>
        </w:tc>
      </w:tr>
      <w:tr w:rsidR="00EC270D" w:rsidRPr="00C16D40" w14:paraId="0E70008D" w14:textId="77777777" w:rsidTr="00BA5560">
        <w:trPr>
          <w:trHeight w:val="227"/>
        </w:trPr>
        <w:tc>
          <w:tcPr>
            <w:tcW w:w="3005" w:type="pct"/>
            <w:tcBorders>
              <w:top w:val="nil"/>
              <w:left w:val="nil"/>
              <w:bottom w:val="nil"/>
              <w:right w:val="nil"/>
            </w:tcBorders>
            <w:shd w:val="clear" w:color="auto" w:fill="auto"/>
            <w:vAlign w:val="center"/>
            <w:hideMark/>
          </w:tcPr>
          <w:p w14:paraId="08F1BD14"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Gastos financieros</w:t>
            </w:r>
          </w:p>
        </w:tc>
        <w:tc>
          <w:tcPr>
            <w:tcW w:w="477" w:type="pct"/>
            <w:tcBorders>
              <w:top w:val="nil"/>
              <w:left w:val="nil"/>
              <w:bottom w:val="nil"/>
              <w:right w:val="nil"/>
            </w:tcBorders>
            <w:shd w:val="clear" w:color="auto" w:fill="auto"/>
            <w:noWrap/>
            <w:vAlign w:val="center"/>
            <w:hideMark/>
          </w:tcPr>
          <w:p w14:paraId="3CEF6230"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18E86DA7" w14:textId="69999B49" w:rsidR="00EC270D" w:rsidRPr="00C16D40" w:rsidRDefault="00C16D40"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c>
          <w:tcPr>
            <w:tcW w:w="784" w:type="pct"/>
            <w:tcBorders>
              <w:top w:val="nil"/>
              <w:left w:val="nil"/>
              <w:bottom w:val="nil"/>
              <w:right w:val="nil"/>
            </w:tcBorders>
            <w:shd w:val="clear" w:color="auto" w:fill="auto"/>
            <w:vAlign w:val="center"/>
            <w:hideMark/>
          </w:tcPr>
          <w:p w14:paraId="27C367C0" w14:textId="45E2FD15"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 xml:space="preserve"> -</w:t>
            </w:r>
          </w:p>
        </w:tc>
      </w:tr>
      <w:tr w:rsidR="00EC270D" w:rsidRPr="00C16D40" w14:paraId="7CD17459" w14:textId="77777777" w:rsidTr="00BA5560">
        <w:trPr>
          <w:trHeight w:val="113"/>
        </w:trPr>
        <w:tc>
          <w:tcPr>
            <w:tcW w:w="3005" w:type="pct"/>
            <w:tcBorders>
              <w:top w:val="nil"/>
              <w:left w:val="nil"/>
              <w:bottom w:val="nil"/>
              <w:right w:val="nil"/>
            </w:tcBorders>
            <w:shd w:val="clear" w:color="auto" w:fill="auto"/>
            <w:vAlign w:val="center"/>
            <w:hideMark/>
          </w:tcPr>
          <w:p w14:paraId="5351F877"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477" w:type="pct"/>
            <w:tcBorders>
              <w:top w:val="nil"/>
              <w:left w:val="nil"/>
              <w:bottom w:val="nil"/>
              <w:right w:val="nil"/>
            </w:tcBorders>
            <w:shd w:val="clear" w:color="auto" w:fill="auto"/>
            <w:noWrap/>
            <w:vAlign w:val="center"/>
            <w:hideMark/>
          </w:tcPr>
          <w:p w14:paraId="0AB5CF64"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237C0DDF"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692CF575"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C16D40" w:rsidRPr="00C16D40" w14:paraId="63BC766B" w14:textId="77777777" w:rsidTr="00BA5560">
        <w:trPr>
          <w:trHeight w:val="227"/>
        </w:trPr>
        <w:tc>
          <w:tcPr>
            <w:tcW w:w="3005" w:type="pct"/>
            <w:tcBorders>
              <w:top w:val="nil"/>
              <w:left w:val="nil"/>
              <w:bottom w:val="nil"/>
              <w:right w:val="nil"/>
            </w:tcBorders>
            <w:shd w:val="clear" w:color="auto" w:fill="auto"/>
            <w:vAlign w:val="center"/>
            <w:hideMark/>
          </w:tcPr>
          <w:p w14:paraId="0A697B4A"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Cambios en el capital corriente</w:t>
            </w:r>
          </w:p>
        </w:tc>
        <w:tc>
          <w:tcPr>
            <w:tcW w:w="477" w:type="pct"/>
            <w:tcBorders>
              <w:top w:val="nil"/>
              <w:left w:val="nil"/>
              <w:bottom w:val="nil"/>
              <w:right w:val="nil"/>
            </w:tcBorders>
            <w:shd w:val="clear" w:color="auto" w:fill="auto"/>
            <w:noWrap/>
            <w:vAlign w:val="center"/>
            <w:hideMark/>
          </w:tcPr>
          <w:p w14:paraId="0BAB6A3A"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auto"/>
            <w:vAlign w:val="center"/>
          </w:tcPr>
          <w:p w14:paraId="6C243431" w14:textId="3631FEEA"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(5.692.088,96)</w:t>
            </w:r>
          </w:p>
        </w:tc>
        <w:tc>
          <w:tcPr>
            <w:tcW w:w="784" w:type="pct"/>
            <w:tcBorders>
              <w:top w:val="single" w:sz="4" w:space="0" w:color="auto"/>
              <w:left w:val="nil"/>
              <w:bottom w:val="single" w:sz="4" w:space="0" w:color="auto"/>
              <w:right w:val="nil"/>
            </w:tcBorders>
            <w:shd w:val="clear" w:color="auto" w:fill="auto"/>
            <w:vAlign w:val="center"/>
            <w:hideMark/>
          </w:tcPr>
          <w:p w14:paraId="43F33170" w14:textId="06AA76B1"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6.324.177,56</w:t>
            </w:r>
          </w:p>
        </w:tc>
      </w:tr>
      <w:tr w:rsidR="00C16D40" w:rsidRPr="00C16D40" w14:paraId="44728A83" w14:textId="77777777" w:rsidTr="00BA5560">
        <w:trPr>
          <w:trHeight w:val="227"/>
        </w:trPr>
        <w:tc>
          <w:tcPr>
            <w:tcW w:w="3005" w:type="pct"/>
            <w:tcBorders>
              <w:top w:val="nil"/>
              <w:left w:val="nil"/>
              <w:bottom w:val="nil"/>
              <w:right w:val="nil"/>
            </w:tcBorders>
            <w:shd w:val="clear" w:color="auto" w:fill="auto"/>
            <w:vAlign w:val="center"/>
            <w:hideMark/>
          </w:tcPr>
          <w:p w14:paraId="5017D3D1"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Deudores y otras cuentas a cobrar</w:t>
            </w:r>
          </w:p>
        </w:tc>
        <w:tc>
          <w:tcPr>
            <w:tcW w:w="477" w:type="pct"/>
            <w:tcBorders>
              <w:top w:val="nil"/>
              <w:left w:val="nil"/>
              <w:bottom w:val="nil"/>
              <w:right w:val="nil"/>
            </w:tcBorders>
            <w:shd w:val="clear" w:color="auto" w:fill="auto"/>
            <w:noWrap/>
            <w:vAlign w:val="center"/>
            <w:hideMark/>
          </w:tcPr>
          <w:p w14:paraId="3D25D6D0"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1C3812DD" w14:textId="370D295B"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72.458,27</w:t>
            </w:r>
          </w:p>
        </w:tc>
        <w:tc>
          <w:tcPr>
            <w:tcW w:w="784" w:type="pct"/>
            <w:tcBorders>
              <w:top w:val="nil"/>
              <w:left w:val="nil"/>
              <w:bottom w:val="nil"/>
              <w:right w:val="nil"/>
            </w:tcBorders>
            <w:shd w:val="clear" w:color="auto" w:fill="auto"/>
            <w:vAlign w:val="center"/>
            <w:hideMark/>
          </w:tcPr>
          <w:p w14:paraId="2E386474" w14:textId="6ACF13B6"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198.055,82</w:t>
            </w:r>
          </w:p>
        </w:tc>
      </w:tr>
      <w:tr w:rsidR="00C16D40" w:rsidRPr="00C16D40" w14:paraId="287B3C7C" w14:textId="77777777" w:rsidTr="00BA5560">
        <w:trPr>
          <w:trHeight w:val="227"/>
        </w:trPr>
        <w:tc>
          <w:tcPr>
            <w:tcW w:w="3005" w:type="pct"/>
            <w:tcBorders>
              <w:top w:val="nil"/>
              <w:left w:val="nil"/>
              <w:bottom w:val="nil"/>
              <w:right w:val="nil"/>
            </w:tcBorders>
            <w:shd w:val="clear" w:color="auto" w:fill="auto"/>
            <w:vAlign w:val="center"/>
            <w:hideMark/>
          </w:tcPr>
          <w:p w14:paraId="79388B4B"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Otros activos corrientes</w:t>
            </w:r>
          </w:p>
        </w:tc>
        <w:tc>
          <w:tcPr>
            <w:tcW w:w="477" w:type="pct"/>
            <w:tcBorders>
              <w:top w:val="nil"/>
              <w:left w:val="nil"/>
              <w:bottom w:val="nil"/>
              <w:right w:val="nil"/>
            </w:tcBorders>
            <w:shd w:val="clear" w:color="auto" w:fill="auto"/>
            <w:noWrap/>
            <w:vAlign w:val="center"/>
            <w:hideMark/>
          </w:tcPr>
          <w:p w14:paraId="0944B5EF"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3ACC6DAE" w14:textId="0EF85371"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(23.318.313,03)</w:t>
            </w:r>
          </w:p>
        </w:tc>
        <w:tc>
          <w:tcPr>
            <w:tcW w:w="784" w:type="pct"/>
            <w:tcBorders>
              <w:top w:val="nil"/>
              <w:left w:val="nil"/>
              <w:bottom w:val="nil"/>
              <w:right w:val="nil"/>
            </w:tcBorders>
            <w:shd w:val="clear" w:color="auto" w:fill="auto"/>
            <w:vAlign w:val="center"/>
            <w:hideMark/>
          </w:tcPr>
          <w:p w14:paraId="4F988034" w14:textId="5BAD6C20"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26.045.851,96</w:t>
            </w:r>
          </w:p>
        </w:tc>
      </w:tr>
      <w:tr w:rsidR="00C16D40" w:rsidRPr="00C16D40" w14:paraId="2F8A7F79" w14:textId="77777777" w:rsidTr="00BA5560">
        <w:trPr>
          <w:trHeight w:val="227"/>
        </w:trPr>
        <w:tc>
          <w:tcPr>
            <w:tcW w:w="3005" w:type="pct"/>
            <w:tcBorders>
              <w:top w:val="nil"/>
              <w:left w:val="nil"/>
              <w:bottom w:val="nil"/>
              <w:right w:val="nil"/>
            </w:tcBorders>
            <w:shd w:val="clear" w:color="auto" w:fill="auto"/>
            <w:vAlign w:val="center"/>
            <w:hideMark/>
          </w:tcPr>
          <w:p w14:paraId="1ACC229D"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Acreedores y otras cuentas a pagar</w:t>
            </w:r>
          </w:p>
        </w:tc>
        <w:tc>
          <w:tcPr>
            <w:tcW w:w="477" w:type="pct"/>
            <w:tcBorders>
              <w:top w:val="nil"/>
              <w:left w:val="nil"/>
              <w:bottom w:val="nil"/>
              <w:right w:val="nil"/>
            </w:tcBorders>
            <w:shd w:val="clear" w:color="auto" w:fill="auto"/>
            <w:noWrap/>
            <w:vAlign w:val="center"/>
            <w:hideMark/>
          </w:tcPr>
          <w:p w14:paraId="2458920A"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6AAF3856" w14:textId="67A5BF2F"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(4.905.763,09)</w:t>
            </w:r>
          </w:p>
        </w:tc>
        <w:tc>
          <w:tcPr>
            <w:tcW w:w="784" w:type="pct"/>
            <w:tcBorders>
              <w:top w:val="nil"/>
              <w:left w:val="nil"/>
              <w:bottom w:val="nil"/>
              <w:right w:val="nil"/>
            </w:tcBorders>
            <w:shd w:val="clear" w:color="auto" w:fill="auto"/>
            <w:vAlign w:val="center"/>
            <w:hideMark/>
          </w:tcPr>
          <w:p w14:paraId="5F112377" w14:textId="2AA2D919"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2.997.965,12</w:t>
            </w:r>
          </w:p>
        </w:tc>
      </w:tr>
      <w:tr w:rsidR="00C16D40" w:rsidRPr="00C16D40" w14:paraId="1F1A145E" w14:textId="77777777" w:rsidTr="00BA5560">
        <w:trPr>
          <w:trHeight w:val="227"/>
        </w:trPr>
        <w:tc>
          <w:tcPr>
            <w:tcW w:w="3005" w:type="pct"/>
            <w:tcBorders>
              <w:top w:val="nil"/>
              <w:left w:val="nil"/>
              <w:bottom w:val="nil"/>
              <w:right w:val="nil"/>
            </w:tcBorders>
            <w:shd w:val="clear" w:color="auto" w:fill="auto"/>
            <w:vAlign w:val="center"/>
            <w:hideMark/>
          </w:tcPr>
          <w:p w14:paraId="6F49065E"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Otros pasivos corrientes</w:t>
            </w:r>
          </w:p>
        </w:tc>
        <w:tc>
          <w:tcPr>
            <w:tcW w:w="477" w:type="pct"/>
            <w:tcBorders>
              <w:top w:val="nil"/>
              <w:left w:val="nil"/>
              <w:bottom w:val="nil"/>
              <w:right w:val="nil"/>
            </w:tcBorders>
            <w:shd w:val="clear" w:color="auto" w:fill="auto"/>
            <w:noWrap/>
            <w:vAlign w:val="center"/>
            <w:hideMark/>
          </w:tcPr>
          <w:p w14:paraId="5F8633F1"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61A0137B" w14:textId="5CA4638F"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921.023,24</w:t>
            </w:r>
          </w:p>
        </w:tc>
        <w:tc>
          <w:tcPr>
            <w:tcW w:w="784" w:type="pct"/>
            <w:tcBorders>
              <w:top w:val="nil"/>
              <w:left w:val="nil"/>
              <w:bottom w:val="nil"/>
              <w:right w:val="nil"/>
            </w:tcBorders>
            <w:shd w:val="clear" w:color="auto" w:fill="auto"/>
            <w:vAlign w:val="center"/>
            <w:hideMark/>
          </w:tcPr>
          <w:p w14:paraId="551844F3" w14:textId="7E944E09"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1.252.609,39</w:t>
            </w:r>
          </w:p>
        </w:tc>
      </w:tr>
      <w:tr w:rsidR="00C16D40" w:rsidRPr="00C16D40" w14:paraId="60199D67" w14:textId="77777777" w:rsidTr="00BA5560">
        <w:trPr>
          <w:trHeight w:val="227"/>
        </w:trPr>
        <w:tc>
          <w:tcPr>
            <w:tcW w:w="3005" w:type="pct"/>
            <w:tcBorders>
              <w:top w:val="nil"/>
              <w:left w:val="nil"/>
              <w:bottom w:val="nil"/>
              <w:right w:val="nil"/>
            </w:tcBorders>
            <w:shd w:val="clear" w:color="auto" w:fill="auto"/>
            <w:vAlign w:val="center"/>
            <w:hideMark/>
          </w:tcPr>
          <w:p w14:paraId="468C17D0"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Otros activos y pasivos no corrientes</w:t>
            </w:r>
          </w:p>
        </w:tc>
        <w:tc>
          <w:tcPr>
            <w:tcW w:w="477" w:type="pct"/>
            <w:tcBorders>
              <w:top w:val="nil"/>
              <w:left w:val="nil"/>
              <w:bottom w:val="nil"/>
              <w:right w:val="nil"/>
            </w:tcBorders>
            <w:shd w:val="clear" w:color="auto" w:fill="auto"/>
            <w:noWrap/>
            <w:vAlign w:val="center"/>
            <w:hideMark/>
          </w:tcPr>
          <w:p w14:paraId="077A7336"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1CF91B4E" w14:textId="298C5DF6"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21.538.505,65</w:t>
            </w:r>
          </w:p>
        </w:tc>
        <w:tc>
          <w:tcPr>
            <w:tcW w:w="784" w:type="pct"/>
            <w:tcBorders>
              <w:top w:val="nil"/>
              <w:left w:val="nil"/>
              <w:bottom w:val="nil"/>
              <w:right w:val="nil"/>
            </w:tcBorders>
            <w:shd w:val="clear" w:color="auto" w:fill="auto"/>
            <w:vAlign w:val="center"/>
            <w:hideMark/>
          </w:tcPr>
          <w:p w14:paraId="1B993882" w14:textId="23FF965B"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(24.170.304,73)</w:t>
            </w:r>
          </w:p>
        </w:tc>
      </w:tr>
      <w:tr w:rsidR="00EC270D" w:rsidRPr="00C16D40" w14:paraId="64D6DE9F" w14:textId="77777777" w:rsidTr="00BA5560">
        <w:trPr>
          <w:trHeight w:val="170"/>
        </w:trPr>
        <w:tc>
          <w:tcPr>
            <w:tcW w:w="3005" w:type="pct"/>
            <w:tcBorders>
              <w:top w:val="nil"/>
              <w:left w:val="nil"/>
              <w:bottom w:val="nil"/>
              <w:right w:val="nil"/>
            </w:tcBorders>
            <w:shd w:val="clear" w:color="auto" w:fill="auto"/>
            <w:noWrap/>
            <w:vAlign w:val="bottom"/>
            <w:hideMark/>
          </w:tcPr>
          <w:p w14:paraId="51B871E0"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p>
        </w:tc>
        <w:tc>
          <w:tcPr>
            <w:tcW w:w="477" w:type="pct"/>
            <w:tcBorders>
              <w:top w:val="nil"/>
              <w:left w:val="nil"/>
              <w:bottom w:val="nil"/>
              <w:right w:val="nil"/>
            </w:tcBorders>
            <w:shd w:val="clear" w:color="auto" w:fill="auto"/>
            <w:noWrap/>
            <w:vAlign w:val="bottom"/>
            <w:hideMark/>
          </w:tcPr>
          <w:p w14:paraId="2BF58913"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433C9C75"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074B0A4D"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C16D40" w:rsidRPr="00C16D40" w14:paraId="0B3708C8" w14:textId="77777777" w:rsidTr="00BA5560">
        <w:trPr>
          <w:trHeight w:val="227"/>
        </w:trPr>
        <w:tc>
          <w:tcPr>
            <w:tcW w:w="3005" w:type="pct"/>
            <w:tcBorders>
              <w:top w:val="nil"/>
              <w:left w:val="nil"/>
              <w:bottom w:val="nil"/>
              <w:right w:val="nil"/>
            </w:tcBorders>
            <w:shd w:val="clear" w:color="auto" w:fill="auto"/>
            <w:vAlign w:val="center"/>
            <w:hideMark/>
          </w:tcPr>
          <w:p w14:paraId="222771E0"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Otros flujos de efectivo de las actividades de explotación</w:t>
            </w:r>
          </w:p>
        </w:tc>
        <w:tc>
          <w:tcPr>
            <w:tcW w:w="477" w:type="pct"/>
            <w:tcBorders>
              <w:top w:val="nil"/>
              <w:left w:val="nil"/>
              <w:bottom w:val="nil"/>
              <w:right w:val="nil"/>
            </w:tcBorders>
            <w:shd w:val="clear" w:color="auto" w:fill="auto"/>
            <w:noWrap/>
            <w:vAlign w:val="center"/>
            <w:hideMark/>
          </w:tcPr>
          <w:p w14:paraId="5E48585E"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auto"/>
            <w:vAlign w:val="center"/>
          </w:tcPr>
          <w:p w14:paraId="0E9EBF87" w14:textId="03E11AA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19.101,26</w:t>
            </w:r>
          </w:p>
        </w:tc>
        <w:tc>
          <w:tcPr>
            <w:tcW w:w="784" w:type="pct"/>
            <w:tcBorders>
              <w:top w:val="single" w:sz="4" w:space="0" w:color="auto"/>
              <w:left w:val="nil"/>
              <w:bottom w:val="single" w:sz="4" w:space="0" w:color="auto"/>
              <w:right w:val="nil"/>
            </w:tcBorders>
            <w:shd w:val="clear" w:color="auto" w:fill="auto"/>
            <w:vAlign w:val="center"/>
            <w:hideMark/>
          </w:tcPr>
          <w:p w14:paraId="7B26667F" w14:textId="3FF4CE7F"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 xml:space="preserve"> -</w:t>
            </w:r>
          </w:p>
        </w:tc>
      </w:tr>
      <w:tr w:rsidR="00C16D40" w:rsidRPr="00C16D40" w14:paraId="00AE909A" w14:textId="77777777" w:rsidTr="00BA5560">
        <w:trPr>
          <w:trHeight w:val="227"/>
        </w:trPr>
        <w:tc>
          <w:tcPr>
            <w:tcW w:w="3005" w:type="pct"/>
            <w:tcBorders>
              <w:top w:val="nil"/>
              <w:left w:val="nil"/>
              <w:bottom w:val="nil"/>
              <w:right w:val="nil"/>
            </w:tcBorders>
            <w:shd w:val="clear" w:color="auto" w:fill="auto"/>
            <w:vAlign w:val="center"/>
            <w:hideMark/>
          </w:tcPr>
          <w:p w14:paraId="595890D5"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Cobros de intereses</w:t>
            </w:r>
          </w:p>
        </w:tc>
        <w:tc>
          <w:tcPr>
            <w:tcW w:w="477" w:type="pct"/>
            <w:tcBorders>
              <w:top w:val="nil"/>
              <w:left w:val="nil"/>
              <w:bottom w:val="nil"/>
              <w:right w:val="nil"/>
            </w:tcBorders>
            <w:shd w:val="clear" w:color="auto" w:fill="auto"/>
            <w:noWrap/>
            <w:vAlign w:val="center"/>
            <w:hideMark/>
          </w:tcPr>
          <w:p w14:paraId="35B933B7"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678AE757" w14:textId="6DC82878"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19.101,26</w:t>
            </w:r>
          </w:p>
        </w:tc>
        <w:tc>
          <w:tcPr>
            <w:tcW w:w="784" w:type="pct"/>
            <w:tcBorders>
              <w:top w:val="nil"/>
              <w:left w:val="nil"/>
              <w:bottom w:val="nil"/>
              <w:right w:val="nil"/>
            </w:tcBorders>
            <w:shd w:val="clear" w:color="auto" w:fill="auto"/>
            <w:vAlign w:val="center"/>
            <w:hideMark/>
          </w:tcPr>
          <w:p w14:paraId="56D9E838" w14:textId="567023E1"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 xml:space="preserve"> -</w:t>
            </w:r>
          </w:p>
        </w:tc>
      </w:tr>
      <w:tr w:rsidR="00C16D40" w:rsidRPr="00C16D40" w14:paraId="012F9755" w14:textId="77777777" w:rsidTr="00BA5560">
        <w:trPr>
          <w:trHeight w:val="227"/>
        </w:trPr>
        <w:tc>
          <w:tcPr>
            <w:tcW w:w="3005" w:type="pct"/>
            <w:tcBorders>
              <w:top w:val="nil"/>
              <w:left w:val="nil"/>
              <w:bottom w:val="nil"/>
              <w:right w:val="nil"/>
            </w:tcBorders>
            <w:shd w:val="clear" w:color="auto" w:fill="auto"/>
            <w:vAlign w:val="center"/>
            <w:hideMark/>
          </w:tcPr>
          <w:p w14:paraId="43EE18C5"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Pagos de intereses</w:t>
            </w:r>
          </w:p>
        </w:tc>
        <w:tc>
          <w:tcPr>
            <w:tcW w:w="477" w:type="pct"/>
            <w:tcBorders>
              <w:top w:val="nil"/>
              <w:left w:val="nil"/>
              <w:bottom w:val="nil"/>
              <w:right w:val="nil"/>
            </w:tcBorders>
            <w:shd w:val="clear" w:color="auto" w:fill="auto"/>
            <w:noWrap/>
            <w:vAlign w:val="bottom"/>
            <w:hideMark/>
          </w:tcPr>
          <w:p w14:paraId="20391995"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47398093" w14:textId="32C57F74"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784" w:type="pct"/>
            <w:tcBorders>
              <w:top w:val="nil"/>
              <w:left w:val="nil"/>
              <w:bottom w:val="nil"/>
              <w:right w:val="nil"/>
            </w:tcBorders>
            <w:shd w:val="clear" w:color="auto" w:fill="auto"/>
            <w:vAlign w:val="center"/>
            <w:hideMark/>
          </w:tcPr>
          <w:p w14:paraId="04064FC9" w14:textId="2B3F32E0"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 xml:space="preserve"> -</w:t>
            </w:r>
          </w:p>
        </w:tc>
      </w:tr>
      <w:tr w:rsidR="00EC270D" w:rsidRPr="00C16D40" w14:paraId="5399327A" w14:textId="77777777" w:rsidTr="00BA5560">
        <w:trPr>
          <w:trHeight w:val="113"/>
        </w:trPr>
        <w:tc>
          <w:tcPr>
            <w:tcW w:w="3005" w:type="pct"/>
            <w:tcBorders>
              <w:top w:val="nil"/>
              <w:left w:val="nil"/>
              <w:bottom w:val="nil"/>
              <w:right w:val="nil"/>
            </w:tcBorders>
            <w:shd w:val="clear" w:color="auto" w:fill="auto"/>
            <w:vAlign w:val="center"/>
            <w:hideMark/>
          </w:tcPr>
          <w:p w14:paraId="19CD4C08"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477" w:type="pct"/>
            <w:tcBorders>
              <w:top w:val="nil"/>
              <w:left w:val="nil"/>
              <w:bottom w:val="nil"/>
              <w:right w:val="nil"/>
            </w:tcBorders>
            <w:shd w:val="clear" w:color="auto" w:fill="auto"/>
            <w:vAlign w:val="center"/>
            <w:hideMark/>
          </w:tcPr>
          <w:p w14:paraId="73EA9291"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3977DA64"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4601F177"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EC270D" w:rsidRPr="00C16D40" w14:paraId="59927262" w14:textId="77777777" w:rsidTr="00BA5560">
        <w:trPr>
          <w:trHeight w:val="283"/>
        </w:trPr>
        <w:tc>
          <w:tcPr>
            <w:tcW w:w="3005" w:type="pct"/>
            <w:tcBorders>
              <w:top w:val="single" w:sz="4" w:space="0" w:color="auto"/>
              <w:left w:val="nil"/>
              <w:bottom w:val="single" w:sz="4" w:space="0" w:color="auto"/>
              <w:right w:val="nil"/>
            </w:tcBorders>
            <w:shd w:val="clear" w:color="000000" w:fill="F2F2F2"/>
            <w:vAlign w:val="center"/>
            <w:hideMark/>
          </w:tcPr>
          <w:p w14:paraId="373260C4"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B) FLUJOS DE EFECTIVO DE LAS ACTIVIDADES DE INVERSIÓN</w:t>
            </w:r>
          </w:p>
        </w:tc>
        <w:tc>
          <w:tcPr>
            <w:tcW w:w="477" w:type="pct"/>
            <w:tcBorders>
              <w:top w:val="single" w:sz="4" w:space="0" w:color="auto"/>
              <w:left w:val="nil"/>
              <w:bottom w:val="single" w:sz="4" w:space="0" w:color="auto"/>
              <w:right w:val="nil"/>
            </w:tcBorders>
            <w:shd w:val="clear" w:color="000000" w:fill="F2F2F2"/>
            <w:vAlign w:val="center"/>
            <w:hideMark/>
          </w:tcPr>
          <w:p w14:paraId="22B70F01" w14:textId="755BEB33"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000000" w:fill="F2F2F2"/>
            <w:vAlign w:val="center"/>
          </w:tcPr>
          <w:p w14:paraId="726DE829" w14:textId="066492E4" w:rsidR="00EC270D"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(8.965,60)</w:t>
            </w:r>
          </w:p>
        </w:tc>
        <w:tc>
          <w:tcPr>
            <w:tcW w:w="784" w:type="pct"/>
            <w:tcBorders>
              <w:top w:val="single" w:sz="4" w:space="0" w:color="auto"/>
              <w:left w:val="nil"/>
              <w:bottom w:val="single" w:sz="4" w:space="0" w:color="auto"/>
              <w:right w:val="nil"/>
            </w:tcBorders>
            <w:shd w:val="clear" w:color="000000" w:fill="F2F2F2"/>
            <w:vAlign w:val="center"/>
            <w:hideMark/>
          </w:tcPr>
          <w:p w14:paraId="7D7055A4" w14:textId="48D516BB"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C16D40">
              <w:rPr>
                <w:b/>
                <w:bCs/>
                <w:sz w:val="16"/>
                <w:szCs w:val="16"/>
              </w:rPr>
              <w:t>(21.889,24)</w:t>
            </w:r>
          </w:p>
        </w:tc>
      </w:tr>
      <w:tr w:rsidR="00EC270D" w:rsidRPr="00C16D40" w14:paraId="5BB92DBD" w14:textId="77777777" w:rsidTr="00BA5560">
        <w:trPr>
          <w:trHeight w:val="170"/>
        </w:trPr>
        <w:tc>
          <w:tcPr>
            <w:tcW w:w="3005" w:type="pct"/>
            <w:tcBorders>
              <w:top w:val="nil"/>
              <w:left w:val="nil"/>
              <w:bottom w:val="nil"/>
              <w:right w:val="nil"/>
            </w:tcBorders>
            <w:shd w:val="clear" w:color="auto" w:fill="auto"/>
            <w:noWrap/>
            <w:vAlign w:val="center"/>
            <w:hideMark/>
          </w:tcPr>
          <w:p w14:paraId="623AF28A"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p>
        </w:tc>
        <w:tc>
          <w:tcPr>
            <w:tcW w:w="477" w:type="pct"/>
            <w:tcBorders>
              <w:top w:val="nil"/>
              <w:left w:val="nil"/>
              <w:bottom w:val="nil"/>
              <w:right w:val="nil"/>
            </w:tcBorders>
            <w:shd w:val="clear" w:color="auto" w:fill="auto"/>
            <w:noWrap/>
            <w:vAlign w:val="center"/>
            <w:hideMark/>
          </w:tcPr>
          <w:p w14:paraId="0A778947"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1A138260"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797D6C85"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C16D40" w:rsidRPr="00C16D40" w14:paraId="63D60BB0" w14:textId="77777777" w:rsidTr="00BA5560">
        <w:trPr>
          <w:trHeight w:val="227"/>
        </w:trPr>
        <w:tc>
          <w:tcPr>
            <w:tcW w:w="3005" w:type="pct"/>
            <w:tcBorders>
              <w:top w:val="nil"/>
              <w:left w:val="nil"/>
              <w:bottom w:val="nil"/>
              <w:right w:val="nil"/>
            </w:tcBorders>
            <w:shd w:val="clear" w:color="auto" w:fill="auto"/>
            <w:vAlign w:val="center"/>
            <w:hideMark/>
          </w:tcPr>
          <w:p w14:paraId="6A1C9C93"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Pagos por inversiones:</w:t>
            </w:r>
          </w:p>
        </w:tc>
        <w:tc>
          <w:tcPr>
            <w:tcW w:w="477" w:type="pct"/>
            <w:tcBorders>
              <w:top w:val="nil"/>
              <w:left w:val="nil"/>
              <w:bottom w:val="nil"/>
              <w:right w:val="nil"/>
            </w:tcBorders>
            <w:shd w:val="clear" w:color="auto" w:fill="auto"/>
            <w:noWrap/>
            <w:vAlign w:val="center"/>
            <w:hideMark/>
          </w:tcPr>
          <w:p w14:paraId="66AFA956"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auto"/>
            <w:vAlign w:val="center"/>
          </w:tcPr>
          <w:p w14:paraId="3158558E" w14:textId="073B18C3"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(9.646,28)</w:t>
            </w:r>
          </w:p>
        </w:tc>
        <w:tc>
          <w:tcPr>
            <w:tcW w:w="784" w:type="pct"/>
            <w:tcBorders>
              <w:top w:val="single" w:sz="4" w:space="0" w:color="auto"/>
              <w:left w:val="nil"/>
              <w:bottom w:val="single" w:sz="4" w:space="0" w:color="auto"/>
              <w:right w:val="nil"/>
            </w:tcBorders>
            <w:shd w:val="clear" w:color="auto" w:fill="auto"/>
            <w:vAlign w:val="center"/>
            <w:hideMark/>
          </w:tcPr>
          <w:p w14:paraId="24D6E9DA" w14:textId="74E06424"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(21.889,24)</w:t>
            </w:r>
          </w:p>
        </w:tc>
      </w:tr>
      <w:tr w:rsidR="00C16D40" w:rsidRPr="00C16D40" w14:paraId="3E812D48" w14:textId="77777777" w:rsidTr="00BA5560">
        <w:trPr>
          <w:trHeight w:val="227"/>
        </w:trPr>
        <w:tc>
          <w:tcPr>
            <w:tcW w:w="3005" w:type="pct"/>
            <w:tcBorders>
              <w:top w:val="nil"/>
              <w:left w:val="nil"/>
              <w:bottom w:val="nil"/>
              <w:right w:val="nil"/>
            </w:tcBorders>
            <w:shd w:val="clear" w:color="auto" w:fill="auto"/>
            <w:vAlign w:val="center"/>
            <w:hideMark/>
          </w:tcPr>
          <w:p w14:paraId="33BD88F1"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Inmovilizado material</w:t>
            </w:r>
          </w:p>
        </w:tc>
        <w:tc>
          <w:tcPr>
            <w:tcW w:w="477" w:type="pct"/>
            <w:tcBorders>
              <w:top w:val="nil"/>
              <w:left w:val="nil"/>
              <w:bottom w:val="nil"/>
              <w:right w:val="nil"/>
            </w:tcBorders>
            <w:shd w:val="clear" w:color="auto" w:fill="auto"/>
            <w:noWrap/>
            <w:vAlign w:val="center"/>
            <w:hideMark/>
          </w:tcPr>
          <w:p w14:paraId="093B4A44"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6</w:t>
            </w:r>
          </w:p>
        </w:tc>
        <w:tc>
          <w:tcPr>
            <w:tcW w:w="734" w:type="pct"/>
            <w:tcBorders>
              <w:top w:val="nil"/>
              <w:left w:val="nil"/>
              <w:bottom w:val="nil"/>
              <w:right w:val="nil"/>
            </w:tcBorders>
            <w:shd w:val="clear" w:color="auto" w:fill="auto"/>
            <w:vAlign w:val="center"/>
          </w:tcPr>
          <w:p w14:paraId="10EAA13A" w14:textId="0EAFD386"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(9.646,28)</w:t>
            </w:r>
          </w:p>
        </w:tc>
        <w:tc>
          <w:tcPr>
            <w:tcW w:w="784" w:type="pct"/>
            <w:tcBorders>
              <w:top w:val="nil"/>
              <w:left w:val="nil"/>
              <w:bottom w:val="nil"/>
              <w:right w:val="nil"/>
            </w:tcBorders>
            <w:shd w:val="clear" w:color="auto" w:fill="auto"/>
            <w:vAlign w:val="center"/>
            <w:hideMark/>
          </w:tcPr>
          <w:p w14:paraId="1437DF60" w14:textId="35793452"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(21.889,24)</w:t>
            </w:r>
          </w:p>
        </w:tc>
      </w:tr>
      <w:tr w:rsidR="00EC270D" w:rsidRPr="00C16D40" w14:paraId="62C5D637" w14:textId="77777777" w:rsidTr="00BA5560">
        <w:trPr>
          <w:trHeight w:val="113"/>
        </w:trPr>
        <w:tc>
          <w:tcPr>
            <w:tcW w:w="3005" w:type="pct"/>
            <w:tcBorders>
              <w:top w:val="nil"/>
              <w:left w:val="nil"/>
              <w:bottom w:val="nil"/>
              <w:right w:val="nil"/>
            </w:tcBorders>
            <w:shd w:val="clear" w:color="auto" w:fill="auto"/>
            <w:vAlign w:val="center"/>
            <w:hideMark/>
          </w:tcPr>
          <w:p w14:paraId="5ED746CC"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477" w:type="pct"/>
            <w:tcBorders>
              <w:top w:val="nil"/>
              <w:left w:val="nil"/>
              <w:bottom w:val="nil"/>
              <w:right w:val="nil"/>
            </w:tcBorders>
            <w:shd w:val="clear" w:color="auto" w:fill="auto"/>
            <w:noWrap/>
            <w:vAlign w:val="center"/>
            <w:hideMark/>
          </w:tcPr>
          <w:p w14:paraId="03C3D6BB"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37FC4A5E" w14:textId="1D8C9C8E"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vAlign w:val="center"/>
          </w:tcPr>
          <w:p w14:paraId="64BDDCA0" w14:textId="58A71990"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C16D40" w:rsidRPr="00C16D40" w14:paraId="5781653D" w14:textId="77777777" w:rsidTr="00BA5560">
        <w:trPr>
          <w:trHeight w:val="227"/>
        </w:trPr>
        <w:tc>
          <w:tcPr>
            <w:tcW w:w="3005" w:type="pct"/>
            <w:tcBorders>
              <w:top w:val="nil"/>
              <w:left w:val="nil"/>
              <w:bottom w:val="nil"/>
              <w:right w:val="nil"/>
            </w:tcBorders>
            <w:shd w:val="clear" w:color="auto" w:fill="auto"/>
            <w:vAlign w:val="center"/>
            <w:hideMark/>
          </w:tcPr>
          <w:p w14:paraId="5AB7F1FE"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Cobros por desinversiones:</w:t>
            </w:r>
          </w:p>
        </w:tc>
        <w:tc>
          <w:tcPr>
            <w:tcW w:w="477" w:type="pct"/>
            <w:tcBorders>
              <w:top w:val="nil"/>
              <w:left w:val="nil"/>
              <w:bottom w:val="nil"/>
              <w:right w:val="nil"/>
            </w:tcBorders>
            <w:shd w:val="clear" w:color="auto" w:fill="auto"/>
            <w:noWrap/>
            <w:vAlign w:val="center"/>
            <w:hideMark/>
          </w:tcPr>
          <w:p w14:paraId="5DCB7A55"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auto"/>
            <w:vAlign w:val="center"/>
          </w:tcPr>
          <w:p w14:paraId="26FC44F2" w14:textId="327CDB76"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680,68</w:t>
            </w:r>
          </w:p>
        </w:tc>
        <w:tc>
          <w:tcPr>
            <w:tcW w:w="784" w:type="pct"/>
            <w:tcBorders>
              <w:top w:val="single" w:sz="4" w:space="0" w:color="auto"/>
              <w:left w:val="nil"/>
              <w:bottom w:val="single" w:sz="4" w:space="0" w:color="auto"/>
              <w:right w:val="nil"/>
            </w:tcBorders>
            <w:shd w:val="clear" w:color="auto" w:fill="auto"/>
            <w:vAlign w:val="center"/>
            <w:hideMark/>
          </w:tcPr>
          <w:p w14:paraId="36EDAFE3" w14:textId="7162A48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 xml:space="preserve"> -</w:t>
            </w:r>
          </w:p>
        </w:tc>
      </w:tr>
      <w:tr w:rsidR="00C16D40" w:rsidRPr="00C16D40" w14:paraId="00FFA000" w14:textId="77777777" w:rsidTr="00BA5560">
        <w:trPr>
          <w:trHeight w:val="227"/>
        </w:trPr>
        <w:tc>
          <w:tcPr>
            <w:tcW w:w="3005" w:type="pct"/>
            <w:tcBorders>
              <w:top w:val="nil"/>
              <w:left w:val="nil"/>
              <w:bottom w:val="nil"/>
              <w:right w:val="nil"/>
            </w:tcBorders>
            <w:shd w:val="clear" w:color="auto" w:fill="auto"/>
            <w:vAlign w:val="center"/>
            <w:hideMark/>
          </w:tcPr>
          <w:p w14:paraId="1A15C3D5"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Otros activos financieros</w:t>
            </w:r>
          </w:p>
        </w:tc>
        <w:tc>
          <w:tcPr>
            <w:tcW w:w="477" w:type="pct"/>
            <w:tcBorders>
              <w:top w:val="nil"/>
              <w:left w:val="nil"/>
              <w:bottom w:val="nil"/>
              <w:right w:val="nil"/>
            </w:tcBorders>
            <w:shd w:val="clear" w:color="auto" w:fill="auto"/>
            <w:noWrap/>
            <w:vAlign w:val="center"/>
            <w:hideMark/>
          </w:tcPr>
          <w:p w14:paraId="500680B8"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1B30BEF9" w14:textId="7AFBFFF3"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680,68</w:t>
            </w:r>
          </w:p>
        </w:tc>
        <w:tc>
          <w:tcPr>
            <w:tcW w:w="784" w:type="pct"/>
            <w:tcBorders>
              <w:top w:val="nil"/>
              <w:left w:val="nil"/>
              <w:bottom w:val="nil"/>
              <w:right w:val="nil"/>
            </w:tcBorders>
            <w:shd w:val="clear" w:color="auto" w:fill="auto"/>
            <w:vAlign w:val="center"/>
            <w:hideMark/>
          </w:tcPr>
          <w:p w14:paraId="381B0E48" w14:textId="1B154E31"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 xml:space="preserve"> -</w:t>
            </w:r>
          </w:p>
        </w:tc>
      </w:tr>
      <w:tr w:rsidR="00EC270D" w:rsidRPr="00C16D40" w14:paraId="04E4BB74" w14:textId="77777777" w:rsidTr="00BA5560">
        <w:trPr>
          <w:trHeight w:val="113"/>
        </w:trPr>
        <w:tc>
          <w:tcPr>
            <w:tcW w:w="3005" w:type="pct"/>
            <w:tcBorders>
              <w:top w:val="nil"/>
              <w:left w:val="nil"/>
              <w:bottom w:val="nil"/>
              <w:right w:val="nil"/>
            </w:tcBorders>
            <w:shd w:val="clear" w:color="auto" w:fill="auto"/>
            <w:noWrap/>
            <w:vAlign w:val="center"/>
            <w:hideMark/>
          </w:tcPr>
          <w:p w14:paraId="69A9CA2F"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477" w:type="pct"/>
            <w:tcBorders>
              <w:top w:val="nil"/>
              <w:left w:val="nil"/>
              <w:bottom w:val="nil"/>
              <w:right w:val="nil"/>
            </w:tcBorders>
            <w:shd w:val="clear" w:color="auto" w:fill="auto"/>
            <w:noWrap/>
            <w:vAlign w:val="center"/>
            <w:hideMark/>
          </w:tcPr>
          <w:p w14:paraId="31BE5108"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0204A00F"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067D02E5"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C16D40" w:rsidRPr="00C16D40" w14:paraId="21740DFC" w14:textId="77777777" w:rsidTr="00BA5560">
        <w:trPr>
          <w:trHeight w:val="170"/>
        </w:trPr>
        <w:tc>
          <w:tcPr>
            <w:tcW w:w="3005" w:type="pct"/>
            <w:tcBorders>
              <w:top w:val="single" w:sz="4" w:space="0" w:color="auto"/>
              <w:left w:val="nil"/>
              <w:bottom w:val="single" w:sz="4" w:space="0" w:color="auto"/>
              <w:right w:val="nil"/>
            </w:tcBorders>
            <w:shd w:val="clear" w:color="auto" w:fill="F2F2F2" w:themeFill="background1" w:themeFillShade="F2"/>
            <w:vAlign w:val="center"/>
            <w:hideMark/>
          </w:tcPr>
          <w:p w14:paraId="55F7F459"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C) FLUJOS DE EFECTIVO DE LAS ACTIVIDADES DE FINANCIACIÓN</w:t>
            </w:r>
          </w:p>
        </w:tc>
        <w:tc>
          <w:tcPr>
            <w:tcW w:w="477" w:type="pct"/>
            <w:tcBorders>
              <w:top w:val="single" w:sz="4" w:space="0" w:color="auto"/>
              <w:left w:val="nil"/>
              <w:bottom w:val="single" w:sz="4" w:space="0" w:color="auto"/>
              <w:right w:val="nil"/>
            </w:tcBorders>
            <w:shd w:val="clear" w:color="auto" w:fill="F2F2F2" w:themeFill="background1" w:themeFillShade="F2"/>
            <w:vAlign w:val="center"/>
            <w:hideMark/>
          </w:tcPr>
          <w:p w14:paraId="2465D327" w14:textId="625AF69E"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vAlign w:val="center"/>
          </w:tcPr>
          <w:p w14:paraId="61C198A4" w14:textId="603E7715"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3.581.585,60</w:t>
            </w:r>
          </w:p>
        </w:tc>
        <w:tc>
          <w:tcPr>
            <w:tcW w:w="784" w:type="pct"/>
            <w:tcBorders>
              <w:top w:val="single" w:sz="4" w:space="0" w:color="auto"/>
              <w:left w:val="nil"/>
              <w:bottom w:val="single" w:sz="4" w:space="0" w:color="auto"/>
              <w:right w:val="nil"/>
            </w:tcBorders>
            <w:shd w:val="clear" w:color="auto" w:fill="F2F2F2" w:themeFill="background1" w:themeFillShade="F2"/>
            <w:vAlign w:val="center"/>
            <w:hideMark/>
          </w:tcPr>
          <w:p w14:paraId="5B09C915" w14:textId="1A8E3B43"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2.335.863,80</w:t>
            </w:r>
          </w:p>
        </w:tc>
      </w:tr>
      <w:tr w:rsidR="00C16D40" w:rsidRPr="00C16D40" w14:paraId="356C4BA8" w14:textId="77777777" w:rsidTr="00BA5560">
        <w:trPr>
          <w:trHeight w:val="227"/>
        </w:trPr>
        <w:tc>
          <w:tcPr>
            <w:tcW w:w="3005" w:type="pct"/>
            <w:tcBorders>
              <w:top w:val="nil"/>
              <w:left w:val="nil"/>
              <w:bottom w:val="nil"/>
              <w:right w:val="nil"/>
            </w:tcBorders>
            <w:shd w:val="clear" w:color="auto" w:fill="auto"/>
            <w:vAlign w:val="center"/>
            <w:hideMark/>
          </w:tcPr>
          <w:p w14:paraId="7C4950D6"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Cobros y pagos por instrumentos de patrimonio:</w:t>
            </w:r>
          </w:p>
        </w:tc>
        <w:tc>
          <w:tcPr>
            <w:tcW w:w="477" w:type="pct"/>
            <w:tcBorders>
              <w:top w:val="nil"/>
              <w:left w:val="nil"/>
              <w:bottom w:val="nil"/>
              <w:right w:val="nil"/>
            </w:tcBorders>
            <w:shd w:val="clear" w:color="auto" w:fill="auto"/>
            <w:noWrap/>
            <w:vAlign w:val="center"/>
            <w:hideMark/>
          </w:tcPr>
          <w:p w14:paraId="23AF2F35"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nil"/>
              <w:left w:val="nil"/>
              <w:bottom w:val="single" w:sz="4" w:space="0" w:color="auto"/>
              <w:right w:val="nil"/>
            </w:tcBorders>
            <w:shd w:val="clear" w:color="auto" w:fill="auto"/>
            <w:vAlign w:val="center"/>
          </w:tcPr>
          <w:p w14:paraId="72A31487" w14:textId="576B3FD3"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3.577.139,00</w:t>
            </w:r>
          </w:p>
        </w:tc>
        <w:tc>
          <w:tcPr>
            <w:tcW w:w="784" w:type="pct"/>
            <w:tcBorders>
              <w:top w:val="nil"/>
              <w:left w:val="nil"/>
              <w:bottom w:val="single" w:sz="4" w:space="0" w:color="auto"/>
              <w:right w:val="nil"/>
            </w:tcBorders>
            <w:shd w:val="clear" w:color="auto" w:fill="auto"/>
            <w:vAlign w:val="center"/>
            <w:hideMark/>
          </w:tcPr>
          <w:p w14:paraId="75576937" w14:textId="34674C33"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2.327.888,00</w:t>
            </w:r>
          </w:p>
        </w:tc>
      </w:tr>
      <w:tr w:rsidR="00C16D40" w:rsidRPr="00C16D40" w14:paraId="2EA2E422" w14:textId="77777777" w:rsidTr="00BA5560">
        <w:trPr>
          <w:trHeight w:val="227"/>
        </w:trPr>
        <w:tc>
          <w:tcPr>
            <w:tcW w:w="3005" w:type="pct"/>
            <w:tcBorders>
              <w:top w:val="nil"/>
              <w:left w:val="nil"/>
              <w:bottom w:val="nil"/>
              <w:right w:val="nil"/>
            </w:tcBorders>
            <w:shd w:val="clear" w:color="auto" w:fill="auto"/>
            <w:vAlign w:val="center"/>
            <w:hideMark/>
          </w:tcPr>
          <w:p w14:paraId="169F3C6F"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Aportación socios</w:t>
            </w:r>
          </w:p>
        </w:tc>
        <w:tc>
          <w:tcPr>
            <w:tcW w:w="477" w:type="pct"/>
            <w:tcBorders>
              <w:top w:val="nil"/>
              <w:left w:val="nil"/>
              <w:bottom w:val="nil"/>
              <w:right w:val="nil"/>
            </w:tcBorders>
            <w:shd w:val="clear" w:color="auto" w:fill="auto"/>
            <w:noWrap/>
            <w:vAlign w:val="center"/>
            <w:hideMark/>
          </w:tcPr>
          <w:p w14:paraId="75DE1DFA" w14:textId="21037640"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8.4.d</w:t>
            </w:r>
          </w:p>
        </w:tc>
        <w:tc>
          <w:tcPr>
            <w:tcW w:w="734" w:type="pct"/>
            <w:tcBorders>
              <w:top w:val="nil"/>
              <w:left w:val="nil"/>
              <w:bottom w:val="nil"/>
              <w:right w:val="nil"/>
            </w:tcBorders>
            <w:shd w:val="clear" w:color="auto" w:fill="auto"/>
            <w:vAlign w:val="center"/>
          </w:tcPr>
          <w:p w14:paraId="211D577C" w14:textId="487C660E"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3.577.139,00</w:t>
            </w:r>
          </w:p>
        </w:tc>
        <w:tc>
          <w:tcPr>
            <w:tcW w:w="784" w:type="pct"/>
            <w:tcBorders>
              <w:top w:val="nil"/>
              <w:left w:val="nil"/>
              <w:bottom w:val="nil"/>
              <w:right w:val="nil"/>
            </w:tcBorders>
            <w:shd w:val="clear" w:color="auto" w:fill="auto"/>
            <w:vAlign w:val="center"/>
            <w:hideMark/>
          </w:tcPr>
          <w:p w14:paraId="7DB1F221" w14:textId="17BF621A"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2.327.888,00</w:t>
            </w:r>
          </w:p>
        </w:tc>
      </w:tr>
      <w:tr w:rsidR="00EC270D" w:rsidRPr="00C16D40" w14:paraId="3D152C4F" w14:textId="77777777" w:rsidTr="00BA5560">
        <w:trPr>
          <w:trHeight w:val="227"/>
        </w:trPr>
        <w:tc>
          <w:tcPr>
            <w:tcW w:w="3005" w:type="pct"/>
            <w:tcBorders>
              <w:top w:val="nil"/>
              <w:left w:val="nil"/>
              <w:bottom w:val="nil"/>
              <w:right w:val="nil"/>
            </w:tcBorders>
            <w:shd w:val="clear" w:color="auto" w:fill="auto"/>
            <w:vAlign w:val="center"/>
            <w:hideMark/>
          </w:tcPr>
          <w:p w14:paraId="3A16C7D7"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Subvenciones, donaciones y legados recibidos</w:t>
            </w:r>
          </w:p>
        </w:tc>
        <w:tc>
          <w:tcPr>
            <w:tcW w:w="477" w:type="pct"/>
            <w:tcBorders>
              <w:top w:val="nil"/>
              <w:left w:val="nil"/>
              <w:bottom w:val="nil"/>
              <w:right w:val="nil"/>
            </w:tcBorders>
            <w:shd w:val="clear" w:color="auto" w:fill="auto"/>
            <w:noWrap/>
            <w:vAlign w:val="center"/>
            <w:hideMark/>
          </w:tcPr>
          <w:p w14:paraId="16FD54A1" w14:textId="59A40A76"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32674705" w14:textId="67641035" w:rsidR="00EC270D" w:rsidRPr="00C16D40" w:rsidRDefault="00C16D40"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c>
          <w:tcPr>
            <w:tcW w:w="784" w:type="pct"/>
            <w:tcBorders>
              <w:top w:val="nil"/>
              <w:left w:val="nil"/>
              <w:bottom w:val="nil"/>
              <w:right w:val="nil"/>
            </w:tcBorders>
            <w:shd w:val="clear" w:color="auto" w:fill="auto"/>
            <w:vAlign w:val="center"/>
            <w:hideMark/>
          </w:tcPr>
          <w:p w14:paraId="3F1C55D2" w14:textId="74A1E233"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w:t>
            </w:r>
          </w:p>
        </w:tc>
      </w:tr>
      <w:tr w:rsidR="00EC270D" w:rsidRPr="00C16D40" w14:paraId="7ECD28D1" w14:textId="77777777" w:rsidTr="00BA5560">
        <w:trPr>
          <w:trHeight w:val="113"/>
        </w:trPr>
        <w:tc>
          <w:tcPr>
            <w:tcW w:w="3005" w:type="pct"/>
            <w:tcBorders>
              <w:top w:val="nil"/>
              <w:left w:val="nil"/>
              <w:bottom w:val="nil"/>
              <w:right w:val="nil"/>
            </w:tcBorders>
            <w:shd w:val="clear" w:color="auto" w:fill="auto"/>
            <w:vAlign w:val="center"/>
            <w:hideMark/>
          </w:tcPr>
          <w:p w14:paraId="7051B66D"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477" w:type="pct"/>
            <w:tcBorders>
              <w:top w:val="nil"/>
              <w:left w:val="nil"/>
              <w:bottom w:val="nil"/>
              <w:right w:val="nil"/>
            </w:tcBorders>
            <w:shd w:val="clear" w:color="auto" w:fill="auto"/>
            <w:noWrap/>
            <w:vAlign w:val="center"/>
            <w:hideMark/>
          </w:tcPr>
          <w:p w14:paraId="09D06ABD"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37AE84CE"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3D2991DA"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EC270D" w:rsidRPr="00C16D40" w14:paraId="54D9BF7F" w14:textId="77777777" w:rsidTr="00BA5560">
        <w:trPr>
          <w:trHeight w:val="227"/>
        </w:trPr>
        <w:tc>
          <w:tcPr>
            <w:tcW w:w="3005" w:type="pct"/>
            <w:tcBorders>
              <w:top w:val="nil"/>
              <w:left w:val="nil"/>
              <w:bottom w:val="nil"/>
              <w:right w:val="nil"/>
            </w:tcBorders>
            <w:shd w:val="clear" w:color="auto" w:fill="auto"/>
            <w:vAlign w:val="center"/>
            <w:hideMark/>
          </w:tcPr>
          <w:p w14:paraId="1FA3C4DA"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Cobros y pagos por instrumentos de pasivo financiero:</w:t>
            </w:r>
          </w:p>
        </w:tc>
        <w:tc>
          <w:tcPr>
            <w:tcW w:w="477" w:type="pct"/>
            <w:tcBorders>
              <w:top w:val="nil"/>
              <w:left w:val="nil"/>
              <w:bottom w:val="nil"/>
              <w:right w:val="nil"/>
            </w:tcBorders>
            <w:shd w:val="clear" w:color="auto" w:fill="auto"/>
            <w:noWrap/>
            <w:vAlign w:val="center"/>
            <w:hideMark/>
          </w:tcPr>
          <w:p w14:paraId="68C39A76"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auto"/>
            <w:vAlign w:val="center"/>
          </w:tcPr>
          <w:p w14:paraId="119AB68E" w14:textId="519F4CCC" w:rsidR="00EC270D"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4.446,60</w:t>
            </w:r>
          </w:p>
        </w:tc>
        <w:tc>
          <w:tcPr>
            <w:tcW w:w="784" w:type="pct"/>
            <w:tcBorders>
              <w:top w:val="single" w:sz="4" w:space="0" w:color="auto"/>
              <w:left w:val="nil"/>
              <w:bottom w:val="single" w:sz="4" w:space="0" w:color="auto"/>
              <w:right w:val="nil"/>
            </w:tcBorders>
            <w:shd w:val="clear" w:color="auto" w:fill="auto"/>
            <w:vAlign w:val="center"/>
            <w:hideMark/>
          </w:tcPr>
          <w:p w14:paraId="775A0E0B" w14:textId="32E44C7F"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7.975,80</w:t>
            </w:r>
          </w:p>
        </w:tc>
      </w:tr>
      <w:tr w:rsidR="00EC270D" w:rsidRPr="00C16D40" w14:paraId="387622EE" w14:textId="77777777" w:rsidTr="00BA5560">
        <w:trPr>
          <w:trHeight w:val="170"/>
        </w:trPr>
        <w:tc>
          <w:tcPr>
            <w:tcW w:w="3005" w:type="pct"/>
            <w:tcBorders>
              <w:top w:val="nil"/>
              <w:left w:val="nil"/>
              <w:bottom w:val="nil"/>
              <w:right w:val="nil"/>
            </w:tcBorders>
            <w:shd w:val="clear" w:color="auto" w:fill="auto"/>
            <w:vAlign w:val="center"/>
            <w:hideMark/>
          </w:tcPr>
          <w:p w14:paraId="40943C96"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Emisión:</w:t>
            </w:r>
          </w:p>
        </w:tc>
        <w:tc>
          <w:tcPr>
            <w:tcW w:w="477" w:type="pct"/>
            <w:tcBorders>
              <w:top w:val="nil"/>
              <w:left w:val="nil"/>
              <w:bottom w:val="nil"/>
              <w:right w:val="nil"/>
            </w:tcBorders>
            <w:shd w:val="clear" w:color="auto" w:fill="auto"/>
            <w:noWrap/>
            <w:vAlign w:val="center"/>
            <w:hideMark/>
          </w:tcPr>
          <w:p w14:paraId="11E50AFB"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0FA0CDC7"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vAlign w:val="center"/>
            <w:hideMark/>
          </w:tcPr>
          <w:p w14:paraId="2702FB79"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C16D40" w:rsidRPr="00C16D40" w14:paraId="029C2607" w14:textId="77777777" w:rsidTr="00BA5560">
        <w:trPr>
          <w:trHeight w:val="170"/>
        </w:trPr>
        <w:tc>
          <w:tcPr>
            <w:tcW w:w="3005" w:type="pct"/>
            <w:tcBorders>
              <w:top w:val="nil"/>
              <w:left w:val="nil"/>
              <w:bottom w:val="nil"/>
              <w:right w:val="nil"/>
            </w:tcBorders>
            <w:shd w:val="clear" w:color="auto" w:fill="auto"/>
            <w:vAlign w:val="center"/>
            <w:hideMark/>
          </w:tcPr>
          <w:p w14:paraId="2726D35D"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xml:space="preserve">    - Deudas con entidades de crédito</w:t>
            </w:r>
          </w:p>
        </w:tc>
        <w:tc>
          <w:tcPr>
            <w:tcW w:w="477" w:type="pct"/>
            <w:tcBorders>
              <w:top w:val="nil"/>
              <w:left w:val="nil"/>
              <w:bottom w:val="nil"/>
              <w:right w:val="nil"/>
            </w:tcBorders>
            <w:shd w:val="clear" w:color="auto" w:fill="auto"/>
            <w:noWrap/>
            <w:vAlign w:val="center"/>
            <w:hideMark/>
          </w:tcPr>
          <w:p w14:paraId="17875487"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6B8CFD7F" w14:textId="61C618E9"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784" w:type="pct"/>
            <w:tcBorders>
              <w:top w:val="nil"/>
              <w:left w:val="nil"/>
              <w:bottom w:val="nil"/>
              <w:right w:val="nil"/>
            </w:tcBorders>
            <w:shd w:val="clear" w:color="auto" w:fill="auto"/>
            <w:vAlign w:val="center"/>
            <w:hideMark/>
          </w:tcPr>
          <w:p w14:paraId="1AE5F2B1" w14:textId="66DC193E"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552,04</w:t>
            </w:r>
          </w:p>
        </w:tc>
      </w:tr>
      <w:tr w:rsidR="00C16D40" w:rsidRPr="00C16D40" w14:paraId="5579E990" w14:textId="77777777" w:rsidTr="00BA5560">
        <w:trPr>
          <w:trHeight w:val="227"/>
        </w:trPr>
        <w:tc>
          <w:tcPr>
            <w:tcW w:w="3005" w:type="pct"/>
            <w:tcBorders>
              <w:top w:val="nil"/>
              <w:left w:val="nil"/>
              <w:bottom w:val="nil"/>
              <w:right w:val="nil"/>
            </w:tcBorders>
            <w:shd w:val="clear" w:color="auto" w:fill="auto"/>
            <w:vAlign w:val="center"/>
            <w:hideMark/>
          </w:tcPr>
          <w:p w14:paraId="3B6B9716"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xml:space="preserve">    - Otras deudas</w:t>
            </w:r>
          </w:p>
        </w:tc>
        <w:tc>
          <w:tcPr>
            <w:tcW w:w="477" w:type="pct"/>
            <w:tcBorders>
              <w:top w:val="nil"/>
              <w:left w:val="nil"/>
              <w:bottom w:val="nil"/>
              <w:right w:val="nil"/>
            </w:tcBorders>
            <w:shd w:val="clear" w:color="auto" w:fill="auto"/>
            <w:noWrap/>
            <w:vAlign w:val="center"/>
            <w:hideMark/>
          </w:tcPr>
          <w:p w14:paraId="298FF7D8" w14:textId="77777777"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62DE4A87" w14:textId="07B698BC"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5.209,82</w:t>
            </w:r>
          </w:p>
        </w:tc>
        <w:tc>
          <w:tcPr>
            <w:tcW w:w="784" w:type="pct"/>
            <w:tcBorders>
              <w:top w:val="nil"/>
              <w:left w:val="nil"/>
              <w:bottom w:val="nil"/>
              <w:right w:val="nil"/>
            </w:tcBorders>
            <w:shd w:val="clear" w:color="auto" w:fill="auto"/>
            <w:vAlign w:val="center"/>
            <w:hideMark/>
          </w:tcPr>
          <w:p w14:paraId="04DE0BDE" w14:textId="253DE563" w:rsidR="00C16D40"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7.423,76</w:t>
            </w:r>
          </w:p>
        </w:tc>
      </w:tr>
      <w:tr w:rsidR="00EC270D" w:rsidRPr="00C16D40" w14:paraId="7B7A4E69" w14:textId="77777777" w:rsidTr="00BA5560">
        <w:trPr>
          <w:trHeight w:val="170"/>
        </w:trPr>
        <w:tc>
          <w:tcPr>
            <w:tcW w:w="3005" w:type="pct"/>
            <w:tcBorders>
              <w:top w:val="nil"/>
              <w:left w:val="nil"/>
              <w:bottom w:val="nil"/>
              <w:right w:val="nil"/>
            </w:tcBorders>
            <w:shd w:val="clear" w:color="auto" w:fill="auto"/>
            <w:vAlign w:val="center"/>
            <w:hideMark/>
          </w:tcPr>
          <w:p w14:paraId="41020FB5"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Devolución y amortización de:</w:t>
            </w:r>
          </w:p>
        </w:tc>
        <w:tc>
          <w:tcPr>
            <w:tcW w:w="477" w:type="pct"/>
            <w:tcBorders>
              <w:top w:val="nil"/>
              <w:left w:val="nil"/>
              <w:bottom w:val="nil"/>
              <w:right w:val="nil"/>
            </w:tcBorders>
            <w:shd w:val="clear" w:color="auto" w:fill="auto"/>
            <w:noWrap/>
            <w:vAlign w:val="bottom"/>
            <w:hideMark/>
          </w:tcPr>
          <w:p w14:paraId="072156CB"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3F9CAA09"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7833EF90"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EC270D" w:rsidRPr="00C16D40" w14:paraId="3B7B5A3C" w14:textId="77777777" w:rsidTr="00BA5560">
        <w:trPr>
          <w:trHeight w:val="227"/>
        </w:trPr>
        <w:tc>
          <w:tcPr>
            <w:tcW w:w="3005" w:type="pct"/>
            <w:tcBorders>
              <w:top w:val="nil"/>
              <w:left w:val="nil"/>
              <w:bottom w:val="nil"/>
              <w:right w:val="nil"/>
            </w:tcBorders>
            <w:shd w:val="clear" w:color="auto" w:fill="auto"/>
            <w:vAlign w:val="center"/>
            <w:hideMark/>
          </w:tcPr>
          <w:p w14:paraId="35CF77E8"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xml:space="preserve">    - Otras deudas</w:t>
            </w:r>
          </w:p>
        </w:tc>
        <w:tc>
          <w:tcPr>
            <w:tcW w:w="477" w:type="pct"/>
            <w:tcBorders>
              <w:top w:val="nil"/>
              <w:left w:val="nil"/>
              <w:bottom w:val="nil"/>
              <w:right w:val="nil"/>
            </w:tcBorders>
            <w:shd w:val="clear" w:color="auto" w:fill="auto"/>
            <w:noWrap/>
            <w:vAlign w:val="bottom"/>
            <w:hideMark/>
          </w:tcPr>
          <w:p w14:paraId="7337C09E"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vAlign w:val="center"/>
          </w:tcPr>
          <w:p w14:paraId="4529A70B" w14:textId="30050169" w:rsidR="00EC270D"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(763,22)</w:t>
            </w:r>
          </w:p>
        </w:tc>
        <w:tc>
          <w:tcPr>
            <w:tcW w:w="784" w:type="pct"/>
            <w:tcBorders>
              <w:top w:val="nil"/>
              <w:left w:val="nil"/>
              <w:bottom w:val="nil"/>
              <w:right w:val="nil"/>
            </w:tcBorders>
            <w:shd w:val="clear" w:color="auto" w:fill="auto"/>
            <w:vAlign w:val="center"/>
            <w:hideMark/>
          </w:tcPr>
          <w:p w14:paraId="69FA1EC5" w14:textId="59C45D2E"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w:t>
            </w:r>
          </w:p>
        </w:tc>
      </w:tr>
      <w:tr w:rsidR="00EC270D" w:rsidRPr="00C16D40" w14:paraId="3AD4DA36" w14:textId="77777777" w:rsidTr="00BA5560">
        <w:trPr>
          <w:trHeight w:val="113"/>
        </w:trPr>
        <w:tc>
          <w:tcPr>
            <w:tcW w:w="3005" w:type="pct"/>
            <w:tcBorders>
              <w:top w:val="nil"/>
              <w:left w:val="nil"/>
              <w:bottom w:val="nil"/>
              <w:right w:val="nil"/>
            </w:tcBorders>
            <w:shd w:val="clear" w:color="auto" w:fill="auto"/>
            <w:noWrap/>
            <w:vAlign w:val="center"/>
            <w:hideMark/>
          </w:tcPr>
          <w:p w14:paraId="06419481"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477" w:type="pct"/>
            <w:tcBorders>
              <w:top w:val="nil"/>
              <w:left w:val="nil"/>
              <w:bottom w:val="nil"/>
              <w:right w:val="nil"/>
            </w:tcBorders>
            <w:shd w:val="clear" w:color="auto" w:fill="auto"/>
            <w:noWrap/>
            <w:vAlign w:val="center"/>
            <w:hideMark/>
          </w:tcPr>
          <w:p w14:paraId="1CEAD123"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color w:val="auto"/>
                <w:sz w:val="16"/>
                <w:szCs w:val="16"/>
                <w:bdr w:val="none" w:sz="0" w:space="0" w:color="auto"/>
                <w:lang w:eastAsia="es-ES"/>
              </w:rPr>
            </w:pPr>
          </w:p>
        </w:tc>
        <w:tc>
          <w:tcPr>
            <w:tcW w:w="734" w:type="pct"/>
            <w:tcBorders>
              <w:top w:val="nil"/>
              <w:left w:val="nil"/>
              <w:bottom w:val="nil"/>
              <w:right w:val="nil"/>
            </w:tcBorders>
            <w:shd w:val="clear" w:color="auto" w:fill="auto"/>
            <w:noWrap/>
            <w:vAlign w:val="center"/>
          </w:tcPr>
          <w:p w14:paraId="1C8EB130"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784" w:type="pct"/>
            <w:tcBorders>
              <w:top w:val="nil"/>
              <w:left w:val="nil"/>
              <w:bottom w:val="nil"/>
              <w:right w:val="nil"/>
            </w:tcBorders>
            <w:shd w:val="clear" w:color="auto" w:fill="auto"/>
            <w:noWrap/>
            <w:vAlign w:val="center"/>
            <w:hideMark/>
          </w:tcPr>
          <w:p w14:paraId="29303E5A"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EC270D" w:rsidRPr="00C16D40" w14:paraId="35759CD6" w14:textId="77777777" w:rsidTr="00BA5560">
        <w:trPr>
          <w:trHeight w:val="227"/>
        </w:trPr>
        <w:tc>
          <w:tcPr>
            <w:tcW w:w="3005" w:type="pct"/>
            <w:tcBorders>
              <w:top w:val="single" w:sz="4" w:space="0" w:color="auto"/>
              <w:left w:val="nil"/>
              <w:bottom w:val="single" w:sz="4" w:space="0" w:color="auto"/>
              <w:right w:val="nil"/>
            </w:tcBorders>
            <w:shd w:val="clear" w:color="auto" w:fill="F2F2F2" w:themeFill="background1" w:themeFillShade="F2"/>
            <w:vAlign w:val="center"/>
            <w:hideMark/>
          </w:tcPr>
          <w:p w14:paraId="12C42974"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6"/>
                <w:szCs w:val="16"/>
                <w:bdr w:val="none" w:sz="0" w:space="0" w:color="auto"/>
                <w:lang w:eastAsia="es-ES"/>
              </w:rPr>
            </w:pPr>
            <w:r w:rsidRPr="00C16D40">
              <w:rPr>
                <w:rFonts w:eastAsia="Times New Roman"/>
                <w:b/>
                <w:bCs/>
                <w:color w:val="auto"/>
                <w:sz w:val="16"/>
                <w:szCs w:val="16"/>
                <w:bdr w:val="none" w:sz="0" w:space="0" w:color="auto"/>
                <w:lang w:eastAsia="es-ES"/>
              </w:rPr>
              <w:t>AUMENTO/DISMINUCIÓN NETA DEL EFECTIVO O EQUIVALENTES</w:t>
            </w:r>
          </w:p>
        </w:tc>
        <w:tc>
          <w:tcPr>
            <w:tcW w:w="477" w:type="pct"/>
            <w:tcBorders>
              <w:top w:val="single" w:sz="4" w:space="0" w:color="auto"/>
              <w:left w:val="nil"/>
              <w:bottom w:val="single" w:sz="4" w:space="0" w:color="auto"/>
              <w:right w:val="nil"/>
            </w:tcBorders>
            <w:shd w:val="clear" w:color="auto" w:fill="F2F2F2" w:themeFill="background1" w:themeFillShade="F2"/>
            <w:vAlign w:val="center"/>
            <w:hideMark/>
          </w:tcPr>
          <w:p w14:paraId="0A7706D5" w14:textId="56B3E53D"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6"/>
                <w:szCs w:val="16"/>
                <w:bdr w:val="none" w:sz="0" w:space="0" w:color="auto"/>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vAlign w:val="center"/>
          </w:tcPr>
          <w:p w14:paraId="2CFD651C" w14:textId="0FBEF616" w:rsidR="00EC270D" w:rsidRPr="00C16D40" w:rsidRDefault="00C16D40" w:rsidP="00C16D4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(5.648.908,67)</w:t>
            </w:r>
          </w:p>
        </w:tc>
        <w:tc>
          <w:tcPr>
            <w:tcW w:w="784" w:type="pct"/>
            <w:tcBorders>
              <w:top w:val="single" w:sz="4" w:space="0" w:color="auto"/>
              <w:left w:val="nil"/>
              <w:bottom w:val="single" w:sz="4" w:space="0" w:color="auto"/>
              <w:right w:val="nil"/>
            </w:tcBorders>
            <w:shd w:val="clear" w:color="auto" w:fill="F2F2F2" w:themeFill="background1" w:themeFillShade="F2"/>
            <w:vAlign w:val="center"/>
            <w:hideMark/>
          </w:tcPr>
          <w:p w14:paraId="101CA1BE" w14:textId="394EDBC1"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sidRPr="00C16D40">
              <w:rPr>
                <w:b/>
                <w:bCs/>
                <w:sz w:val="16"/>
                <w:szCs w:val="16"/>
              </w:rPr>
              <w:t>6.372.325,47</w:t>
            </w:r>
          </w:p>
        </w:tc>
      </w:tr>
      <w:tr w:rsidR="00EC270D" w:rsidRPr="00C16D40" w14:paraId="2D41B551" w14:textId="77777777" w:rsidTr="00BA5560">
        <w:trPr>
          <w:trHeight w:val="227"/>
        </w:trPr>
        <w:tc>
          <w:tcPr>
            <w:tcW w:w="3482" w:type="pct"/>
            <w:gridSpan w:val="2"/>
            <w:tcBorders>
              <w:top w:val="single" w:sz="4" w:space="0" w:color="auto"/>
              <w:left w:val="nil"/>
              <w:right w:val="nil"/>
            </w:tcBorders>
            <w:shd w:val="clear" w:color="auto" w:fill="auto"/>
            <w:noWrap/>
            <w:vAlign w:val="center"/>
            <w:hideMark/>
          </w:tcPr>
          <w:p w14:paraId="7C0E9B06"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Efectivo o equivalentes al comienzo del ejercicio</w:t>
            </w:r>
          </w:p>
        </w:tc>
        <w:tc>
          <w:tcPr>
            <w:tcW w:w="734" w:type="pct"/>
            <w:tcBorders>
              <w:top w:val="nil"/>
              <w:left w:val="nil"/>
              <w:right w:val="nil"/>
            </w:tcBorders>
            <w:shd w:val="clear" w:color="auto" w:fill="auto"/>
            <w:vAlign w:val="center"/>
          </w:tcPr>
          <w:p w14:paraId="550498D5" w14:textId="4D8C03FD" w:rsidR="00EC270D" w:rsidRPr="00C16D40" w:rsidRDefault="00C16D40"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20.864.421,45</w:t>
            </w:r>
          </w:p>
        </w:tc>
        <w:tc>
          <w:tcPr>
            <w:tcW w:w="784" w:type="pct"/>
            <w:tcBorders>
              <w:top w:val="nil"/>
              <w:left w:val="nil"/>
              <w:right w:val="nil"/>
            </w:tcBorders>
            <w:shd w:val="clear" w:color="auto" w:fill="auto"/>
            <w:vAlign w:val="center"/>
            <w:hideMark/>
          </w:tcPr>
          <w:p w14:paraId="2C6802D7" w14:textId="342E41E3"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14.492.095,98</w:t>
            </w:r>
          </w:p>
        </w:tc>
      </w:tr>
      <w:tr w:rsidR="00EC270D" w:rsidRPr="00C16D40" w14:paraId="2733E43C" w14:textId="77777777" w:rsidTr="00BA5560">
        <w:trPr>
          <w:trHeight w:val="227"/>
        </w:trPr>
        <w:tc>
          <w:tcPr>
            <w:tcW w:w="3005" w:type="pct"/>
            <w:tcBorders>
              <w:top w:val="nil"/>
              <w:left w:val="nil"/>
              <w:bottom w:val="single" w:sz="4" w:space="0" w:color="auto"/>
              <w:right w:val="nil"/>
            </w:tcBorders>
            <w:shd w:val="clear" w:color="auto" w:fill="auto"/>
            <w:noWrap/>
            <w:vAlign w:val="center"/>
            <w:hideMark/>
          </w:tcPr>
          <w:p w14:paraId="4CD5BBA4"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Efectivo o equivalentes al final del ejercicio</w:t>
            </w:r>
          </w:p>
        </w:tc>
        <w:tc>
          <w:tcPr>
            <w:tcW w:w="477" w:type="pct"/>
            <w:tcBorders>
              <w:top w:val="nil"/>
              <w:left w:val="nil"/>
              <w:bottom w:val="single" w:sz="4" w:space="0" w:color="auto"/>
              <w:right w:val="nil"/>
            </w:tcBorders>
            <w:shd w:val="clear" w:color="auto" w:fill="auto"/>
            <w:noWrap/>
            <w:vAlign w:val="center"/>
            <w:hideMark/>
          </w:tcPr>
          <w:p w14:paraId="3E8C6CE7" w14:textId="77777777"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r w:rsidRPr="00C16D40">
              <w:rPr>
                <w:rFonts w:eastAsia="Times New Roman"/>
                <w:color w:val="auto"/>
                <w:sz w:val="16"/>
                <w:szCs w:val="16"/>
                <w:bdr w:val="none" w:sz="0" w:space="0" w:color="auto"/>
                <w:lang w:eastAsia="es-ES"/>
              </w:rPr>
              <w:t> </w:t>
            </w:r>
          </w:p>
        </w:tc>
        <w:tc>
          <w:tcPr>
            <w:tcW w:w="734" w:type="pct"/>
            <w:tcBorders>
              <w:top w:val="nil"/>
              <w:left w:val="nil"/>
              <w:bottom w:val="single" w:sz="4" w:space="0" w:color="auto"/>
              <w:right w:val="nil"/>
            </w:tcBorders>
            <w:shd w:val="clear" w:color="auto" w:fill="auto"/>
            <w:vAlign w:val="center"/>
          </w:tcPr>
          <w:p w14:paraId="619C1BD4" w14:textId="57F079F0" w:rsidR="00EC270D" w:rsidRPr="00C16D40" w:rsidRDefault="00C16D40"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15.215.512,78</w:t>
            </w:r>
          </w:p>
        </w:tc>
        <w:tc>
          <w:tcPr>
            <w:tcW w:w="784" w:type="pct"/>
            <w:tcBorders>
              <w:top w:val="nil"/>
              <w:left w:val="nil"/>
              <w:bottom w:val="single" w:sz="4" w:space="0" w:color="auto"/>
              <w:right w:val="nil"/>
            </w:tcBorders>
            <w:shd w:val="clear" w:color="auto" w:fill="auto"/>
            <w:vAlign w:val="center"/>
            <w:hideMark/>
          </w:tcPr>
          <w:p w14:paraId="3CE48E4D" w14:textId="4612BEE2" w:rsidR="00EC270D" w:rsidRPr="00C16D40"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C16D40">
              <w:rPr>
                <w:sz w:val="16"/>
                <w:szCs w:val="16"/>
              </w:rPr>
              <w:t>20.864.421,45</w:t>
            </w:r>
          </w:p>
        </w:tc>
      </w:tr>
    </w:tbl>
    <w:p w14:paraId="156AA5ED" w14:textId="77777777" w:rsidR="00052BF5" w:rsidRPr="00C16D40" w:rsidRDefault="006220A2"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spacing w:before="120"/>
        <w:jc w:val="center"/>
        <w:outlineLvl w:val="9"/>
        <w:rPr>
          <w:i/>
          <w:iCs/>
          <w:sz w:val="18"/>
          <w:szCs w:val="18"/>
        </w:rPr>
      </w:pPr>
      <w:r w:rsidRPr="00C16D40">
        <w:rPr>
          <w:i/>
          <w:iCs/>
          <w:sz w:val="18"/>
          <w:szCs w:val="18"/>
        </w:rPr>
        <w:t xml:space="preserve">Las Cuentas Anuales de la Sociedad, que forman una sola unidad, comprenden este Estado de Flujos de Efectivo, el Balance, la Cuenta de Pérdidas y Ganancias, el Estado de Cambios en el Patrimonio Neto adjuntos y </w:t>
      </w:r>
    </w:p>
    <w:p w14:paraId="25F16245" w14:textId="3F254F94" w:rsidR="0071126B" w:rsidRPr="00BA5560" w:rsidRDefault="006220A2"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9"/>
        <w:rPr>
          <w:i/>
          <w:iCs/>
          <w:sz w:val="18"/>
          <w:szCs w:val="18"/>
        </w:rPr>
      </w:pPr>
      <w:r w:rsidRPr="00C16D40">
        <w:rPr>
          <w:i/>
          <w:iCs/>
          <w:sz w:val="18"/>
          <w:szCs w:val="18"/>
        </w:rPr>
        <w:t>la Memor</w:t>
      </w:r>
      <w:r w:rsidR="002B673F" w:rsidRPr="00C16D40">
        <w:rPr>
          <w:i/>
          <w:iCs/>
          <w:sz w:val="18"/>
          <w:szCs w:val="18"/>
        </w:rPr>
        <w:t>ia Anual adjunta que consta de 20</w:t>
      </w:r>
      <w:r w:rsidRPr="00C16D40">
        <w:rPr>
          <w:i/>
          <w:iCs/>
          <w:sz w:val="18"/>
          <w:szCs w:val="18"/>
        </w:rPr>
        <w:t xml:space="preserve"> Nota</w:t>
      </w:r>
      <w:r w:rsidRPr="00BA5560">
        <w:rPr>
          <w:i/>
          <w:iCs/>
          <w:sz w:val="18"/>
          <w:szCs w:val="18"/>
        </w:rPr>
        <w:t>s</w:t>
      </w:r>
    </w:p>
    <w:p w14:paraId="3853A73E" w14:textId="77777777" w:rsidR="0071126B" w:rsidRPr="00BA5560" w:rsidRDefault="0071126B" w:rsidP="00BA5560">
      <w:pPr>
        <w:widowControl w:val="0"/>
        <w:tabs>
          <w:tab w:val="left" w:pos="737"/>
          <w:tab w:val="left" w:pos="1474"/>
          <w:tab w:val="left" w:pos="2324"/>
          <w:tab w:val="left" w:pos="4320"/>
          <w:tab w:val="left" w:pos="5040"/>
          <w:tab w:val="left" w:pos="5760"/>
          <w:tab w:val="left" w:pos="6480"/>
          <w:tab w:val="decimal" w:pos="6520"/>
          <w:tab w:val="left" w:pos="7200"/>
          <w:tab w:val="left" w:pos="7920"/>
          <w:tab w:val="right" w:pos="8505"/>
          <w:tab w:val="left" w:pos="8640"/>
        </w:tabs>
        <w:jc w:val="center"/>
        <w:outlineLvl w:val="9"/>
        <w:rPr>
          <w:i/>
          <w:iCs/>
          <w:sz w:val="18"/>
          <w:szCs w:val="18"/>
        </w:rPr>
        <w:sectPr w:rsidR="0071126B" w:rsidRPr="00BA5560" w:rsidSect="00064105">
          <w:pgSz w:w="11900" w:h="16840" w:code="9"/>
          <w:pgMar w:top="1985" w:right="1134" w:bottom="1701" w:left="1701" w:header="1020" w:footer="680" w:gutter="0"/>
          <w:pgNumType w:start="1"/>
          <w:cols w:space="708"/>
          <w:docGrid w:linePitch="360"/>
        </w:sectPr>
      </w:pPr>
    </w:p>
    <w:p w14:paraId="7C43B582" w14:textId="77777777" w:rsidR="006220A2" w:rsidRPr="006579C4" w:rsidRDefault="006220A2" w:rsidP="007C7F1C">
      <w:pPr>
        <w:ind w:left="426"/>
        <w:jc w:val="center"/>
        <w:rPr>
          <w:b/>
          <w:color w:val="auto"/>
          <w:sz w:val="28"/>
          <w:szCs w:val="28"/>
        </w:rPr>
      </w:pPr>
      <w:r w:rsidRPr="006579C4">
        <w:rPr>
          <w:b/>
          <w:color w:val="auto"/>
          <w:sz w:val="28"/>
          <w:szCs w:val="28"/>
        </w:rPr>
        <w:lastRenderedPageBreak/>
        <w:t>PROMOTUR</w:t>
      </w:r>
      <w:r w:rsidR="00FF5498" w:rsidRPr="006579C4">
        <w:rPr>
          <w:b/>
          <w:color w:val="auto"/>
          <w:sz w:val="28"/>
          <w:szCs w:val="28"/>
        </w:rPr>
        <w:t xml:space="preserve"> TURISMO CANARIAS</w:t>
      </w:r>
      <w:r w:rsidRPr="006579C4">
        <w:rPr>
          <w:b/>
          <w:color w:val="auto"/>
          <w:sz w:val="28"/>
          <w:szCs w:val="28"/>
        </w:rPr>
        <w:t xml:space="preserve"> S.A.</w:t>
      </w:r>
    </w:p>
    <w:p w14:paraId="4C974113" w14:textId="77777777" w:rsidR="006220A2" w:rsidRPr="006579C4" w:rsidRDefault="006220A2" w:rsidP="006220A2">
      <w:pPr>
        <w:jc w:val="center"/>
        <w:rPr>
          <w:b/>
          <w:color w:val="auto"/>
          <w:sz w:val="28"/>
          <w:szCs w:val="28"/>
        </w:rPr>
      </w:pPr>
    </w:p>
    <w:p w14:paraId="61A851B0" w14:textId="019B92A9" w:rsidR="006220A2" w:rsidRPr="006579C4" w:rsidRDefault="006220A2" w:rsidP="006220A2">
      <w:pPr>
        <w:jc w:val="center"/>
        <w:rPr>
          <w:b/>
          <w:color w:val="auto"/>
          <w:sz w:val="28"/>
          <w:szCs w:val="28"/>
        </w:rPr>
      </w:pPr>
      <w:r w:rsidRPr="006579C4">
        <w:rPr>
          <w:b/>
          <w:color w:val="auto"/>
          <w:sz w:val="28"/>
          <w:szCs w:val="28"/>
        </w:rPr>
        <w:t>Memoria del Ejerc</w:t>
      </w:r>
      <w:r w:rsidR="00403F0F" w:rsidRPr="006579C4">
        <w:rPr>
          <w:b/>
          <w:color w:val="auto"/>
          <w:sz w:val="28"/>
          <w:szCs w:val="28"/>
        </w:rPr>
        <w:t>icio 20</w:t>
      </w:r>
      <w:r w:rsidR="00C75886" w:rsidRPr="006579C4">
        <w:rPr>
          <w:b/>
          <w:color w:val="auto"/>
          <w:sz w:val="28"/>
          <w:szCs w:val="28"/>
        </w:rPr>
        <w:t>2</w:t>
      </w:r>
      <w:r w:rsidR="00EC270D">
        <w:rPr>
          <w:b/>
          <w:color w:val="auto"/>
          <w:sz w:val="28"/>
          <w:szCs w:val="28"/>
        </w:rPr>
        <w:t>3</w:t>
      </w:r>
    </w:p>
    <w:p w14:paraId="1152BA56" w14:textId="168F598E" w:rsidR="006220A2" w:rsidRDefault="006220A2" w:rsidP="006220A2">
      <w:pPr>
        <w:rPr>
          <w:sz w:val="20"/>
        </w:rPr>
      </w:pPr>
    </w:p>
    <w:p w14:paraId="146B6C76" w14:textId="77777777" w:rsidR="00052BF5" w:rsidRPr="0083433F" w:rsidRDefault="00052BF5" w:rsidP="006220A2">
      <w:pPr>
        <w:rPr>
          <w:sz w:val="20"/>
        </w:rPr>
      </w:pPr>
    </w:p>
    <w:p w14:paraId="2DC33036" w14:textId="77777777" w:rsidR="006220A2" w:rsidRPr="000B5966"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0B5966">
        <w:rPr>
          <w:b/>
          <w:snapToGrid w:val="0"/>
          <w:sz w:val="22"/>
          <w:szCs w:val="22"/>
        </w:rPr>
        <w:t>Información general</w:t>
      </w:r>
    </w:p>
    <w:p w14:paraId="341D5F96" w14:textId="291978EE" w:rsidR="006220A2" w:rsidRPr="0083433F" w:rsidRDefault="006220A2" w:rsidP="00BA55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83433F">
        <w:rPr>
          <w:snapToGrid w:val="0"/>
          <w:sz w:val="20"/>
          <w:szCs w:val="22"/>
        </w:rPr>
        <w:t xml:space="preserve">El Gobierno de Canarias, en sesión celebrada el día 21 de diciembre de 2004, acordó constituir la Empresa Pública, </w:t>
      </w:r>
      <w:proofErr w:type="spellStart"/>
      <w:r w:rsidRPr="00063EF4">
        <w:rPr>
          <w:b/>
          <w:bCs/>
          <w:snapToGrid w:val="0"/>
          <w:sz w:val="20"/>
          <w:szCs w:val="22"/>
        </w:rPr>
        <w:t>Promotur</w:t>
      </w:r>
      <w:proofErr w:type="spellEnd"/>
      <w:r w:rsidRPr="00063EF4">
        <w:rPr>
          <w:b/>
          <w:bCs/>
          <w:snapToGrid w:val="0"/>
          <w:sz w:val="20"/>
          <w:szCs w:val="22"/>
        </w:rPr>
        <w:t xml:space="preserve"> Turismo Canarias, S.A</w:t>
      </w:r>
      <w:r w:rsidRPr="00063EF4">
        <w:rPr>
          <w:snapToGrid w:val="0"/>
          <w:sz w:val="20"/>
          <w:szCs w:val="22"/>
        </w:rPr>
        <w:t>.</w:t>
      </w:r>
      <w:r w:rsidRPr="0083433F">
        <w:rPr>
          <w:snapToGrid w:val="0"/>
          <w:sz w:val="20"/>
          <w:szCs w:val="22"/>
        </w:rPr>
        <w:t xml:space="preserve">, Sociedad Unipersonal, </w:t>
      </w:r>
      <w:r w:rsidR="007E7835">
        <w:rPr>
          <w:snapToGrid w:val="0"/>
          <w:sz w:val="20"/>
          <w:szCs w:val="22"/>
        </w:rPr>
        <w:t xml:space="preserve">(en adelante </w:t>
      </w:r>
      <w:r w:rsidR="00052BF5">
        <w:rPr>
          <w:snapToGrid w:val="0"/>
          <w:sz w:val="20"/>
          <w:szCs w:val="22"/>
        </w:rPr>
        <w:t>“</w:t>
      </w:r>
      <w:proofErr w:type="spellStart"/>
      <w:r w:rsidR="00052BF5">
        <w:rPr>
          <w:snapToGrid w:val="0"/>
          <w:sz w:val="20"/>
          <w:szCs w:val="22"/>
        </w:rPr>
        <w:t>Promotur</w:t>
      </w:r>
      <w:proofErr w:type="spellEnd"/>
      <w:r w:rsidR="00052BF5">
        <w:rPr>
          <w:snapToGrid w:val="0"/>
          <w:sz w:val="20"/>
          <w:szCs w:val="22"/>
        </w:rPr>
        <w:t xml:space="preserve">” o </w:t>
      </w:r>
      <w:r w:rsidR="007E7835">
        <w:rPr>
          <w:snapToGrid w:val="0"/>
          <w:sz w:val="20"/>
          <w:szCs w:val="22"/>
        </w:rPr>
        <w:t xml:space="preserve">“La Sociedad”) </w:t>
      </w:r>
      <w:r w:rsidRPr="0083433F">
        <w:rPr>
          <w:snapToGrid w:val="0"/>
          <w:sz w:val="20"/>
          <w:szCs w:val="22"/>
        </w:rPr>
        <w:t>con un capital social inicial de 600.000,00 euros, suscrito íntegramente por la Comunidad Autónoma de Canarias, y quedando la misma adscrita a la Consejería de Turismo</w:t>
      </w:r>
      <w:r w:rsidR="008D2CC2">
        <w:rPr>
          <w:snapToGrid w:val="0"/>
          <w:sz w:val="20"/>
          <w:szCs w:val="22"/>
        </w:rPr>
        <w:t xml:space="preserve"> y Empleo</w:t>
      </w:r>
      <w:r w:rsidRPr="0083433F">
        <w:rPr>
          <w:snapToGrid w:val="0"/>
          <w:sz w:val="20"/>
          <w:szCs w:val="22"/>
        </w:rPr>
        <w:t>.</w:t>
      </w:r>
    </w:p>
    <w:p w14:paraId="65E8BA68" w14:textId="0A10AF0E" w:rsidR="006220A2" w:rsidRPr="0083433F" w:rsidRDefault="006220A2" w:rsidP="00BA55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proofErr w:type="spellStart"/>
      <w:r w:rsidRPr="0083433F">
        <w:rPr>
          <w:snapToGrid w:val="0"/>
          <w:sz w:val="20"/>
          <w:szCs w:val="22"/>
        </w:rPr>
        <w:t>Promotur</w:t>
      </w:r>
      <w:proofErr w:type="spellEnd"/>
      <w:r w:rsidRPr="0083433F">
        <w:rPr>
          <w:snapToGrid w:val="0"/>
          <w:sz w:val="20"/>
          <w:szCs w:val="22"/>
        </w:rPr>
        <w:t xml:space="preserve"> Turismo Canarias, S.A. se constituyó por tiempo indefinido ante el Notario D. Juan Alfonso Cabello Cascajo, el 11 de marzo de 2005, y figura inscrita en el </w:t>
      </w:r>
      <w:smartTag w:uri="urn:schemas-microsoft-com:office:smarttags" w:element="PersonName">
        <w:smartTagPr>
          <w:attr w:name="ProductID" w:val="Registro Mercantil"/>
        </w:smartTagPr>
        <w:r w:rsidRPr="0083433F">
          <w:rPr>
            <w:snapToGrid w:val="0"/>
            <w:sz w:val="20"/>
            <w:szCs w:val="22"/>
          </w:rPr>
          <w:t>Registro Mercantil</w:t>
        </w:r>
      </w:smartTag>
      <w:r w:rsidRPr="0083433F">
        <w:rPr>
          <w:snapToGrid w:val="0"/>
          <w:sz w:val="20"/>
          <w:szCs w:val="22"/>
        </w:rPr>
        <w:t xml:space="preserve"> de la Provincia de Las Palmas, con fecha 25 de julio de 2005. La Sociedad dio comienzo a sus oper</w:t>
      </w:r>
      <w:r w:rsidR="00C75016" w:rsidRPr="0083433F">
        <w:rPr>
          <w:snapToGrid w:val="0"/>
          <w:sz w:val="20"/>
          <w:szCs w:val="22"/>
        </w:rPr>
        <w:t xml:space="preserve">aciones el 11 de marzo de 2005, </w:t>
      </w:r>
      <w:r w:rsidRPr="0083433F">
        <w:rPr>
          <w:snapToGrid w:val="0"/>
          <w:sz w:val="20"/>
          <w:szCs w:val="22"/>
        </w:rPr>
        <w:t xml:space="preserve">domicilio social en la calle Víctor Hugo, </w:t>
      </w:r>
      <w:proofErr w:type="spellStart"/>
      <w:r w:rsidRPr="0083433F">
        <w:rPr>
          <w:snapToGrid w:val="0"/>
          <w:sz w:val="20"/>
          <w:szCs w:val="22"/>
        </w:rPr>
        <w:t>nº</w:t>
      </w:r>
      <w:proofErr w:type="spellEnd"/>
      <w:r w:rsidRPr="0083433F">
        <w:rPr>
          <w:snapToGrid w:val="0"/>
          <w:sz w:val="20"/>
          <w:szCs w:val="22"/>
        </w:rPr>
        <w:t xml:space="preserve"> 60, de Las Palmas de Gran Canaria. </w:t>
      </w:r>
    </w:p>
    <w:p w14:paraId="2C441B79" w14:textId="77777777" w:rsidR="00CA02DE" w:rsidRPr="0083433F" w:rsidRDefault="00D51508" w:rsidP="00BA55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83433F">
        <w:rPr>
          <w:snapToGrid w:val="0"/>
          <w:sz w:val="20"/>
          <w:szCs w:val="22"/>
        </w:rPr>
        <w:t>La Sociedad cambia su domicilio social mediante escritura del 17 de octubre de 2019 al Edi</w:t>
      </w:r>
      <w:r w:rsidR="00CA02DE" w:rsidRPr="0083433F">
        <w:rPr>
          <w:snapToGrid w:val="0"/>
          <w:sz w:val="20"/>
          <w:szCs w:val="22"/>
        </w:rPr>
        <w:t xml:space="preserve">ficio </w:t>
      </w:r>
      <w:proofErr w:type="spellStart"/>
      <w:r w:rsidR="00CA02DE" w:rsidRPr="0083433F">
        <w:rPr>
          <w:snapToGrid w:val="0"/>
          <w:sz w:val="20"/>
          <w:szCs w:val="22"/>
        </w:rPr>
        <w:t>Woermann</w:t>
      </w:r>
      <w:proofErr w:type="spellEnd"/>
      <w:r w:rsidR="00CA02DE" w:rsidRPr="0083433F">
        <w:rPr>
          <w:snapToGrid w:val="0"/>
          <w:sz w:val="20"/>
          <w:szCs w:val="22"/>
        </w:rPr>
        <w:t xml:space="preserve"> en la calle Eduardo Ben</w:t>
      </w:r>
      <w:r w:rsidR="00744388" w:rsidRPr="0083433F">
        <w:rPr>
          <w:snapToGrid w:val="0"/>
          <w:sz w:val="20"/>
          <w:szCs w:val="22"/>
        </w:rPr>
        <w:t>o</w:t>
      </w:r>
      <w:r w:rsidR="00CA02DE" w:rsidRPr="0083433F">
        <w:rPr>
          <w:snapToGrid w:val="0"/>
          <w:sz w:val="20"/>
          <w:szCs w:val="22"/>
        </w:rPr>
        <w:t xml:space="preserve">t, </w:t>
      </w:r>
      <w:proofErr w:type="spellStart"/>
      <w:r w:rsidR="00CA02DE" w:rsidRPr="0083433F">
        <w:rPr>
          <w:snapToGrid w:val="0"/>
          <w:sz w:val="20"/>
          <w:szCs w:val="22"/>
        </w:rPr>
        <w:t>nº</w:t>
      </w:r>
      <w:proofErr w:type="spellEnd"/>
      <w:r w:rsidR="00CA02DE" w:rsidRPr="0083433F">
        <w:rPr>
          <w:snapToGrid w:val="0"/>
          <w:sz w:val="20"/>
          <w:szCs w:val="22"/>
        </w:rPr>
        <w:t xml:space="preserve"> 35,</w:t>
      </w:r>
      <w:r w:rsidRPr="0083433F">
        <w:rPr>
          <w:snapToGrid w:val="0"/>
          <w:sz w:val="20"/>
          <w:szCs w:val="22"/>
        </w:rPr>
        <w:t xml:space="preserve"> bajo,</w:t>
      </w:r>
      <w:r w:rsidR="00CA02DE" w:rsidRPr="0083433F">
        <w:rPr>
          <w:snapToGrid w:val="0"/>
          <w:sz w:val="20"/>
          <w:szCs w:val="22"/>
        </w:rPr>
        <w:t xml:space="preserve"> de Las Palmas de Gran Canaria.</w:t>
      </w:r>
    </w:p>
    <w:p w14:paraId="4BDEB5D1" w14:textId="77777777" w:rsidR="00CA02DE" w:rsidRPr="0083433F" w:rsidRDefault="006220A2" w:rsidP="00BA55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83433F">
        <w:rPr>
          <w:snapToGrid w:val="0"/>
          <w:sz w:val="20"/>
          <w:szCs w:val="22"/>
        </w:rPr>
        <w:t>La Sociedad tiene por objeto social:</w:t>
      </w:r>
    </w:p>
    <w:p w14:paraId="39F1E9FE" w14:textId="77777777" w:rsidR="006220A2" w:rsidRPr="0083433F" w:rsidRDefault="006220A2" w:rsidP="001B5A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 realización de las actividades relacionadas con el estudio, promoción, fomento, difusión y comercialización de los distintos productos y servicios turísticos de Canarias y potenciación de la oferta turística del archipiélago.</w:t>
      </w:r>
    </w:p>
    <w:p w14:paraId="10AA91AA" w14:textId="77777777" w:rsidR="006220A2" w:rsidRPr="0083433F" w:rsidRDefault="006220A2" w:rsidP="001B5A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ind w:left="284"/>
        <w:jc w:val="both"/>
        <w:outlineLvl w:val="9"/>
        <w:rPr>
          <w:snapToGrid w:val="0"/>
          <w:sz w:val="20"/>
          <w:szCs w:val="22"/>
        </w:rPr>
      </w:pPr>
      <w:r w:rsidRPr="0083433F">
        <w:rPr>
          <w:snapToGrid w:val="0"/>
          <w:sz w:val="20"/>
          <w:szCs w:val="22"/>
        </w:rPr>
        <w:t>Las actividades integrantes del objeto social podrán ser desarrolladas, total o parcialmente, de modo indirecto, mediante la titularidad de acciones o participaciones mercantiles con objeto idéntico o análogo.</w:t>
      </w:r>
    </w:p>
    <w:p w14:paraId="7AA2D8CF" w14:textId="77777777" w:rsidR="006220A2" w:rsidRPr="0083433F" w:rsidRDefault="006220A2" w:rsidP="00C75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546463ED" w14:textId="77777777" w:rsidR="006220A2" w:rsidRPr="0083433F" w:rsidRDefault="006220A2" w:rsidP="00C758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1"/>
        <w:jc w:val="both"/>
        <w:rPr>
          <w:snapToGrid w:val="0"/>
          <w:sz w:val="20"/>
          <w:szCs w:val="22"/>
        </w:rPr>
      </w:pPr>
    </w:p>
    <w:p w14:paraId="2A5A5623" w14:textId="77777777" w:rsidR="006220A2" w:rsidRPr="008343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83433F">
        <w:rPr>
          <w:b/>
          <w:snapToGrid w:val="0"/>
          <w:sz w:val="22"/>
          <w:szCs w:val="22"/>
        </w:rPr>
        <w:t>Bases de presentación</w:t>
      </w:r>
    </w:p>
    <w:p w14:paraId="66A74ACA" w14:textId="10D41C59" w:rsidR="006220A2" w:rsidRPr="00052BF5" w:rsidRDefault="006220A2">
      <w:pPr>
        <w:pStyle w:val="Prrafodelista"/>
        <w:widowControl w:val="0"/>
        <w:numPr>
          <w:ilvl w:val="3"/>
          <w:numId w:val="26"/>
        </w:numPr>
        <w:tabs>
          <w:tab w:val="left" w:pos="284"/>
        </w:tabs>
        <w:spacing w:before="120"/>
        <w:ind w:left="284"/>
        <w:rPr>
          <w:rFonts w:ascii="Arial" w:hAnsi="Arial" w:cs="Arial"/>
          <w:snapToGrid w:val="0"/>
          <w:sz w:val="20"/>
          <w:szCs w:val="22"/>
        </w:rPr>
      </w:pPr>
      <w:r w:rsidRPr="00052BF5">
        <w:rPr>
          <w:rFonts w:ascii="Arial" w:hAnsi="Arial" w:cs="Arial"/>
          <w:snapToGrid w:val="0"/>
          <w:sz w:val="20"/>
          <w:szCs w:val="22"/>
          <w:u w:val="single"/>
        </w:rPr>
        <w:t>Imagen fiel</w:t>
      </w:r>
    </w:p>
    <w:p w14:paraId="3AED0B90" w14:textId="56354D56" w:rsidR="006220A2" w:rsidRPr="0083433F" w:rsidRDefault="006220A2" w:rsidP="00BA55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83433F">
        <w:rPr>
          <w:snapToGrid w:val="0"/>
          <w:sz w:val="20"/>
          <w:szCs w:val="22"/>
        </w:rPr>
        <w:t>Las cuentas anuales se han preparado a partir de los registros contables de la Sociedad y se presentan de acuerdo con la legislación mercantil vigente y con las normas establecidas en el Plan General de Contabilidad aprobado mediante Real Decret</w:t>
      </w:r>
      <w:r w:rsidRPr="00881880">
        <w:rPr>
          <w:snapToGrid w:val="0"/>
          <w:sz w:val="20"/>
          <w:szCs w:val="22"/>
        </w:rPr>
        <w:t>o 1514/2007</w:t>
      </w:r>
      <w:r w:rsidR="005339D3" w:rsidRPr="00881880">
        <w:rPr>
          <w:snapToGrid w:val="0"/>
          <w:sz w:val="20"/>
          <w:szCs w:val="22"/>
        </w:rPr>
        <w:t>, de 16 de noviembre,</w:t>
      </w:r>
      <w:r w:rsidRPr="00881880">
        <w:rPr>
          <w:snapToGrid w:val="0"/>
          <w:sz w:val="20"/>
          <w:szCs w:val="22"/>
        </w:rPr>
        <w:t xml:space="preserve"> y las modificaciones incorporadas a éste mediante RD 1159/2010,</w:t>
      </w:r>
      <w:r w:rsidR="004C62E4" w:rsidRPr="00881880">
        <w:rPr>
          <w:snapToGrid w:val="0"/>
          <w:sz w:val="20"/>
          <w:szCs w:val="22"/>
        </w:rPr>
        <w:t xml:space="preserve"> de 17 de septiembre y del Real Decreto 1/2021, del 12 de enero</w:t>
      </w:r>
      <w:r w:rsidR="00667463" w:rsidRPr="00881880">
        <w:rPr>
          <w:snapToGrid w:val="0"/>
          <w:sz w:val="20"/>
          <w:szCs w:val="22"/>
        </w:rPr>
        <w:t>, así como el resto de la legislación mercantil y otra normativa vigente aplicable,</w:t>
      </w:r>
      <w:r w:rsidRPr="00881880">
        <w:rPr>
          <w:snapToGrid w:val="0"/>
          <w:sz w:val="20"/>
          <w:szCs w:val="22"/>
        </w:rPr>
        <w:t xml:space="preserve"> con objeto de mostrar la imagen fiel del patrimonio, de la situación financiera y de los resultados de la Sociedad, así como la veracidad de los flujos de efectivo incorporados en el estado de flujos de efectivo.</w:t>
      </w:r>
    </w:p>
    <w:p w14:paraId="32E16788" w14:textId="18F00F90" w:rsidR="006220A2" w:rsidRPr="00052BF5" w:rsidRDefault="006220A2">
      <w:pPr>
        <w:pStyle w:val="Prrafodelista"/>
        <w:widowControl w:val="0"/>
        <w:numPr>
          <w:ilvl w:val="3"/>
          <w:numId w:val="26"/>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Aspectos críticos de la valoración y estimación de la incertidumbre</w:t>
      </w:r>
    </w:p>
    <w:p w14:paraId="0C4DAC8B" w14:textId="613B61AA" w:rsidR="006220A2" w:rsidRDefault="006220A2" w:rsidP="00BA55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83433F">
        <w:rPr>
          <w:snapToGrid w:val="0"/>
          <w:sz w:val="20"/>
          <w:szCs w:val="22"/>
        </w:rPr>
        <w:t>La preparación de las cuentas anuales exige el uso por parte de la Sociedad de ciertas estimaciones y juicios en relación con el futuro que se evalúan continuamente y se basan en la experiencia histórica y otros factores, incluidas las expectativas de sucesos futuros que se creen razonables bajo las circunstancias.</w:t>
      </w:r>
    </w:p>
    <w:p w14:paraId="404D3ACC" w14:textId="2A01A29D" w:rsidR="00C652D8" w:rsidRPr="000A34DD" w:rsidRDefault="00C652D8" w:rsidP="00BA556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A34DD">
        <w:rPr>
          <w:snapToGrid w:val="0"/>
          <w:sz w:val="20"/>
          <w:szCs w:val="22"/>
        </w:rPr>
        <w:t>El órgano de administración ha elaborado las presentes cuentas anuales bajo el principio de empresa en funcionamiento. Consideran que no existe riesgo de continuidad de la actividad.</w:t>
      </w:r>
    </w:p>
    <w:p w14:paraId="06B51579" w14:textId="0D27EF86" w:rsidR="006220A2" w:rsidRPr="00052BF5" w:rsidRDefault="006220A2">
      <w:pPr>
        <w:pStyle w:val="Prrafodelista"/>
        <w:keepNext/>
        <w:keepLines/>
        <w:widowControl w:val="0"/>
        <w:numPr>
          <w:ilvl w:val="3"/>
          <w:numId w:val="26"/>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lastRenderedPageBreak/>
        <w:tab/>
        <w:t>Vidas útiles de los elementos de inmovilizado material</w:t>
      </w:r>
    </w:p>
    <w:p w14:paraId="6C05815F" w14:textId="77777777" w:rsidR="006220A2" w:rsidRPr="00063EF4" w:rsidRDefault="006220A2" w:rsidP="000E1D9E">
      <w:pPr>
        <w:keepNext/>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63EF4">
        <w:rPr>
          <w:snapToGrid w:val="0"/>
          <w:sz w:val="20"/>
          <w:szCs w:val="22"/>
        </w:rPr>
        <w:t>La dirección de la Sociedad determina las vidas útiles estimadas de los elementos de inmovilizado material, con excepción de los terrenos que no se amortizan, calculando la amortización sistemáticamente por el método lineal en función de dicha vida útil estimada, atendiendo a la depreciación efectivamente sufrida por su funcionamiento, uso y disfrute.</w:t>
      </w:r>
    </w:p>
    <w:p w14:paraId="2A40FF1E" w14:textId="0F5D8C4D" w:rsidR="006220A2" w:rsidRPr="00052BF5" w:rsidRDefault="006220A2">
      <w:pPr>
        <w:pStyle w:val="Prrafodelista"/>
        <w:widowControl w:val="0"/>
        <w:numPr>
          <w:ilvl w:val="3"/>
          <w:numId w:val="26"/>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Agrupación de partidas</w:t>
      </w:r>
    </w:p>
    <w:p w14:paraId="1A87E111" w14:textId="6E015C3A" w:rsidR="00C75886" w:rsidRPr="00063EF4" w:rsidRDefault="006220A2" w:rsidP="004A41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63EF4">
        <w:rPr>
          <w:snapToGrid w:val="0"/>
          <w:sz w:val="20"/>
          <w:szCs w:val="22"/>
        </w:rPr>
        <w:t>A efectos de facilitar la comprensión del balance, de la cuenta de pérdidas y ganancias, del estado de cambios en el patrimonio neto y del estado de flujos de efectivo, estos estados se presentan de forma agrupada, recogiéndose los análisis requeridos en las notas correspondientes de la memoria.</w:t>
      </w:r>
    </w:p>
    <w:p w14:paraId="453C067F" w14:textId="360F60E8" w:rsidR="001B7D27" w:rsidRPr="00052BF5" w:rsidRDefault="001B7D27">
      <w:pPr>
        <w:pStyle w:val="Prrafodelista"/>
        <w:widowControl w:val="0"/>
        <w:numPr>
          <w:ilvl w:val="3"/>
          <w:numId w:val="26"/>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 xml:space="preserve">Cambios en criterios contables </w:t>
      </w:r>
    </w:p>
    <w:p w14:paraId="33FA19F6" w14:textId="278DF781" w:rsidR="001B7D27" w:rsidRPr="00063EF4" w:rsidRDefault="001B7D27" w:rsidP="004A41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63EF4">
        <w:rPr>
          <w:snapToGrid w:val="0"/>
          <w:sz w:val="20"/>
          <w:szCs w:val="22"/>
        </w:rPr>
        <w:t>No se han realizado cambios en criterios contables propios, ni tampoco originados por la adaptación de la contabilidad al Nuevo Plan General Contable.</w:t>
      </w:r>
    </w:p>
    <w:p w14:paraId="48F0F32D" w14:textId="06B9BE20" w:rsidR="00DE320C" w:rsidRPr="00052BF5" w:rsidRDefault="004269B8">
      <w:pPr>
        <w:pStyle w:val="Prrafodelista"/>
        <w:widowControl w:val="0"/>
        <w:numPr>
          <w:ilvl w:val="3"/>
          <w:numId w:val="26"/>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C</w:t>
      </w:r>
      <w:r w:rsidR="00725A7D" w:rsidRPr="00052BF5">
        <w:rPr>
          <w:rFonts w:ascii="Arial" w:hAnsi="Arial" w:cs="Arial"/>
          <w:snapToGrid w:val="0"/>
          <w:sz w:val="20"/>
          <w:szCs w:val="22"/>
          <w:u w:val="single"/>
        </w:rPr>
        <w:t>orrección de errores</w:t>
      </w:r>
    </w:p>
    <w:p w14:paraId="5634A51F" w14:textId="26908D86" w:rsidR="00725A7D" w:rsidRPr="00063EF4" w:rsidRDefault="00725A7D" w:rsidP="004A41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63EF4">
        <w:rPr>
          <w:snapToGrid w:val="0"/>
          <w:sz w:val="20"/>
          <w:szCs w:val="22"/>
        </w:rPr>
        <w:t xml:space="preserve">En el transcurso del ejercicio </w:t>
      </w:r>
      <w:r w:rsidR="000A34DD" w:rsidRPr="00063EF4">
        <w:rPr>
          <w:snapToGrid w:val="0"/>
          <w:sz w:val="20"/>
          <w:szCs w:val="22"/>
        </w:rPr>
        <w:t>20</w:t>
      </w:r>
      <w:r w:rsidR="003D1564">
        <w:rPr>
          <w:snapToGrid w:val="0"/>
          <w:sz w:val="20"/>
          <w:szCs w:val="22"/>
        </w:rPr>
        <w:t>23</w:t>
      </w:r>
      <w:r w:rsidR="000A34DD" w:rsidRPr="00063EF4">
        <w:rPr>
          <w:snapToGrid w:val="0"/>
          <w:sz w:val="20"/>
          <w:szCs w:val="22"/>
        </w:rPr>
        <w:t xml:space="preserve"> y 202</w:t>
      </w:r>
      <w:r w:rsidR="003D1564">
        <w:rPr>
          <w:snapToGrid w:val="0"/>
          <w:sz w:val="20"/>
          <w:szCs w:val="22"/>
        </w:rPr>
        <w:t>2</w:t>
      </w:r>
      <w:r w:rsidR="000A34DD" w:rsidRPr="00063EF4">
        <w:rPr>
          <w:snapToGrid w:val="0"/>
          <w:sz w:val="20"/>
          <w:szCs w:val="22"/>
        </w:rPr>
        <w:t xml:space="preserve"> </w:t>
      </w:r>
      <w:r w:rsidRPr="00063EF4">
        <w:rPr>
          <w:snapToGrid w:val="0"/>
          <w:sz w:val="20"/>
          <w:szCs w:val="22"/>
        </w:rPr>
        <w:t>no se han detectado errores que hayan motivado la realización de ningún tipo de corrección patrimonial.</w:t>
      </w:r>
    </w:p>
    <w:p w14:paraId="6EA39615" w14:textId="1BF9028D" w:rsidR="003214B8" w:rsidRPr="00052BF5" w:rsidRDefault="003214B8">
      <w:pPr>
        <w:pStyle w:val="Prrafodelista"/>
        <w:widowControl w:val="0"/>
        <w:numPr>
          <w:ilvl w:val="3"/>
          <w:numId w:val="26"/>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Responsabilidad de la información y estimaciones realizadas</w:t>
      </w:r>
    </w:p>
    <w:p w14:paraId="14C199DE" w14:textId="77777777" w:rsidR="003214B8" w:rsidRPr="00063EF4" w:rsidRDefault="003214B8" w:rsidP="004A41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63EF4">
        <w:rPr>
          <w:snapToGrid w:val="0"/>
          <w:sz w:val="20"/>
          <w:szCs w:val="22"/>
        </w:rPr>
        <w:t xml:space="preserve">La preparación de las cuentas anuales exige que se hagan juicios de valor, estimaciones y asunciones que afectan a la aplicación de políticas contables y los saldos de activos, pasivos, ingresos y gastos. Las estimaciones y las asunciones relacionadas están basadas en la experiencia histórica y en otros factores diversos que son entendidos como razonables de acuerdo con las circunstancias. Las estimaciones y asunciones respectivas son revisadas de forma continuada; los efectos de las revisiones de las estimaciones contables son reconocidos en el periodo en el cual se realizan, si éstas afectan sólo a ese periodo, o en el periodo de la revisión y futuros, si la revisión les afecta. </w:t>
      </w:r>
    </w:p>
    <w:p w14:paraId="322E2C65" w14:textId="048602F0" w:rsidR="003214B8" w:rsidRPr="00052BF5" w:rsidRDefault="003214B8">
      <w:pPr>
        <w:pStyle w:val="Prrafodelista"/>
        <w:widowControl w:val="0"/>
        <w:numPr>
          <w:ilvl w:val="3"/>
          <w:numId w:val="26"/>
        </w:numPr>
        <w:tabs>
          <w:tab w:val="left" w:pos="284"/>
        </w:tabs>
        <w:spacing w:before="120"/>
        <w:ind w:left="284"/>
        <w:rPr>
          <w:rFonts w:ascii="Arial" w:hAnsi="Arial" w:cs="Arial"/>
          <w:snapToGrid w:val="0"/>
          <w:sz w:val="20"/>
          <w:szCs w:val="22"/>
          <w:u w:val="single"/>
        </w:rPr>
      </w:pPr>
      <w:r w:rsidRPr="00052BF5">
        <w:rPr>
          <w:rFonts w:ascii="Arial" w:hAnsi="Arial" w:cs="Arial"/>
          <w:snapToGrid w:val="0"/>
          <w:sz w:val="20"/>
          <w:szCs w:val="22"/>
          <w:u w:val="single"/>
        </w:rPr>
        <w:t>Comparación de la información</w:t>
      </w:r>
    </w:p>
    <w:p w14:paraId="70B90538" w14:textId="1D5B51DF" w:rsidR="000E5621" w:rsidRPr="000E5621" w:rsidRDefault="000E5621" w:rsidP="004A41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E5621">
        <w:rPr>
          <w:snapToGrid w:val="0"/>
          <w:sz w:val="20"/>
          <w:szCs w:val="22"/>
        </w:rPr>
        <w:t>Las cuenta</w:t>
      </w:r>
      <w:r>
        <w:rPr>
          <w:snapToGrid w:val="0"/>
          <w:sz w:val="20"/>
          <w:szCs w:val="22"/>
        </w:rPr>
        <w:t>s</w:t>
      </w:r>
      <w:r w:rsidRPr="000E5621">
        <w:rPr>
          <w:snapToGrid w:val="0"/>
          <w:sz w:val="20"/>
          <w:szCs w:val="22"/>
        </w:rPr>
        <w:t xml:space="preserve"> anu</w:t>
      </w:r>
      <w:r>
        <w:rPr>
          <w:snapToGrid w:val="0"/>
          <w:sz w:val="20"/>
          <w:szCs w:val="22"/>
        </w:rPr>
        <w:t>a</w:t>
      </w:r>
      <w:r w:rsidRPr="000E5621">
        <w:rPr>
          <w:snapToGrid w:val="0"/>
          <w:sz w:val="20"/>
          <w:szCs w:val="22"/>
        </w:rPr>
        <w:t xml:space="preserve">les presentan a efectos comparativos, con cada una de las partidas del balance de situación, de la cuenta de pérdidas y ganancias, </w:t>
      </w:r>
      <w:r w:rsidR="00CD6566">
        <w:rPr>
          <w:snapToGrid w:val="0"/>
          <w:sz w:val="20"/>
          <w:szCs w:val="22"/>
        </w:rPr>
        <w:t xml:space="preserve">del estado de cambios en el patrimonio neto y del estado de flujos de efectivo, </w:t>
      </w:r>
      <w:r w:rsidRPr="000E5621">
        <w:rPr>
          <w:snapToGrid w:val="0"/>
          <w:sz w:val="20"/>
          <w:szCs w:val="22"/>
        </w:rPr>
        <w:t>además de las cifras del ejercicio 202</w:t>
      </w:r>
      <w:r w:rsidR="00EC270D">
        <w:rPr>
          <w:snapToGrid w:val="0"/>
          <w:sz w:val="20"/>
          <w:szCs w:val="22"/>
        </w:rPr>
        <w:t>3</w:t>
      </w:r>
      <w:r w:rsidRPr="000E5621">
        <w:rPr>
          <w:snapToGrid w:val="0"/>
          <w:sz w:val="20"/>
          <w:szCs w:val="22"/>
        </w:rPr>
        <w:t>, las correspondientes al ejercicio anterior. Asimismo, la información contenida en esta memoria referida al ejercicio 202</w:t>
      </w:r>
      <w:r w:rsidR="00EC270D">
        <w:rPr>
          <w:snapToGrid w:val="0"/>
          <w:sz w:val="20"/>
          <w:szCs w:val="22"/>
        </w:rPr>
        <w:t>3</w:t>
      </w:r>
      <w:r w:rsidRPr="000E5621">
        <w:rPr>
          <w:snapToGrid w:val="0"/>
          <w:sz w:val="20"/>
          <w:szCs w:val="22"/>
        </w:rPr>
        <w:t xml:space="preserve"> se presenta, a efectos comparativos con la información del ejercicio 202</w:t>
      </w:r>
      <w:r w:rsidR="00EC270D">
        <w:rPr>
          <w:snapToGrid w:val="0"/>
          <w:sz w:val="20"/>
          <w:szCs w:val="22"/>
        </w:rPr>
        <w:t>2</w:t>
      </w:r>
      <w:r w:rsidRPr="000E5621">
        <w:rPr>
          <w:snapToGrid w:val="0"/>
          <w:sz w:val="20"/>
          <w:szCs w:val="22"/>
        </w:rPr>
        <w:t>, sin que existan causas que impidan tal comparación.</w:t>
      </w:r>
    </w:p>
    <w:p w14:paraId="69D2015F" w14:textId="4D31DCF6" w:rsidR="00484275" w:rsidRDefault="00484275" w:rsidP="0054637F">
      <w:pPr>
        <w:widowControl w:val="0"/>
        <w:tabs>
          <w:tab w:val="left" w:pos="284"/>
        </w:tabs>
        <w:spacing w:line="276" w:lineRule="auto"/>
        <w:rPr>
          <w:snapToGrid w:val="0"/>
          <w:sz w:val="20"/>
        </w:rPr>
      </w:pPr>
    </w:p>
    <w:p w14:paraId="0CF6AD66" w14:textId="5E1CAE64" w:rsidR="00993E1D" w:rsidRDefault="00993E1D" w:rsidP="0054637F">
      <w:pPr>
        <w:widowControl w:val="0"/>
        <w:tabs>
          <w:tab w:val="left" w:pos="284"/>
        </w:tabs>
        <w:spacing w:line="276" w:lineRule="auto"/>
        <w:rPr>
          <w:snapToGrid w:val="0"/>
          <w:sz w:val="20"/>
        </w:rPr>
      </w:pPr>
      <w:r>
        <w:rPr>
          <w:snapToGrid w:val="0"/>
          <w:sz w:val="20"/>
        </w:rPr>
        <w:br w:type="page"/>
      </w:r>
    </w:p>
    <w:p w14:paraId="0D5B1802" w14:textId="77777777" w:rsidR="0054637F" w:rsidRDefault="0054637F" w:rsidP="0054637F">
      <w:pPr>
        <w:widowControl w:val="0"/>
        <w:tabs>
          <w:tab w:val="left" w:pos="284"/>
        </w:tabs>
        <w:spacing w:line="276" w:lineRule="auto"/>
        <w:rPr>
          <w:snapToGrid w:val="0"/>
          <w:sz w:val="20"/>
        </w:rPr>
      </w:pPr>
    </w:p>
    <w:p w14:paraId="388B7C31" w14:textId="254D2466" w:rsidR="006220A2" w:rsidRPr="00CD3131" w:rsidRDefault="00C75886"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052BF5">
        <w:rPr>
          <w:b/>
          <w:snapToGrid w:val="0"/>
          <w:sz w:val="22"/>
          <w:szCs w:val="22"/>
        </w:rPr>
        <w:t xml:space="preserve"> </w:t>
      </w:r>
      <w:r w:rsidR="006220A2" w:rsidRPr="00CD3131">
        <w:rPr>
          <w:b/>
          <w:snapToGrid w:val="0"/>
          <w:sz w:val="22"/>
          <w:szCs w:val="22"/>
        </w:rPr>
        <w:t>Resultado del ejercicio</w:t>
      </w:r>
    </w:p>
    <w:p w14:paraId="5A28461B" w14:textId="77777777" w:rsidR="006220A2" w:rsidRPr="0083433F" w:rsidRDefault="006220A2" w:rsidP="00063EF4">
      <w:pPr>
        <w:keepNext/>
        <w:keepLines/>
        <w:widowControl w:val="0"/>
        <w:spacing w:before="200"/>
        <w:ind w:left="284"/>
        <w:rPr>
          <w:spacing w:val="-2"/>
          <w:sz w:val="20"/>
          <w:szCs w:val="22"/>
        </w:rPr>
      </w:pPr>
      <w:r w:rsidRPr="0083433F">
        <w:rPr>
          <w:spacing w:val="-2"/>
          <w:sz w:val="20"/>
          <w:szCs w:val="22"/>
          <w:u w:val="single"/>
        </w:rPr>
        <w:t>Propuesta de distribución del resultado</w:t>
      </w:r>
    </w:p>
    <w:p w14:paraId="56165FA3" w14:textId="0D35A603"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 xml:space="preserve">La propuesta de distribución </w:t>
      </w:r>
      <w:r w:rsidR="007C7F1C" w:rsidRPr="00063EF4">
        <w:rPr>
          <w:snapToGrid w:val="0"/>
          <w:sz w:val="20"/>
          <w:szCs w:val="22"/>
        </w:rPr>
        <w:t>de resultados de</w:t>
      </w:r>
      <w:r w:rsidR="003704B2" w:rsidRPr="00063EF4">
        <w:rPr>
          <w:snapToGrid w:val="0"/>
          <w:sz w:val="20"/>
          <w:szCs w:val="22"/>
        </w:rPr>
        <w:t xml:space="preserve"> </w:t>
      </w:r>
      <w:r w:rsidR="007C7F1C" w:rsidRPr="00063EF4">
        <w:rPr>
          <w:snapToGrid w:val="0"/>
          <w:sz w:val="20"/>
          <w:szCs w:val="22"/>
        </w:rPr>
        <w:t>l</w:t>
      </w:r>
      <w:r w:rsidR="003704B2" w:rsidRPr="00063EF4">
        <w:rPr>
          <w:snapToGrid w:val="0"/>
          <w:sz w:val="20"/>
          <w:szCs w:val="22"/>
        </w:rPr>
        <w:t>os</w:t>
      </w:r>
      <w:r w:rsidR="007C7F1C" w:rsidRPr="00063EF4">
        <w:rPr>
          <w:snapToGrid w:val="0"/>
          <w:sz w:val="20"/>
          <w:szCs w:val="22"/>
        </w:rPr>
        <w:t xml:space="preserve"> ejercicio</w:t>
      </w:r>
      <w:r w:rsidR="003704B2" w:rsidRPr="00063EF4">
        <w:rPr>
          <w:snapToGrid w:val="0"/>
          <w:sz w:val="20"/>
          <w:szCs w:val="22"/>
        </w:rPr>
        <w:t>s</w:t>
      </w:r>
      <w:r w:rsidR="007C7F1C" w:rsidRPr="00063EF4">
        <w:rPr>
          <w:snapToGrid w:val="0"/>
          <w:sz w:val="20"/>
          <w:szCs w:val="22"/>
        </w:rPr>
        <w:t xml:space="preserve"> 20</w:t>
      </w:r>
      <w:r w:rsidR="003704B2" w:rsidRPr="00063EF4">
        <w:rPr>
          <w:snapToGrid w:val="0"/>
          <w:sz w:val="20"/>
          <w:szCs w:val="22"/>
        </w:rPr>
        <w:t>2</w:t>
      </w:r>
      <w:r w:rsidR="0063096F">
        <w:rPr>
          <w:snapToGrid w:val="0"/>
          <w:sz w:val="20"/>
          <w:szCs w:val="22"/>
        </w:rPr>
        <w:t>3</w:t>
      </w:r>
      <w:r w:rsidR="003704B2" w:rsidRPr="00063EF4">
        <w:rPr>
          <w:snapToGrid w:val="0"/>
          <w:sz w:val="20"/>
          <w:szCs w:val="22"/>
        </w:rPr>
        <w:t xml:space="preserve"> y 20</w:t>
      </w:r>
      <w:r w:rsidR="0035534D" w:rsidRPr="00063EF4">
        <w:rPr>
          <w:snapToGrid w:val="0"/>
          <w:sz w:val="20"/>
          <w:szCs w:val="22"/>
        </w:rPr>
        <w:t>2</w:t>
      </w:r>
      <w:r w:rsidR="0063096F">
        <w:rPr>
          <w:snapToGrid w:val="0"/>
          <w:sz w:val="20"/>
          <w:szCs w:val="22"/>
        </w:rPr>
        <w:t>2</w:t>
      </w:r>
      <w:r w:rsidRPr="00063EF4">
        <w:rPr>
          <w:snapToGrid w:val="0"/>
          <w:sz w:val="20"/>
          <w:szCs w:val="22"/>
        </w:rPr>
        <w:t>, en base a las cuentas anuales del ejercicio formuladas por los administradores, es la siguiente:</w:t>
      </w:r>
    </w:p>
    <w:p w14:paraId="335FC449" w14:textId="77777777" w:rsidR="006220A2" w:rsidRPr="0083433F" w:rsidRDefault="006220A2" w:rsidP="006220A2">
      <w:pPr>
        <w:widowControl w:val="0"/>
        <w:tabs>
          <w:tab w:val="left" w:pos="567"/>
          <w:tab w:val="left" w:pos="1134"/>
          <w:tab w:val="left" w:pos="1587"/>
        </w:tabs>
        <w:rPr>
          <w:sz w:val="20"/>
          <w:szCs w:val="22"/>
        </w:rPr>
      </w:pPr>
    </w:p>
    <w:tbl>
      <w:tblPr>
        <w:tblW w:w="5000" w:type="pct"/>
        <w:tblCellMar>
          <w:left w:w="70" w:type="dxa"/>
          <w:right w:w="70" w:type="dxa"/>
        </w:tblCellMar>
        <w:tblLook w:val="04A0" w:firstRow="1" w:lastRow="0" w:firstColumn="1" w:lastColumn="0" w:noHBand="0" w:noVBand="1"/>
      </w:tblPr>
      <w:tblGrid>
        <w:gridCol w:w="5047"/>
        <w:gridCol w:w="1867"/>
        <w:gridCol w:w="1867"/>
      </w:tblGrid>
      <w:tr w:rsidR="00484275" w:rsidRPr="00C75886" w14:paraId="607CFE42" w14:textId="77777777" w:rsidTr="00063EF4">
        <w:trPr>
          <w:trHeight w:val="240"/>
        </w:trPr>
        <w:tc>
          <w:tcPr>
            <w:tcW w:w="2874" w:type="pct"/>
            <w:tcBorders>
              <w:top w:val="single" w:sz="4" w:space="0" w:color="auto"/>
              <w:left w:val="nil"/>
              <w:bottom w:val="nil"/>
              <w:right w:val="nil"/>
            </w:tcBorders>
            <w:shd w:val="clear" w:color="auto" w:fill="auto"/>
            <w:vAlign w:val="center"/>
            <w:hideMark/>
          </w:tcPr>
          <w:p w14:paraId="7BF9F6B6" w14:textId="77777777" w:rsidR="00484275" w:rsidRPr="00C75886" w:rsidRDefault="00484275" w:rsidP="00C7588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2126" w:type="pct"/>
            <w:gridSpan w:val="2"/>
            <w:tcBorders>
              <w:top w:val="single" w:sz="4" w:space="0" w:color="auto"/>
              <w:left w:val="nil"/>
              <w:bottom w:val="single" w:sz="4" w:space="0" w:color="auto"/>
              <w:right w:val="nil"/>
            </w:tcBorders>
            <w:shd w:val="clear" w:color="auto" w:fill="auto"/>
            <w:vAlign w:val="bottom"/>
            <w:hideMark/>
          </w:tcPr>
          <w:p w14:paraId="3F7AAE49" w14:textId="77777777" w:rsidR="00484275" w:rsidRPr="00C75886" w:rsidRDefault="00484275" w:rsidP="0048427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Euros</w:t>
            </w:r>
          </w:p>
        </w:tc>
      </w:tr>
      <w:tr w:rsidR="000B5966" w:rsidRPr="00C75886" w14:paraId="516F0F79" w14:textId="77777777" w:rsidTr="00063EF4">
        <w:trPr>
          <w:trHeight w:val="240"/>
        </w:trPr>
        <w:tc>
          <w:tcPr>
            <w:tcW w:w="2874" w:type="pct"/>
            <w:tcBorders>
              <w:top w:val="nil"/>
              <w:left w:val="nil"/>
              <w:bottom w:val="nil"/>
              <w:right w:val="nil"/>
            </w:tcBorders>
            <w:shd w:val="clear" w:color="auto" w:fill="auto"/>
            <w:vAlign w:val="center"/>
            <w:hideMark/>
          </w:tcPr>
          <w:p w14:paraId="36331EB7" w14:textId="77777777" w:rsidR="000B5966" w:rsidRPr="00C75886" w:rsidRDefault="000B5966" w:rsidP="000B59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063" w:type="pct"/>
            <w:tcBorders>
              <w:top w:val="single" w:sz="4" w:space="0" w:color="auto"/>
              <w:left w:val="nil"/>
              <w:bottom w:val="nil"/>
              <w:right w:val="nil"/>
            </w:tcBorders>
            <w:shd w:val="clear" w:color="auto" w:fill="auto"/>
            <w:vAlign w:val="bottom"/>
            <w:hideMark/>
          </w:tcPr>
          <w:p w14:paraId="622E2C2B" w14:textId="3D74824F" w:rsidR="000B5966" w:rsidRPr="00C75886" w:rsidRDefault="000B5966" w:rsidP="000B59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B2D35">
              <w:rPr>
                <w:rFonts w:eastAsia="Times New Roman"/>
                <w:b/>
                <w:bCs/>
                <w:sz w:val="18"/>
                <w:szCs w:val="18"/>
                <w:bdr w:val="none" w:sz="0" w:space="0" w:color="auto"/>
                <w:lang w:eastAsia="es-ES"/>
              </w:rPr>
              <w:t>202</w:t>
            </w:r>
            <w:r w:rsidR="00EC270D">
              <w:rPr>
                <w:rFonts w:eastAsia="Times New Roman"/>
                <w:b/>
                <w:bCs/>
                <w:sz w:val="18"/>
                <w:szCs w:val="18"/>
                <w:bdr w:val="none" w:sz="0" w:space="0" w:color="auto"/>
                <w:lang w:eastAsia="es-ES"/>
              </w:rPr>
              <w:t>3</w:t>
            </w:r>
          </w:p>
        </w:tc>
        <w:tc>
          <w:tcPr>
            <w:tcW w:w="1063" w:type="pct"/>
            <w:tcBorders>
              <w:top w:val="single" w:sz="4" w:space="0" w:color="auto"/>
              <w:left w:val="nil"/>
              <w:bottom w:val="nil"/>
              <w:right w:val="nil"/>
            </w:tcBorders>
            <w:shd w:val="clear" w:color="auto" w:fill="auto"/>
            <w:vAlign w:val="bottom"/>
            <w:hideMark/>
          </w:tcPr>
          <w:p w14:paraId="206157B9" w14:textId="6159CE89" w:rsidR="000B5966" w:rsidRPr="00C75886" w:rsidRDefault="000B5966" w:rsidP="000B596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75886">
              <w:rPr>
                <w:rFonts w:eastAsia="Times New Roman"/>
                <w:b/>
                <w:bCs/>
                <w:sz w:val="18"/>
                <w:szCs w:val="18"/>
                <w:bdr w:val="none" w:sz="0" w:space="0" w:color="auto"/>
                <w:lang w:eastAsia="es-ES"/>
              </w:rPr>
              <w:t>202</w:t>
            </w:r>
            <w:r w:rsidR="00EC270D">
              <w:rPr>
                <w:rFonts w:eastAsia="Times New Roman"/>
                <w:b/>
                <w:bCs/>
                <w:sz w:val="18"/>
                <w:szCs w:val="18"/>
                <w:bdr w:val="none" w:sz="0" w:space="0" w:color="auto"/>
                <w:lang w:eastAsia="es-ES"/>
              </w:rPr>
              <w:t>2</w:t>
            </w:r>
          </w:p>
        </w:tc>
      </w:tr>
      <w:tr w:rsidR="000B5966" w:rsidRPr="00C75886" w14:paraId="2EC87BF2" w14:textId="77777777" w:rsidTr="00063EF4">
        <w:trPr>
          <w:trHeight w:val="283"/>
        </w:trPr>
        <w:tc>
          <w:tcPr>
            <w:tcW w:w="2874" w:type="pct"/>
            <w:tcBorders>
              <w:top w:val="single" w:sz="4" w:space="0" w:color="auto"/>
              <w:left w:val="nil"/>
              <w:bottom w:val="nil"/>
              <w:right w:val="nil"/>
            </w:tcBorders>
            <w:shd w:val="clear" w:color="auto" w:fill="auto"/>
            <w:vAlign w:val="center"/>
            <w:hideMark/>
          </w:tcPr>
          <w:p w14:paraId="2CB188CC" w14:textId="77777777" w:rsidR="000B5966" w:rsidRPr="00C75886" w:rsidRDefault="000B5966" w:rsidP="000B59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C75886">
              <w:rPr>
                <w:rFonts w:eastAsia="Times New Roman"/>
                <w:b/>
                <w:bCs/>
                <w:sz w:val="18"/>
                <w:szCs w:val="18"/>
                <w:u w:val="single"/>
                <w:bdr w:val="none" w:sz="0" w:space="0" w:color="auto"/>
                <w:lang w:eastAsia="es-ES"/>
              </w:rPr>
              <w:t>Base de reparto</w:t>
            </w:r>
          </w:p>
        </w:tc>
        <w:tc>
          <w:tcPr>
            <w:tcW w:w="1063" w:type="pct"/>
            <w:tcBorders>
              <w:top w:val="single" w:sz="4" w:space="0" w:color="auto"/>
              <w:left w:val="nil"/>
              <w:bottom w:val="nil"/>
              <w:right w:val="nil"/>
            </w:tcBorders>
            <w:shd w:val="clear" w:color="auto" w:fill="auto"/>
            <w:vAlign w:val="center"/>
          </w:tcPr>
          <w:p w14:paraId="31D9CCE8" w14:textId="77777777" w:rsidR="000B5966" w:rsidRPr="00C75886" w:rsidRDefault="000B5966" w:rsidP="000B59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p>
        </w:tc>
        <w:tc>
          <w:tcPr>
            <w:tcW w:w="1063" w:type="pct"/>
            <w:tcBorders>
              <w:top w:val="single" w:sz="4" w:space="0" w:color="auto"/>
              <w:left w:val="nil"/>
              <w:bottom w:val="nil"/>
              <w:right w:val="nil"/>
            </w:tcBorders>
            <w:shd w:val="clear" w:color="auto" w:fill="auto"/>
            <w:vAlign w:val="center"/>
          </w:tcPr>
          <w:p w14:paraId="0B96AF1C" w14:textId="77777777" w:rsidR="000B5966" w:rsidRPr="00C75886" w:rsidRDefault="000B5966" w:rsidP="000B596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p>
        </w:tc>
      </w:tr>
      <w:tr w:rsidR="00EC270D" w:rsidRPr="00C75886" w14:paraId="15EE9C76" w14:textId="77777777" w:rsidTr="00063EF4">
        <w:trPr>
          <w:trHeight w:val="283"/>
        </w:trPr>
        <w:tc>
          <w:tcPr>
            <w:tcW w:w="2874" w:type="pct"/>
            <w:tcBorders>
              <w:top w:val="nil"/>
              <w:left w:val="nil"/>
              <w:bottom w:val="nil"/>
              <w:right w:val="nil"/>
            </w:tcBorders>
            <w:shd w:val="clear" w:color="auto" w:fill="auto"/>
            <w:vAlign w:val="center"/>
            <w:hideMark/>
          </w:tcPr>
          <w:p w14:paraId="5C47C449" w14:textId="77777777"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Pérdida</w:t>
            </w:r>
          </w:p>
        </w:tc>
        <w:tc>
          <w:tcPr>
            <w:tcW w:w="1063" w:type="pct"/>
            <w:tcBorders>
              <w:top w:val="nil"/>
              <w:left w:val="nil"/>
              <w:bottom w:val="nil"/>
              <w:right w:val="nil"/>
            </w:tcBorders>
            <w:shd w:val="clear" w:color="auto" w:fill="auto"/>
            <w:vAlign w:val="center"/>
          </w:tcPr>
          <w:p w14:paraId="48420866" w14:textId="742A38AA" w:rsidR="00EC270D" w:rsidRPr="0063096F" w:rsidRDefault="0063096F" w:rsidP="0063096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3096F">
              <w:rPr>
                <w:sz w:val="18"/>
                <w:szCs w:val="18"/>
              </w:rPr>
              <w:t>3.577.139,00</w:t>
            </w:r>
          </w:p>
        </w:tc>
        <w:tc>
          <w:tcPr>
            <w:tcW w:w="1063" w:type="pct"/>
            <w:tcBorders>
              <w:top w:val="nil"/>
              <w:left w:val="nil"/>
              <w:bottom w:val="nil"/>
              <w:right w:val="nil"/>
            </w:tcBorders>
            <w:shd w:val="clear" w:color="auto" w:fill="auto"/>
            <w:vAlign w:val="center"/>
            <w:hideMark/>
          </w:tcPr>
          <w:p w14:paraId="28490FC4" w14:textId="21441712"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2.327.888,00   </w:t>
            </w:r>
          </w:p>
        </w:tc>
      </w:tr>
      <w:tr w:rsidR="00EC270D" w:rsidRPr="00C75886" w14:paraId="3B9B13CC" w14:textId="77777777" w:rsidTr="00063EF4">
        <w:trPr>
          <w:trHeight w:val="283"/>
        </w:trPr>
        <w:tc>
          <w:tcPr>
            <w:tcW w:w="2874" w:type="pct"/>
            <w:tcBorders>
              <w:top w:val="single" w:sz="4" w:space="0" w:color="auto"/>
              <w:left w:val="nil"/>
              <w:bottom w:val="single" w:sz="4" w:space="0" w:color="auto"/>
              <w:right w:val="nil"/>
            </w:tcBorders>
            <w:shd w:val="clear" w:color="auto" w:fill="auto"/>
            <w:vAlign w:val="center"/>
            <w:hideMark/>
          </w:tcPr>
          <w:p w14:paraId="7DF50E90" w14:textId="77777777"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1063" w:type="pct"/>
            <w:tcBorders>
              <w:top w:val="single" w:sz="4" w:space="0" w:color="auto"/>
              <w:left w:val="nil"/>
              <w:bottom w:val="single" w:sz="4" w:space="0" w:color="auto"/>
              <w:right w:val="nil"/>
            </w:tcBorders>
            <w:shd w:val="clear" w:color="auto" w:fill="auto"/>
            <w:vAlign w:val="center"/>
          </w:tcPr>
          <w:p w14:paraId="3D3CB741" w14:textId="6840C2C6" w:rsidR="00EC270D" w:rsidRPr="0063096F" w:rsidRDefault="0063096F" w:rsidP="00EC270D">
            <w:pPr>
              <w:jc w:val="right"/>
              <w:rPr>
                <w:b/>
                <w:bCs/>
                <w:sz w:val="18"/>
                <w:szCs w:val="18"/>
              </w:rPr>
            </w:pPr>
            <w:r w:rsidRPr="0063096F">
              <w:rPr>
                <w:b/>
                <w:bCs/>
                <w:sz w:val="18"/>
                <w:szCs w:val="18"/>
              </w:rPr>
              <w:t>3.577.139,00</w:t>
            </w:r>
          </w:p>
        </w:tc>
        <w:tc>
          <w:tcPr>
            <w:tcW w:w="1063" w:type="pct"/>
            <w:tcBorders>
              <w:top w:val="single" w:sz="4" w:space="0" w:color="auto"/>
              <w:left w:val="nil"/>
              <w:bottom w:val="single" w:sz="4" w:space="0" w:color="auto"/>
              <w:right w:val="nil"/>
            </w:tcBorders>
            <w:shd w:val="clear" w:color="auto" w:fill="auto"/>
            <w:vAlign w:val="center"/>
            <w:hideMark/>
          </w:tcPr>
          <w:p w14:paraId="5D4F05B7" w14:textId="49E93DB3"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2.327.888,00   </w:t>
            </w:r>
          </w:p>
        </w:tc>
      </w:tr>
      <w:tr w:rsidR="00EC270D" w:rsidRPr="00C75886" w14:paraId="3C0CCC4D" w14:textId="77777777" w:rsidTr="00063EF4">
        <w:trPr>
          <w:trHeight w:val="283"/>
        </w:trPr>
        <w:tc>
          <w:tcPr>
            <w:tcW w:w="2874" w:type="pct"/>
            <w:tcBorders>
              <w:top w:val="nil"/>
              <w:left w:val="nil"/>
              <w:bottom w:val="nil"/>
              <w:right w:val="nil"/>
            </w:tcBorders>
            <w:shd w:val="clear" w:color="auto" w:fill="auto"/>
            <w:vAlign w:val="center"/>
            <w:hideMark/>
          </w:tcPr>
          <w:p w14:paraId="47535C8A" w14:textId="77777777"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u w:val="single"/>
                <w:bdr w:val="none" w:sz="0" w:space="0" w:color="auto"/>
                <w:lang w:eastAsia="es-ES"/>
              </w:rPr>
            </w:pPr>
            <w:r w:rsidRPr="00C75886">
              <w:rPr>
                <w:rFonts w:eastAsia="Times New Roman"/>
                <w:b/>
                <w:bCs/>
                <w:sz w:val="18"/>
                <w:szCs w:val="18"/>
                <w:u w:val="single"/>
                <w:bdr w:val="none" w:sz="0" w:space="0" w:color="auto"/>
                <w:lang w:eastAsia="es-ES"/>
              </w:rPr>
              <w:t>Aplicación</w:t>
            </w:r>
          </w:p>
        </w:tc>
        <w:tc>
          <w:tcPr>
            <w:tcW w:w="1063" w:type="pct"/>
            <w:tcBorders>
              <w:top w:val="nil"/>
              <w:left w:val="nil"/>
              <w:bottom w:val="nil"/>
              <w:right w:val="nil"/>
            </w:tcBorders>
            <w:shd w:val="clear" w:color="auto" w:fill="auto"/>
            <w:vAlign w:val="center"/>
          </w:tcPr>
          <w:p w14:paraId="6411F565" w14:textId="77777777" w:rsidR="00EC270D" w:rsidRDefault="00EC270D" w:rsidP="00EC270D">
            <w:pPr>
              <w:jc w:val="right"/>
              <w:rPr>
                <w:b/>
                <w:bCs/>
                <w:sz w:val="18"/>
                <w:szCs w:val="18"/>
              </w:rPr>
            </w:pPr>
          </w:p>
        </w:tc>
        <w:tc>
          <w:tcPr>
            <w:tcW w:w="1063" w:type="pct"/>
            <w:tcBorders>
              <w:top w:val="nil"/>
              <w:left w:val="nil"/>
              <w:bottom w:val="nil"/>
              <w:right w:val="nil"/>
            </w:tcBorders>
            <w:shd w:val="clear" w:color="auto" w:fill="auto"/>
            <w:vAlign w:val="center"/>
            <w:hideMark/>
          </w:tcPr>
          <w:p w14:paraId="200006AD" w14:textId="77777777"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20"/>
                <w:szCs w:val="20"/>
                <w:bdr w:val="none" w:sz="0" w:space="0" w:color="auto"/>
                <w:lang w:eastAsia="es-ES"/>
              </w:rPr>
            </w:pPr>
          </w:p>
        </w:tc>
      </w:tr>
      <w:tr w:rsidR="00EC270D" w:rsidRPr="00C75886" w14:paraId="56B56E7F" w14:textId="77777777" w:rsidTr="00063EF4">
        <w:trPr>
          <w:trHeight w:val="283"/>
        </w:trPr>
        <w:tc>
          <w:tcPr>
            <w:tcW w:w="2874" w:type="pct"/>
            <w:tcBorders>
              <w:top w:val="nil"/>
              <w:left w:val="nil"/>
              <w:bottom w:val="nil"/>
              <w:right w:val="nil"/>
            </w:tcBorders>
            <w:shd w:val="clear" w:color="auto" w:fill="auto"/>
            <w:vAlign w:val="center"/>
            <w:hideMark/>
          </w:tcPr>
          <w:p w14:paraId="52067B51" w14:textId="77777777"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Resultados negativos de ejercicios anteriores</w:t>
            </w:r>
          </w:p>
        </w:tc>
        <w:tc>
          <w:tcPr>
            <w:tcW w:w="1063" w:type="pct"/>
            <w:tcBorders>
              <w:top w:val="nil"/>
              <w:left w:val="nil"/>
              <w:bottom w:val="nil"/>
              <w:right w:val="nil"/>
            </w:tcBorders>
            <w:shd w:val="clear" w:color="auto" w:fill="auto"/>
            <w:vAlign w:val="center"/>
          </w:tcPr>
          <w:p w14:paraId="5DB5A7FE" w14:textId="5CD23872" w:rsidR="00EC270D" w:rsidRDefault="0063096F" w:rsidP="00EC270D">
            <w:pPr>
              <w:jc w:val="right"/>
              <w:rPr>
                <w:sz w:val="18"/>
                <w:szCs w:val="18"/>
              </w:rPr>
            </w:pPr>
            <w:r w:rsidRPr="0063096F">
              <w:rPr>
                <w:sz w:val="18"/>
                <w:szCs w:val="18"/>
              </w:rPr>
              <w:t>3.577.139,00</w:t>
            </w:r>
          </w:p>
        </w:tc>
        <w:tc>
          <w:tcPr>
            <w:tcW w:w="1063" w:type="pct"/>
            <w:tcBorders>
              <w:top w:val="nil"/>
              <w:left w:val="nil"/>
              <w:bottom w:val="nil"/>
              <w:right w:val="nil"/>
            </w:tcBorders>
            <w:shd w:val="clear" w:color="auto" w:fill="auto"/>
            <w:vAlign w:val="center"/>
            <w:hideMark/>
          </w:tcPr>
          <w:p w14:paraId="1CFAA5C0" w14:textId="16D9B363"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2.327.888,00   </w:t>
            </w:r>
          </w:p>
        </w:tc>
      </w:tr>
      <w:tr w:rsidR="00EC270D" w:rsidRPr="00C75886" w14:paraId="363D5215" w14:textId="77777777" w:rsidTr="00063EF4">
        <w:trPr>
          <w:trHeight w:val="283"/>
        </w:trPr>
        <w:tc>
          <w:tcPr>
            <w:tcW w:w="2874" w:type="pct"/>
            <w:tcBorders>
              <w:top w:val="single" w:sz="4" w:space="0" w:color="auto"/>
              <w:left w:val="nil"/>
              <w:bottom w:val="single" w:sz="4" w:space="0" w:color="auto"/>
              <w:right w:val="nil"/>
            </w:tcBorders>
            <w:shd w:val="clear" w:color="auto" w:fill="auto"/>
            <w:vAlign w:val="center"/>
            <w:hideMark/>
          </w:tcPr>
          <w:p w14:paraId="095CDD60" w14:textId="77777777"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C75886">
              <w:rPr>
                <w:rFonts w:eastAsia="Times New Roman"/>
                <w:sz w:val="18"/>
                <w:szCs w:val="18"/>
                <w:bdr w:val="none" w:sz="0" w:space="0" w:color="auto"/>
                <w:lang w:eastAsia="es-ES"/>
              </w:rPr>
              <w:t> </w:t>
            </w:r>
          </w:p>
        </w:tc>
        <w:tc>
          <w:tcPr>
            <w:tcW w:w="1063" w:type="pct"/>
            <w:tcBorders>
              <w:top w:val="single" w:sz="4" w:space="0" w:color="auto"/>
              <w:left w:val="nil"/>
              <w:bottom w:val="single" w:sz="4" w:space="0" w:color="auto"/>
              <w:right w:val="nil"/>
            </w:tcBorders>
            <w:shd w:val="clear" w:color="auto" w:fill="auto"/>
            <w:vAlign w:val="center"/>
          </w:tcPr>
          <w:p w14:paraId="4AA55A2E" w14:textId="254A21BA" w:rsidR="00EC270D" w:rsidRPr="0063096F" w:rsidRDefault="0063096F" w:rsidP="00EC270D">
            <w:pPr>
              <w:jc w:val="right"/>
              <w:rPr>
                <w:b/>
                <w:bCs/>
                <w:sz w:val="18"/>
                <w:szCs w:val="18"/>
              </w:rPr>
            </w:pPr>
            <w:r w:rsidRPr="0063096F">
              <w:rPr>
                <w:b/>
                <w:bCs/>
                <w:sz w:val="18"/>
                <w:szCs w:val="18"/>
              </w:rPr>
              <w:t>3.577.139,00</w:t>
            </w:r>
          </w:p>
        </w:tc>
        <w:tc>
          <w:tcPr>
            <w:tcW w:w="1063" w:type="pct"/>
            <w:tcBorders>
              <w:top w:val="single" w:sz="4" w:space="0" w:color="auto"/>
              <w:left w:val="nil"/>
              <w:bottom w:val="single" w:sz="4" w:space="0" w:color="auto"/>
              <w:right w:val="nil"/>
            </w:tcBorders>
            <w:shd w:val="clear" w:color="auto" w:fill="auto"/>
            <w:vAlign w:val="center"/>
            <w:hideMark/>
          </w:tcPr>
          <w:p w14:paraId="44817A4A" w14:textId="4340DCF0" w:rsidR="00EC270D" w:rsidRPr="00C75886" w:rsidRDefault="00EC270D" w:rsidP="00EC270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2.327.888,00   </w:t>
            </w:r>
          </w:p>
        </w:tc>
      </w:tr>
    </w:tbl>
    <w:p w14:paraId="599A50B6" w14:textId="78FE4540" w:rsidR="00063EF4" w:rsidRDefault="006220A2" w:rsidP="004A41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FA269F">
        <w:rPr>
          <w:snapToGrid w:val="0"/>
          <w:sz w:val="20"/>
          <w:szCs w:val="22"/>
        </w:rPr>
        <w:t>Con posterioridad a la formulación de las cu</w:t>
      </w:r>
      <w:r w:rsidR="00694E39" w:rsidRPr="00FA269F">
        <w:rPr>
          <w:snapToGrid w:val="0"/>
          <w:sz w:val="20"/>
          <w:szCs w:val="22"/>
        </w:rPr>
        <w:t>entas anuales del ejercicio 20</w:t>
      </w:r>
      <w:r w:rsidR="00D93900" w:rsidRPr="00FA269F">
        <w:rPr>
          <w:snapToGrid w:val="0"/>
          <w:sz w:val="20"/>
          <w:szCs w:val="22"/>
        </w:rPr>
        <w:t>2</w:t>
      </w:r>
      <w:r w:rsidR="0063096F" w:rsidRPr="00FA269F">
        <w:rPr>
          <w:snapToGrid w:val="0"/>
          <w:sz w:val="20"/>
          <w:szCs w:val="22"/>
        </w:rPr>
        <w:t>2</w:t>
      </w:r>
      <w:r w:rsidRPr="00FA269F">
        <w:rPr>
          <w:snapToGrid w:val="0"/>
          <w:sz w:val="20"/>
          <w:szCs w:val="22"/>
        </w:rPr>
        <w:t xml:space="preserve">, la Junta en reunión de fecha </w:t>
      </w:r>
      <w:r w:rsidR="000B5966" w:rsidRPr="00FA269F">
        <w:rPr>
          <w:snapToGrid w:val="0"/>
          <w:sz w:val="20"/>
          <w:szCs w:val="22"/>
        </w:rPr>
        <w:t>2</w:t>
      </w:r>
      <w:r w:rsidR="00940F21" w:rsidRPr="00FA269F">
        <w:rPr>
          <w:snapToGrid w:val="0"/>
          <w:sz w:val="20"/>
          <w:szCs w:val="22"/>
        </w:rPr>
        <w:t>7</w:t>
      </w:r>
      <w:r w:rsidR="00B02419" w:rsidRPr="00FA269F">
        <w:rPr>
          <w:snapToGrid w:val="0"/>
          <w:sz w:val="20"/>
          <w:szCs w:val="22"/>
        </w:rPr>
        <w:t xml:space="preserve"> de</w:t>
      </w:r>
      <w:r w:rsidR="00A04128" w:rsidRPr="00FA269F">
        <w:rPr>
          <w:snapToGrid w:val="0"/>
          <w:sz w:val="20"/>
          <w:szCs w:val="22"/>
        </w:rPr>
        <w:t xml:space="preserve"> ma</w:t>
      </w:r>
      <w:r w:rsidR="00940F21" w:rsidRPr="00FA269F">
        <w:rPr>
          <w:snapToGrid w:val="0"/>
          <w:sz w:val="20"/>
          <w:szCs w:val="22"/>
        </w:rPr>
        <w:t>rzo</w:t>
      </w:r>
      <w:r w:rsidR="00B02419" w:rsidRPr="00FA269F">
        <w:rPr>
          <w:snapToGrid w:val="0"/>
          <w:sz w:val="20"/>
          <w:szCs w:val="22"/>
        </w:rPr>
        <w:t xml:space="preserve"> </w:t>
      </w:r>
      <w:r w:rsidR="00CC7A4A" w:rsidRPr="00FA269F">
        <w:rPr>
          <w:snapToGrid w:val="0"/>
          <w:sz w:val="20"/>
          <w:szCs w:val="22"/>
        </w:rPr>
        <w:t>de 20</w:t>
      </w:r>
      <w:r w:rsidR="00C75886" w:rsidRPr="00FA269F">
        <w:rPr>
          <w:snapToGrid w:val="0"/>
          <w:sz w:val="20"/>
          <w:szCs w:val="22"/>
        </w:rPr>
        <w:t>2</w:t>
      </w:r>
      <w:r w:rsidR="00940F21" w:rsidRPr="00FA269F">
        <w:rPr>
          <w:snapToGrid w:val="0"/>
          <w:sz w:val="20"/>
          <w:szCs w:val="22"/>
        </w:rPr>
        <w:t>3</w:t>
      </w:r>
      <w:r w:rsidRPr="00FA269F">
        <w:rPr>
          <w:snapToGrid w:val="0"/>
          <w:sz w:val="20"/>
          <w:szCs w:val="22"/>
        </w:rPr>
        <w:t>, acordó la compensación del Resul</w:t>
      </w:r>
      <w:r w:rsidR="00694E39" w:rsidRPr="00FA269F">
        <w:rPr>
          <w:snapToGrid w:val="0"/>
          <w:sz w:val="20"/>
          <w:szCs w:val="22"/>
        </w:rPr>
        <w:t>tado negativo del ejercicio 20</w:t>
      </w:r>
      <w:r w:rsidR="00A04128" w:rsidRPr="00FA269F">
        <w:rPr>
          <w:snapToGrid w:val="0"/>
          <w:sz w:val="20"/>
          <w:szCs w:val="22"/>
        </w:rPr>
        <w:t>2</w:t>
      </w:r>
      <w:r w:rsidR="00940F21" w:rsidRPr="00FA269F">
        <w:rPr>
          <w:snapToGrid w:val="0"/>
          <w:sz w:val="20"/>
          <w:szCs w:val="22"/>
        </w:rPr>
        <w:t xml:space="preserve">2 </w:t>
      </w:r>
      <w:r w:rsidRPr="00FA269F">
        <w:rPr>
          <w:snapToGrid w:val="0"/>
          <w:sz w:val="20"/>
          <w:szCs w:val="22"/>
        </w:rPr>
        <w:t xml:space="preserve">contra aportaciones de socios por importe de </w:t>
      </w:r>
      <w:r w:rsidR="000B5966" w:rsidRPr="00FA269F">
        <w:rPr>
          <w:snapToGrid w:val="0"/>
          <w:sz w:val="20"/>
          <w:szCs w:val="22"/>
        </w:rPr>
        <w:t>2.</w:t>
      </w:r>
      <w:r w:rsidR="00940F21" w:rsidRPr="00FA269F">
        <w:rPr>
          <w:snapToGrid w:val="0"/>
          <w:sz w:val="20"/>
          <w:szCs w:val="22"/>
        </w:rPr>
        <w:t>327</w:t>
      </w:r>
      <w:r w:rsidR="000B5966" w:rsidRPr="00FA269F">
        <w:rPr>
          <w:snapToGrid w:val="0"/>
          <w:sz w:val="20"/>
          <w:szCs w:val="22"/>
        </w:rPr>
        <w:t>.888</w:t>
      </w:r>
      <w:r w:rsidR="00A04128" w:rsidRPr="00FA269F">
        <w:rPr>
          <w:snapToGrid w:val="0"/>
          <w:sz w:val="20"/>
          <w:szCs w:val="22"/>
        </w:rPr>
        <w:t xml:space="preserve"> </w:t>
      </w:r>
      <w:r w:rsidRPr="00FA269F">
        <w:rPr>
          <w:snapToGrid w:val="0"/>
          <w:sz w:val="20"/>
          <w:szCs w:val="22"/>
        </w:rPr>
        <w:t>euros</w:t>
      </w:r>
      <w:r w:rsidR="00C75886" w:rsidRPr="00FA269F">
        <w:rPr>
          <w:snapToGrid w:val="0"/>
          <w:sz w:val="20"/>
          <w:szCs w:val="22"/>
        </w:rPr>
        <w:t>.</w:t>
      </w:r>
    </w:p>
    <w:p w14:paraId="3E4656EE" w14:textId="04D7345D" w:rsidR="00063EF4" w:rsidRDefault="00063EF4">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p>
    <w:p w14:paraId="4F00908D" w14:textId="77777777" w:rsidR="00993E1D" w:rsidRDefault="00993E1D">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p>
    <w:p w14:paraId="5DB42A18" w14:textId="745A7A48" w:rsidR="006220A2" w:rsidRPr="00052BF5" w:rsidRDefault="007F3953"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052BF5">
        <w:rPr>
          <w:b/>
          <w:snapToGrid w:val="0"/>
          <w:sz w:val="22"/>
          <w:szCs w:val="22"/>
        </w:rPr>
        <w:t xml:space="preserve"> </w:t>
      </w:r>
      <w:r w:rsidR="006220A2" w:rsidRPr="00052BF5">
        <w:rPr>
          <w:b/>
          <w:snapToGrid w:val="0"/>
          <w:sz w:val="22"/>
          <w:szCs w:val="22"/>
        </w:rPr>
        <w:t>Criterios contables</w:t>
      </w:r>
    </w:p>
    <w:p w14:paraId="63BFBBF9" w14:textId="77777777" w:rsidR="006220A2" w:rsidRPr="009B0773" w:rsidRDefault="006220A2" w:rsidP="00063EF4">
      <w:pPr>
        <w:widowControl w:val="0"/>
        <w:spacing w:before="240" w:after="120" w:line="260" w:lineRule="exact"/>
        <w:rPr>
          <w:sz w:val="20"/>
          <w:szCs w:val="20"/>
        </w:rPr>
      </w:pPr>
      <w:r w:rsidRPr="009B0773">
        <w:rPr>
          <w:b/>
          <w:sz w:val="20"/>
          <w:szCs w:val="20"/>
        </w:rPr>
        <w:t xml:space="preserve">4.1 </w:t>
      </w:r>
      <w:r w:rsidRPr="009B0773">
        <w:rPr>
          <w:b/>
          <w:sz w:val="20"/>
          <w:szCs w:val="20"/>
        </w:rPr>
        <w:tab/>
        <w:t>Inmovilizado intangible</w:t>
      </w:r>
    </w:p>
    <w:p w14:paraId="4D9B36D1" w14:textId="77777777" w:rsidR="006220A2" w:rsidRPr="0083433F" w:rsidRDefault="006220A2" w:rsidP="006220A2">
      <w:pPr>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t>a)</w:t>
      </w:r>
      <w:r w:rsidRPr="0083433F">
        <w:rPr>
          <w:sz w:val="20"/>
        </w:rPr>
        <w:tab/>
      </w:r>
      <w:r w:rsidRPr="0083433F">
        <w:rPr>
          <w:sz w:val="20"/>
          <w:u w:val="single"/>
        </w:rPr>
        <w:t>Licencias y marcas</w:t>
      </w:r>
    </w:p>
    <w:p w14:paraId="5692D753" w14:textId="77777777" w:rsidR="006220A2" w:rsidRPr="00063EF4" w:rsidRDefault="006220A2" w:rsidP="004A41D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60" w:lineRule="exact"/>
        <w:jc w:val="both"/>
        <w:outlineLvl w:val="9"/>
        <w:rPr>
          <w:snapToGrid w:val="0"/>
          <w:sz w:val="20"/>
          <w:szCs w:val="22"/>
        </w:rPr>
      </w:pPr>
      <w:r w:rsidRPr="00063EF4">
        <w:rPr>
          <w:snapToGrid w:val="0"/>
          <w:sz w:val="20"/>
          <w:szCs w:val="22"/>
        </w:rPr>
        <w:t>Las licencias y marcas tienen una vida útil definida y se llevan a coste menos amortización acumulada y correcciones por deterioro del valor reconocidas. La amortización se calcula por el método lineal para asignar el coste de las marcas y licencias durante su vida útil estimada (10 años).</w:t>
      </w:r>
    </w:p>
    <w:p w14:paraId="5A5B7E77" w14:textId="77777777" w:rsidR="006220A2" w:rsidRPr="0083433F" w:rsidRDefault="006220A2" w:rsidP="003704B2">
      <w:pPr>
        <w:keepNext/>
        <w:keepLines/>
        <w:widowControl w:val="0"/>
        <w:tabs>
          <w:tab w:val="left" w:pos="284"/>
          <w:tab w:val="left" w:pos="2880"/>
          <w:tab w:val="left" w:pos="3600"/>
          <w:tab w:val="left" w:pos="4320"/>
          <w:tab w:val="left" w:pos="5040"/>
          <w:tab w:val="left" w:pos="5760"/>
          <w:tab w:val="left" w:pos="6480"/>
          <w:tab w:val="left" w:pos="7200"/>
          <w:tab w:val="left" w:pos="7920"/>
          <w:tab w:val="left" w:pos="8640"/>
        </w:tabs>
        <w:spacing w:before="200"/>
        <w:rPr>
          <w:sz w:val="20"/>
          <w:u w:val="single"/>
        </w:rPr>
      </w:pPr>
      <w:r w:rsidRPr="0083433F">
        <w:rPr>
          <w:sz w:val="20"/>
        </w:rPr>
        <w:t>b)</w:t>
      </w:r>
      <w:r w:rsidRPr="0083433F">
        <w:rPr>
          <w:sz w:val="20"/>
        </w:rPr>
        <w:tab/>
      </w:r>
      <w:r w:rsidRPr="0083433F">
        <w:rPr>
          <w:sz w:val="20"/>
          <w:u w:val="single"/>
        </w:rPr>
        <w:t>Aplicaciones informáticas</w:t>
      </w:r>
    </w:p>
    <w:p w14:paraId="030F89FB"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Las licencias para programas informáticos adquiridas a terceros se capitalizan sobre la base de los costes en que se ha incurrido para adquirirlas y prepararlas para usar el programa específico. Estos costes se amortizan durante sus vidas útiles estimadas (3 años).</w:t>
      </w:r>
    </w:p>
    <w:p w14:paraId="062D0122"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Los gastos relacionados con el mantenimiento de programas informáticos se reconocen como gasto cuando se incurre en ellos.</w:t>
      </w:r>
    </w:p>
    <w:p w14:paraId="07912982" w14:textId="77777777" w:rsidR="006220A2" w:rsidRPr="00063EF4" w:rsidRDefault="006220A2" w:rsidP="00063EF4">
      <w:pPr>
        <w:widowControl w:val="0"/>
        <w:spacing w:before="240" w:after="120" w:line="260" w:lineRule="exact"/>
        <w:rPr>
          <w:b/>
          <w:sz w:val="20"/>
          <w:szCs w:val="20"/>
        </w:rPr>
      </w:pPr>
      <w:r w:rsidRPr="00063EF4">
        <w:rPr>
          <w:b/>
          <w:sz w:val="20"/>
          <w:szCs w:val="20"/>
        </w:rPr>
        <w:t xml:space="preserve">4.2 </w:t>
      </w:r>
      <w:r w:rsidRPr="00063EF4">
        <w:rPr>
          <w:b/>
          <w:sz w:val="20"/>
          <w:szCs w:val="20"/>
        </w:rPr>
        <w:tab/>
        <w:t>Inmovilizado material</w:t>
      </w:r>
    </w:p>
    <w:p w14:paraId="66F21484"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 xml:space="preserve">Los elementos del inmovilizado material se reconocen por su precio de adquisición o coste de producción menos la amortización acumulada y el importe acumulado de las pérdidas reconocidas. </w:t>
      </w:r>
    </w:p>
    <w:p w14:paraId="7009F4A7"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Los costes de ampliación, modernización o mejora de los bienes del inmovilizado material se incorporan al activo como mayor valor del bien exclusivamente cuando suponen un aumento de su capacidad, productividad o alargamiento de su vida útil, y siempre que sea posible conocer o estimar el valor contable de los elementos que resultan dados de baja del inventario por haber sido sustituidos.</w:t>
      </w:r>
    </w:p>
    <w:p w14:paraId="48FBA8C6"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Los costes de reparaciones importantes se activan y se amortizan durante la vida útil estimada de los mismos, mientras que los gastos de mantenimiento recurrentes se cargan en la cuenta de pérdidas y ganancias durante el ejercicio en que se incurre en ellos.</w:t>
      </w:r>
    </w:p>
    <w:p w14:paraId="79868260" w14:textId="5B7AC4C1" w:rsidR="006220A2" w:rsidRDefault="006220A2" w:rsidP="004A41D6">
      <w:pPr>
        <w:keepNext/>
        <w:keepLines/>
        <w:widowControl w:val="0"/>
        <w:spacing w:before="120" w:after="120" w:line="260" w:lineRule="exact"/>
        <w:jc w:val="both"/>
        <w:outlineLvl w:val="9"/>
        <w:rPr>
          <w:snapToGrid w:val="0"/>
          <w:sz w:val="20"/>
          <w:szCs w:val="22"/>
        </w:rPr>
      </w:pPr>
      <w:r w:rsidRPr="00063EF4">
        <w:rPr>
          <w:snapToGrid w:val="0"/>
          <w:sz w:val="20"/>
          <w:szCs w:val="22"/>
        </w:rPr>
        <w:lastRenderedPageBreak/>
        <w:t>La amortización del inmovilizado material, con excepción de los terrenos que no se amortizan, se calcula sistemáticamente por el método lineal en función de su vida útil estimada, atendiendo a la depreciación efectivamente sufrida por su funcionamiento, uso y disfrute. Las vidas útiles estimadas son:</w:t>
      </w:r>
    </w:p>
    <w:tbl>
      <w:tblPr>
        <w:tblW w:w="5000" w:type="pct"/>
        <w:jc w:val="center"/>
        <w:tblLook w:val="04A0" w:firstRow="1" w:lastRow="0" w:firstColumn="1" w:lastColumn="0" w:noHBand="0" w:noVBand="1"/>
      </w:tblPr>
      <w:tblGrid>
        <w:gridCol w:w="5997"/>
        <w:gridCol w:w="2784"/>
      </w:tblGrid>
      <w:tr w:rsidR="006220A2" w:rsidRPr="0083433F" w14:paraId="7A654338" w14:textId="77777777" w:rsidTr="00063EF4">
        <w:trPr>
          <w:trHeight w:val="340"/>
          <w:jc w:val="center"/>
        </w:trPr>
        <w:tc>
          <w:tcPr>
            <w:tcW w:w="3415" w:type="pct"/>
            <w:tcBorders>
              <w:top w:val="single" w:sz="4" w:space="0" w:color="auto"/>
              <w:bottom w:val="single" w:sz="4" w:space="0" w:color="auto"/>
            </w:tcBorders>
            <w:shd w:val="clear" w:color="auto" w:fill="auto"/>
            <w:vAlign w:val="bottom"/>
          </w:tcPr>
          <w:p w14:paraId="3844A3E6"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jc w:val="center"/>
              <w:rPr>
                <w:rFonts w:cs="Arial"/>
                <w:b/>
                <w:noProof w:val="0"/>
                <w:snapToGrid w:val="0"/>
                <w:szCs w:val="18"/>
              </w:rPr>
            </w:pPr>
            <w:r w:rsidRPr="0083433F">
              <w:rPr>
                <w:rFonts w:cs="Arial"/>
                <w:b/>
                <w:noProof w:val="0"/>
                <w:snapToGrid w:val="0"/>
                <w:szCs w:val="18"/>
              </w:rPr>
              <w:t>Descripción</w:t>
            </w:r>
          </w:p>
        </w:tc>
        <w:tc>
          <w:tcPr>
            <w:tcW w:w="1585" w:type="pct"/>
            <w:tcBorders>
              <w:top w:val="single" w:sz="4" w:space="0" w:color="auto"/>
              <w:bottom w:val="single" w:sz="4" w:space="0" w:color="auto"/>
            </w:tcBorders>
            <w:shd w:val="clear" w:color="auto" w:fill="auto"/>
            <w:vAlign w:val="bottom"/>
          </w:tcPr>
          <w:p w14:paraId="3C506E52"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Años de vida útil</w:t>
            </w:r>
          </w:p>
          <w:p w14:paraId="74A5095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b/>
                <w:noProof w:val="0"/>
                <w:snapToGrid w:val="0"/>
                <w:szCs w:val="18"/>
              </w:rPr>
            </w:pPr>
            <w:r w:rsidRPr="0083433F">
              <w:rPr>
                <w:rFonts w:cs="Arial"/>
                <w:b/>
                <w:noProof w:val="0"/>
                <w:snapToGrid w:val="0"/>
                <w:szCs w:val="18"/>
              </w:rPr>
              <w:t>estimada</w:t>
            </w:r>
          </w:p>
        </w:tc>
      </w:tr>
      <w:tr w:rsidR="006220A2" w:rsidRPr="0083433F" w14:paraId="3500BCD4" w14:textId="77777777" w:rsidTr="00063EF4">
        <w:trPr>
          <w:trHeight w:val="283"/>
          <w:jc w:val="center"/>
        </w:trPr>
        <w:tc>
          <w:tcPr>
            <w:tcW w:w="3415" w:type="pct"/>
            <w:tcBorders>
              <w:top w:val="single" w:sz="4" w:space="0" w:color="auto"/>
            </w:tcBorders>
            <w:shd w:val="clear" w:color="auto" w:fill="auto"/>
            <w:vAlign w:val="center"/>
          </w:tcPr>
          <w:p w14:paraId="19D0C716"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Construcciones</w:t>
            </w:r>
          </w:p>
        </w:tc>
        <w:tc>
          <w:tcPr>
            <w:tcW w:w="1585" w:type="pct"/>
            <w:tcBorders>
              <w:top w:val="single" w:sz="4" w:space="0" w:color="auto"/>
            </w:tcBorders>
            <w:shd w:val="clear" w:color="auto" w:fill="auto"/>
            <w:vAlign w:val="center"/>
          </w:tcPr>
          <w:p w14:paraId="797267B0"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3-30</w:t>
            </w:r>
          </w:p>
        </w:tc>
      </w:tr>
      <w:tr w:rsidR="006220A2" w:rsidRPr="0083433F" w14:paraId="26A17CBA" w14:textId="77777777" w:rsidTr="00063EF4">
        <w:trPr>
          <w:trHeight w:val="283"/>
          <w:jc w:val="center"/>
        </w:trPr>
        <w:tc>
          <w:tcPr>
            <w:tcW w:w="3415" w:type="pct"/>
            <w:shd w:val="clear" w:color="auto" w:fill="auto"/>
            <w:vAlign w:val="center"/>
          </w:tcPr>
          <w:p w14:paraId="7858EE73"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Instalaciones técnicas</w:t>
            </w:r>
          </w:p>
        </w:tc>
        <w:tc>
          <w:tcPr>
            <w:tcW w:w="1585" w:type="pct"/>
            <w:shd w:val="clear" w:color="auto" w:fill="auto"/>
            <w:vAlign w:val="center"/>
          </w:tcPr>
          <w:p w14:paraId="06C09F07"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r w:rsidR="006220A2" w:rsidRPr="0083433F" w14:paraId="69C561AA" w14:textId="77777777" w:rsidTr="00063EF4">
        <w:trPr>
          <w:trHeight w:val="283"/>
          <w:jc w:val="center"/>
        </w:trPr>
        <w:tc>
          <w:tcPr>
            <w:tcW w:w="3415" w:type="pct"/>
            <w:shd w:val="clear" w:color="auto" w:fill="auto"/>
            <w:vAlign w:val="center"/>
          </w:tcPr>
          <w:p w14:paraId="1C3AB35B"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Mobiliario</w:t>
            </w:r>
          </w:p>
        </w:tc>
        <w:tc>
          <w:tcPr>
            <w:tcW w:w="1585" w:type="pct"/>
            <w:shd w:val="clear" w:color="auto" w:fill="auto"/>
            <w:vAlign w:val="center"/>
          </w:tcPr>
          <w:p w14:paraId="12FF5DFD"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3-10</w:t>
            </w:r>
          </w:p>
        </w:tc>
      </w:tr>
      <w:tr w:rsidR="006220A2" w:rsidRPr="0083433F" w14:paraId="56D6D6C2" w14:textId="77777777" w:rsidTr="00063EF4">
        <w:trPr>
          <w:trHeight w:val="283"/>
          <w:jc w:val="center"/>
        </w:trPr>
        <w:tc>
          <w:tcPr>
            <w:tcW w:w="3415" w:type="pct"/>
            <w:shd w:val="clear" w:color="auto" w:fill="auto"/>
            <w:vAlign w:val="center"/>
          </w:tcPr>
          <w:p w14:paraId="54409DC9"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Equipos para procesos de información</w:t>
            </w:r>
          </w:p>
        </w:tc>
        <w:tc>
          <w:tcPr>
            <w:tcW w:w="1585" w:type="pct"/>
            <w:shd w:val="clear" w:color="auto" w:fill="auto"/>
            <w:vAlign w:val="center"/>
          </w:tcPr>
          <w:p w14:paraId="4DF1F87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2-4</w:t>
            </w:r>
          </w:p>
        </w:tc>
      </w:tr>
      <w:tr w:rsidR="006220A2" w:rsidRPr="0083433F" w14:paraId="2E9E2E2F" w14:textId="77777777" w:rsidTr="00063EF4">
        <w:trPr>
          <w:trHeight w:val="283"/>
          <w:jc w:val="center"/>
        </w:trPr>
        <w:tc>
          <w:tcPr>
            <w:tcW w:w="3415" w:type="pct"/>
            <w:tcBorders>
              <w:bottom w:val="single" w:sz="4" w:space="0" w:color="auto"/>
            </w:tcBorders>
            <w:shd w:val="clear" w:color="auto" w:fill="auto"/>
            <w:vAlign w:val="center"/>
          </w:tcPr>
          <w:p w14:paraId="0AF9BA47" w14:textId="77777777" w:rsidR="006220A2" w:rsidRPr="0083433F" w:rsidRDefault="006220A2" w:rsidP="00063EF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ind w:left="319"/>
              <w:rPr>
                <w:rFonts w:cs="Arial"/>
                <w:noProof w:val="0"/>
                <w:snapToGrid w:val="0"/>
                <w:szCs w:val="18"/>
              </w:rPr>
            </w:pPr>
            <w:r w:rsidRPr="0083433F">
              <w:rPr>
                <w:rFonts w:cs="Arial"/>
                <w:noProof w:val="0"/>
                <w:snapToGrid w:val="0"/>
                <w:szCs w:val="18"/>
              </w:rPr>
              <w:t>Otro inmovilizado material</w:t>
            </w:r>
          </w:p>
        </w:tc>
        <w:tc>
          <w:tcPr>
            <w:tcW w:w="1585" w:type="pct"/>
            <w:tcBorders>
              <w:bottom w:val="single" w:sz="4" w:space="0" w:color="auto"/>
            </w:tcBorders>
            <w:shd w:val="clear" w:color="auto" w:fill="auto"/>
            <w:vAlign w:val="center"/>
          </w:tcPr>
          <w:p w14:paraId="296BFB8E" w14:textId="77777777" w:rsidR="006220A2" w:rsidRPr="0083433F" w:rsidRDefault="006220A2" w:rsidP="00852114">
            <w:pPr>
              <w:pStyle w:val="TextePrinc"/>
              <w:tabs>
                <w:tab w:val="left" w:pos="-384"/>
                <w:tab w:val="left" w:pos="325"/>
                <w:tab w:val="left" w:pos="1035"/>
                <w:tab w:val="left" w:pos="1741"/>
                <w:tab w:val="left" w:pos="2451"/>
                <w:tab w:val="left" w:pos="3160"/>
                <w:tab w:val="left" w:pos="3864"/>
                <w:tab w:val="left" w:pos="4571"/>
                <w:tab w:val="left" w:pos="5280"/>
                <w:tab w:val="left" w:pos="5990"/>
                <w:tab w:val="left" w:pos="6699"/>
              </w:tabs>
              <w:jc w:val="center"/>
              <w:rPr>
                <w:rFonts w:cs="Arial"/>
                <w:noProof w:val="0"/>
                <w:snapToGrid w:val="0"/>
                <w:szCs w:val="18"/>
              </w:rPr>
            </w:pPr>
            <w:r w:rsidRPr="0083433F">
              <w:rPr>
                <w:rFonts w:cs="Arial"/>
                <w:noProof w:val="0"/>
                <w:snapToGrid w:val="0"/>
                <w:szCs w:val="18"/>
              </w:rPr>
              <w:t>3-8</w:t>
            </w:r>
          </w:p>
        </w:tc>
      </w:tr>
    </w:tbl>
    <w:p w14:paraId="055E9260" w14:textId="69890125"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 xml:space="preserve">Las adquisiciones realizadas del inmovilizado proveniente de la sociedad SATURNO que fueron adquiridos por </w:t>
      </w:r>
      <w:r w:rsidR="000E1D9E" w:rsidRPr="00063EF4">
        <w:rPr>
          <w:snapToGrid w:val="0"/>
          <w:sz w:val="20"/>
          <w:szCs w:val="22"/>
        </w:rPr>
        <w:t>PROMOTUR</w:t>
      </w:r>
      <w:r w:rsidRPr="00063EF4">
        <w:rPr>
          <w:snapToGrid w:val="0"/>
          <w:sz w:val="20"/>
          <w:szCs w:val="22"/>
        </w:rPr>
        <w:t xml:space="preserve"> en el ejercicio 2006, se </w:t>
      </w:r>
      <w:r w:rsidR="00D509C6" w:rsidRPr="00063EF4">
        <w:rPr>
          <w:snapToGrid w:val="0"/>
          <w:sz w:val="20"/>
          <w:szCs w:val="22"/>
        </w:rPr>
        <w:t>han</w:t>
      </w:r>
      <w:r w:rsidRPr="00063EF4">
        <w:rPr>
          <w:snapToGrid w:val="0"/>
          <w:sz w:val="20"/>
          <w:szCs w:val="22"/>
        </w:rPr>
        <w:t xml:space="preserve"> </w:t>
      </w:r>
      <w:r w:rsidR="009B0773" w:rsidRPr="00063EF4">
        <w:rPr>
          <w:snapToGrid w:val="0"/>
          <w:sz w:val="20"/>
          <w:szCs w:val="22"/>
        </w:rPr>
        <w:t>amortizado</w:t>
      </w:r>
      <w:r w:rsidRPr="00063EF4">
        <w:rPr>
          <w:snapToGrid w:val="0"/>
          <w:sz w:val="20"/>
          <w:szCs w:val="22"/>
        </w:rPr>
        <w:t xml:space="preserve"> al doble de su porcentaje de amortización. </w:t>
      </w:r>
    </w:p>
    <w:p w14:paraId="1822236D"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El valor residual y la vida útil de los activos se revisa, ajustándose si fuese necesario, en la fecha de cada balance.</w:t>
      </w:r>
    </w:p>
    <w:p w14:paraId="70B5C910"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Cuando el valor contable de un activo es superior a su importe recuperable estimado, su valor se reduce de forma inmediata hasta su importe recuperable.</w:t>
      </w:r>
    </w:p>
    <w:p w14:paraId="08EF5B0F"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Las pérdidas y ganancias por la venta de inmovilizado material se calculan comparando los ingresos obtenidos por la venta con el valor contable y se registran en la cuenta de pérdidas y ganancias.</w:t>
      </w:r>
    </w:p>
    <w:p w14:paraId="57D68B00" w14:textId="1DAF7185" w:rsidR="00F372AF" w:rsidRPr="00063EF4" w:rsidRDefault="006220A2" w:rsidP="00063EF4">
      <w:pPr>
        <w:widowControl w:val="0"/>
        <w:spacing w:before="240" w:after="120" w:line="260" w:lineRule="exact"/>
        <w:rPr>
          <w:b/>
          <w:sz w:val="20"/>
          <w:szCs w:val="20"/>
        </w:rPr>
      </w:pPr>
      <w:r w:rsidRPr="00063EF4">
        <w:rPr>
          <w:b/>
          <w:sz w:val="20"/>
          <w:szCs w:val="20"/>
        </w:rPr>
        <w:t xml:space="preserve">4.3 </w:t>
      </w:r>
      <w:r w:rsidRPr="00063EF4">
        <w:rPr>
          <w:b/>
          <w:sz w:val="20"/>
          <w:szCs w:val="20"/>
        </w:rPr>
        <w:tab/>
      </w:r>
      <w:r w:rsidR="00F372AF" w:rsidRPr="00063EF4">
        <w:rPr>
          <w:b/>
          <w:sz w:val="20"/>
          <w:szCs w:val="20"/>
        </w:rPr>
        <w:t>Instrumentos financieros</w:t>
      </w:r>
    </w:p>
    <w:p w14:paraId="6C3372D4" w14:textId="65A215C4" w:rsidR="00F372AF" w:rsidRPr="00063EF4" w:rsidRDefault="000D187A" w:rsidP="004A41D6">
      <w:pPr>
        <w:widowControl w:val="0"/>
        <w:spacing w:before="120" w:line="260" w:lineRule="exact"/>
        <w:jc w:val="both"/>
        <w:outlineLvl w:val="9"/>
        <w:rPr>
          <w:snapToGrid w:val="0"/>
          <w:sz w:val="20"/>
          <w:szCs w:val="22"/>
        </w:rPr>
      </w:pPr>
      <w:r w:rsidRPr="00063EF4">
        <w:rPr>
          <w:snapToGrid w:val="0"/>
          <w:sz w:val="20"/>
          <w:szCs w:val="22"/>
        </w:rPr>
        <w:t>La Sociedad registra en el epígrafe de instrumentos financieros aquellos contratos que dan lugar a un activo financiero en una empresa y, simultáneamente, a un pasivo financiero o a un instrumento de patrimonio en otra empresa.</w:t>
      </w:r>
    </w:p>
    <w:p w14:paraId="0A47FD22" w14:textId="77777777" w:rsidR="000D187A" w:rsidRPr="00063EF4" w:rsidRDefault="000D187A" w:rsidP="004A41D6">
      <w:pPr>
        <w:widowControl w:val="0"/>
        <w:spacing w:before="120" w:line="260" w:lineRule="exact"/>
        <w:jc w:val="both"/>
        <w:outlineLvl w:val="9"/>
        <w:rPr>
          <w:snapToGrid w:val="0"/>
          <w:sz w:val="20"/>
          <w:szCs w:val="22"/>
        </w:rPr>
      </w:pPr>
      <w:r w:rsidRPr="00063EF4">
        <w:rPr>
          <w:snapToGrid w:val="0"/>
          <w:sz w:val="20"/>
          <w:szCs w:val="22"/>
        </w:rPr>
        <w:t xml:space="preserve">Un activo financiero es cualquier activo que sea: dinero en efectivo, un instrumento de patrimonio de otra empresa, o suponga un derecho contractual a recibir efectivo u otro activo financiero (un instrumento de deuda), o a intercambiar activos o pasivos financieros con terceros en condiciones potencialmente favorables. </w:t>
      </w:r>
    </w:p>
    <w:p w14:paraId="06C6BDBF" w14:textId="77777777" w:rsidR="000D187A" w:rsidRPr="00063EF4" w:rsidRDefault="000D187A" w:rsidP="004A41D6">
      <w:pPr>
        <w:widowControl w:val="0"/>
        <w:spacing w:before="120" w:line="260" w:lineRule="exact"/>
        <w:jc w:val="both"/>
        <w:outlineLvl w:val="9"/>
        <w:rPr>
          <w:snapToGrid w:val="0"/>
          <w:sz w:val="20"/>
          <w:szCs w:val="22"/>
        </w:rPr>
      </w:pPr>
      <w:r w:rsidRPr="00063EF4">
        <w:rPr>
          <w:snapToGrid w:val="0"/>
          <w:sz w:val="20"/>
          <w:szCs w:val="22"/>
        </w:rPr>
        <w:t>Los activos financieros, a efectos de su valoración, se clasifican en alguna de las siguientes categorías:</w:t>
      </w:r>
    </w:p>
    <w:p w14:paraId="116A0B4D"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1.</w:t>
      </w:r>
      <w:r w:rsidRPr="00A40E6F">
        <w:rPr>
          <w:bCs/>
          <w:sz w:val="20"/>
        </w:rPr>
        <w:tab/>
        <w:t xml:space="preserve">Activos financieros a valor razonable con cambios en la cuenta de pérdidas y ganancias. </w:t>
      </w:r>
    </w:p>
    <w:p w14:paraId="2C404451"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2.</w:t>
      </w:r>
      <w:r w:rsidRPr="00A40E6F">
        <w:rPr>
          <w:bCs/>
          <w:sz w:val="20"/>
        </w:rPr>
        <w:tab/>
        <w:t xml:space="preserve">Activos financieros a coste amortizado. </w:t>
      </w:r>
    </w:p>
    <w:p w14:paraId="3889ABDF"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3.</w:t>
      </w:r>
      <w:r w:rsidRPr="00A40E6F">
        <w:rPr>
          <w:bCs/>
          <w:sz w:val="20"/>
        </w:rPr>
        <w:tab/>
        <w:t xml:space="preserve">Activos financieros a valor razonable con cambios en el patrimonio neto. </w:t>
      </w:r>
    </w:p>
    <w:p w14:paraId="149358B0" w14:textId="77777777" w:rsidR="000D187A" w:rsidRPr="00A40E6F" w:rsidRDefault="000D187A" w:rsidP="00063EF4">
      <w:pPr>
        <w:widowControl w:val="0"/>
        <w:tabs>
          <w:tab w:val="left" w:pos="567"/>
        </w:tabs>
        <w:spacing w:before="120" w:line="260" w:lineRule="exact"/>
        <w:ind w:left="284"/>
        <w:jc w:val="both"/>
        <w:rPr>
          <w:bCs/>
          <w:sz w:val="20"/>
        </w:rPr>
      </w:pPr>
      <w:r w:rsidRPr="00A40E6F">
        <w:rPr>
          <w:bCs/>
          <w:sz w:val="20"/>
        </w:rPr>
        <w:t>4.</w:t>
      </w:r>
      <w:r w:rsidRPr="00A40E6F">
        <w:rPr>
          <w:bCs/>
          <w:sz w:val="20"/>
        </w:rPr>
        <w:tab/>
        <w:t>Activos financieros a coste.</w:t>
      </w:r>
    </w:p>
    <w:p w14:paraId="73BE2722" w14:textId="77777777" w:rsidR="000D187A" w:rsidRPr="00063EF4" w:rsidRDefault="000D187A" w:rsidP="004A41D6">
      <w:pPr>
        <w:widowControl w:val="0"/>
        <w:spacing w:before="120" w:line="260" w:lineRule="exact"/>
        <w:jc w:val="both"/>
        <w:outlineLvl w:val="9"/>
        <w:rPr>
          <w:snapToGrid w:val="0"/>
          <w:sz w:val="20"/>
          <w:szCs w:val="22"/>
        </w:rPr>
      </w:pPr>
      <w:r w:rsidRPr="00063EF4">
        <w:rPr>
          <w:snapToGrid w:val="0"/>
          <w:sz w:val="20"/>
          <w:szCs w:val="22"/>
        </w:rPr>
        <w:t>Los instrumentos financieros emitidos, incurridos o asumidos se clasifican como pasivos financieros, en su totalidad o en una de sus partes, siempre que de acuerdo con su realidad económica supongan para la Sociedad una obligación contractual, directa o indirecta, de entregar efectivo u otro activo financiero, o de intercambiar activos o pasivos financieros con terceros en condiciones potencialmente desfavorables.</w:t>
      </w:r>
    </w:p>
    <w:p w14:paraId="60F04354" w14:textId="77777777" w:rsidR="000D187A" w:rsidRPr="00063EF4" w:rsidRDefault="000D187A" w:rsidP="004A41D6">
      <w:pPr>
        <w:widowControl w:val="0"/>
        <w:spacing w:before="120" w:line="260" w:lineRule="exact"/>
        <w:jc w:val="both"/>
        <w:outlineLvl w:val="9"/>
        <w:rPr>
          <w:snapToGrid w:val="0"/>
          <w:sz w:val="20"/>
          <w:szCs w:val="22"/>
        </w:rPr>
      </w:pPr>
      <w:r w:rsidRPr="00063EF4">
        <w:rPr>
          <w:snapToGrid w:val="0"/>
          <w:sz w:val="20"/>
          <w:szCs w:val="22"/>
        </w:rPr>
        <w:t>Los pasivos financieros, a efectos de su valoración, se clasifican en alguna de las siguientes categorías:</w:t>
      </w:r>
    </w:p>
    <w:p w14:paraId="7C53D0A4" w14:textId="77777777" w:rsidR="000D187A" w:rsidRPr="00A40E6F" w:rsidRDefault="000D187A" w:rsidP="00063EF4">
      <w:pPr>
        <w:widowControl w:val="0"/>
        <w:tabs>
          <w:tab w:val="left" w:pos="567"/>
        </w:tabs>
        <w:spacing w:before="120" w:line="276" w:lineRule="auto"/>
        <w:ind w:left="284"/>
        <w:jc w:val="both"/>
        <w:rPr>
          <w:bCs/>
          <w:sz w:val="20"/>
        </w:rPr>
      </w:pPr>
      <w:r w:rsidRPr="00A40E6F">
        <w:rPr>
          <w:bCs/>
          <w:sz w:val="20"/>
        </w:rPr>
        <w:t>1.</w:t>
      </w:r>
      <w:r w:rsidRPr="00A40E6F">
        <w:rPr>
          <w:bCs/>
          <w:sz w:val="20"/>
        </w:rPr>
        <w:tab/>
        <w:t xml:space="preserve">Pasivos financieros a valor razonable con cambios en la cuenta de pérdidas y ganancias. </w:t>
      </w:r>
    </w:p>
    <w:p w14:paraId="36782FB2" w14:textId="77777777" w:rsidR="000D187A" w:rsidRPr="00A40E6F" w:rsidRDefault="000D187A" w:rsidP="00063EF4">
      <w:pPr>
        <w:widowControl w:val="0"/>
        <w:tabs>
          <w:tab w:val="left" w:pos="567"/>
        </w:tabs>
        <w:spacing w:before="120" w:line="276" w:lineRule="auto"/>
        <w:ind w:left="284"/>
        <w:jc w:val="both"/>
        <w:rPr>
          <w:bCs/>
          <w:sz w:val="20"/>
        </w:rPr>
      </w:pPr>
      <w:r w:rsidRPr="00A40E6F">
        <w:rPr>
          <w:bCs/>
          <w:sz w:val="20"/>
        </w:rPr>
        <w:t>2.</w:t>
      </w:r>
      <w:r w:rsidRPr="00A40E6F">
        <w:rPr>
          <w:bCs/>
          <w:sz w:val="20"/>
        </w:rPr>
        <w:tab/>
        <w:t>Pasivos financieros a coste amortizado.</w:t>
      </w:r>
    </w:p>
    <w:p w14:paraId="1D1CA968" w14:textId="3BCA8CEA" w:rsidR="00F372AF" w:rsidRPr="00063EF4" w:rsidRDefault="000D187A" w:rsidP="004A41D6">
      <w:pPr>
        <w:widowControl w:val="0"/>
        <w:spacing w:before="120" w:line="260" w:lineRule="exact"/>
        <w:jc w:val="both"/>
        <w:outlineLvl w:val="9"/>
        <w:rPr>
          <w:snapToGrid w:val="0"/>
          <w:sz w:val="20"/>
          <w:szCs w:val="22"/>
        </w:rPr>
      </w:pPr>
      <w:r w:rsidRPr="00063EF4">
        <w:rPr>
          <w:snapToGrid w:val="0"/>
          <w:sz w:val="20"/>
          <w:szCs w:val="22"/>
        </w:rPr>
        <w:lastRenderedPageBreak/>
        <w:t>Dicho tratamiento resulta de aplicación a los siguientes instrumentos financieros:</w:t>
      </w:r>
    </w:p>
    <w:p w14:paraId="5ECCA4EA"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a)</w:t>
      </w:r>
      <w:r w:rsidRPr="00A40E6F">
        <w:rPr>
          <w:bCs/>
          <w:sz w:val="20"/>
        </w:rPr>
        <w:tab/>
        <w:t xml:space="preserve">Activos financieros: </w:t>
      </w:r>
    </w:p>
    <w:p w14:paraId="6BDF9912"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Efectivo y otros activos líquidos equivalentes; </w:t>
      </w:r>
    </w:p>
    <w:p w14:paraId="16FFA30C" w14:textId="61DAFD4C"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Créditos por operaciones comerciales: clientes y deudores varios;  </w:t>
      </w:r>
    </w:p>
    <w:p w14:paraId="681EC1B3"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Otros activos financieros: tales como depósitos en entidades de crédito, créditos al personal, fianzas y depósitos constituidos, dividendos a cobrar y desembolsos exigidos sobre instrumentos de patrimonio propio. </w:t>
      </w:r>
    </w:p>
    <w:p w14:paraId="7EF9CEA9"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b)</w:t>
      </w:r>
      <w:r w:rsidRPr="00A40E6F">
        <w:rPr>
          <w:bCs/>
          <w:sz w:val="20"/>
        </w:rPr>
        <w:tab/>
        <w:t>Pasivos financieros:</w:t>
      </w:r>
    </w:p>
    <w:p w14:paraId="507A130B"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Débitos por operaciones comerciales: proveedores y acreedores varios; </w:t>
      </w:r>
    </w:p>
    <w:p w14:paraId="7D90AB54"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w:t>
      </w:r>
      <w:r w:rsidRPr="00A40E6F">
        <w:rPr>
          <w:bCs/>
          <w:sz w:val="20"/>
        </w:rPr>
        <w:tab/>
        <w:t xml:space="preserve">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 </w:t>
      </w:r>
    </w:p>
    <w:p w14:paraId="32099FEA" w14:textId="77777777"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t>c)</w:t>
      </w:r>
      <w:r w:rsidRPr="00A40E6F">
        <w:rPr>
          <w:bCs/>
          <w:sz w:val="20"/>
        </w:rPr>
        <w:tab/>
        <w:t xml:space="preserve">Instrumentos de patrimonio propio: </w:t>
      </w:r>
    </w:p>
    <w:p w14:paraId="3648AB26" w14:textId="77777777" w:rsidR="000A0387" w:rsidRPr="00063EF4" w:rsidRDefault="000A0387" w:rsidP="004A41D6">
      <w:pPr>
        <w:keepNext/>
        <w:keepLines/>
        <w:widowControl w:val="0"/>
        <w:spacing w:before="120" w:line="260" w:lineRule="exact"/>
        <w:jc w:val="both"/>
        <w:outlineLvl w:val="9"/>
        <w:rPr>
          <w:snapToGrid w:val="0"/>
          <w:sz w:val="20"/>
          <w:szCs w:val="22"/>
        </w:rPr>
      </w:pPr>
      <w:r w:rsidRPr="00063EF4">
        <w:rPr>
          <w:snapToGrid w:val="0"/>
          <w:sz w:val="20"/>
          <w:szCs w:val="22"/>
        </w:rPr>
        <w:t>Todos los instrumentos financieros que se incluyen dentro de los fondos propios, tal como las acciones ordinarias emitidas o participaciones en el capital social.</w:t>
      </w:r>
    </w:p>
    <w:p w14:paraId="1CDAB429" w14:textId="77777777" w:rsidR="000A0387" w:rsidRPr="00A40E6F" w:rsidRDefault="000A0387" w:rsidP="004A41D6">
      <w:pPr>
        <w:widowControl w:val="0"/>
        <w:tabs>
          <w:tab w:val="left" w:pos="567"/>
        </w:tabs>
        <w:spacing w:before="120" w:line="276" w:lineRule="auto"/>
        <w:jc w:val="both"/>
        <w:rPr>
          <w:bCs/>
          <w:sz w:val="20"/>
          <w:u w:val="single"/>
        </w:rPr>
      </w:pPr>
      <w:r w:rsidRPr="00A40E6F">
        <w:rPr>
          <w:bCs/>
          <w:sz w:val="20"/>
          <w:u w:val="single"/>
        </w:rPr>
        <w:t>Activos financieros a coste amortizado</w:t>
      </w:r>
    </w:p>
    <w:p w14:paraId="0D3E5D31"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 xml:space="preserve">Un activo financiero se incluye en esta categoría, incluso cuando esté admitido a negociación en un mercado organizado, si la Sociedad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w:t>
      </w:r>
    </w:p>
    <w:p w14:paraId="2C89E18A"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w:t>
      </w:r>
    </w:p>
    <w:p w14:paraId="409E4293"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En esta categoría se clasifican:</w:t>
      </w:r>
    </w:p>
    <w:p w14:paraId="74FE4CE0" w14:textId="7D84E05A" w:rsidR="000A0387" w:rsidRPr="00A40E6F" w:rsidRDefault="000A0387" w:rsidP="00063EF4">
      <w:pPr>
        <w:widowControl w:val="0"/>
        <w:tabs>
          <w:tab w:val="left" w:pos="567"/>
        </w:tabs>
        <w:spacing w:before="120" w:line="276" w:lineRule="auto"/>
        <w:ind w:left="284"/>
        <w:jc w:val="both"/>
        <w:rPr>
          <w:bCs/>
          <w:sz w:val="20"/>
        </w:rPr>
      </w:pPr>
      <w:r w:rsidRPr="00A40E6F">
        <w:rPr>
          <w:bCs/>
          <w:sz w:val="20"/>
        </w:rPr>
        <w:t>a)</w:t>
      </w:r>
      <w:r w:rsidRPr="00A40E6F">
        <w:rPr>
          <w:bCs/>
          <w:sz w:val="20"/>
        </w:rPr>
        <w:tab/>
        <w:t>Créditos por operaciones comerciales: activos financieros originados por la venta de bienes y la prestación de servicios por operaciones de tráfico, y</w:t>
      </w:r>
    </w:p>
    <w:p w14:paraId="5AD815F9" w14:textId="77777777" w:rsidR="000A0387" w:rsidRPr="00A40E6F" w:rsidRDefault="000A0387" w:rsidP="00063EF4">
      <w:pPr>
        <w:widowControl w:val="0"/>
        <w:tabs>
          <w:tab w:val="left" w:pos="567"/>
        </w:tabs>
        <w:spacing w:before="120" w:line="276" w:lineRule="auto"/>
        <w:ind w:left="284"/>
        <w:jc w:val="both"/>
        <w:rPr>
          <w:bCs/>
          <w:sz w:val="20"/>
        </w:rPr>
      </w:pPr>
      <w:r w:rsidRPr="00A40E6F">
        <w:rPr>
          <w:bCs/>
          <w:sz w:val="20"/>
        </w:rPr>
        <w:t>b)</w:t>
      </w:r>
      <w:r w:rsidRPr="00A40E6F">
        <w:rPr>
          <w:bCs/>
          <w:sz w:val="20"/>
        </w:rPr>
        <w:tab/>
        <w:t>Créditos por operaciones no comerciales: activos financieros que, no siendo instrumentos de patrimonio ni derivados, no tienen origen comercial, cuyos cobros son de cuantía determinada o determinable.</w:t>
      </w:r>
    </w:p>
    <w:p w14:paraId="2ECFE12D" w14:textId="77777777" w:rsidR="000A0387" w:rsidRPr="00A40E6F" w:rsidRDefault="000A0387" w:rsidP="004A41D6">
      <w:pPr>
        <w:widowControl w:val="0"/>
        <w:tabs>
          <w:tab w:val="left" w:pos="567"/>
        </w:tabs>
        <w:spacing w:before="120" w:line="276" w:lineRule="auto"/>
        <w:jc w:val="both"/>
        <w:rPr>
          <w:bCs/>
          <w:i/>
          <w:iCs/>
          <w:sz w:val="20"/>
        </w:rPr>
      </w:pPr>
      <w:r w:rsidRPr="00A40E6F">
        <w:rPr>
          <w:bCs/>
          <w:i/>
          <w:iCs/>
          <w:sz w:val="20"/>
        </w:rPr>
        <w:t>Valoración inicial</w:t>
      </w:r>
    </w:p>
    <w:p w14:paraId="77FE4E84"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Los activos financieros incluidos en esta categoría se valorarán inicialmente por su valor razonable, que, salvo evidencia en contrario, será el precio de transacción, que equivaldrá al valor razonable de la contraprestación entregada, más los costes de transacción que les sean directamente atribuibles.</w:t>
      </w:r>
    </w:p>
    <w:p w14:paraId="72170F9E"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Formarán parte de la valoración inicial el importe de los derechos preferentes de suscripción y similares que, en su caso, se hubiesen adquirido.</w:t>
      </w:r>
    </w:p>
    <w:p w14:paraId="79BF0F5D" w14:textId="77777777" w:rsidR="000A0387" w:rsidRPr="00A40E6F" w:rsidRDefault="000A0387" w:rsidP="004A41D6">
      <w:pPr>
        <w:keepNext/>
        <w:keepLines/>
        <w:widowControl w:val="0"/>
        <w:tabs>
          <w:tab w:val="left" w:pos="567"/>
        </w:tabs>
        <w:spacing w:before="120" w:line="276" w:lineRule="auto"/>
        <w:jc w:val="both"/>
        <w:rPr>
          <w:bCs/>
          <w:i/>
          <w:iCs/>
          <w:sz w:val="20"/>
        </w:rPr>
      </w:pPr>
      <w:r w:rsidRPr="00A40E6F">
        <w:rPr>
          <w:bCs/>
          <w:i/>
          <w:iCs/>
          <w:sz w:val="20"/>
        </w:rPr>
        <w:lastRenderedPageBreak/>
        <w:t>Valoración posterior</w:t>
      </w:r>
    </w:p>
    <w:p w14:paraId="31BD6370" w14:textId="77777777" w:rsidR="000A0387" w:rsidRPr="00063EF4" w:rsidRDefault="000A0387" w:rsidP="004A41D6">
      <w:pPr>
        <w:keepNext/>
        <w:keepLines/>
        <w:widowControl w:val="0"/>
        <w:spacing w:before="120" w:line="260" w:lineRule="exact"/>
        <w:jc w:val="both"/>
        <w:outlineLvl w:val="9"/>
        <w:rPr>
          <w:snapToGrid w:val="0"/>
          <w:sz w:val="20"/>
          <w:szCs w:val="22"/>
        </w:rPr>
      </w:pPr>
      <w:r w:rsidRPr="00063EF4">
        <w:rPr>
          <w:snapToGrid w:val="0"/>
          <w:sz w:val="20"/>
          <w:szCs w:val="22"/>
        </w:rPr>
        <w:t xml:space="preserve">Los activos financieros incluidos en esta categoría se valorarán por su valor razonable, sin deducir los costes de transacción en que se pudiera incurrir en su enajenación. Los cambios que se produzcan en el valor razonable se registrarán directamente en el patrimonio neto, hasta que el activo financiero cause baje del balance o se deteriore, momento en que el importe así reconocido, se imputará a la cuenta de pérdidas y ganancias. </w:t>
      </w:r>
    </w:p>
    <w:p w14:paraId="499C94E1" w14:textId="77777777" w:rsidR="000A0387" w:rsidRPr="00A40E6F" w:rsidRDefault="000A0387" w:rsidP="004A41D6">
      <w:pPr>
        <w:widowControl w:val="0"/>
        <w:tabs>
          <w:tab w:val="left" w:pos="567"/>
        </w:tabs>
        <w:spacing w:before="120" w:line="276" w:lineRule="auto"/>
        <w:jc w:val="both"/>
        <w:rPr>
          <w:bCs/>
          <w:i/>
          <w:iCs/>
          <w:sz w:val="20"/>
        </w:rPr>
      </w:pPr>
      <w:r w:rsidRPr="00A40E6F">
        <w:rPr>
          <w:bCs/>
          <w:i/>
          <w:iCs/>
          <w:sz w:val="20"/>
        </w:rPr>
        <w:t>Deterioro del valor</w:t>
      </w:r>
    </w:p>
    <w:p w14:paraId="170869BC"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Al menos al cierre del ejercicio, se efectúan las correcciones valorativas necesarias siempre que exista evidencia objetiva de que el valor en libros de una inversión no es recuperable.</w:t>
      </w:r>
    </w:p>
    <w:p w14:paraId="3C5ECE09" w14:textId="15917D24"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p>
    <w:p w14:paraId="1C1306CA" w14:textId="77777777" w:rsidR="000A0387" w:rsidRPr="00A40E6F" w:rsidRDefault="000A0387" w:rsidP="004A41D6">
      <w:pPr>
        <w:keepNext/>
        <w:keepLines/>
        <w:widowControl w:val="0"/>
        <w:tabs>
          <w:tab w:val="left" w:pos="567"/>
        </w:tabs>
        <w:spacing w:before="120" w:line="276" w:lineRule="auto"/>
        <w:jc w:val="both"/>
        <w:rPr>
          <w:bCs/>
          <w:sz w:val="20"/>
          <w:u w:val="single"/>
        </w:rPr>
      </w:pPr>
      <w:r w:rsidRPr="00A40E6F">
        <w:rPr>
          <w:bCs/>
          <w:sz w:val="20"/>
          <w:u w:val="single"/>
        </w:rPr>
        <w:t>Pasivos financieros a coste amortizado</w:t>
      </w:r>
    </w:p>
    <w:p w14:paraId="20F82CDB" w14:textId="77777777" w:rsidR="000A0387" w:rsidRPr="00063EF4" w:rsidRDefault="000A0387" w:rsidP="004A41D6">
      <w:pPr>
        <w:keepNext/>
        <w:keepLines/>
        <w:widowControl w:val="0"/>
        <w:spacing w:before="120" w:line="260" w:lineRule="exact"/>
        <w:jc w:val="both"/>
        <w:rPr>
          <w:bCs/>
          <w:i/>
          <w:iCs/>
          <w:sz w:val="20"/>
        </w:rPr>
      </w:pPr>
      <w:r w:rsidRPr="00063EF4">
        <w:rPr>
          <w:bCs/>
          <w:i/>
          <w:iCs/>
          <w:sz w:val="20"/>
        </w:rPr>
        <w:t>En esta categoría se clasifican:</w:t>
      </w:r>
    </w:p>
    <w:p w14:paraId="6BDD8D3F" w14:textId="77777777"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t>a)</w:t>
      </w:r>
      <w:r w:rsidRPr="00A40E6F">
        <w:rPr>
          <w:bCs/>
          <w:sz w:val="20"/>
        </w:rPr>
        <w:tab/>
        <w:t>Débitos por operaciones comerciales: pasivos financieros originados por la compra de bienes y servicios por operaciones de tráfico, y</w:t>
      </w:r>
    </w:p>
    <w:p w14:paraId="2D8092DD" w14:textId="77777777"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t>b)</w:t>
      </w:r>
      <w:r w:rsidRPr="00A40E6F">
        <w:rPr>
          <w:bCs/>
          <w:sz w:val="20"/>
        </w:rPr>
        <w:tab/>
      </w:r>
      <w:r w:rsidRPr="00A40E6F">
        <w:rPr>
          <w:bCs/>
          <w:sz w:val="20"/>
        </w:rPr>
        <w:tab/>
        <w:t>Débitos por operaciones no comerciales: pasivos financieros que, no siendo instrumentos derivados, no tienen origen comercial, sino que proceden de operaciones de préstamo o crédito recibidos por la Sociedad.</w:t>
      </w:r>
    </w:p>
    <w:p w14:paraId="388EEE32" w14:textId="77777777" w:rsidR="000A0387" w:rsidRPr="00A40E6F" w:rsidRDefault="000A0387" w:rsidP="004A41D6">
      <w:pPr>
        <w:widowControl w:val="0"/>
        <w:spacing w:before="120" w:line="260" w:lineRule="exact"/>
        <w:jc w:val="both"/>
        <w:rPr>
          <w:bCs/>
          <w:i/>
          <w:iCs/>
          <w:sz w:val="20"/>
        </w:rPr>
      </w:pPr>
      <w:r w:rsidRPr="00A40E6F">
        <w:rPr>
          <w:bCs/>
          <w:i/>
          <w:iCs/>
          <w:sz w:val="20"/>
        </w:rPr>
        <w:t>Valoración inicial</w:t>
      </w:r>
    </w:p>
    <w:p w14:paraId="7364D114" w14:textId="3CEB4932"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Inicialmente, los activos y pasivos financieros incluidos en esta categoría se valoran por su valor razonable, que es el precio de la transacción, y que equivale al valor razonable de la contraprestación entregada más los costes de transacción que les son directamente atribuibles.</w:t>
      </w:r>
    </w:p>
    <w:p w14:paraId="7DB5F049"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No obstante, lo señalado en el párrafo anterior, los créditos y débitos por operaciones comerciales con vencimiento no superior a un año y que no tienen un tipo de interés contractual, así como, en su caso, los anticipos y créditos al personal, los dividendos a cobrar y los desembolsos exigidos sobre instrumentos de patrimonio, cuyo importe se espera recibir en el corto plazo, y los desembolsos exigidos por terceros sobre participaciones, cuyo importe se espera pagar en el corto plazo, se valoran por su valor nominal cuando el efecto de no actualizar los flujos de efectivo no resulta significativo.</w:t>
      </w:r>
    </w:p>
    <w:p w14:paraId="47D022D2" w14:textId="77777777" w:rsidR="000A0387" w:rsidRPr="00A40E6F" w:rsidRDefault="000A0387" w:rsidP="004A41D6">
      <w:pPr>
        <w:widowControl w:val="0"/>
        <w:spacing w:before="120" w:line="260" w:lineRule="exact"/>
        <w:jc w:val="both"/>
        <w:rPr>
          <w:bCs/>
          <w:i/>
          <w:iCs/>
          <w:sz w:val="20"/>
        </w:rPr>
      </w:pPr>
      <w:r w:rsidRPr="00A40E6F">
        <w:rPr>
          <w:bCs/>
          <w:i/>
          <w:iCs/>
          <w:sz w:val="20"/>
        </w:rPr>
        <w:t>Valoración posterior</w:t>
      </w:r>
    </w:p>
    <w:p w14:paraId="16D4A756"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En valoraciones posteriores, tanto activos como pasivos, se valoran por su coste amortizado. Los intereses devengados se contabilizan en la cuenta de pérdidas y ganancias, aplicando el método del tipo de interés efectivo. No obstante, lo anterior, los créditos y débitos con vencimiento no superior a un año que se valoraron inicialmente por su valor nominal, continúan valorándose por dicho importe, salvo, en el caso de créditos, que se hubieran deteriorado.</w:t>
      </w:r>
    </w:p>
    <w:p w14:paraId="772447EF" w14:textId="77777777" w:rsidR="000A0387" w:rsidRPr="00A40E6F" w:rsidRDefault="000A0387" w:rsidP="004A41D6">
      <w:pPr>
        <w:widowControl w:val="0"/>
        <w:spacing w:before="120" w:line="260" w:lineRule="exact"/>
        <w:jc w:val="both"/>
        <w:rPr>
          <w:bCs/>
          <w:i/>
          <w:iCs/>
          <w:sz w:val="20"/>
        </w:rPr>
      </w:pPr>
      <w:r w:rsidRPr="00A40E6F">
        <w:rPr>
          <w:bCs/>
          <w:i/>
          <w:iCs/>
          <w:sz w:val="20"/>
        </w:rPr>
        <w:t>Deterioro de valor de los activos financieros a coste amortizado</w:t>
      </w:r>
    </w:p>
    <w:p w14:paraId="45E896C8"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 xml:space="preserve">Al menos al cierre del ejercicio, se efectúan las correcciones valorativas necesarias siempre que exista evidencia objetiva de que el valor de un activo financiero,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 </w:t>
      </w:r>
    </w:p>
    <w:p w14:paraId="06ED5359" w14:textId="77777777" w:rsidR="000A0387" w:rsidRPr="00063EF4" w:rsidRDefault="000A0387" w:rsidP="004A41D6">
      <w:pPr>
        <w:keepNext/>
        <w:keepLines/>
        <w:widowControl w:val="0"/>
        <w:spacing w:before="120" w:line="260" w:lineRule="exact"/>
        <w:jc w:val="both"/>
        <w:outlineLvl w:val="9"/>
        <w:rPr>
          <w:snapToGrid w:val="0"/>
          <w:sz w:val="20"/>
          <w:szCs w:val="22"/>
        </w:rPr>
      </w:pPr>
      <w:r w:rsidRPr="00063EF4">
        <w:rPr>
          <w:snapToGrid w:val="0"/>
          <w:sz w:val="20"/>
          <w:szCs w:val="22"/>
        </w:rPr>
        <w:lastRenderedPageBreak/>
        <w:t xml:space="preserve">La pérdida por deterioro del valor de estos activos financieros es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 Para los activos financieros a tipo de interés variable, se emplea el tipo de interés efectivo que corresponda a la fecha de cierre de las cuentas anuales de acuerdo con las condiciones contractuales. </w:t>
      </w:r>
    </w:p>
    <w:p w14:paraId="59A324E5"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29B3EDCA" w14:textId="77777777" w:rsidR="000A0387" w:rsidRPr="00A40E6F" w:rsidRDefault="000A0387" w:rsidP="004A41D6">
      <w:pPr>
        <w:keepNext/>
        <w:keepLines/>
        <w:widowControl w:val="0"/>
        <w:tabs>
          <w:tab w:val="left" w:pos="567"/>
        </w:tabs>
        <w:spacing w:before="120" w:line="276" w:lineRule="auto"/>
        <w:jc w:val="both"/>
        <w:rPr>
          <w:bCs/>
          <w:sz w:val="20"/>
          <w:u w:val="single"/>
        </w:rPr>
      </w:pPr>
      <w:r w:rsidRPr="00A40E6F">
        <w:rPr>
          <w:bCs/>
          <w:sz w:val="20"/>
          <w:u w:val="single"/>
        </w:rPr>
        <w:t>Reclasificación de Activos Financieros</w:t>
      </w:r>
    </w:p>
    <w:p w14:paraId="76B61766" w14:textId="77777777" w:rsidR="000A0387" w:rsidRPr="00063EF4" w:rsidRDefault="000A0387" w:rsidP="004A41D6">
      <w:pPr>
        <w:keepNext/>
        <w:keepLines/>
        <w:widowControl w:val="0"/>
        <w:spacing w:before="120" w:line="260" w:lineRule="exact"/>
        <w:jc w:val="both"/>
        <w:outlineLvl w:val="9"/>
        <w:rPr>
          <w:snapToGrid w:val="0"/>
          <w:sz w:val="20"/>
          <w:szCs w:val="22"/>
        </w:rPr>
      </w:pPr>
      <w:r w:rsidRPr="00063EF4">
        <w:rPr>
          <w:snapToGrid w:val="0"/>
          <w:sz w:val="20"/>
          <w:szCs w:val="22"/>
        </w:rPr>
        <w:t>Cuando la Sociedad cambie la forma en que gestiona sus activos financieros para generar flujos de efectivo, reclasificará todos los activos afectados de acuerdo con los criterios señalados previamente. La reclasificación de categoría no es un supuesto de baja de balance sino un cambio en el criterio de valoración.</w:t>
      </w:r>
    </w:p>
    <w:p w14:paraId="42ACAD06"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Se pueden dar las siguientes reclasificaciones:</w:t>
      </w:r>
    </w:p>
    <w:p w14:paraId="75769A84" w14:textId="484BA195" w:rsidR="000A0387" w:rsidRPr="00A40E6F" w:rsidRDefault="000A0387" w:rsidP="00063EF4">
      <w:pPr>
        <w:widowControl w:val="0"/>
        <w:tabs>
          <w:tab w:val="left" w:pos="567"/>
        </w:tabs>
        <w:spacing w:before="120" w:line="276" w:lineRule="auto"/>
        <w:ind w:left="284"/>
        <w:jc w:val="both"/>
        <w:rPr>
          <w:bCs/>
          <w:sz w:val="20"/>
        </w:rPr>
      </w:pPr>
      <w:r w:rsidRPr="00A40E6F">
        <w:rPr>
          <w:bCs/>
          <w:sz w:val="20"/>
        </w:rPr>
        <w:t>1) Reclasificación de los activos financieros a coste amortizado a la categoría de activos financieros a valor razonable con cambios en la cuenta de pérdidas y ganancias y al contrario</w:t>
      </w:r>
      <w:r w:rsidR="004A41D6">
        <w:rPr>
          <w:bCs/>
          <w:sz w:val="20"/>
        </w:rPr>
        <w:t>.</w:t>
      </w:r>
    </w:p>
    <w:p w14:paraId="6212A3E6" w14:textId="3D3294B8" w:rsidR="000A0387" w:rsidRPr="00A40E6F" w:rsidRDefault="000A0387" w:rsidP="00063EF4">
      <w:pPr>
        <w:widowControl w:val="0"/>
        <w:tabs>
          <w:tab w:val="left" w:pos="567"/>
        </w:tabs>
        <w:spacing w:before="120" w:line="276" w:lineRule="auto"/>
        <w:ind w:left="284"/>
        <w:jc w:val="both"/>
        <w:rPr>
          <w:bCs/>
          <w:sz w:val="20"/>
        </w:rPr>
      </w:pPr>
      <w:r w:rsidRPr="00A40E6F">
        <w:rPr>
          <w:bCs/>
          <w:sz w:val="20"/>
        </w:rPr>
        <w:t>2) Reclasificación de los activos financieros a coste amortizado a la categoría de activos financieros a valor razonable con cambios en el patrimonio neto y al contrario</w:t>
      </w:r>
      <w:r w:rsidR="004A41D6">
        <w:rPr>
          <w:bCs/>
          <w:sz w:val="20"/>
        </w:rPr>
        <w:t>.</w:t>
      </w:r>
    </w:p>
    <w:p w14:paraId="0026A8C4" w14:textId="57D5680D" w:rsidR="000A0387" w:rsidRPr="00A40E6F" w:rsidRDefault="000A0387" w:rsidP="00063EF4">
      <w:pPr>
        <w:widowControl w:val="0"/>
        <w:tabs>
          <w:tab w:val="left" w:pos="567"/>
        </w:tabs>
        <w:spacing w:before="120" w:line="276" w:lineRule="auto"/>
        <w:ind w:left="284"/>
        <w:jc w:val="both"/>
        <w:rPr>
          <w:bCs/>
          <w:sz w:val="20"/>
        </w:rPr>
      </w:pPr>
      <w:r w:rsidRPr="00A40E6F">
        <w:rPr>
          <w:bCs/>
          <w:sz w:val="20"/>
        </w:rPr>
        <w:t>3) Reclasificación de los activos financieros a valor razonable con cambios en la cuenta de pérdidas y ganancias a la categoría de activos financieros a valor razonable con cambios en el patrimonio neto y al contrario</w:t>
      </w:r>
      <w:r w:rsidR="004A41D6">
        <w:rPr>
          <w:bCs/>
          <w:sz w:val="20"/>
        </w:rPr>
        <w:t>.</w:t>
      </w:r>
    </w:p>
    <w:p w14:paraId="39F5E5F1" w14:textId="5606DD86" w:rsidR="000A0387" w:rsidRPr="00A40E6F" w:rsidRDefault="000A0387" w:rsidP="00063EF4">
      <w:pPr>
        <w:keepNext/>
        <w:keepLines/>
        <w:widowControl w:val="0"/>
        <w:tabs>
          <w:tab w:val="left" w:pos="567"/>
        </w:tabs>
        <w:spacing w:before="120" w:line="276" w:lineRule="auto"/>
        <w:ind w:left="284"/>
        <w:jc w:val="both"/>
        <w:rPr>
          <w:bCs/>
          <w:sz w:val="20"/>
        </w:rPr>
      </w:pPr>
      <w:r w:rsidRPr="00A40E6F">
        <w:rPr>
          <w:bCs/>
          <w:sz w:val="20"/>
        </w:rPr>
        <w:t>4) Reclasificación de las inversiones en instrumentos de patrimonio valoradas a coste a la categoría de activos financieros a valor razonable con cambios en pérdidas y ganancias y al contrario</w:t>
      </w:r>
      <w:r w:rsidR="004A41D6">
        <w:rPr>
          <w:bCs/>
          <w:sz w:val="20"/>
        </w:rPr>
        <w:t>.</w:t>
      </w:r>
    </w:p>
    <w:p w14:paraId="2983338E" w14:textId="77777777" w:rsidR="000A0387" w:rsidRPr="00063EF4" w:rsidRDefault="000A0387" w:rsidP="004A41D6">
      <w:pPr>
        <w:widowControl w:val="0"/>
        <w:spacing w:before="120" w:line="260" w:lineRule="exact"/>
        <w:jc w:val="both"/>
        <w:rPr>
          <w:bCs/>
          <w:i/>
          <w:iCs/>
          <w:sz w:val="20"/>
        </w:rPr>
      </w:pPr>
      <w:r w:rsidRPr="00063EF4">
        <w:rPr>
          <w:bCs/>
          <w:i/>
          <w:iCs/>
          <w:sz w:val="20"/>
        </w:rPr>
        <w:t>Baja de Activos Financieros</w:t>
      </w:r>
    </w:p>
    <w:p w14:paraId="295DA2BB"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La Sociedad da de baja un activo financiero, o parte del mismo, cuando expiran o se han cedido los derechos contractuales sobre los flujos de efectivo del activo financiero y se han transferido de manera sustancial los riesgos y beneficios inherentes a su propiedad, en circunstancias que se evalúan comparando la exposición de la Sociedad, antes y después de la cesión, a la variación en los importes y en el calendario de los flujos de efectivo netos del activo transferido. Se entiende que se han cedido de manera sustancial los riesgos y beneficios inherentes a la propiedad del activo financiero cuando su exposición a tal variación deja de ser significativa en relación con la variación total del valor actual de los flujos de efectivo futuros netos asociados con el activo financiero.</w:t>
      </w:r>
    </w:p>
    <w:p w14:paraId="0838B91A"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 xml:space="preserve">Cuando el activo financiero se da de baja, la diferencia entre la contraprestación recibida neta de los costes de transacción atribuibles, considerando cualquier nuevo activo obtenido menos cualquier pasivo asumido, y el valor en libros del activo financiero, determina la ganancia o la pérdida surgida al dar de baja dicho activo, y forma parte del resultado del ejercicio en que ésta se produce. </w:t>
      </w:r>
    </w:p>
    <w:p w14:paraId="43C5DE52" w14:textId="35BB297E"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La Sociedad no da de baja los activos financieros y reconoce un pasivo financiero por un importe igual a la contraprestación recibida, en las cesiones de activos financieros en las que ha retenido sustancialmente los riesgos y beneficios inherentes a su propiedad, tales como en el descuento de efectos, el «</w:t>
      </w:r>
      <w:proofErr w:type="spellStart"/>
      <w:r w:rsidRPr="00063EF4">
        <w:rPr>
          <w:snapToGrid w:val="0"/>
          <w:sz w:val="20"/>
          <w:szCs w:val="22"/>
        </w:rPr>
        <w:t>factoring</w:t>
      </w:r>
      <w:proofErr w:type="spellEnd"/>
      <w:r w:rsidRPr="00063EF4">
        <w:rPr>
          <w:snapToGrid w:val="0"/>
          <w:sz w:val="20"/>
          <w:szCs w:val="22"/>
        </w:rPr>
        <w:t xml:space="preserve"> con recurso», las ventas de activos financieros con pacto de recompra a un precio fijo o al precio de venta más un interés y las titulizaciones de activos financieros en las que la empresa cedente retenga financiaciones subordinadas u otro tipo de garantías que absorban sustancialmente todas las pérdidas esperadas.</w:t>
      </w:r>
    </w:p>
    <w:p w14:paraId="18EEBAA6" w14:textId="77777777" w:rsidR="000A0387" w:rsidRPr="00063EF4" w:rsidRDefault="000A0387" w:rsidP="004A41D6">
      <w:pPr>
        <w:widowControl w:val="0"/>
        <w:spacing w:before="120" w:line="260" w:lineRule="exact"/>
        <w:jc w:val="both"/>
        <w:outlineLvl w:val="9"/>
        <w:rPr>
          <w:bCs/>
          <w:i/>
          <w:iCs/>
          <w:sz w:val="20"/>
        </w:rPr>
      </w:pPr>
      <w:r w:rsidRPr="00063EF4">
        <w:rPr>
          <w:bCs/>
          <w:i/>
          <w:iCs/>
          <w:sz w:val="20"/>
        </w:rPr>
        <w:lastRenderedPageBreak/>
        <w:t>Baja de Pasivos Financieros</w:t>
      </w:r>
    </w:p>
    <w:p w14:paraId="197B2808"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 xml:space="preserve">La Sociedad da de baja un pasivo financiero, o parte del mismo, cuando la obligación se ha extinguido; es decir, cuando ha sido satisfecha, cancelada o ha expirado. También da de baja los pasivos financieros propios que adquiere, aunque sea con la intención de recolocarlos en el futuro. </w:t>
      </w:r>
    </w:p>
    <w:p w14:paraId="24BB7773" w14:textId="77777777"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 xml:space="preserve">La diferencia entre el valor en libros del pasivo financiero o de la parte del mismo que se ha dado de baja y la contraprestación pagada incluidos los costes o comisiones en que se incurra y en la que se recoge asimismo cualquier activo cedido diferente del efectivo o pasivo asumido, se reconoce en la cuenta de pérdidas y ganancias del ejercicio en que tenga lugar. </w:t>
      </w:r>
    </w:p>
    <w:p w14:paraId="71E29E96" w14:textId="25DC7D66" w:rsidR="000A0387" w:rsidRPr="00063EF4" w:rsidRDefault="000A0387" w:rsidP="004A41D6">
      <w:pPr>
        <w:widowControl w:val="0"/>
        <w:spacing w:before="120" w:line="260" w:lineRule="exact"/>
        <w:jc w:val="both"/>
        <w:outlineLvl w:val="9"/>
        <w:rPr>
          <w:snapToGrid w:val="0"/>
          <w:sz w:val="20"/>
          <w:szCs w:val="22"/>
        </w:rPr>
      </w:pPr>
      <w:r w:rsidRPr="00063EF4">
        <w:rPr>
          <w:snapToGrid w:val="0"/>
          <w:sz w:val="20"/>
          <w:szCs w:val="22"/>
        </w:rPr>
        <w:t>En el caso de un intercambio de instrumentos de deuda que no tengan condiciones sustancialmente diferentes, el pasivo financiero original no se da de baja del balance. Cualquier coste de transacción o comisión incurrida ajusta el importe en libros del pasivo financiero. A partir de esa fecha, el coste amortizado del pasivo financiero se determina aplicando el tipo de interés efectivo que iguale el valor en libros del pasivo financiero con los flujos de efectivo a pagar según las nuevas condiciones.</w:t>
      </w:r>
    </w:p>
    <w:p w14:paraId="1FB8D06D" w14:textId="77777777" w:rsidR="006220A2" w:rsidRPr="00063EF4" w:rsidRDefault="006220A2" w:rsidP="00063EF4">
      <w:pPr>
        <w:widowControl w:val="0"/>
        <w:spacing w:before="240" w:after="120" w:line="260" w:lineRule="exact"/>
        <w:rPr>
          <w:b/>
          <w:sz w:val="20"/>
          <w:szCs w:val="20"/>
        </w:rPr>
      </w:pPr>
      <w:r w:rsidRPr="00063EF4">
        <w:rPr>
          <w:b/>
          <w:sz w:val="20"/>
          <w:szCs w:val="20"/>
        </w:rPr>
        <w:t xml:space="preserve">4.4 </w:t>
      </w:r>
      <w:r w:rsidRPr="00063EF4">
        <w:rPr>
          <w:b/>
          <w:sz w:val="20"/>
          <w:szCs w:val="20"/>
        </w:rPr>
        <w:tab/>
        <w:t>Patrimonio neto</w:t>
      </w:r>
    </w:p>
    <w:p w14:paraId="122C323E" w14:textId="3C022AB2"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El capital social está representado por 102 acciones clase “A” nominativas de 3.000 euros nominales cada una, y 98 acciones clase “B” nominativas de 3.000 euros cada una. Todas las acciones gozan de iguales derechos políticos y económicos.</w:t>
      </w:r>
      <w:bookmarkStart w:id="1" w:name="_Hlk97817892"/>
    </w:p>
    <w:bookmarkEnd w:id="1"/>
    <w:p w14:paraId="44902920" w14:textId="61574294" w:rsidR="006220A2" w:rsidRPr="00063EF4" w:rsidRDefault="006220A2" w:rsidP="00063EF4">
      <w:pPr>
        <w:widowControl w:val="0"/>
        <w:spacing w:before="240" w:after="120" w:line="260" w:lineRule="exact"/>
        <w:rPr>
          <w:b/>
          <w:sz w:val="20"/>
          <w:szCs w:val="20"/>
        </w:rPr>
      </w:pPr>
      <w:r w:rsidRPr="00063EF4">
        <w:rPr>
          <w:b/>
          <w:sz w:val="20"/>
          <w:szCs w:val="20"/>
        </w:rPr>
        <w:t>4.</w:t>
      </w:r>
      <w:r w:rsidR="00B30832" w:rsidRPr="00063EF4">
        <w:rPr>
          <w:b/>
          <w:sz w:val="20"/>
          <w:szCs w:val="20"/>
        </w:rPr>
        <w:t>5</w:t>
      </w:r>
      <w:r w:rsidRPr="00063EF4">
        <w:rPr>
          <w:b/>
          <w:sz w:val="20"/>
          <w:szCs w:val="20"/>
        </w:rPr>
        <w:t xml:space="preserve"> </w:t>
      </w:r>
      <w:r w:rsidRPr="00063EF4">
        <w:rPr>
          <w:b/>
          <w:sz w:val="20"/>
          <w:szCs w:val="20"/>
        </w:rPr>
        <w:tab/>
        <w:t>Impuestos corrientes y diferidos</w:t>
      </w:r>
    </w:p>
    <w:p w14:paraId="698677BB"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El gasto (ingreso) por impuesto sobre beneficios es el importe que, por este concepto, se devenga en el ejercicio y que comprende tanto el gasto (ingreso) por impuesto corriente como por impuesto diferido.</w:t>
      </w:r>
    </w:p>
    <w:p w14:paraId="66AC293B"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Tanto el gasto (ingreso) por impuesto corriente como diferido se registra en la cuenta de pérdidas y ganancias. No obstante, se reconoce en el patrimonio neto el efecto impositivo relacionado con partidas que se registran directamente en el patrimonio neto.</w:t>
      </w:r>
    </w:p>
    <w:p w14:paraId="75B6B6A4"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Los activos y pasivos por impuesto corriente se valorarán por las cantidades que se espera pagar o recuperar de las autoridades fiscales, de acuerdo con la normativa vigente o aprobada y pendiente de publicación en la fecha de cierre del ejercicio.</w:t>
      </w:r>
    </w:p>
    <w:p w14:paraId="7D89953B"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Los impuestos diferidos se calculan, de acuerdo con el método del pasivo, sobre las diferencias temporarias que surgen entre las bases fiscales de los activos y pasivos y sus valores en libros. Sin embargo, si los impuestos diferidos surgen del reconocimiento inicial de un activo o un pasivo en una transacción distinta de una combinación de negocios que en el momento de la transacción no afecta ni al resultado contable ni a la base imponible del impuesto no se reconocen. El impuesto diferido se determina aplicando la normativa y los tipos impositivos aprobados o a punto de aprobarse en la fecha del balance y que se espera aplicar cuando el correspondiente activo por impuesto diferido se realice o el pasivo por impuesto diferido se liquide.</w:t>
      </w:r>
    </w:p>
    <w:p w14:paraId="222EE8C1"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Los activos por impuestos diferidos se reconocen en la medida en que resulte probable que se vaya a disponer de ganancias fiscales futuras con las que poder compensar las diferencias temporarias.</w:t>
      </w:r>
    </w:p>
    <w:p w14:paraId="7CA3F260" w14:textId="44D05EB1" w:rsidR="006220A2" w:rsidRPr="00063EF4" w:rsidRDefault="006220A2" w:rsidP="00063EF4">
      <w:pPr>
        <w:widowControl w:val="0"/>
        <w:spacing w:before="240" w:after="120" w:line="260" w:lineRule="exact"/>
        <w:rPr>
          <w:b/>
          <w:sz w:val="20"/>
          <w:szCs w:val="20"/>
        </w:rPr>
      </w:pPr>
      <w:bookmarkStart w:id="2" w:name="_Hlk98316661"/>
      <w:r w:rsidRPr="00063EF4">
        <w:rPr>
          <w:b/>
          <w:sz w:val="20"/>
          <w:szCs w:val="20"/>
        </w:rPr>
        <w:t>4.</w:t>
      </w:r>
      <w:r w:rsidR="00B30832" w:rsidRPr="00063EF4">
        <w:rPr>
          <w:b/>
          <w:sz w:val="20"/>
          <w:szCs w:val="20"/>
        </w:rPr>
        <w:t>6</w:t>
      </w:r>
      <w:r w:rsidRPr="00063EF4">
        <w:rPr>
          <w:b/>
          <w:sz w:val="20"/>
          <w:szCs w:val="20"/>
        </w:rPr>
        <w:t xml:space="preserve"> </w:t>
      </w:r>
      <w:r w:rsidRPr="00063EF4">
        <w:rPr>
          <w:b/>
          <w:sz w:val="20"/>
          <w:szCs w:val="20"/>
        </w:rPr>
        <w:tab/>
        <w:t>Compromisos por premio de jubilación</w:t>
      </w:r>
    </w:p>
    <w:bookmarkEnd w:id="2"/>
    <w:p w14:paraId="38964AE8"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La Sociedad tiene obligación, según el convenio colectivo vigente de la empresa, de premiar la vinculación de su personal en el momento de su jubilación o fallecimiento. Estas gratificaciones se pagan en el momento de la jubilación o fallecimiento del empleado y consisten en el pago de entre dos y seis mensualidades en función de los años de antigüedad e</w:t>
      </w:r>
      <w:r w:rsidR="00694E39" w:rsidRPr="00063EF4">
        <w:rPr>
          <w:snapToGrid w:val="0"/>
          <w:sz w:val="20"/>
          <w:szCs w:val="22"/>
        </w:rPr>
        <w:t>n la empresa.</w:t>
      </w:r>
    </w:p>
    <w:p w14:paraId="78C46DD6" w14:textId="77D1B087" w:rsidR="006220A2" w:rsidRPr="00063EF4" w:rsidRDefault="006220A2" w:rsidP="004A41D6">
      <w:pPr>
        <w:keepNext/>
        <w:keepLines/>
        <w:widowControl w:val="0"/>
        <w:spacing w:before="120" w:line="260" w:lineRule="exact"/>
        <w:jc w:val="both"/>
        <w:outlineLvl w:val="9"/>
        <w:rPr>
          <w:snapToGrid w:val="0"/>
          <w:sz w:val="20"/>
          <w:szCs w:val="22"/>
        </w:rPr>
      </w:pPr>
      <w:r w:rsidRPr="00063EF4">
        <w:rPr>
          <w:snapToGrid w:val="0"/>
          <w:sz w:val="20"/>
          <w:szCs w:val="22"/>
        </w:rPr>
        <w:lastRenderedPageBreak/>
        <w:t>La legislación vigente establece la obligación de externalizar los compromisos de este tipo devengados, habiéndose cumplido con dicha normativa, de modo que la totalidad de las obligaciones devengadas por el premio de jubilación hasta 31 de diciembre de 2011 se encuentran externalizadas a 31 de diciembre de 20</w:t>
      </w:r>
      <w:r w:rsidR="003704B2" w:rsidRPr="00063EF4">
        <w:rPr>
          <w:snapToGrid w:val="0"/>
          <w:sz w:val="20"/>
          <w:szCs w:val="22"/>
        </w:rPr>
        <w:t>2</w:t>
      </w:r>
      <w:r w:rsidR="000A6567">
        <w:rPr>
          <w:snapToGrid w:val="0"/>
          <w:sz w:val="20"/>
          <w:szCs w:val="22"/>
        </w:rPr>
        <w:t>2</w:t>
      </w:r>
      <w:r w:rsidRPr="00063EF4">
        <w:rPr>
          <w:snapToGrid w:val="0"/>
          <w:sz w:val="20"/>
          <w:szCs w:val="22"/>
        </w:rPr>
        <w:t>, no existiendo por tanto provisión por dicho concepto en las presentes cuentas anuales.</w:t>
      </w:r>
    </w:p>
    <w:p w14:paraId="22B6967E"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Desde el ejercicio 2011, la Sociedad no ha registrado gastos por este concepto, ni realizado, por tanto, aportaciones al fondo constituido, y que tiene externalizado, de acuerdo con las directrices marcadas por el Gobierno de Canarias, que estableció en los Presupuestos Generales de la Comunidad Autónoma de Canarias desde dicho ejercicio, que los entes del sector público autonómico con presupuesto estimativo no podrán realizar aportaciones a planes de pensiones o instituciones de ahorro con efectos similares, quedando por tanto suspendido el derecho de los empleados de la Sociedad a recibir dichas gratificaciones en el momento de su jubilación o fallecimiento de los mismos.</w:t>
      </w:r>
    </w:p>
    <w:p w14:paraId="51B81B0A" w14:textId="033D458C" w:rsidR="006220A2" w:rsidRPr="00063EF4" w:rsidRDefault="006220A2" w:rsidP="004A41D6">
      <w:pPr>
        <w:widowControl w:val="0"/>
        <w:spacing w:before="120" w:line="260" w:lineRule="exact"/>
        <w:jc w:val="both"/>
        <w:outlineLvl w:val="9"/>
        <w:rPr>
          <w:snapToGrid w:val="0"/>
          <w:sz w:val="20"/>
          <w:szCs w:val="22"/>
        </w:rPr>
      </w:pPr>
      <w:bookmarkStart w:id="3" w:name="_Hlk98316688"/>
      <w:r w:rsidRPr="006E6E08">
        <w:rPr>
          <w:snapToGrid w:val="0"/>
          <w:sz w:val="20"/>
          <w:szCs w:val="22"/>
        </w:rPr>
        <w:t>El valor de rescate a cierre del ejercicio 20</w:t>
      </w:r>
      <w:r w:rsidR="00B04211" w:rsidRPr="006E6E08">
        <w:rPr>
          <w:snapToGrid w:val="0"/>
          <w:sz w:val="20"/>
          <w:szCs w:val="22"/>
        </w:rPr>
        <w:t>2</w:t>
      </w:r>
      <w:r w:rsidR="00FA269F" w:rsidRPr="006E6E08">
        <w:rPr>
          <w:snapToGrid w:val="0"/>
          <w:sz w:val="20"/>
          <w:szCs w:val="22"/>
        </w:rPr>
        <w:t>3</w:t>
      </w:r>
      <w:r w:rsidRPr="006E6E08">
        <w:rPr>
          <w:snapToGrid w:val="0"/>
          <w:sz w:val="20"/>
          <w:szCs w:val="22"/>
        </w:rPr>
        <w:t xml:space="preserve"> de las aportaciones realizadas por la Sociedad en ejercicios anteriores asciende a un valor de </w:t>
      </w:r>
      <w:r w:rsidR="002427AC" w:rsidRPr="006E6E08">
        <w:rPr>
          <w:snapToGrid w:val="0"/>
          <w:sz w:val="20"/>
          <w:szCs w:val="22"/>
        </w:rPr>
        <w:t xml:space="preserve">199.685,46 </w:t>
      </w:r>
      <w:r w:rsidRPr="006E6E08">
        <w:rPr>
          <w:snapToGrid w:val="0"/>
          <w:sz w:val="20"/>
          <w:szCs w:val="22"/>
        </w:rPr>
        <w:t>euros</w:t>
      </w:r>
      <w:r w:rsidR="003704B2" w:rsidRPr="006E6E08">
        <w:rPr>
          <w:snapToGrid w:val="0"/>
          <w:sz w:val="20"/>
          <w:szCs w:val="22"/>
        </w:rPr>
        <w:t>.</w:t>
      </w:r>
    </w:p>
    <w:bookmarkEnd w:id="3"/>
    <w:p w14:paraId="6EABAA24" w14:textId="4ED6ADCD" w:rsidR="00A34718" w:rsidRPr="00063EF4" w:rsidRDefault="006220A2" w:rsidP="00063EF4">
      <w:pPr>
        <w:widowControl w:val="0"/>
        <w:spacing w:before="240" w:after="120" w:line="260" w:lineRule="exact"/>
        <w:rPr>
          <w:b/>
          <w:sz w:val="20"/>
          <w:szCs w:val="20"/>
        </w:rPr>
      </w:pPr>
      <w:r w:rsidRPr="00063EF4">
        <w:rPr>
          <w:b/>
          <w:sz w:val="20"/>
          <w:szCs w:val="20"/>
        </w:rPr>
        <w:t>4.</w:t>
      </w:r>
      <w:r w:rsidR="00B30832" w:rsidRPr="00063EF4">
        <w:rPr>
          <w:b/>
          <w:sz w:val="20"/>
          <w:szCs w:val="20"/>
        </w:rPr>
        <w:t>7</w:t>
      </w:r>
      <w:r w:rsidRPr="00063EF4">
        <w:rPr>
          <w:b/>
          <w:sz w:val="20"/>
          <w:szCs w:val="20"/>
        </w:rPr>
        <w:t xml:space="preserve"> </w:t>
      </w:r>
      <w:r w:rsidRPr="00063EF4">
        <w:rPr>
          <w:b/>
          <w:sz w:val="20"/>
          <w:szCs w:val="20"/>
        </w:rPr>
        <w:tab/>
      </w:r>
      <w:r w:rsidR="00A34718" w:rsidRPr="00063EF4">
        <w:rPr>
          <w:b/>
          <w:sz w:val="20"/>
          <w:szCs w:val="20"/>
        </w:rPr>
        <w:t xml:space="preserve">Ingresos y gastos </w:t>
      </w:r>
    </w:p>
    <w:p w14:paraId="220D8271" w14:textId="45F96267" w:rsidR="00A34718" w:rsidRPr="00063EF4" w:rsidRDefault="00A34718" w:rsidP="004A41D6">
      <w:pPr>
        <w:widowControl w:val="0"/>
        <w:spacing w:before="120" w:line="260" w:lineRule="exact"/>
        <w:jc w:val="both"/>
        <w:outlineLvl w:val="9"/>
        <w:rPr>
          <w:snapToGrid w:val="0"/>
          <w:sz w:val="20"/>
          <w:szCs w:val="22"/>
        </w:rPr>
      </w:pPr>
      <w:r w:rsidRPr="003B2D35">
        <w:rPr>
          <w:snapToGrid w:val="0"/>
          <w:sz w:val="20"/>
          <w:szCs w:val="22"/>
        </w:rPr>
        <w:t>La actividad de la Sociedad es la promoción turística de Canarias, esto se desarrolla mediante tres tipos</w:t>
      </w:r>
      <w:r w:rsidR="00346101" w:rsidRPr="003B2D35">
        <w:rPr>
          <w:snapToGrid w:val="0"/>
          <w:sz w:val="20"/>
          <w:szCs w:val="22"/>
        </w:rPr>
        <w:t xml:space="preserve"> de ingresos: a)</w:t>
      </w:r>
      <w:r w:rsidRPr="003B2D35">
        <w:rPr>
          <w:snapToGrid w:val="0"/>
          <w:sz w:val="20"/>
          <w:szCs w:val="22"/>
        </w:rPr>
        <w:t xml:space="preserve"> la prestación de servicios, que son los ingresos por encomiendas y convenios con el Gobierno de Canarias</w:t>
      </w:r>
      <w:r w:rsidR="00346101" w:rsidRPr="003B2D35">
        <w:rPr>
          <w:snapToGrid w:val="0"/>
          <w:sz w:val="20"/>
          <w:szCs w:val="22"/>
        </w:rPr>
        <w:t xml:space="preserve">; b) </w:t>
      </w:r>
      <w:r w:rsidRPr="003B2D35">
        <w:rPr>
          <w:snapToGrid w:val="0"/>
          <w:sz w:val="20"/>
          <w:szCs w:val="22"/>
        </w:rPr>
        <w:t>las subvenciones de explotación que son concedidas por el Gobierno de Canarias para financiar</w:t>
      </w:r>
      <w:r w:rsidR="007E0B23" w:rsidRPr="003B2D35">
        <w:rPr>
          <w:snapToGrid w:val="0"/>
          <w:sz w:val="20"/>
          <w:szCs w:val="22"/>
        </w:rPr>
        <w:t xml:space="preserve"> su actividad</w:t>
      </w:r>
      <w:r w:rsidR="00346101" w:rsidRPr="003B2D35">
        <w:rPr>
          <w:snapToGrid w:val="0"/>
          <w:sz w:val="20"/>
          <w:szCs w:val="22"/>
        </w:rPr>
        <w:t>;</w:t>
      </w:r>
      <w:r w:rsidR="007E0B23" w:rsidRPr="003B2D35">
        <w:rPr>
          <w:snapToGrid w:val="0"/>
          <w:sz w:val="20"/>
          <w:szCs w:val="22"/>
        </w:rPr>
        <w:t xml:space="preserve"> y</w:t>
      </w:r>
      <w:r w:rsidR="00CB02BB" w:rsidRPr="003B2D35">
        <w:rPr>
          <w:snapToGrid w:val="0"/>
          <w:sz w:val="20"/>
          <w:szCs w:val="22"/>
        </w:rPr>
        <w:t xml:space="preserve"> </w:t>
      </w:r>
      <w:r w:rsidR="00346101" w:rsidRPr="003B2D35">
        <w:rPr>
          <w:snapToGrid w:val="0"/>
          <w:sz w:val="20"/>
          <w:szCs w:val="22"/>
        </w:rPr>
        <w:t>c)</w:t>
      </w:r>
      <w:r w:rsidR="00A40E6F" w:rsidRPr="003B2D35">
        <w:rPr>
          <w:snapToGrid w:val="0"/>
          <w:sz w:val="20"/>
          <w:szCs w:val="22"/>
        </w:rPr>
        <w:t xml:space="preserve"> los ingresos que </w:t>
      </w:r>
      <w:r w:rsidR="007E0B23" w:rsidRPr="003B2D35">
        <w:rPr>
          <w:snapToGrid w:val="0"/>
          <w:sz w:val="20"/>
          <w:szCs w:val="22"/>
        </w:rPr>
        <w:t>recibe por</w:t>
      </w:r>
      <w:r w:rsidR="00A40E6F" w:rsidRPr="003B2D35">
        <w:rPr>
          <w:snapToGrid w:val="0"/>
          <w:sz w:val="20"/>
          <w:szCs w:val="22"/>
        </w:rPr>
        <w:t xml:space="preserve"> su asistencia a ferias y eventos turísticos.</w:t>
      </w:r>
    </w:p>
    <w:p w14:paraId="3252DF01" w14:textId="1338C170" w:rsidR="007E0B23" w:rsidRPr="00144303" w:rsidRDefault="007E0B23" w:rsidP="00063EF4">
      <w:pPr>
        <w:widowControl w:val="0"/>
        <w:tabs>
          <w:tab w:val="left" w:pos="567"/>
        </w:tabs>
        <w:spacing w:before="200"/>
        <w:ind w:left="284"/>
        <w:jc w:val="both"/>
        <w:rPr>
          <w:b/>
          <w:sz w:val="20"/>
        </w:rPr>
      </w:pPr>
      <w:r w:rsidRPr="00144303">
        <w:rPr>
          <w:b/>
          <w:sz w:val="20"/>
        </w:rPr>
        <w:t>Reconocimiento de ingresos por ventas y prestación de servicios</w:t>
      </w:r>
    </w:p>
    <w:p w14:paraId="6D5F8C22" w14:textId="0361B15E" w:rsidR="007E0B23" w:rsidRPr="00063EF4" w:rsidRDefault="007E0B23" w:rsidP="004A41D6">
      <w:pPr>
        <w:widowControl w:val="0"/>
        <w:spacing w:before="120" w:line="260" w:lineRule="exact"/>
        <w:jc w:val="both"/>
        <w:outlineLvl w:val="9"/>
        <w:rPr>
          <w:snapToGrid w:val="0"/>
          <w:sz w:val="20"/>
          <w:szCs w:val="22"/>
        </w:rPr>
      </w:pPr>
      <w:r w:rsidRPr="00063EF4">
        <w:rPr>
          <w:snapToGrid w:val="0"/>
          <w:sz w:val="20"/>
          <w:szCs w:val="22"/>
        </w:rPr>
        <w:t>Los ingresos derivados de un contrato se reconocen a medida que se produce la transferencia al cliente de control sobre los bienes o servicios comprometidos.</w:t>
      </w:r>
    </w:p>
    <w:p w14:paraId="7B306529" w14:textId="55DE2828" w:rsidR="007E0B23" w:rsidRPr="00144303" w:rsidRDefault="007E0B23" w:rsidP="004A41D6">
      <w:pPr>
        <w:widowControl w:val="0"/>
        <w:tabs>
          <w:tab w:val="left" w:pos="567"/>
        </w:tabs>
        <w:spacing w:before="200"/>
        <w:jc w:val="both"/>
        <w:rPr>
          <w:bCs/>
          <w:i/>
          <w:iCs/>
          <w:sz w:val="20"/>
        </w:rPr>
      </w:pPr>
      <w:r w:rsidRPr="00144303">
        <w:rPr>
          <w:bCs/>
          <w:i/>
          <w:iCs/>
          <w:sz w:val="20"/>
        </w:rPr>
        <w:t>Valoración</w:t>
      </w:r>
    </w:p>
    <w:p w14:paraId="188BDDF7" w14:textId="3EB6C237" w:rsidR="007E0B23" w:rsidRPr="00063EF4" w:rsidRDefault="007E0B23" w:rsidP="004A41D6">
      <w:pPr>
        <w:widowControl w:val="0"/>
        <w:spacing w:before="120" w:line="260" w:lineRule="exact"/>
        <w:jc w:val="both"/>
        <w:outlineLvl w:val="9"/>
        <w:rPr>
          <w:snapToGrid w:val="0"/>
          <w:sz w:val="20"/>
          <w:szCs w:val="22"/>
        </w:rPr>
      </w:pPr>
      <w:r w:rsidRPr="00144303">
        <w:rPr>
          <w:bCs/>
          <w:sz w:val="20"/>
        </w:rPr>
        <w:t xml:space="preserve">Los ingresos ordinarios procedentes de la venta de bienes y de la prestación de servicios se valoran </w:t>
      </w:r>
      <w:r w:rsidRPr="00063EF4">
        <w:rPr>
          <w:snapToGrid w:val="0"/>
          <w:sz w:val="20"/>
          <w:szCs w:val="22"/>
        </w:rPr>
        <w:t>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w:t>
      </w:r>
    </w:p>
    <w:p w14:paraId="48CF0AEC" w14:textId="77777777" w:rsidR="007E0B23" w:rsidRPr="00063EF4" w:rsidRDefault="007E0B23" w:rsidP="004A41D6">
      <w:pPr>
        <w:widowControl w:val="0"/>
        <w:spacing w:before="120" w:line="260" w:lineRule="exact"/>
        <w:jc w:val="both"/>
        <w:outlineLvl w:val="9"/>
        <w:rPr>
          <w:snapToGrid w:val="0"/>
          <w:sz w:val="20"/>
          <w:szCs w:val="22"/>
        </w:rPr>
      </w:pPr>
      <w:r w:rsidRPr="00063EF4">
        <w:rPr>
          <w:snapToGrid w:val="0"/>
          <w:sz w:val="20"/>
          <w:szCs w:val="22"/>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14:paraId="046EAECE" w14:textId="2534C6E4" w:rsidR="004A41D6" w:rsidRDefault="007E0B23" w:rsidP="004A41D6">
      <w:pPr>
        <w:keepNext/>
        <w:keepLines/>
        <w:widowControl w:val="0"/>
        <w:spacing w:before="120" w:line="260" w:lineRule="exact"/>
        <w:jc w:val="both"/>
        <w:outlineLvl w:val="9"/>
        <w:rPr>
          <w:snapToGrid w:val="0"/>
          <w:sz w:val="20"/>
          <w:szCs w:val="22"/>
        </w:rPr>
      </w:pPr>
      <w:r w:rsidRPr="00063EF4">
        <w:rPr>
          <w:snapToGrid w:val="0"/>
          <w:sz w:val="20"/>
          <w:szCs w:val="22"/>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r w:rsidR="004A41D6">
        <w:rPr>
          <w:snapToGrid w:val="0"/>
          <w:sz w:val="20"/>
          <w:szCs w:val="22"/>
        </w:rPr>
        <w:br w:type="page"/>
      </w:r>
    </w:p>
    <w:p w14:paraId="45CA5199" w14:textId="57370641" w:rsidR="00702391" w:rsidRPr="00063EF4" w:rsidRDefault="00702391" w:rsidP="00063EF4">
      <w:pPr>
        <w:widowControl w:val="0"/>
        <w:spacing w:before="240" w:after="120" w:line="260" w:lineRule="exact"/>
        <w:rPr>
          <w:b/>
          <w:sz w:val="20"/>
          <w:szCs w:val="20"/>
        </w:rPr>
      </w:pPr>
      <w:r w:rsidRPr="00063EF4">
        <w:rPr>
          <w:b/>
          <w:sz w:val="20"/>
          <w:szCs w:val="20"/>
        </w:rPr>
        <w:lastRenderedPageBreak/>
        <w:t>4.8. Subvenciones, donaciones y legados</w:t>
      </w:r>
    </w:p>
    <w:p w14:paraId="7DA93A30" w14:textId="77777777" w:rsidR="00702391" w:rsidRPr="00063EF4" w:rsidRDefault="00702391" w:rsidP="004A41D6">
      <w:pPr>
        <w:widowControl w:val="0"/>
        <w:spacing w:before="120" w:line="260" w:lineRule="exact"/>
        <w:jc w:val="both"/>
        <w:outlineLvl w:val="9"/>
        <w:rPr>
          <w:snapToGrid w:val="0"/>
          <w:sz w:val="20"/>
          <w:szCs w:val="22"/>
        </w:rPr>
      </w:pPr>
      <w:r w:rsidRPr="00063EF4">
        <w:rPr>
          <w:snapToGrid w:val="0"/>
          <w:sz w:val="20"/>
          <w:szCs w:val="22"/>
        </w:rPr>
        <w:t xml:space="preserve">Las subvenciones que tengan carácter de reintegrables se registran como pasivos hasta cumplir las condiciones para considerarse no reintegrables, mientras que las subvenciones no reintegrables se registran como ingresos directamente imputados al patrimonio neto y se reconocen como ingresos sobre una base sistemática y racional de forma correlacionada con los gastos derivados de la subvención. </w:t>
      </w:r>
    </w:p>
    <w:p w14:paraId="602A3AF2" w14:textId="77777777" w:rsidR="00702391" w:rsidRPr="00063EF4" w:rsidRDefault="00702391" w:rsidP="004A41D6">
      <w:pPr>
        <w:widowControl w:val="0"/>
        <w:spacing w:before="120" w:line="260" w:lineRule="exact"/>
        <w:jc w:val="both"/>
        <w:outlineLvl w:val="9"/>
        <w:rPr>
          <w:snapToGrid w:val="0"/>
          <w:sz w:val="20"/>
          <w:szCs w:val="22"/>
        </w:rPr>
      </w:pPr>
      <w:r w:rsidRPr="00063EF4">
        <w:rPr>
          <w:snapToGrid w:val="0"/>
          <w:sz w:val="20"/>
          <w:szCs w:val="22"/>
        </w:rPr>
        <w:t>A estos efectos, una subvención se considera no reintegrable cuando existe un acuerdo individualizado de concesión de la subvención, se han cumplido todas las condiciones establecidas para su concesión y no existen dudas razonables de que se cobrará.</w:t>
      </w:r>
    </w:p>
    <w:p w14:paraId="4F244B53" w14:textId="77777777" w:rsidR="00702391" w:rsidRPr="00063EF4" w:rsidRDefault="00702391" w:rsidP="004A41D6">
      <w:pPr>
        <w:widowControl w:val="0"/>
        <w:spacing w:before="120" w:line="260" w:lineRule="exact"/>
        <w:jc w:val="both"/>
        <w:outlineLvl w:val="9"/>
        <w:rPr>
          <w:snapToGrid w:val="0"/>
          <w:sz w:val="20"/>
          <w:szCs w:val="22"/>
        </w:rPr>
      </w:pPr>
      <w:r w:rsidRPr="00063EF4">
        <w:rPr>
          <w:snapToGrid w:val="0"/>
          <w:sz w:val="20"/>
          <w:szCs w:val="22"/>
        </w:rPr>
        <w:t>Las subvenciones de carácter monetario se valoran por el valor razonable del importe concedido y las subvenciones no monetarias por el valor razonable del bien recibido, referidos ambos valores al momento de su reconocimiento.</w:t>
      </w:r>
    </w:p>
    <w:p w14:paraId="3E6AA132" w14:textId="77777777" w:rsidR="00702391" w:rsidRPr="00063EF4" w:rsidRDefault="00702391" w:rsidP="004A41D6">
      <w:pPr>
        <w:widowControl w:val="0"/>
        <w:spacing w:before="120" w:line="260" w:lineRule="exact"/>
        <w:jc w:val="both"/>
        <w:outlineLvl w:val="9"/>
        <w:rPr>
          <w:snapToGrid w:val="0"/>
          <w:sz w:val="20"/>
          <w:szCs w:val="22"/>
        </w:rPr>
      </w:pPr>
      <w:r w:rsidRPr="00063EF4">
        <w:rPr>
          <w:snapToGrid w:val="0"/>
          <w:sz w:val="20"/>
          <w:szCs w:val="22"/>
        </w:rPr>
        <w:t>Las subvenciones no reintegrables relacionadas con la adquisición de inmovilizado intangible, material e inversiones inmobiliarias se imputan como ingresos del ejercicio en proporción a la amortización de los correspondientes activos o, en su caso, cuando se produzca su enajenación, corrección valorativa por deterioro o baja en balance. Por su parte, las subvenciones no reintegrables relacionadas con gastos específicos se reconocen en la cuenta de pérdidas y ganancias en el mismo ejercicio en que se devengan los correspondientes gastos y las concedidas para compensar déficit de explotación en el ejercicio en que se conceden, salvo cuando se destinan a compensar déficit de explotación de ejercicios futuros, en cuyo caso se imputan en dichos ejercicios.</w:t>
      </w:r>
    </w:p>
    <w:p w14:paraId="1BB6C02D" w14:textId="77777777" w:rsidR="00702391" w:rsidRPr="00063EF4" w:rsidRDefault="00702391" w:rsidP="004A41D6">
      <w:pPr>
        <w:widowControl w:val="0"/>
        <w:spacing w:before="120" w:line="260" w:lineRule="exact"/>
        <w:jc w:val="both"/>
        <w:outlineLvl w:val="9"/>
        <w:rPr>
          <w:snapToGrid w:val="0"/>
          <w:sz w:val="20"/>
          <w:szCs w:val="22"/>
        </w:rPr>
      </w:pPr>
      <w:r w:rsidRPr="00063EF4">
        <w:rPr>
          <w:snapToGrid w:val="0"/>
          <w:sz w:val="20"/>
          <w:szCs w:val="22"/>
        </w:rPr>
        <w:t>Subvenciones o transferencias con finalidad indeterminada concedida por las Administraciones Públicas, para financiar déficits de explotación o gastos generales de funcionamiento de la empresa, no asociados con ninguna actividad o área de actividad en concreto sino con el conjunto de las actividades que realiza, son tratadas como aportaciones de socios contabilizándose directamente en el Patrimonio neto de la Sociedad.</w:t>
      </w:r>
    </w:p>
    <w:p w14:paraId="71F3F599" w14:textId="2ADFCB8C" w:rsidR="006220A2" w:rsidRPr="00063EF4" w:rsidRDefault="006220A2" w:rsidP="00063EF4">
      <w:pPr>
        <w:widowControl w:val="0"/>
        <w:spacing w:before="240" w:after="120" w:line="260" w:lineRule="exact"/>
        <w:rPr>
          <w:b/>
          <w:sz w:val="20"/>
          <w:szCs w:val="20"/>
        </w:rPr>
      </w:pPr>
      <w:r w:rsidRPr="00063EF4">
        <w:rPr>
          <w:b/>
          <w:sz w:val="20"/>
          <w:szCs w:val="20"/>
        </w:rPr>
        <w:t>4.</w:t>
      </w:r>
      <w:r w:rsidR="00702391" w:rsidRPr="00063EF4">
        <w:rPr>
          <w:b/>
          <w:sz w:val="20"/>
          <w:szCs w:val="20"/>
        </w:rPr>
        <w:t>9</w:t>
      </w:r>
      <w:r w:rsidRPr="00063EF4">
        <w:rPr>
          <w:b/>
          <w:sz w:val="20"/>
          <w:szCs w:val="20"/>
        </w:rPr>
        <w:t xml:space="preserve"> </w:t>
      </w:r>
      <w:r w:rsidRPr="00063EF4">
        <w:rPr>
          <w:b/>
          <w:sz w:val="20"/>
          <w:szCs w:val="20"/>
        </w:rPr>
        <w:tab/>
        <w:t>Arrendamientos</w:t>
      </w:r>
    </w:p>
    <w:p w14:paraId="3721D96E"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Los arrendamientos en los que el arrendador conserva una parte importante de los riesgos y beneficios derivados de la titularidad se clasifican como arrendamientos operativos. Los pagos en concepto de arrendamiento operativo (netos de cualquier incentivo recibido del arrendador) se cargan en la cuenta de pérdidas y ganancias del ejercicio en que se devengan sobre una base lineal durante el período de arrendamiento.</w:t>
      </w:r>
    </w:p>
    <w:p w14:paraId="289F2BB3" w14:textId="3A754F86" w:rsidR="006220A2" w:rsidRPr="00063EF4" w:rsidRDefault="006220A2" w:rsidP="00063EF4">
      <w:pPr>
        <w:widowControl w:val="0"/>
        <w:spacing w:before="240" w:after="120" w:line="260" w:lineRule="exact"/>
        <w:rPr>
          <w:b/>
          <w:sz w:val="20"/>
          <w:szCs w:val="20"/>
        </w:rPr>
      </w:pPr>
      <w:r w:rsidRPr="00063EF4">
        <w:rPr>
          <w:b/>
          <w:sz w:val="20"/>
          <w:szCs w:val="20"/>
        </w:rPr>
        <w:t>4.</w:t>
      </w:r>
      <w:r w:rsidR="00702391" w:rsidRPr="00063EF4">
        <w:rPr>
          <w:b/>
          <w:sz w:val="20"/>
          <w:szCs w:val="20"/>
        </w:rPr>
        <w:t>10</w:t>
      </w:r>
      <w:r w:rsidRPr="00063EF4">
        <w:rPr>
          <w:b/>
          <w:sz w:val="20"/>
          <w:szCs w:val="20"/>
        </w:rPr>
        <w:t xml:space="preserve"> </w:t>
      </w:r>
      <w:r w:rsidRPr="00063EF4">
        <w:rPr>
          <w:b/>
          <w:sz w:val="20"/>
          <w:szCs w:val="20"/>
        </w:rPr>
        <w:tab/>
        <w:t>Transacciones en moneda extranjera</w:t>
      </w:r>
    </w:p>
    <w:p w14:paraId="7D5C4A97" w14:textId="77777777" w:rsidR="006220A2" w:rsidRPr="0083433F" w:rsidRDefault="006220A2" w:rsidP="006220A2">
      <w:pPr>
        <w:widowControl w:val="0"/>
        <w:tabs>
          <w:tab w:val="left" w:pos="284"/>
        </w:tabs>
        <w:spacing w:before="200"/>
        <w:rPr>
          <w:sz w:val="20"/>
          <w:u w:val="single"/>
        </w:rPr>
      </w:pPr>
      <w:r w:rsidRPr="0083433F">
        <w:rPr>
          <w:sz w:val="20"/>
        </w:rPr>
        <w:t>a)</w:t>
      </w:r>
      <w:r w:rsidRPr="0083433F">
        <w:rPr>
          <w:sz w:val="20"/>
        </w:rPr>
        <w:tab/>
      </w:r>
      <w:r w:rsidRPr="0083433F">
        <w:rPr>
          <w:sz w:val="20"/>
          <w:u w:val="single"/>
        </w:rPr>
        <w:t>Moneda funcional y de presentación</w:t>
      </w:r>
    </w:p>
    <w:p w14:paraId="58A67785" w14:textId="77777777" w:rsidR="006220A2" w:rsidRPr="00063EF4" w:rsidRDefault="006220A2" w:rsidP="004A41D6">
      <w:pPr>
        <w:widowControl w:val="0"/>
        <w:spacing w:before="120" w:line="260" w:lineRule="exact"/>
        <w:jc w:val="both"/>
        <w:outlineLvl w:val="9"/>
        <w:rPr>
          <w:snapToGrid w:val="0"/>
          <w:sz w:val="20"/>
          <w:szCs w:val="22"/>
        </w:rPr>
      </w:pPr>
      <w:r w:rsidRPr="00063EF4">
        <w:rPr>
          <w:snapToGrid w:val="0"/>
          <w:sz w:val="20"/>
          <w:szCs w:val="22"/>
        </w:rPr>
        <w:t>Las cuentas anuales de la Sociedad se presentan en euros, que es la moneda de presentac</w:t>
      </w:r>
      <w:r w:rsidR="00F50518" w:rsidRPr="00063EF4">
        <w:rPr>
          <w:snapToGrid w:val="0"/>
          <w:sz w:val="20"/>
          <w:szCs w:val="22"/>
        </w:rPr>
        <w:t>ión y funcional de la Sociedad.</w:t>
      </w:r>
    </w:p>
    <w:p w14:paraId="0543FC1E" w14:textId="77777777" w:rsidR="006220A2" w:rsidRPr="0083433F" w:rsidRDefault="006220A2" w:rsidP="003B2D35">
      <w:pPr>
        <w:keepNext/>
        <w:keepLines/>
        <w:widowControl w:val="0"/>
        <w:tabs>
          <w:tab w:val="left" w:pos="284"/>
        </w:tabs>
        <w:spacing w:before="200" w:after="120" w:line="260" w:lineRule="exact"/>
        <w:rPr>
          <w:sz w:val="20"/>
          <w:u w:val="single"/>
        </w:rPr>
      </w:pPr>
      <w:r w:rsidRPr="0083433F">
        <w:rPr>
          <w:sz w:val="20"/>
        </w:rPr>
        <w:t>b)</w:t>
      </w:r>
      <w:r w:rsidRPr="0083433F">
        <w:rPr>
          <w:sz w:val="20"/>
        </w:rPr>
        <w:tab/>
      </w:r>
      <w:r w:rsidRPr="0083433F">
        <w:rPr>
          <w:sz w:val="20"/>
          <w:u w:val="single"/>
        </w:rPr>
        <w:t>Transacciones y saldos</w:t>
      </w:r>
    </w:p>
    <w:p w14:paraId="1C2BB35D" w14:textId="67F9B175" w:rsidR="004A41D6" w:rsidRDefault="006220A2" w:rsidP="004A41D6">
      <w:pPr>
        <w:widowControl w:val="0"/>
        <w:spacing w:before="120" w:line="260" w:lineRule="exact"/>
        <w:jc w:val="both"/>
        <w:outlineLvl w:val="9"/>
        <w:rPr>
          <w:snapToGrid w:val="0"/>
          <w:sz w:val="20"/>
          <w:szCs w:val="22"/>
        </w:rPr>
      </w:pPr>
      <w:r w:rsidRPr="00063EF4">
        <w:rPr>
          <w:snapToGrid w:val="0"/>
          <w:sz w:val="20"/>
          <w:szCs w:val="22"/>
        </w:rPr>
        <w:t>Las transacciones en moneda extranjera se convierten a la moneda funcional utilizando los tipos de cambio vigentes en la fecha de las transacciones. Las pérdidas y ganancias en moneda extranjera que resultan de la liquidación de estas transacciones y de la conversión a los tipos de cambio de cierre de los activos y pasivos monetarios denominados en moneda extranjera se reconocen en la cuenta de pérdidas y ganancias.</w:t>
      </w:r>
    </w:p>
    <w:p w14:paraId="7119CBBD" w14:textId="77777777" w:rsidR="004A41D6" w:rsidRDefault="004A41D6">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56EB1852" w14:textId="5C37C6D6" w:rsidR="006220A2" w:rsidRPr="00F5041C" w:rsidRDefault="00F5041C"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F5041C">
        <w:rPr>
          <w:b/>
          <w:snapToGrid w:val="0"/>
          <w:sz w:val="22"/>
          <w:szCs w:val="22"/>
        </w:rPr>
        <w:t>Inmovilizado intangible</w:t>
      </w:r>
    </w:p>
    <w:p w14:paraId="1410E5AC" w14:textId="7C0C4F53" w:rsidR="006220A2" w:rsidRPr="005644E5" w:rsidRDefault="006220A2" w:rsidP="004A41D6">
      <w:pPr>
        <w:widowControl w:val="0"/>
        <w:spacing w:before="120" w:after="120" w:line="260" w:lineRule="exact"/>
        <w:jc w:val="both"/>
        <w:outlineLvl w:val="9"/>
        <w:rPr>
          <w:snapToGrid w:val="0"/>
          <w:sz w:val="20"/>
          <w:szCs w:val="22"/>
        </w:rPr>
      </w:pPr>
      <w:r w:rsidRPr="005644E5">
        <w:rPr>
          <w:snapToGrid w:val="0"/>
          <w:sz w:val="20"/>
          <w:szCs w:val="22"/>
        </w:rPr>
        <w:t>El detalle y movimiento de</w:t>
      </w:r>
      <w:r w:rsidR="007E7835" w:rsidRPr="005644E5">
        <w:rPr>
          <w:snapToGrid w:val="0"/>
          <w:sz w:val="20"/>
          <w:szCs w:val="22"/>
        </w:rPr>
        <w:t>l</w:t>
      </w:r>
      <w:r w:rsidRPr="005644E5">
        <w:rPr>
          <w:snapToGrid w:val="0"/>
          <w:sz w:val="20"/>
          <w:szCs w:val="22"/>
        </w:rPr>
        <w:t xml:space="preserve"> “Inmovilizado intangible” en el ejercicio 20</w:t>
      </w:r>
      <w:r w:rsidR="003B6DBC" w:rsidRPr="005644E5">
        <w:rPr>
          <w:snapToGrid w:val="0"/>
          <w:sz w:val="20"/>
          <w:szCs w:val="22"/>
        </w:rPr>
        <w:t>2</w:t>
      </w:r>
      <w:r w:rsidR="00DF0182">
        <w:rPr>
          <w:snapToGrid w:val="0"/>
          <w:sz w:val="20"/>
          <w:szCs w:val="22"/>
        </w:rPr>
        <w:t>3</w:t>
      </w:r>
      <w:r w:rsidR="007F2865" w:rsidRPr="005644E5">
        <w:rPr>
          <w:snapToGrid w:val="0"/>
          <w:sz w:val="20"/>
          <w:szCs w:val="22"/>
        </w:rPr>
        <w:t xml:space="preserve"> </w:t>
      </w:r>
      <w:r w:rsidRPr="005644E5">
        <w:rPr>
          <w:snapToGrid w:val="0"/>
          <w:sz w:val="20"/>
          <w:szCs w:val="22"/>
        </w:rPr>
        <w:t>es el siguiente:</w:t>
      </w:r>
    </w:p>
    <w:tbl>
      <w:tblPr>
        <w:tblW w:w="5000" w:type="pct"/>
        <w:tblCellMar>
          <w:left w:w="70" w:type="dxa"/>
          <w:right w:w="70" w:type="dxa"/>
        </w:tblCellMar>
        <w:tblLook w:val="04A0" w:firstRow="1" w:lastRow="0" w:firstColumn="1" w:lastColumn="0" w:noHBand="0" w:noVBand="1"/>
      </w:tblPr>
      <w:tblGrid>
        <w:gridCol w:w="3885"/>
        <w:gridCol w:w="1224"/>
        <w:gridCol w:w="1224"/>
        <w:gridCol w:w="1224"/>
        <w:gridCol w:w="1224"/>
      </w:tblGrid>
      <w:tr w:rsidR="003B6DBC" w:rsidRPr="007E7835" w14:paraId="31BC48EB" w14:textId="77777777" w:rsidTr="007E7835">
        <w:trPr>
          <w:trHeight w:val="208"/>
        </w:trPr>
        <w:tc>
          <w:tcPr>
            <w:tcW w:w="2212" w:type="pct"/>
            <w:tcBorders>
              <w:top w:val="single" w:sz="4" w:space="0" w:color="auto"/>
              <w:left w:val="nil"/>
              <w:bottom w:val="nil"/>
              <w:right w:val="nil"/>
            </w:tcBorders>
            <w:shd w:val="clear" w:color="auto" w:fill="auto"/>
            <w:noWrap/>
            <w:vAlign w:val="center"/>
            <w:hideMark/>
          </w:tcPr>
          <w:p w14:paraId="6747AFD4" w14:textId="77777777" w:rsidR="003B6DBC" w:rsidRPr="007E7835" w:rsidRDefault="003B6DBC" w:rsidP="00807D98">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2788" w:type="pct"/>
            <w:gridSpan w:val="4"/>
            <w:tcBorders>
              <w:top w:val="single" w:sz="4" w:space="0" w:color="auto"/>
              <w:left w:val="nil"/>
              <w:bottom w:val="nil"/>
              <w:right w:val="nil"/>
            </w:tcBorders>
            <w:shd w:val="clear" w:color="auto" w:fill="auto"/>
            <w:vAlign w:val="bottom"/>
            <w:hideMark/>
          </w:tcPr>
          <w:p w14:paraId="443148A2"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807D98" w:rsidRPr="007E7835" w14:paraId="437931FF" w14:textId="77777777" w:rsidTr="007E7835">
        <w:trPr>
          <w:trHeight w:val="418"/>
        </w:trPr>
        <w:tc>
          <w:tcPr>
            <w:tcW w:w="2212" w:type="pct"/>
            <w:tcBorders>
              <w:top w:val="nil"/>
              <w:left w:val="nil"/>
              <w:bottom w:val="single" w:sz="4" w:space="0" w:color="auto"/>
              <w:right w:val="nil"/>
            </w:tcBorders>
            <w:shd w:val="clear" w:color="auto" w:fill="auto"/>
            <w:noWrap/>
            <w:vAlign w:val="center"/>
            <w:hideMark/>
          </w:tcPr>
          <w:p w14:paraId="1F461F96" w14:textId="77777777" w:rsidR="003B6DBC" w:rsidRPr="007E7835" w:rsidRDefault="003B6DBC" w:rsidP="00807D9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vAlign w:val="bottom"/>
            <w:hideMark/>
          </w:tcPr>
          <w:p w14:paraId="60368A84" w14:textId="13E53EB3"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w:t>
            </w:r>
            <w:r w:rsidR="006E5A24">
              <w:rPr>
                <w:rFonts w:eastAsia="Times New Roman"/>
                <w:b/>
                <w:bCs/>
                <w:sz w:val="16"/>
                <w:szCs w:val="16"/>
                <w:bdr w:val="none" w:sz="0" w:space="0" w:color="auto"/>
                <w:lang w:eastAsia="es-ES"/>
              </w:rPr>
              <w:t>2</w:t>
            </w:r>
            <w:r w:rsidR="00DF0182">
              <w:rPr>
                <w:rFonts w:eastAsia="Times New Roman"/>
                <w:b/>
                <w:bCs/>
                <w:sz w:val="16"/>
                <w:szCs w:val="16"/>
                <w:bdr w:val="none" w:sz="0" w:space="0" w:color="auto"/>
                <w:lang w:eastAsia="es-ES"/>
              </w:rPr>
              <w:t>2</w:t>
            </w:r>
          </w:p>
        </w:tc>
        <w:tc>
          <w:tcPr>
            <w:tcW w:w="697" w:type="pct"/>
            <w:tcBorders>
              <w:top w:val="single" w:sz="4" w:space="0" w:color="auto"/>
              <w:left w:val="nil"/>
              <w:bottom w:val="single" w:sz="4" w:space="0" w:color="auto"/>
              <w:right w:val="nil"/>
            </w:tcBorders>
            <w:shd w:val="clear" w:color="auto" w:fill="auto"/>
            <w:vAlign w:val="bottom"/>
            <w:hideMark/>
          </w:tcPr>
          <w:p w14:paraId="276CDFAB"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697" w:type="pct"/>
            <w:tcBorders>
              <w:top w:val="single" w:sz="4" w:space="0" w:color="auto"/>
              <w:left w:val="nil"/>
              <w:bottom w:val="single" w:sz="4" w:space="0" w:color="auto"/>
              <w:right w:val="nil"/>
            </w:tcBorders>
            <w:shd w:val="clear" w:color="auto" w:fill="auto"/>
            <w:vAlign w:val="bottom"/>
            <w:hideMark/>
          </w:tcPr>
          <w:p w14:paraId="16CD6450"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697" w:type="pct"/>
            <w:tcBorders>
              <w:top w:val="single" w:sz="4" w:space="0" w:color="auto"/>
              <w:left w:val="nil"/>
              <w:bottom w:val="single" w:sz="4" w:space="0" w:color="auto"/>
              <w:right w:val="nil"/>
            </w:tcBorders>
            <w:shd w:val="clear" w:color="auto" w:fill="auto"/>
            <w:vAlign w:val="bottom"/>
            <w:hideMark/>
          </w:tcPr>
          <w:p w14:paraId="608E0596" w14:textId="75884984"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31/12/202</w:t>
            </w:r>
            <w:r w:rsidR="00DF0182">
              <w:rPr>
                <w:rFonts w:eastAsia="Times New Roman"/>
                <w:b/>
                <w:bCs/>
                <w:sz w:val="16"/>
                <w:szCs w:val="16"/>
                <w:bdr w:val="none" w:sz="0" w:space="0" w:color="auto"/>
                <w:lang w:eastAsia="es-ES"/>
              </w:rPr>
              <w:t>3</w:t>
            </w:r>
          </w:p>
        </w:tc>
      </w:tr>
      <w:tr w:rsidR="00807D98" w:rsidRPr="007E7835" w14:paraId="12D897A7" w14:textId="77777777" w:rsidTr="007E7835">
        <w:trPr>
          <w:trHeight w:val="274"/>
        </w:trPr>
        <w:tc>
          <w:tcPr>
            <w:tcW w:w="2212" w:type="pct"/>
            <w:tcBorders>
              <w:top w:val="nil"/>
              <w:left w:val="nil"/>
              <w:bottom w:val="nil"/>
              <w:right w:val="nil"/>
            </w:tcBorders>
            <w:shd w:val="clear" w:color="auto" w:fill="auto"/>
            <w:noWrap/>
            <w:vAlign w:val="center"/>
            <w:hideMark/>
          </w:tcPr>
          <w:p w14:paraId="1B7FC9B2"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697" w:type="pct"/>
            <w:tcBorders>
              <w:top w:val="nil"/>
              <w:left w:val="nil"/>
              <w:bottom w:val="nil"/>
              <w:right w:val="nil"/>
            </w:tcBorders>
            <w:shd w:val="clear" w:color="auto" w:fill="auto"/>
            <w:vAlign w:val="center"/>
            <w:hideMark/>
          </w:tcPr>
          <w:p w14:paraId="10698523"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3B255087"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218F2974"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0C361BE3" w14:textId="77777777" w:rsidR="003B6DBC" w:rsidRPr="007E7835" w:rsidRDefault="003B6DBC" w:rsidP="00F5051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585227" w:rsidRPr="007E7835" w14:paraId="3D2AD21E" w14:textId="77777777" w:rsidTr="005644E5">
        <w:trPr>
          <w:trHeight w:val="283"/>
        </w:trPr>
        <w:tc>
          <w:tcPr>
            <w:tcW w:w="2212" w:type="pct"/>
            <w:tcBorders>
              <w:top w:val="nil"/>
              <w:left w:val="nil"/>
              <w:bottom w:val="nil"/>
              <w:right w:val="nil"/>
            </w:tcBorders>
            <w:shd w:val="clear" w:color="auto" w:fill="auto"/>
            <w:noWrap/>
            <w:vAlign w:val="center"/>
            <w:hideMark/>
          </w:tcPr>
          <w:p w14:paraId="1A3EA063"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right w:val="nil"/>
            </w:tcBorders>
            <w:shd w:val="clear" w:color="auto" w:fill="auto"/>
            <w:noWrap/>
            <w:vAlign w:val="center"/>
            <w:hideMark/>
          </w:tcPr>
          <w:p w14:paraId="6F9BAAB6" w14:textId="3900C8D2"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5.742,87   </w:t>
            </w:r>
          </w:p>
        </w:tc>
        <w:tc>
          <w:tcPr>
            <w:tcW w:w="697" w:type="pct"/>
            <w:tcBorders>
              <w:top w:val="nil"/>
              <w:left w:val="nil"/>
              <w:right w:val="nil"/>
            </w:tcBorders>
            <w:shd w:val="clear" w:color="auto" w:fill="auto"/>
            <w:noWrap/>
            <w:vAlign w:val="center"/>
          </w:tcPr>
          <w:p w14:paraId="41F10386" w14:textId="7E0FB524"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tcPr>
          <w:p w14:paraId="56210BD0" w14:textId="7E21647C"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4CCF0620" w14:textId="1113770E"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5.742,87   </w:t>
            </w:r>
          </w:p>
        </w:tc>
      </w:tr>
      <w:tr w:rsidR="00585227" w:rsidRPr="007E7835" w14:paraId="7A2FDC15" w14:textId="77777777" w:rsidTr="005644E5">
        <w:trPr>
          <w:trHeight w:val="283"/>
        </w:trPr>
        <w:tc>
          <w:tcPr>
            <w:tcW w:w="2212" w:type="pct"/>
            <w:tcBorders>
              <w:top w:val="nil"/>
              <w:left w:val="nil"/>
              <w:bottom w:val="nil"/>
              <w:right w:val="nil"/>
            </w:tcBorders>
            <w:shd w:val="clear" w:color="auto" w:fill="auto"/>
            <w:noWrap/>
            <w:vAlign w:val="center"/>
            <w:hideMark/>
          </w:tcPr>
          <w:p w14:paraId="2ECB903B"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5268FE46" w14:textId="18639AC8"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218.238,98   </w:t>
            </w:r>
          </w:p>
        </w:tc>
        <w:tc>
          <w:tcPr>
            <w:tcW w:w="697" w:type="pct"/>
            <w:tcBorders>
              <w:top w:val="nil"/>
              <w:left w:val="nil"/>
              <w:bottom w:val="single" w:sz="4" w:space="0" w:color="auto"/>
              <w:right w:val="nil"/>
            </w:tcBorders>
            <w:shd w:val="clear" w:color="auto" w:fill="auto"/>
            <w:noWrap/>
            <w:vAlign w:val="center"/>
          </w:tcPr>
          <w:p w14:paraId="20EFB147" w14:textId="3BA517BF"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tcPr>
          <w:p w14:paraId="2670AF36" w14:textId="6218DD8F"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4BFE69DB" w14:textId="34523570"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218.238,98   </w:t>
            </w:r>
          </w:p>
        </w:tc>
      </w:tr>
      <w:tr w:rsidR="00585227" w:rsidRPr="007E7835" w14:paraId="0EB6090B" w14:textId="77777777" w:rsidTr="005644E5">
        <w:trPr>
          <w:trHeight w:val="283"/>
        </w:trPr>
        <w:tc>
          <w:tcPr>
            <w:tcW w:w="2212" w:type="pct"/>
            <w:tcBorders>
              <w:top w:val="nil"/>
              <w:left w:val="nil"/>
              <w:bottom w:val="nil"/>
              <w:right w:val="nil"/>
            </w:tcBorders>
            <w:shd w:val="clear" w:color="auto" w:fill="auto"/>
            <w:noWrap/>
            <w:vAlign w:val="center"/>
            <w:hideMark/>
          </w:tcPr>
          <w:p w14:paraId="191B168E" w14:textId="77777777" w:rsidR="00585227" w:rsidRPr="007E7835"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3F3D020E" w14:textId="62F7DBEB"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rFonts w:eastAsia="Times New Roman"/>
                <w:b/>
                <w:bCs/>
                <w:sz w:val="16"/>
                <w:szCs w:val="16"/>
                <w:bdr w:val="none" w:sz="0" w:space="0" w:color="auto"/>
                <w:lang w:eastAsia="es-ES"/>
              </w:rPr>
              <w:t xml:space="preserve">223.981,85   </w:t>
            </w:r>
          </w:p>
        </w:tc>
        <w:tc>
          <w:tcPr>
            <w:tcW w:w="697" w:type="pct"/>
            <w:tcBorders>
              <w:top w:val="single" w:sz="4" w:space="0" w:color="auto"/>
              <w:left w:val="nil"/>
              <w:bottom w:val="single" w:sz="4" w:space="0" w:color="auto"/>
              <w:right w:val="nil"/>
            </w:tcBorders>
            <w:shd w:val="clear" w:color="auto" w:fill="auto"/>
            <w:noWrap/>
            <w:vAlign w:val="center"/>
          </w:tcPr>
          <w:p w14:paraId="22849CF8" w14:textId="478CC2FE"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single" w:sz="4" w:space="0" w:color="auto"/>
              <w:left w:val="nil"/>
              <w:bottom w:val="single" w:sz="4" w:space="0" w:color="auto"/>
              <w:right w:val="nil"/>
            </w:tcBorders>
            <w:shd w:val="clear" w:color="auto" w:fill="auto"/>
            <w:noWrap/>
            <w:vAlign w:val="center"/>
          </w:tcPr>
          <w:p w14:paraId="54868D51" w14:textId="6EF8A22B" w:rsidR="00585227" w:rsidRPr="00585227" w:rsidRDefault="00EC15AF"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single" w:sz="4" w:space="0" w:color="auto"/>
              <w:left w:val="nil"/>
              <w:bottom w:val="single" w:sz="4" w:space="0" w:color="auto"/>
              <w:right w:val="nil"/>
            </w:tcBorders>
            <w:shd w:val="clear" w:color="auto" w:fill="auto"/>
            <w:noWrap/>
            <w:vAlign w:val="center"/>
          </w:tcPr>
          <w:p w14:paraId="48E8313F" w14:textId="50D8E7A6" w:rsidR="00585227" w:rsidRPr="00585227" w:rsidRDefault="00585227" w:rsidP="0058522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rFonts w:eastAsia="Times New Roman"/>
                <w:b/>
                <w:bCs/>
                <w:sz w:val="16"/>
                <w:szCs w:val="16"/>
                <w:bdr w:val="none" w:sz="0" w:space="0" w:color="auto"/>
                <w:lang w:eastAsia="es-ES"/>
              </w:rPr>
              <w:t xml:space="preserve">223.981,85   </w:t>
            </w:r>
          </w:p>
        </w:tc>
      </w:tr>
      <w:tr w:rsidR="006E5A24" w:rsidRPr="007E7835" w14:paraId="61EDAB56" w14:textId="77777777" w:rsidTr="006E5A24">
        <w:trPr>
          <w:trHeight w:val="138"/>
        </w:trPr>
        <w:tc>
          <w:tcPr>
            <w:tcW w:w="2212" w:type="pct"/>
            <w:tcBorders>
              <w:top w:val="nil"/>
              <w:left w:val="nil"/>
              <w:bottom w:val="nil"/>
              <w:right w:val="nil"/>
            </w:tcBorders>
            <w:shd w:val="clear" w:color="auto" w:fill="auto"/>
            <w:noWrap/>
            <w:vAlign w:val="center"/>
            <w:hideMark/>
          </w:tcPr>
          <w:p w14:paraId="7885A596" w14:textId="77777777" w:rsidR="006E5A24" w:rsidRPr="007E7835"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697" w:type="pct"/>
            <w:tcBorders>
              <w:top w:val="nil"/>
              <w:left w:val="nil"/>
              <w:bottom w:val="nil"/>
              <w:right w:val="nil"/>
            </w:tcBorders>
            <w:shd w:val="clear" w:color="auto" w:fill="auto"/>
            <w:noWrap/>
            <w:vAlign w:val="center"/>
            <w:hideMark/>
          </w:tcPr>
          <w:p w14:paraId="3A2E6D58"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noWrap/>
            <w:vAlign w:val="center"/>
          </w:tcPr>
          <w:p w14:paraId="22259A91"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tcPr>
          <w:p w14:paraId="17A77F1A"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tcPr>
          <w:p w14:paraId="0FC3B46E" w14:textId="77777777" w:rsidR="006E5A24" w:rsidRPr="00585227" w:rsidRDefault="006E5A24" w:rsidP="006E5A2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DF0182" w:rsidRPr="007E7835" w14:paraId="7BDCDF74" w14:textId="77777777" w:rsidTr="005644E5">
        <w:trPr>
          <w:trHeight w:val="283"/>
        </w:trPr>
        <w:tc>
          <w:tcPr>
            <w:tcW w:w="2212" w:type="pct"/>
            <w:tcBorders>
              <w:top w:val="nil"/>
              <w:left w:val="nil"/>
              <w:bottom w:val="nil"/>
              <w:right w:val="nil"/>
            </w:tcBorders>
            <w:shd w:val="clear" w:color="auto" w:fill="auto"/>
            <w:noWrap/>
            <w:vAlign w:val="center"/>
            <w:hideMark/>
          </w:tcPr>
          <w:p w14:paraId="75D2F81A"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bottom w:val="nil"/>
              <w:right w:val="nil"/>
            </w:tcBorders>
            <w:shd w:val="clear" w:color="auto" w:fill="auto"/>
            <w:noWrap/>
            <w:vAlign w:val="center"/>
            <w:hideMark/>
          </w:tcPr>
          <w:p w14:paraId="3984F2EF" w14:textId="70B6604F"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8E62FF">
              <w:rPr>
                <w:rFonts w:eastAsia="Times New Roman"/>
                <w:color w:val="auto"/>
                <w:sz w:val="16"/>
                <w:szCs w:val="16"/>
                <w:bdr w:val="none" w:sz="0" w:space="0" w:color="auto"/>
                <w:lang w:eastAsia="es-ES"/>
              </w:rPr>
              <w:t>(5.742,87)</w:t>
            </w:r>
          </w:p>
        </w:tc>
        <w:tc>
          <w:tcPr>
            <w:tcW w:w="697" w:type="pct"/>
            <w:tcBorders>
              <w:top w:val="nil"/>
              <w:left w:val="nil"/>
              <w:bottom w:val="nil"/>
              <w:right w:val="nil"/>
            </w:tcBorders>
            <w:shd w:val="clear" w:color="auto" w:fill="auto"/>
            <w:noWrap/>
            <w:vAlign w:val="center"/>
          </w:tcPr>
          <w:p w14:paraId="3C688D78" w14:textId="0813CB01"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E62FF">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12081BD9" w14:textId="5372490D"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8E62FF">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tcPr>
          <w:p w14:paraId="5C2112D8" w14:textId="7BEE835A"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8E62FF">
              <w:rPr>
                <w:rFonts w:eastAsia="Times New Roman"/>
                <w:color w:val="auto"/>
                <w:sz w:val="16"/>
                <w:szCs w:val="16"/>
                <w:bdr w:val="none" w:sz="0" w:space="0" w:color="auto"/>
                <w:lang w:eastAsia="es-ES"/>
              </w:rPr>
              <w:t>(5.742,87)</w:t>
            </w:r>
          </w:p>
        </w:tc>
      </w:tr>
      <w:tr w:rsidR="00DF0182" w:rsidRPr="007E7835" w14:paraId="1676056B" w14:textId="77777777" w:rsidTr="005644E5">
        <w:trPr>
          <w:trHeight w:val="283"/>
        </w:trPr>
        <w:tc>
          <w:tcPr>
            <w:tcW w:w="2212" w:type="pct"/>
            <w:tcBorders>
              <w:top w:val="nil"/>
              <w:left w:val="nil"/>
              <w:bottom w:val="nil"/>
              <w:right w:val="nil"/>
            </w:tcBorders>
            <w:shd w:val="clear" w:color="auto" w:fill="auto"/>
            <w:noWrap/>
            <w:vAlign w:val="center"/>
            <w:hideMark/>
          </w:tcPr>
          <w:p w14:paraId="63755010"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268D5772" w14:textId="66E80F37"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(218.238,97)</w:t>
            </w:r>
          </w:p>
        </w:tc>
        <w:tc>
          <w:tcPr>
            <w:tcW w:w="697" w:type="pct"/>
            <w:tcBorders>
              <w:top w:val="nil"/>
              <w:left w:val="nil"/>
              <w:bottom w:val="single" w:sz="4" w:space="0" w:color="auto"/>
              <w:right w:val="nil"/>
            </w:tcBorders>
            <w:shd w:val="clear" w:color="auto" w:fill="auto"/>
            <w:noWrap/>
            <w:vAlign w:val="center"/>
          </w:tcPr>
          <w:p w14:paraId="17607DE5" w14:textId="3A662637"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8E62FF">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tcPr>
          <w:p w14:paraId="6BCA669F" w14:textId="38E2F412"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697" w:type="pct"/>
            <w:tcBorders>
              <w:top w:val="nil"/>
              <w:left w:val="nil"/>
              <w:bottom w:val="single" w:sz="4" w:space="0" w:color="auto"/>
              <w:right w:val="nil"/>
            </w:tcBorders>
            <w:shd w:val="clear" w:color="auto" w:fill="auto"/>
            <w:noWrap/>
            <w:vAlign w:val="center"/>
          </w:tcPr>
          <w:p w14:paraId="4ECFD6F3" w14:textId="7F2D1574"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(218.238,97)</w:t>
            </w:r>
          </w:p>
        </w:tc>
      </w:tr>
      <w:tr w:rsidR="00DF0182" w:rsidRPr="007E7835" w14:paraId="6838A3F8" w14:textId="77777777" w:rsidTr="005644E5">
        <w:trPr>
          <w:trHeight w:val="283"/>
        </w:trPr>
        <w:tc>
          <w:tcPr>
            <w:tcW w:w="2212" w:type="pct"/>
            <w:tcBorders>
              <w:top w:val="nil"/>
              <w:left w:val="nil"/>
              <w:bottom w:val="nil"/>
              <w:right w:val="nil"/>
            </w:tcBorders>
            <w:shd w:val="clear" w:color="auto" w:fill="auto"/>
            <w:noWrap/>
            <w:vAlign w:val="center"/>
            <w:hideMark/>
          </w:tcPr>
          <w:p w14:paraId="48BA84E1"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36888F9E" w14:textId="6629ED91"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(223.981,84)</w:t>
            </w:r>
          </w:p>
        </w:tc>
        <w:tc>
          <w:tcPr>
            <w:tcW w:w="697" w:type="pct"/>
            <w:tcBorders>
              <w:top w:val="nil"/>
              <w:left w:val="nil"/>
              <w:bottom w:val="single" w:sz="4" w:space="0" w:color="auto"/>
              <w:right w:val="nil"/>
            </w:tcBorders>
            <w:shd w:val="clear" w:color="auto" w:fill="auto"/>
            <w:noWrap/>
            <w:vAlign w:val="center"/>
          </w:tcPr>
          <w:p w14:paraId="2FFA7F1C" w14:textId="7BD4E9F0"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sz w:val="16"/>
                <w:szCs w:val="16"/>
              </w:rPr>
              <w:t xml:space="preserve"> -</w:t>
            </w:r>
          </w:p>
        </w:tc>
        <w:tc>
          <w:tcPr>
            <w:tcW w:w="697" w:type="pct"/>
            <w:tcBorders>
              <w:top w:val="nil"/>
              <w:left w:val="nil"/>
              <w:bottom w:val="nil"/>
              <w:right w:val="nil"/>
            </w:tcBorders>
            <w:shd w:val="clear" w:color="auto" w:fill="auto"/>
            <w:noWrap/>
            <w:vAlign w:val="center"/>
          </w:tcPr>
          <w:p w14:paraId="37EB1F6D" w14:textId="7F59988C"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697" w:type="pct"/>
            <w:tcBorders>
              <w:top w:val="nil"/>
              <w:left w:val="nil"/>
              <w:bottom w:val="single" w:sz="4" w:space="0" w:color="auto"/>
              <w:right w:val="nil"/>
            </w:tcBorders>
            <w:shd w:val="clear" w:color="auto" w:fill="auto"/>
            <w:noWrap/>
            <w:vAlign w:val="center"/>
          </w:tcPr>
          <w:p w14:paraId="522172A9" w14:textId="0BD24338"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(223.981,84)</w:t>
            </w:r>
          </w:p>
        </w:tc>
      </w:tr>
      <w:tr w:rsidR="00DF0182" w:rsidRPr="007E7835" w14:paraId="722E275C" w14:textId="77777777" w:rsidTr="005644E5">
        <w:trPr>
          <w:trHeight w:val="283"/>
        </w:trPr>
        <w:tc>
          <w:tcPr>
            <w:tcW w:w="2212" w:type="pct"/>
            <w:tcBorders>
              <w:top w:val="single" w:sz="4" w:space="0" w:color="auto"/>
              <w:left w:val="nil"/>
              <w:bottom w:val="single" w:sz="4" w:space="0" w:color="auto"/>
              <w:right w:val="nil"/>
            </w:tcBorders>
            <w:shd w:val="clear" w:color="auto" w:fill="auto"/>
            <w:noWrap/>
            <w:vAlign w:val="center"/>
            <w:hideMark/>
          </w:tcPr>
          <w:p w14:paraId="5FF7547B" w14:textId="77777777" w:rsidR="00DF0182" w:rsidRPr="008C7670"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C7670">
              <w:rPr>
                <w:rFonts w:eastAsia="Times New Roman"/>
                <w:b/>
                <w:bCs/>
                <w:sz w:val="16"/>
                <w:szCs w:val="16"/>
                <w:bdr w:val="none" w:sz="0" w:space="0" w:color="auto"/>
                <w:lang w:eastAsia="es-ES"/>
              </w:rPr>
              <w:t>Valor neto contable</w:t>
            </w:r>
          </w:p>
        </w:tc>
        <w:tc>
          <w:tcPr>
            <w:tcW w:w="697" w:type="pct"/>
            <w:tcBorders>
              <w:top w:val="nil"/>
              <w:left w:val="nil"/>
              <w:bottom w:val="single" w:sz="4" w:space="0" w:color="auto"/>
              <w:right w:val="nil"/>
            </w:tcBorders>
            <w:shd w:val="clear" w:color="auto" w:fill="auto"/>
            <w:noWrap/>
            <w:vAlign w:val="center"/>
            <w:hideMark/>
          </w:tcPr>
          <w:p w14:paraId="2E70E866" w14:textId="1AD6813A"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0,01</w:t>
            </w:r>
          </w:p>
        </w:tc>
        <w:tc>
          <w:tcPr>
            <w:tcW w:w="697" w:type="pct"/>
            <w:tcBorders>
              <w:top w:val="nil"/>
              <w:left w:val="nil"/>
              <w:bottom w:val="single" w:sz="4" w:space="0" w:color="auto"/>
              <w:right w:val="nil"/>
            </w:tcBorders>
            <w:shd w:val="clear" w:color="auto" w:fill="auto"/>
            <w:noWrap/>
            <w:vAlign w:val="center"/>
          </w:tcPr>
          <w:p w14:paraId="3C90523E" w14:textId="77777777"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tcPr>
          <w:p w14:paraId="07AFEF6A" w14:textId="77777777"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tcPr>
          <w:p w14:paraId="038075A7" w14:textId="1E74F83A" w:rsidR="00DF0182" w:rsidRPr="008E62FF"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0,01</w:t>
            </w:r>
          </w:p>
        </w:tc>
      </w:tr>
    </w:tbl>
    <w:p w14:paraId="6FA8EE41" w14:textId="0077C8D2" w:rsidR="006220A2" w:rsidRPr="005644E5" w:rsidRDefault="006220A2" w:rsidP="001B5A15">
      <w:pPr>
        <w:widowControl w:val="0"/>
        <w:spacing w:before="240" w:after="120" w:line="260" w:lineRule="exact"/>
        <w:jc w:val="both"/>
        <w:outlineLvl w:val="9"/>
        <w:rPr>
          <w:snapToGrid w:val="0"/>
          <w:sz w:val="20"/>
          <w:szCs w:val="22"/>
        </w:rPr>
      </w:pPr>
      <w:r w:rsidRPr="005644E5">
        <w:rPr>
          <w:snapToGrid w:val="0"/>
          <w:sz w:val="20"/>
          <w:szCs w:val="22"/>
        </w:rPr>
        <w:t>El detalle y movimiento de</w:t>
      </w:r>
      <w:r w:rsidR="007E7835" w:rsidRPr="005644E5">
        <w:rPr>
          <w:snapToGrid w:val="0"/>
          <w:sz w:val="20"/>
          <w:szCs w:val="22"/>
        </w:rPr>
        <w:t>l</w:t>
      </w:r>
      <w:r w:rsidRPr="005644E5">
        <w:rPr>
          <w:snapToGrid w:val="0"/>
          <w:sz w:val="20"/>
          <w:szCs w:val="22"/>
        </w:rPr>
        <w:t xml:space="preserve"> “Inmovilizado intangible” en el ejercicio 20</w:t>
      </w:r>
      <w:r w:rsidR="006E5A24" w:rsidRPr="005644E5">
        <w:rPr>
          <w:snapToGrid w:val="0"/>
          <w:sz w:val="20"/>
          <w:szCs w:val="22"/>
        </w:rPr>
        <w:t>2</w:t>
      </w:r>
      <w:r w:rsidR="00DF0182">
        <w:rPr>
          <w:snapToGrid w:val="0"/>
          <w:sz w:val="20"/>
          <w:szCs w:val="22"/>
        </w:rPr>
        <w:t>2</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885"/>
        <w:gridCol w:w="1224"/>
        <w:gridCol w:w="1224"/>
        <w:gridCol w:w="1224"/>
        <w:gridCol w:w="1224"/>
      </w:tblGrid>
      <w:tr w:rsidR="006E5A24" w:rsidRPr="007E7835" w14:paraId="64710A59" w14:textId="77777777" w:rsidTr="004772D1">
        <w:trPr>
          <w:trHeight w:val="208"/>
        </w:trPr>
        <w:tc>
          <w:tcPr>
            <w:tcW w:w="2212" w:type="pct"/>
            <w:tcBorders>
              <w:top w:val="single" w:sz="4" w:space="0" w:color="auto"/>
              <w:left w:val="nil"/>
              <w:bottom w:val="nil"/>
              <w:right w:val="nil"/>
            </w:tcBorders>
            <w:shd w:val="clear" w:color="auto" w:fill="auto"/>
            <w:noWrap/>
            <w:vAlign w:val="center"/>
            <w:hideMark/>
          </w:tcPr>
          <w:p w14:paraId="45166329"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2788" w:type="pct"/>
            <w:gridSpan w:val="4"/>
            <w:tcBorders>
              <w:top w:val="single" w:sz="4" w:space="0" w:color="auto"/>
              <w:left w:val="nil"/>
              <w:bottom w:val="nil"/>
              <w:right w:val="nil"/>
            </w:tcBorders>
            <w:shd w:val="clear" w:color="auto" w:fill="auto"/>
            <w:vAlign w:val="bottom"/>
            <w:hideMark/>
          </w:tcPr>
          <w:p w14:paraId="06E6EF25" w14:textId="77777777" w:rsidR="006E5A24" w:rsidRPr="007E7835" w:rsidRDefault="006E5A24" w:rsidP="004772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8E62FF" w:rsidRPr="007E7835" w14:paraId="5D53E898" w14:textId="77777777" w:rsidTr="004772D1">
        <w:trPr>
          <w:trHeight w:val="418"/>
        </w:trPr>
        <w:tc>
          <w:tcPr>
            <w:tcW w:w="2212" w:type="pct"/>
            <w:tcBorders>
              <w:top w:val="nil"/>
              <w:left w:val="nil"/>
              <w:bottom w:val="single" w:sz="4" w:space="0" w:color="auto"/>
              <w:right w:val="nil"/>
            </w:tcBorders>
            <w:shd w:val="clear" w:color="auto" w:fill="auto"/>
            <w:noWrap/>
            <w:vAlign w:val="center"/>
            <w:hideMark/>
          </w:tcPr>
          <w:p w14:paraId="5FA6E31A"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w:t>
            </w:r>
          </w:p>
        </w:tc>
        <w:tc>
          <w:tcPr>
            <w:tcW w:w="697" w:type="pct"/>
            <w:tcBorders>
              <w:top w:val="single" w:sz="4" w:space="0" w:color="auto"/>
              <w:left w:val="nil"/>
              <w:bottom w:val="single" w:sz="4" w:space="0" w:color="auto"/>
              <w:right w:val="nil"/>
            </w:tcBorders>
            <w:shd w:val="clear" w:color="auto" w:fill="auto"/>
            <w:vAlign w:val="bottom"/>
            <w:hideMark/>
          </w:tcPr>
          <w:p w14:paraId="2063566E" w14:textId="0FB01C55"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 xml:space="preserve">Saldo al </w:t>
            </w:r>
            <w:r>
              <w:rPr>
                <w:rFonts w:eastAsia="Times New Roman"/>
                <w:b/>
                <w:bCs/>
                <w:sz w:val="16"/>
                <w:szCs w:val="16"/>
                <w:bdr w:val="none" w:sz="0" w:space="0" w:color="auto"/>
                <w:lang w:eastAsia="es-ES"/>
              </w:rPr>
              <w:t>01/01/202</w:t>
            </w:r>
            <w:r w:rsidR="00DF0182">
              <w:rPr>
                <w:rFonts w:eastAsia="Times New Roman"/>
                <w:b/>
                <w:bCs/>
                <w:sz w:val="16"/>
                <w:szCs w:val="16"/>
                <w:bdr w:val="none" w:sz="0" w:space="0" w:color="auto"/>
                <w:lang w:eastAsia="es-ES"/>
              </w:rPr>
              <w:t>2</w:t>
            </w:r>
          </w:p>
        </w:tc>
        <w:tc>
          <w:tcPr>
            <w:tcW w:w="697" w:type="pct"/>
            <w:tcBorders>
              <w:top w:val="single" w:sz="4" w:space="0" w:color="auto"/>
              <w:left w:val="nil"/>
              <w:bottom w:val="single" w:sz="4" w:space="0" w:color="auto"/>
              <w:right w:val="nil"/>
            </w:tcBorders>
            <w:shd w:val="clear" w:color="auto" w:fill="auto"/>
            <w:vAlign w:val="bottom"/>
            <w:hideMark/>
          </w:tcPr>
          <w:p w14:paraId="1DF788B7" w14:textId="7F123FC1"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Altas</w:t>
            </w:r>
          </w:p>
        </w:tc>
        <w:tc>
          <w:tcPr>
            <w:tcW w:w="697" w:type="pct"/>
            <w:tcBorders>
              <w:top w:val="single" w:sz="4" w:space="0" w:color="auto"/>
              <w:left w:val="nil"/>
              <w:bottom w:val="single" w:sz="4" w:space="0" w:color="auto"/>
              <w:right w:val="nil"/>
            </w:tcBorders>
            <w:shd w:val="clear" w:color="auto" w:fill="auto"/>
            <w:vAlign w:val="bottom"/>
            <w:hideMark/>
          </w:tcPr>
          <w:p w14:paraId="3C448449" w14:textId="6EE202D0"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Traspasos</w:t>
            </w:r>
          </w:p>
        </w:tc>
        <w:tc>
          <w:tcPr>
            <w:tcW w:w="697" w:type="pct"/>
            <w:tcBorders>
              <w:top w:val="single" w:sz="4" w:space="0" w:color="auto"/>
              <w:left w:val="nil"/>
              <w:bottom w:val="single" w:sz="4" w:space="0" w:color="auto"/>
              <w:right w:val="nil"/>
            </w:tcBorders>
            <w:shd w:val="clear" w:color="auto" w:fill="auto"/>
            <w:vAlign w:val="bottom"/>
            <w:hideMark/>
          </w:tcPr>
          <w:p w14:paraId="2B93BA04" w14:textId="764175C3"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Saldo al 31/12/202</w:t>
            </w:r>
            <w:r w:rsidR="00DF0182">
              <w:rPr>
                <w:rFonts w:eastAsia="Times New Roman"/>
                <w:b/>
                <w:bCs/>
                <w:sz w:val="16"/>
                <w:szCs w:val="16"/>
                <w:bdr w:val="none" w:sz="0" w:space="0" w:color="auto"/>
                <w:lang w:eastAsia="es-ES"/>
              </w:rPr>
              <w:t>2</w:t>
            </w:r>
          </w:p>
        </w:tc>
      </w:tr>
      <w:tr w:rsidR="008E62FF" w:rsidRPr="007E7835" w14:paraId="73D8A1D1" w14:textId="77777777" w:rsidTr="004772D1">
        <w:trPr>
          <w:trHeight w:val="274"/>
        </w:trPr>
        <w:tc>
          <w:tcPr>
            <w:tcW w:w="2212" w:type="pct"/>
            <w:tcBorders>
              <w:top w:val="nil"/>
              <w:left w:val="nil"/>
              <w:bottom w:val="nil"/>
              <w:right w:val="nil"/>
            </w:tcBorders>
            <w:shd w:val="clear" w:color="auto" w:fill="auto"/>
            <w:noWrap/>
            <w:vAlign w:val="center"/>
            <w:hideMark/>
          </w:tcPr>
          <w:p w14:paraId="770EF172"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697" w:type="pct"/>
            <w:tcBorders>
              <w:top w:val="nil"/>
              <w:left w:val="nil"/>
              <w:bottom w:val="nil"/>
              <w:right w:val="nil"/>
            </w:tcBorders>
            <w:shd w:val="clear" w:color="auto" w:fill="auto"/>
            <w:vAlign w:val="center"/>
            <w:hideMark/>
          </w:tcPr>
          <w:p w14:paraId="1351A7A4"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3E98F08E"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vAlign w:val="center"/>
            <w:hideMark/>
          </w:tcPr>
          <w:p w14:paraId="0C515759"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2790AA0E"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DF0182" w:rsidRPr="007E7835" w14:paraId="5713B35F" w14:textId="77777777" w:rsidTr="005644E5">
        <w:trPr>
          <w:trHeight w:val="283"/>
        </w:trPr>
        <w:tc>
          <w:tcPr>
            <w:tcW w:w="2212" w:type="pct"/>
            <w:tcBorders>
              <w:top w:val="nil"/>
              <w:left w:val="nil"/>
              <w:bottom w:val="nil"/>
              <w:right w:val="nil"/>
            </w:tcBorders>
            <w:shd w:val="clear" w:color="auto" w:fill="auto"/>
            <w:noWrap/>
            <w:vAlign w:val="center"/>
            <w:hideMark/>
          </w:tcPr>
          <w:p w14:paraId="58C4BABF"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right w:val="nil"/>
            </w:tcBorders>
            <w:shd w:val="clear" w:color="auto" w:fill="auto"/>
            <w:noWrap/>
            <w:vAlign w:val="center"/>
            <w:hideMark/>
          </w:tcPr>
          <w:p w14:paraId="0E3D19EA" w14:textId="70356E40"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5.742,87</w:t>
            </w:r>
          </w:p>
        </w:tc>
        <w:tc>
          <w:tcPr>
            <w:tcW w:w="697" w:type="pct"/>
            <w:tcBorders>
              <w:top w:val="nil"/>
              <w:left w:val="nil"/>
              <w:right w:val="nil"/>
            </w:tcBorders>
            <w:shd w:val="clear" w:color="auto" w:fill="auto"/>
            <w:noWrap/>
            <w:vAlign w:val="center"/>
            <w:hideMark/>
          </w:tcPr>
          <w:p w14:paraId="5917E865" w14:textId="29A9F9AD"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hideMark/>
          </w:tcPr>
          <w:p w14:paraId="053B41FD" w14:textId="31837C49"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right w:val="nil"/>
            </w:tcBorders>
            <w:shd w:val="clear" w:color="auto" w:fill="auto"/>
            <w:noWrap/>
            <w:vAlign w:val="center"/>
            <w:hideMark/>
          </w:tcPr>
          <w:p w14:paraId="4D5F2B7A" w14:textId="7160DAA5"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5.742,87   </w:t>
            </w:r>
          </w:p>
        </w:tc>
      </w:tr>
      <w:tr w:rsidR="00DF0182" w:rsidRPr="007E7835" w14:paraId="491518FB" w14:textId="77777777" w:rsidTr="005644E5">
        <w:trPr>
          <w:trHeight w:val="283"/>
        </w:trPr>
        <w:tc>
          <w:tcPr>
            <w:tcW w:w="2212" w:type="pct"/>
            <w:tcBorders>
              <w:top w:val="nil"/>
              <w:left w:val="nil"/>
              <w:bottom w:val="nil"/>
              <w:right w:val="nil"/>
            </w:tcBorders>
            <w:shd w:val="clear" w:color="auto" w:fill="auto"/>
            <w:noWrap/>
            <w:vAlign w:val="center"/>
            <w:hideMark/>
          </w:tcPr>
          <w:p w14:paraId="29D52B5D"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71ED5F2E" w14:textId="67E6EF5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218.238,98</w:t>
            </w:r>
          </w:p>
        </w:tc>
        <w:tc>
          <w:tcPr>
            <w:tcW w:w="697" w:type="pct"/>
            <w:tcBorders>
              <w:top w:val="nil"/>
              <w:left w:val="nil"/>
              <w:bottom w:val="single" w:sz="4" w:space="0" w:color="auto"/>
              <w:right w:val="nil"/>
            </w:tcBorders>
            <w:shd w:val="clear" w:color="auto" w:fill="auto"/>
            <w:noWrap/>
            <w:vAlign w:val="center"/>
            <w:hideMark/>
          </w:tcPr>
          <w:p w14:paraId="3A696418" w14:textId="3938890A"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7831B446" w14:textId="71983F30"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25DDCD2E" w14:textId="068BE366"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585227">
              <w:rPr>
                <w:rFonts w:eastAsia="Times New Roman"/>
                <w:sz w:val="16"/>
                <w:szCs w:val="16"/>
                <w:bdr w:val="none" w:sz="0" w:space="0" w:color="auto"/>
                <w:lang w:eastAsia="es-ES"/>
              </w:rPr>
              <w:t xml:space="preserve">218.238,98   </w:t>
            </w:r>
          </w:p>
        </w:tc>
      </w:tr>
      <w:tr w:rsidR="008E62FF" w:rsidRPr="007E7835" w14:paraId="1B39A5DF" w14:textId="77777777" w:rsidTr="005644E5">
        <w:trPr>
          <w:trHeight w:val="283"/>
        </w:trPr>
        <w:tc>
          <w:tcPr>
            <w:tcW w:w="2212" w:type="pct"/>
            <w:tcBorders>
              <w:top w:val="nil"/>
              <w:left w:val="nil"/>
              <w:bottom w:val="nil"/>
              <w:right w:val="nil"/>
            </w:tcBorders>
            <w:shd w:val="clear" w:color="auto" w:fill="auto"/>
            <w:noWrap/>
            <w:vAlign w:val="center"/>
            <w:hideMark/>
          </w:tcPr>
          <w:p w14:paraId="496C22A9"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547A8030" w14:textId="5283463B"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rFonts w:eastAsia="Times New Roman"/>
                <w:b/>
                <w:bCs/>
                <w:sz w:val="16"/>
                <w:szCs w:val="16"/>
                <w:bdr w:val="none" w:sz="0" w:space="0" w:color="auto"/>
                <w:lang w:eastAsia="es-ES"/>
              </w:rPr>
              <w:t xml:space="preserve">223.981,85   </w:t>
            </w:r>
          </w:p>
        </w:tc>
        <w:tc>
          <w:tcPr>
            <w:tcW w:w="697" w:type="pct"/>
            <w:tcBorders>
              <w:top w:val="single" w:sz="4" w:space="0" w:color="auto"/>
              <w:left w:val="nil"/>
              <w:bottom w:val="single" w:sz="4" w:space="0" w:color="auto"/>
              <w:right w:val="nil"/>
            </w:tcBorders>
            <w:shd w:val="clear" w:color="auto" w:fill="auto"/>
            <w:noWrap/>
            <w:vAlign w:val="center"/>
            <w:hideMark/>
          </w:tcPr>
          <w:p w14:paraId="7A94A69F" w14:textId="62CF7DB3"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single" w:sz="4" w:space="0" w:color="auto"/>
              <w:left w:val="nil"/>
              <w:bottom w:val="single" w:sz="4" w:space="0" w:color="auto"/>
              <w:right w:val="nil"/>
            </w:tcBorders>
            <w:shd w:val="clear" w:color="auto" w:fill="auto"/>
            <w:noWrap/>
            <w:vAlign w:val="center"/>
            <w:hideMark/>
          </w:tcPr>
          <w:p w14:paraId="33C92543" w14:textId="634BF794"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single" w:sz="4" w:space="0" w:color="auto"/>
              <w:left w:val="nil"/>
              <w:bottom w:val="single" w:sz="4" w:space="0" w:color="auto"/>
              <w:right w:val="nil"/>
            </w:tcBorders>
            <w:shd w:val="clear" w:color="auto" w:fill="auto"/>
            <w:noWrap/>
            <w:vAlign w:val="center"/>
            <w:hideMark/>
          </w:tcPr>
          <w:p w14:paraId="46A74CC9" w14:textId="00127889"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585227">
              <w:rPr>
                <w:rFonts w:eastAsia="Times New Roman"/>
                <w:b/>
                <w:bCs/>
                <w:sz w:val="16"/>
                <w:szCs w:val="16"/>
                <w:bdr w:val="none" w:sz="0" w:space="0" w:color="auto"/>
                <w:lang w:eastAsia="es-ES"/>
              </w:rPr>
              <w:t xml:space="preserve">223.981,85   </w:t>
            </w:r>
          </w:p>
        </w:tc>
      </w:tr>
      <w:tr w:rsidR="008E62FF" w:rsidRPr="007E7835" w14:paraId="6717B4CA" w14:textId="77777777" w:rsidTr="004772D1">
        <w:trPr>
          <w:trHeight w:val="138"/>
        </w:trPr>
        <w:tc>
          <w:tcPr>
            <w:tcW w:w="2212" w:type="pct"/>
            <w:tcBorders>
              <w:top w:val="nil"/>
              <w:left w:val="nil"/>
              <w:bottom w:val="nil"/>
              <w:right w:val="nil"/>
            </w:tcBorders>
            <w:shd w:val="clear" w:color="auto" w:fill="auto"/>
            <w:noWrap/>
            <w:vAlign w:val="center"/>
            <w:hideMark/>
          </w:tcPr>
          <w:p w14:paraId="0D9D103D"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697" w:type="pct"/>
            <w:tcBorders>
              <w:top w:val="nil"/>
              <w:left w:val="nil"/>
              <w:bottom w:val="nil"/>
              <w:right w:val="nil"/>
            </w:tcBorders>
            <w:shd w:val="clear" w:color="auto" w:fill="auto"/>
            <w:noWrap/>
            <w:vAlign w:val="center"/>
            <w:hideMark/>
          </w:tcPr>
          <w:p w14:paraId="5D84BECA"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489821ED"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0F5A5313"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697" w:type="pct"/>
            <w:tcBorders>
              <w:top w:val="nil"/>
              <w:left w:val="nil"/>
              <w:bottom w:val="nil"/>
              <w:right w:val="nil"/>
            </w:tcBorders>
            <w:shd w:val="clear" w:color="auto" w:fill="auto"/>
            <w:noWrap/>
            <w:vAlign w:val="center"/>
            <w:hideMark/>
          </w:tcPr>
          <w:p w14:paraId="1731A871"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8E62FF" w:rsidRPr="007E7835" w14:paraId="01EE3498" w14:textId="77777777" w:rsidTr="005644E5">
        <w:trPr>
          <w:trHeight w:val="283"/>
        </w:trPr>
        <w:tc>
          <w:tcPr>
            <w:tcW w:w="2212" w:type="pct"/>
            <w:tcBorders>
              <w:top w:val="nil"/>
              <w:left w:val="nil"/>
              <w:bottom w:val="nil"/>
              <w:right w:val="nil"/>
            </w:tcBorders>
            <w:shd w:val="clear" w:color="auto" w:fill="auto"/>
            <w:noWrap/>
            <w:vAlign w:val="center"/>
            <w:hideMark/>
          </w:tcPr>
          <w:p w14:paraId="137F9D00"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Concesiones, patentes, licencias, marcas y similares</w:t>
            </w:r>
          </w:p>
        </w:tc>
        <w:tc>
          <w:tcPr>
            <w:tcW w:w="697" w:type="pct"/>
            <w:tcBorders>
              <w:top w:val="nil"/>
              <w:left w:val="nil"/>
              <w:bottom w:val="nil"/>
              <w:right w:val="nil"/>
            </w:tcBorders>
            <w:shd w:val="clear" w:color="auto" w:fill="auto"/>
            <w:noWrap/>
            <w:vAlign w:val="center"/>
            <w:hideMark/>
          </w:tcPr>
          <w:p w14:paraId="21B6C6E5" w14:textId="1A06DAB2"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585227">
              <w:rPr>
                <w:rFonts w:eastAsia="Times New Roman"/>
                <w:color w:val="auto"/>
                <w:sz w:val="16"/>
                <w:szCs w:val="16"/>
                <w:bdr w:val="none" w:sz="0" w:space="0" w:color="auto"/>
                <w:lang w:eastAsia="es-ES"/>
              </w:rPr>
              <w:t>(5.742,87)</w:t>
            </w:r>
          </w:p>
        </w:tc>
        <w:tc>
          <w:tcPr>
            <w:tcW w:w="697" w:type="pct"/>
            <w:tcBorders>
              <w:top w:val="nil"/>
              <w:left w:val="nil"/>
              <w:bottom w:val="nil"/>
              <w:right w:val="nil"/>
            </w:tcBorders>
            <w:shd w:val="clear" w:color="auto" w:fill="auto"/>
            <w:noWrap/>
            <w:vAlign w:val="center"/>
            <w:hideMark/>
          </w:tcPr>
          <w:p w14:paraId="7BF8F403" w14:textId="1CFA7576"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hideMark/>
          </w:tcPr>
          <w:p w14:paraId="18B61978" w14:textId="6D03E9A3"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nil"/>
              <w:right w:val="nil"/>
            </w:tcBorders>
            <w:shd w:val="clear" w:color="auto" w:fill="auto"/>
            <w:noWrap/>
            <w:vAlign w:val="center"/>
            <w:hideMark/>
          </w:tcPr>
          <w:p w14:paraId="1CFBC62C" w14:textId="5542C3EA"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585227">
              <w:rPr>
                <w:rFonts w:eastAsia="Times New Roman"/>
                <w:color w:val="auto"/>
                <w:sz w:val="16"/>
                <w:szCs w:val="16"/>
                <w:bdr w:val="none" w:sz="0" w:space="0" w:color="auto"/>
                <w:lang w:eastAsia="es-ES"/>
              </w:rPr>
              <w:t>(5.742,87)</w:t>
            </w:r>
          </w:p>
        </w:tc>
      </w:tr>
      <w:tr w:rsidR="008E62FF" w:rsidRPr="007E7835" w14:paraId="0153E8FC" w14:textId="77777777" w:rsidTr="005644E5">
        <w:trPr>
          <w:trHeight w:val="283"/>
        </w:trPr>
        <w:tc>
          <w:tcPr>
            <w:tcW w:w="2212" w:type="pct"/>
            <w:tcBorders>
              <w:top w:val="nil"/>
              <w:left w:val="nil"/>
              <w:bottom w:val="nil"/>
              <w:right w:val="nil"/>
            </w:tcBorders>
            <w:shd w:val="clear" w:color="auto" w:fill="auto"/>
            <w:noWrap/>
            <w:vAlign w:val="center"/>
            <w:hideMark/>
          </w:tcPr>
          <w:p w14:paraId="2A645DF2" w14:textId="77777777"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Aplicaciones informáticas</w:t>
            </w:r>
          </w:p>
        </w:tc>
        <w:tc>
          <w:tcPr>
            <w:tcW w:w="697" w:type="pct"/>
            <w:tcBorders>
              <w:top w:val="nil"/>
              <w:left w:val="nil"/>
              <w:bottom w:val="single" w:sz="4" w:space="0" w:color="auto"/>
              <w:right w:val="nil"/>
            </w:tcBorders>
            <w:shd w:val="clear" w:color="auto" w:fill="auto"/>
            <w:noWrap/>
            <w:vAlign w:val="center"/>
            <w:hideMark/>
          </w:tcPr>
          <w:p w14:paraId="6774E5A1" w14:textId="1A5E59D4" w:rsidR="008E62FF" w:rsidRPr="00DF0182"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(198.461,64)</w:t>
            </w:r>
          </w:p>
        </w:tc>
        <w:tc>
          <w:tcPr>
            <w:tcW w:w="697" w:type="pct"/>
            <w:tcBorders>
              <w:top w:val="nil"/>
              <w:left w:val="nil"/>
              <w:bottom w:val="single" w:sz="4" w:space="0" w:color="auto"/>
              <w:right w:val="nil"/>
            </w:tcBorders>
            <w:shd w:val="clear" w:color="auto" w:fill="auto"/>
            <w:noWrap/>
            <w:vAlign w:val="center"/>
            <w:hideMark/>
          </w:tcPr>
          <w:p w14:paraId="0A9A44BB" w14:textId="5B55310F" w:rsidR="008E62FF" w:rsidRPr="00DF0182"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(19.777,33)</w:t>
            </w:r>
          </w:p>
        </w:tc>
        <w:tc>
          <w:tcPr>
            <w:tcW w:w="697" w:type="pct"/>
            <w:tcBorders>
              <w:top w:val="nil"/>
              <w:left w:val="nil"/>
              <w:bottom w:val="single" w:sz="4" w:space="0" w:color="auto"/>
              <w:right w:val="nil"/>
            </w:tcBorders>
            <w:shd w:val="clear" w:color="auto" w:fill="auto"/>
            <w:noWrap/>
            <w:vAlign w:val="center"/>
            <w:hideMark/>
          </w:tcPr>
          <w:p w14:paraId="5B4B7B58" w14:textId="7AC10DF1" w:rsidR="008E62FF" w:rsidRPr="007E7835" w:rsidRDefault="008E62FF" w:rsidP="008E62F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79C7CEC2" w14:textId="2BE7D9C8" w:rsidR="008E62FF" w:rsidRPr="00DF0182"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(218.238,97)</w:t>
            </w:r>
          </w:p>
        </w:tc>
      </w:tr>
      <w:tr w:rsidR="00DF0182" w:rsidRPr="007E7835" w14:paraId="73720BF3" w14:textId="77777777" w:rsidTr="005644E5">
        <w:trPr>
          <w:trHeight w:val="283"/>
        </w:trPr>
        <w:tc>
          <w:tcPr>
            <w:tcW w:w="2212" w:type="pct"/>
            <w:tcBorders>
              <w:top w:val="nil"/>
              <w:left w:val="nil"/>
              <w:bottom w:val="nil"/>
              <w:right w:val="nil"/>
            </w:tcBorders>
            <w:shd w:val="clear" w:color="auto" w:fill="auto"/>
            <w:noWrap/>
            <w:vAlign w:val="center"/>
            <w:hideMark/>
          </w:tcPr>
          <w:p w14:paraId="0B1DAC72"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0C6D3AEE" w14:textId="57ADE769" w:rsidR="00DF0182" w:rsidRPr="00DF0182"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(204.204,51)</w:t>
            </w:r>
          </w:p>
        </w:tc>
        <w:tc>
          <w:tcPr>
            <w:tcW w:w="697" w:type="pct"/>
            <w:tcBorders>
              <w:top w:val="nil"/>
              <w:left w:val="nil"/>
              <w:bottom w:val="single" w:sz="4" w:space="0" w:color="auto"/>
              <w:right w:val="nil"/>
            </w:tcBorders>
            <w:shd w:val="clear" w:color="auto" w:fill="auto"/>
            <w:noWrap/>
            <w:vAlign w:val="center"/>
            <w:hideMark/>
          </w:tcPr>
          <w:p w14:paraId="557A6D33" w14:textId="01AE9267" w:rsidR="00DF0182" w:rsidRPr="00DF0182"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DF0182">
              <w:rPr>
                <w:rFonts w:eastAsia="Times New Roman"/>
                <w:b/>
                <w:bCs/>
                <w:sz w:val="16"/>
                <w:szCs w:val="16"/>
                <w:bdr w:val="none" w:sz="0" w:space="0" w:color="auto"/>
                <w:lang w:eastAsia="es-ES"/>
              </w:rPr>
              <w:t>(19.777,33)</w:t>
            </w:r>
          </w:p>
        </w:tc>
        <w:tc>
          <w:tcPr>
            <w:tcW w:w="697" w:type="pct"/>
            <w:tcBorders>
              <w:top w:val="nil"/>
              <w:left w:val="nil"/>
              <w:bottom w:val="nil"/>
              <w:right w:val="nil"/>
            </w:tcBorders>
            <w:shd w:val="clear" w:color="auto" w:fill="auto"/>
            <w:noWrap/>
            <w:vAlign w:val="center"/>
            <w:hideMark/>
          </w:tcPr>
          <w:p w14:paraId="54BC3094" w14:textId="4C2E3C7C"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w:t>
            </w:r>
          </w:p>
        </w:tc>
        <w:tc>
          <w:tcPr>
            <w:tcW w:w="697" w:type="pct"/>
            <w:tcBorders>
              <w:top w:val="nil"/>
              <w:left w:val="nil"/>
              <w:bottom w:val="single" w:sz="4" w:space="0" w:color="auto"/>
              <w:right w:val="nil"/>
            </w:tcBorders>
            <w:shd w:val="clear" w:color="auto" w:fill="auto"/>
            <w:noWrap/>
            <w:vAlign w:val="center"/>
            <w:hideMark/>
          </w:tcPr>
          <w:p w14:paraId="52A08744" w14:textId="795DEDAA"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6"/>
                <w:szCs w:val="16"/>
                <w:bdr w:val="none" w:sz="0" w:space="0" w:color="auto"/>
                <w:lang w:eastAsia="es-ES"/>
              </w:rPr>
            </w:pPr>
            <w:r>
              <w:rPr>
                <w:b/>
                <w:bCs/>
                <w:sz w:val="16"/>
                <w:szCs w:val="16"/>
              </w:rPr>
              <w:t>(223.981,84)</w:t>
            </w:r>
          </w:p>
        </w:tc>
      </w:tr>
      <w:tr w:rsidR="00DF0182" w:rsidRPr="007E7835" w14:paraId="1EDCFDFE" w14:textId="77777777" w:rsidTr="005644E5">
        <w:trPr>
          <w:trHeight w:val="283"/>
        </w:trPr>
        <w:tc>
          <w:tcPr>
            <w:tcW w:w="2212" w:type="pct"/>
            <w:tcBorders>
              <w:top w:val="single" w:sz="4" w:space="0" w:color="auto"/>
              <w:left w:val="nil"/>
              <w:bottom w:val="single" w:sz="4" w:space="0" w:color="auto"/>
              <w:right w:val="nil"/>
            </w:tcBorders>
            <w:shd w:val="clear" w:color="auto" w:fill="auto"/>
            <w:noWrap/>
            <w:vAlign w:val="center"/>
            <w:hideMark/>
          </w:tcPr>
          <w:p w14:paraId="794157B8" w14:textId="77777777" w:rsidR="00DF0182" w:rsidRPr="008C7670"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8C7670">
              <w:rPr>
                <w:rFonts w:eastAsia="Times New Roman"/>
                <w:b/>
                <w:bCs/>
                <w:sz w:val="16"/>
                <w:szCs w:val="16"/>
                <w:bdr w:val="none" w:sz="0" w:space="0" w:color="auto"/>
                <w:lang w:eastAsia="es-ES"/>
              </w:rPr>
              <w:t>Valor neto contable</w:t>
            </w:r>
          </w:p>
        </w:tc>
        <w:tc>
          <w:tcPr>
            <w:tcW w:w="697" w:type="pct"/>
            <w:tcBorders>
              <w:top w:val="nil"/>
              <w:left w:val="nil"/>
              <w:bottom w:val="single" w:sz="4" w:space="0" w:color="auto"/>
              <w:right w:val="nil"/>
            </w:tcBorders>
            <w:shd w:val="clear" w:color="auto" w:fill="auto"/>
            <w:noWrap/>
            <w:vAlign w:val="center"/>
            <w:hideMark/>
          </w:tcPr>
          <w:p w14:paraId="5ACF2427" w14:textId="1550B270" w:rsidR="00DF0182" w:rsidRPr="00DF0182"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19.777,34</w:t>
            </w:r>
          </w:p>
        </w:tc>
        <w:tc>
          <w:tcPr>
            <w:tcW w:w="697" w:type="pct"/>
            <w:tcBorders>
              <w:top w:val="nil"/>
              <w:left w:val="nil"/>
              <w:bottom w:val="single" w:sz="4" w:space="0" w:color="auto"/>
              <w:right w:val="nil"/>
            </w:tcBorders>
            <w:shd w:val="clear" w:color="auto" w:fill="auto"/>
            <w:noWrap/>
            <w:vAlign w:val="center"/>
            <w:hideMark/>
          </w:tcPr>
          <w:p w14:paraId="57AAE52D"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single" w:sz="4" w:space="0" w:color="auto"/>
              <w:left w:val="nil"/>
              <w:bottom w:val="single" w:sz="4" w:space="0" w:color="auto"/>
              <w:right w:val="nil"/>
            </w:tcBorders>
            <w:shd w:val="clear" w:color="auto" w:fill="auto"/>
            <w:noWrap/>
            <w:vAlign w:val="center"/>
            <w:hideMark/>
          </w:tcPr>
          <w:p w14:paraId="5226D699" w14:textId="77777777"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697" w:type="pct"/>
            <w:tcBorders>
              <w:top w:val="nil"/>
              <w:left w:val="nil"/>
              <w:bottom w:val="single" w:sz="4" w:space="0" w:color="auto"/>
              <w:right w:val="nil"/>
            </w:tcBorders>
            <w:shd w:val="clear" w:color="auto" w:fill="auto"/>
            <w:noWrap/>
            <w:vAlign w:val="center"/>
            <w:hideMark/>
          </w:tcPr>
          <w:p w14:paraId="370390F6" w14:textId="217E1446" w:rsidR="00DF0182" w:rsidRPr="007E7835" w:rsidRDefault="00DF0182" w:rsidP="00DF018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0,01</w:t>
            </w:r>
          </w:p>
        </w:tc>
      </w:tr>
    </w:tbl>
    <w:p w14:paraId="2616242E" w14:textId="77777777" w:rsidR="006220A2" w:rsidRPr="0083433F" w:rsidRDefault="008B575B" w:rsidP="001B5A15">
      <w:pPr>
        <w:widowControl w:val="0"/>
        <w:tabs>
          <w:tab w:val="left" w:pos="284"/>
        </w:tabs>
        <w:spacing w:before="240" w:after="120" w:line="260" w:lineRule="exact"/>
        <w:jc w:val="both"/>
        <w:outlineLvl w:val="9"/>
        <w:rPr>
          <w:sz w:val="20"/>
          <w:szCs w:val="22"/>
        </w:rPr>
      </w:pPr>
      <w:r>
        <w:rPr>
          <w:snapToGrid w:val="0"/>
          <w:sz w:val="20"/>
          <w:szCs w:val="22"/>
        </w:rPr>
        <w:t>a)</w:t>
      </w:r>
      <w:r w:rsidR="006220A2" w:rsidRPr="0083433F">
        <w:rPr>
          <w:snapToGrid w:val="0"/>
          <w:sz w:val="20"/>
          <w:szCs w:val="22"/>
        </w:rPr>
        <w:tab/>
      </w:r>
      <w:r w:rsidR="006220A2" w:rsidRPr="0083433F">
        <w:rPr>
          <w:snapToGrid w:val="0"/>
          <w:sz w:val="20"/>
          <w:szCs w:val="22"/>
          <w:u w:val="single"/>
        </w:rPr>
        <w:t>Inmovilizado intangible totalmente amortizado</w:t>
      </w:r>
    </w:p>
    <w:p w14:paraId="3A76CF8E" w14:textId="11789977" w:rsidR="006220A2" w:rsidRPr="0083433F" w:rsidRDefault="006220A2" w:rsidP="004A41D6">
      <w:pPr>
        <w:widowControl w:val="0"/>
        <w:spacing w:before="120" w:after="120" w:line="260" w:lineRule="exact"/>
        <w:jc w:val="both"/>
        <w:outlineLvl w:val="9"/>
        <w:rPr>
          <w:snapToGrid w:val="0"/>
          <w:sz w:val="20"/>
          <w:szCs w:val="22"/>
        </w:rPr>
      </w:pPr>
      <w:r w:rsidRPr="0083433F">
        <w:rPr>
          <w:snapToGrid w:val="0"/>
          <w:sz w:val="20"/>
          <w:szCs w:val="22"/>
        </w:rPr>
        <w:t>A 31 de diciembre de 20</w:t>
      </w:r>
      <w:r w:rsidR="007F2865">
        <w:rPr>
          <w:snapToGrid w:val="0"/>
          <w:sz w:val="20"/>
          <w:szCs w:val="22"/>
        </w:rPr>
        <w:t>2</w:t>
      </w:r>
      <w:r w:rsidR="00DF0182">
        <w:rPr>
          <w:snapToGrid w:val="0"/>
          <w:sz w:val="20"/>
          <w:szCs w:val="22"/>
        </w:rPr>
        <w:t>3</w:t>
      </w:r>
      <w:r w:rsidR="002427AC">
        <w:rPr>
          <w:snapToGrid w:val="0"/>
          <w:sz w:val="20"/>
          <w:szCs w:val="22"/>
        </w:rPr>
        <w:t xml:space="preserve"> y 2022</w:t>
      </w:r>
      <w:r w:rsidRPr="0083433F">
        <w:rPr>
          <w:snapToGrid w:val="0"/>
          <w:sz w:val="20"/>
          <w:szCs w:val="22"/>
        </w:rPr>
        <w:t xml:space="preserve"> dentro del epígrafe de aplicaciones informáticas existen con un coste </w:t>
      </w:r>
      <w:r w:rsidRPr="00A76DB8">
        <w:rPr>
          <w:snapToGrid w:val="0"/>
          <w:sz w:val="20"/>
          <w:szCs w:val="22"/>
        </w:rPr>
        <w:t>original de</w:t>
      </w:r>
      <w:r w:rsidR="00D57DCF" w:rsidRPr="005644E5">
        <w:rPr>
          <w:snapToGrid w:val="0"/>
          <w:sz w:val="20"/>
          <w:szCs w:val="22"/>
        </w:rPr>
        <w:t xml:space="preserve"> </w:t>
      </w:r>
      <w:r w:rsidR="00261795">
        <w:rPr>
          <w:snapToGrid w:val="0"/>
          <w:sz w:val="20"/>
          <w:szCs w:val="22"/>
        </w:rPr>
        <w:t>218.238,9</w:t>
      </w:r>
      <w:r w:rsidR="00E160E1">
        <w:rPr>
          <w:snapToGrid w:val="0"/>
          <w:sz w:val="20"/>
          <w:szCs w:val="22"/>
        </w:rPr>
        <w:t>7</w:t>
      </w:r>
      <w:r w:rsidR="00D57DCF" w:rsidRPr="005644E5">
        <w:rPr>
          <w:snapToGrid w:val="0"/>
          <w:sz w:val="20"/>
          <w:szCs w:val="22"/>
        </w:rPr>
        <w:t xml:space="preserve"> </w:t>
      </w:r>
      <w:r w:rsidRPr="0083433F">
        <w:rPr>
          <w:snapToGrid w:val="0"/>
          <w:sz w:val="20"/>
          <w:szCs w:val="22"/>
        </w:rPr>
        <w:t>euros</w:t>
      </w:r>
      <w:r w:rsidRPr="005644E5">
        <w:rPr>
          <w:snapToGrid w:val="0"/>
          <w:sz w:val="20"/>
          <w:szCs w:val="22"/>
        </w:rPr>
        <w:t xml:space="preserve"> elementos </w:t>
      </w:r>
      <w:r w:rsidRPr="0083433F">
        <w:rPr>
          <w:snapToGrid w:val="0"/>
          <w:sz w:val="20"/>
          <w:szCs w:val="22"/>
        </w:rPr>
        <w:t xml:space="preserve">que están totalmente amortizados y que todavía están en uso y en propiedad industrial 5.742,87 euros. </w:t>
      </w:r>
    </w:p>
    <w:p w14:paraId="7B054210" w14:textId="77777777" w:rsidR="006220A2" w:rsidRPr="0083433F" w:rsidRDefault="006220A2" w:rsidP="00F5041C">
      <w:pPr>
        <w:widowControl w:val="0"/>
        <w:tabs>
          <w:tab w:val="left" w:pos="284"/>
        </w:tabs>
        <w:spacing w:before="200" w:line="276" w:lineRule="auto"/>
        <w:rPr>
          <w:sz w:val="20"/>
          <w:szCs w:val="22"/>
        </w:rPr>
      </w:pPr>
      <w:r w:rsidRPr="0083433F">
        <w:rPr>
          <w:snapToGrid w:val="0"/>
          <w:sz w:val="20"/>
          <w:szCs w:val="22"/>
        </w:rPr>
        <w:t>b)</w:t>
      </w:r>
      <w:r w:rsidRPr="0083433F">
        <w:rPr>
          <w:snapToGrid w:val="0"/>
          <w:sz w:val="20"/>
          <w:szCs w:val="22"/>
        </w:rPr>
        <w:tab/>
      </w:r>
      <w:r w:rsidRPr="0083433F">
        <w:rPr>
          <w:snapToGrid w:val="0"/>
          <w:sz w:val="20"/>
          <w:szCs w:val="22"/>
          <w:u w:val="single"/>
        </w:rPr>
        <w:t>Seguros</w:t>
      </w:r>
    </w:p>
    <w:p w14:paraId="13C46AF5" w14:textId="5F706D9A" w:rsidR="005644E5" w:rsidRDefault="006220A2" w:rsidP="004A41D6">
      <w:pPr>
        <w:widowControl w:val="0"/>
        <w:spacing w:before="120" w:after="120" w:line="260" w:lineRule="exact"/>
        <w:jc w:val="both"/>
        <w:outlineLvl w:val="9"/>
        <w:rPr>
          <w:snapToGrid w:val="0"/>
          <w:sz w:val="20"/>
          <w:szCs w:val="22"/>
        </w:rPr>
      </w:pPr>
      <w:r w:rsidRPr="0083433F">
        <w:rPr>
          <w:snapToGrid w:val="0"/>
          <w:sz w:val="20"/>
          <w:szCs w:val="22"/>
        </w:rPr>
        <w:t>La Sociedad tiene contratadas varias pólizas de seguro para cubrir los riesgos a que están sujetos los bienes del inmovilizado intangible. La cobertura de estas pólizas se considera suficiente.</w:t>
      </w:r>
    </w:p>
    <w:p w14:paraId="7729855C" w14:textId="77777777" w:rsidR="005644E5" w:rsidRDefault="005644E5">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710E27EB" w14:textId="01C364EC" w:rsidR="006220A2" w:rsidRPr="00F5041C" w:rsidRDefault="00F5041C"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F5041C">
        <w:rPr>
          <w:b/>
          <w:snapToGrid w:val="0"/>
          <w:sz w:val="22"/>
          <w:szCs w:val="22"/>
        </w:rPr>
        <w:t>Inmovilizado material</w:t>
      </w:r>
    </w:p>
    <w:p w14:paraId="471E632C" w14:textId="60DD808F" w:rsidR="006220A2" w:rsidRPr="005644E5" w:rsidRDefault="006220A2" w:rsidP="004A41D6">
      <w:pPr>
        <w:widowControl w:val="0"/>
        <w:spacing w:before="120" w:after="120" w:line="260" w:lineRule="exact"/>
        <w:jc w:val="both"/>
        <w:outlineLvl w:val="9"/>
        <w:rPr>
          <w:snapToGrid w:val="0"/>
          <w:sz w:val="20"/>
          <w:szCs w:val="22"/>
        </w:rPr>
      </w:pPr>
      <w:r w:rsidRPr="005644E5">
        <w:rPr>
          <w:snapToGrid w:val="0"/>
          <w:sz w:val="20"/>
          <w:szCs w:val="22"/>
        </w:rPr>
        <w:t>El detalle y movimiento de</w:t>
      </w:r>
      <w:r w:rsidR="005644E5">
        <w:rPr>
          <w:snapToGrid w:val="0"/>
          <w:sz w:val="20"/>
          <w:szCs w:val="22"/>
        </w:rPr>
        <w:t>l</w:t>
      </w:r>
      <w:r w:rsidRPr="005644E5">
        <w:rPr>
          <w:snapToGrid w:val="0"/>
          <w:sz w:val="20"/>
          <w:szCs w:val="22"/>
        </w:rPr>
        <w:t xml:space="preserve"> “Inmovilizado material” </w:t>
      </w:r>
      <w:r w:rsidR="00AD73A0" w:rsidRPr="005644E5">
        <w:rPr>
          <w:snapToGrid w:val="0"/>
          <w:sz w:val="20"/>
          <w:szCs w:val="22"/>
        </w:rPr>
        <w:t>en el ejercicio 20</w:t>
      </w:r>
      <w:r w:rsidR="008B575B" w:rsidRPr="005644E5">
        <w:rPr>
          <w:snapToGrid w:val="0"/>
          <w:sz w:val="20"/>
          <w:szCs w:val="22"/>
        </w:rPr>
        <w:t>2</w:t>
      </w:r>
      <w:r w:rsidR="00C746C1">
        <w:rPr>
          <w:snapToGrid w:val="0"/>
          <w:sz w:val="20"/>
          <w:szCs w:val="22"/>
        </w:rPr>
        <w:t>3</w:t>
      </w:r>
      <w:r w:rsidRPr="005644E5">
        <w:rPr>
          <w:snapToGrid w:val="0"/>
          <w:sz w:val="20"/>
          <w:szCs w:val="22"/>
        </w:rPr>
        <w:t xml:space="preserve"> es el siguiente:</w:t>
      </w:r>
    </w:p>
    <w:tbl>
      <w:tblPr>
        <w:tblW w:w="8722" w:type="dxa"/>
        <w:tblCellMar>
          <w:left w:w="70" w:type="dxa"/>
          <w:right w:w="70" w:type="dxa"/>
        </w:tblCellMar>
        <w:tblLook w:val="04A0" w:firstRow="1" w:lastRow="0" w:firstColumn="1" w:lastColumn="0" w:noHBand="0" w:noVBand="1"/>
      </w:tblPr>
      <w:tblGrid>
        <w:gridCol w:w="2436"/>
        <w:gridCol w:w="1279"/>
        <w:gridCol w:w="1246"/>
        <w:gridCol w:w="1237"/>
        <w:gridCol w:w="1243"/>
        <w:gridCol w:w="1281"/>
      </w:tblGrid>
      <w:tr w:rsidR="00D57DCF" w:rsidRPr="007E7835" w14:paraId="2299EC23" w14:textId="77777777" w:rsidTr="00D57DCF">
        <w:trPr>
          <w:trHeight w:val="195"/>
        </w:trPr>
        <w:tc>
          <w:tcPr>
            <w:tcW w:w="2436" w:type="dxa"/>
            <w:tcBorders>
              <w:top w:val="single" w:sz="4" w:space="0" w:color="auto"/>
              <w:left w:val="nil"/>
              <w:bottom w:val="nil"/>
              <w:right w:val="nil"/>
            </w:tcBorders>
            <w:shd w:val="clear" w:color="auto" w:fill="auto"/>
            <w:vAlign w:val="center"/>
            <w:hideMark/>
          </w:tcPr>
          <w:p w14:paraId="73CF721D"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6286" w:type="dxa"/>
            <w:gridSpan w:val="5"/>
            <w:tcBorders>
              <w:top w:val="single" w:sz="4" w:space="0" w:color="auto"/>
              <w:left w:val="nil"/>
              <w:bottom w:val="single" w:sz="4" w:space="0" w:color="auto"/>
              <w:right w:val="nil"/>
            </w:tcBorders>
            <w:shd w:val="clear" w:color="auto" w:fill="auto"/>
            <w:vAlign w:val="center"/>
            <w:hideMark/>
          </w:tcPr>
          <w:p w14:paraId="7859A849"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D57DCF" w:rsidRPr="007E7835" w14:paraId="6DEA40DB" w14:textId="77777777" w:rsidTr="00785864">
        <w:trPr>
          <w:trHeight w:val="390"/>
        </w:trPr>
        <w:tc>
          <w:tcPr>
            <w:tcW w:w="2436" w:type="dxa"/>
            <w:tcBorders>
              <w:top w:val="nil"/>
              <w:left w:val="nil"/>
              <w:bottom w:val="single" w:sz="4" w:space="0" w:color="auto"/>
              <w:right w:val="nil"/>
            </w:tcBorders>
            <w:shd w:val="clear" w:color="auto" w:fill="auto"/>
            <w:vAlign w:val="center"/>
            <w:hideMark/>
          </w:tcPr>
          <w:p w14:paraId="0604B8AF"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279" w:type="dxa"/>
            <w:tcBorders>
              <w:top w:val="nil"/>
              <w:left w:val="nil"/>
              <w:bottom w:val="single" w:sz="4" w:space="0" w:color="auto"/>
              <w:right w:val="nil"/>
            </w:tcBorders>
            <w:shd w:val="clear" w:color="auto" w:fill="auto"/>
            <w:vAlign w:val="bottom"/>
            <w:hideMark/>
          </w:tcPr>
          <w:p w14:paraId="7E2DCD5D" w14:textId="5C6D74B4"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Saldo al 31/12/20</w:t>
            </w:r>
            <w:r w:rsidR="00005631" w:rsidRPr="007639B1">
              <w:rPr>
                <w:rFonts w:eastAsia="Times New Roman"/>
                <w:b/>
                <w:bCs/>
                <w:sz w:val="16"/>
                <w:szCs w:val="16"/>
                <w:bdr w:val="none" w:sz="0" w:space="0" w:color="auto"/>
                <w:lang w:eastAsia="es-ES"/>
              </w:rPr>
              <w:t>2</w:t>
            </w:r>
            <w:r w:rsidR="00613F70">
              <w:rPr>
                <w:rFonts w:eastAsia="Times New Roman"/>
                <w:b/>
                <w:bCs/>
                <w:sz w:val="16"/>
                <w:szCs w:val="16"/>
                <w:bdr w:val="none" w:sz="0" w:space="0" w:color="auto"/>
                <w:lang w:eastAsia="es-ES"/>
              </w:rPr>
              <w:t>2</w:t>
            </w:r>
          </w:p>
        </w:tc>
        <w:tc>
          <w:tcPr>
            <w:tcW w:w="1246" w:type="dxa"/>
            <w:tcBorders>
              <w:top w:val="nil"/>
              <w:left w:val="nil"/>
              <w:bottom w:val="single" w:sz="4" w:space="0" w:color="auto"/>
              <w:right w:val="nil"/>
            </w:tcBorders>
            <w:shd w:val="clear" w:color="auto" w:fill="auto"/>
            <w:vAlign w:val="bottom"/>
            <w:hideMark/>
          </w:tcPr>
          <w:p w14:paraId="3E2C670A" w14:textId="77777777"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Altas</w:t>
            </w:r>
          </w:p>
        </w:tc>
        <w:tc>
          <w:tcPr>
            <w:tcW w:w="1237" w:type="dxa"/>
            <w:tcBorders>
              <w:top w:val="nil"/>
              <w:left w:val="nil"/>
              <w:bottom w:val="single" w:sz="4" w:space="0" w:color="auto"/>
              <w:right w:val="nil"/>
            </w:tcBorders>
            <w:shd w:val="clear" w:color="auto" w:fill="auto"/>
            <w:vAlign w:val="bottom"/>
            <w:hideMark/>
          </w:tcPr>
          <w:p w14:paraId="4879C705" w14:textId="77777777"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Bajas</w:t>
            </w:r>
          </w:p>
        </w:tc>
        <w:tc>
          <w:tcPr>
            <w:tcW w:w="1243" w:type="dxa"/>
            <w:tcBorders>
              <w:top w:val="nil"/>
              <w:left w:val="nil"/>
              <w:bottom w:val="single" w:sz="4" w:space="0" w:color="auto"/>
              <w:right w:val="nil"/>
            </w:tcBorders>
            <w:shd w:val="clear" w:color="auto" w:fill="auto"/>
            <w:vAlign w:val="bottom"/>
            <w:hideMark/>
          </w:tcPr>
          <w:p w14:paraId="02D4E33C" w14:textId="77777777"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Traspasos</w:t>
            </w:r>
          </w:p>
        </w:tc>
        <w:tc>
          <w:tcPr>
            <w:tcW w:w="1281" w:type="dxa"/>
            <w:tcBorders>
              <w:top w:val="nil"/>
              <w:left w:val="nil"/>
              <w:bottom w:val="single" w:sz="4" w:space="0" w:color="auto"/>
              <w:right w:val="nil"/>
            </w:tcBorders>
            <w:shd w:val="clear" w:color="auto" w:fill="auto"/>
            <w:vAlign w:val="bottom"/>
            <w:hideMark/>
          </w:tcPr>
          <w:p w14:paraId="3C1E3529" w14:textId="4FACB602" w:rsidR="00D57DCF" w:rsidRPr="007639B1" w:rsidRDefault="00D57DCF" w:rsidP="0078586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Saldo al 31/12/202</w:t>
            </w:r>
            <w:r w:rsidR="00613F70">
              <w:rPr>
                <w:rFonts w:eastAsia="Times New Roman"/>
                <w:b/>
                <w:bCs/>
                <w:sz w:val="16"/>
                <w:szCs w:val="16"/>
                <w:bdr w:val="none" w:sz="0" w:space="0" w:color="auto"/>
                <w:lang w:eastAsia="es-ES"/>
              </w:rPr>
              <w:t>3</w:t>
            </w:r>
          </w:p>
        </w:tc>
      </w:tr>
      <w:tr w:rsidR="00D57DCF" w:rsidRPr="007E7835" w14:paraId="219FFD18" w14:textId="77777777" w:rsidTr="00352C5B">
        <w:trPr>
          <w:trHeight w:val="255"/>
        </w:trPr>
        <w:tc>
          <w:tcPr>
            <w:tcW w:w="2436" w:type="dxa"/>
            <w:tcBorders>
              <w:top w:val="nil"/>
              <w:left w:val="nil"/>
              <w:bottom w:val="nil"/>
              <w:right w:val="nil"/>
            </w:tcBorders>
            <w:shd w:val="clear" w:color="auto" w:fill="auto"/>
            <w:vAlign w:val="center"/>
            <w:hideMark/>
          </w:tcPr>
          <w:p w14:paraId="4EC71608" w14:textId="77777777" w:rsidR="00D57DCF" w:rsidRPr="007E7835"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1279" w:type="dxa"/>
            <w:tcBorders>
              <w:top w:val="nil"/>
              <w:left w:val="nil"/>
              <w:bottom w:val="nil"/>
              <w:right w:val="nil"/>
            </w:tcBorders>
            <w:shd w:val="clear" w:color="auto" w:fill="auto"/>
            <w:vAlign w:val="center"/>
            <w:hideMark/>
          </w:tcPr>
          <w:p w14:paraId="46A51024"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hideMark/>
          </w:tcPr>
          <w:p w14:paraId="456909BF"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hideMark/>
          </w:tcPr>
          <w:p w14:paraId="69A7C7F7"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hideMark/>
          </w:tcPr>
          <w:p w14:paraId="64AF37EE"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hideMark/>
          </w:tcPr>
          <w:p w14:paraId="31018033" w14:textId="77777777" w:rsidR="00D57DCF" w:rsidRPr="007639B1" w:rsidRDefault="00D57DCF" w:rsidP="00352C5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613F70" w:rsidRPr="007E7835" w14:paraId="3C84916D" w14:textId="77777777" w:rsidTr="00470F32">
        <w:trPr>
          <w:trHeight w:val="283"/>
        </w:trPr>
        <w:tc>
          <w:tcPr>
            <w:tcW w:w="2436" w:type="dxa"/>
            <w:tcBorders>
              <w:top w:val="nil"/>
              <w:left w:val="nil"/>
              <w:bottom w:val="nil"/>
              <w:right w:val="nil"/>
            </w:tcBorders>
            <w:shd w:val="clear" w:color="auto" w:fill="auto"/>
            <w:vAlign w:val="center"/>
            <w:hideMark/>
          </w:tcPr>
          <w:p w14:paraId="11BD5006"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vAlign w:val="center"/>
          </w:tcPr>
          <w:p w14:paraId="26B3A28A" w14:textId="4A86EA7A"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439.024,59</w:t>
            </w:r>
          </w:p>
        </w:tc>
        <w:tc>
          <w:tcPr>
            <w:tcW w:w="1246" w:type="dxa"/>
            <w:tcBorders>
              <w:top w:val="nil"/>
              <w:left w:val="nil"/>
              <w:bottom w:val="nil"/>
              <w:right w:val="nil"/>
            </w:tcBorders>
            <w:shd w:val="clear" w:color="auto" w:fill="auto"/>
            <w:vAlign w:val="center"/>
          </w:tcPr>
          <w:p w14:paraId="546F4FFD" w14:textId="5125B182" w:rsidR="00613F70" w:rsidRPr="00470F32" w:rsidRDefault="006E6E08"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1237" w:type="dxa"/>
            <w:tcBorders>
              <w:top w:val="nil"/>
              <w:left w:val="nil"/>
              <w:bottom w:val="nil"/>
              <w:right w:val="nil"/>
            </w:tcBorders>
            <w:shd w:val="clear" w:color="auto" w:fill="auto"/>
            <w:vAlign w:val="center"/>
          </w:tcPr>
          <w:p w14:paraId="4D5C7E2B" w14:textId="70EA584A"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43" w:type="dxa"/>
            <w:tcBorders>
              <w:top w:val="nil"/>
              <w:left w:val="nil"/>
              <w:bottom w:val="nil"/>
              <w:right w:val="nil"/>
            </w:tcBorders>
            <w:shd w:val="clear" w:color="auto" w:fill="auto"/>
            <w:vAlign w:val="center"/>
          </w:tcPr>
          <w:p w14:paraId="7061089E" w14:textId="00633760"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vAlign w:val="center"/>
          </w:tcPr>
          <w:p w14:paraId="55947CCC" w14:textId="7519653C"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439.024,59</w:t>
            </w:r>
          </w:p>
        </w:tc>
      </w:tr>
      <w:tr w:rsidR="00613F70" w:rsidRPr="007E7835" w14:paraId="4723AB32" w14:textId="77777777" w:rsidTr="00470F32">
        <w:trPr>
          <w:trHeight w:val="283"/>
        </w:trPr>
        <w:tc>
          <w:tcPr>
            <w:tcW w:w="2436" w:type="dxa"/>
            <w:tcBorders>
              <w:top w:val="nil"/>
              <w:left w:val="nil"/>
              <w:bottom w:val="nil"/>
              <w:right w:val="nil"/>
            </w:tcBorders>
            <w:shd w:val="clear" w:color="auto" w:fill="auto"/>
            <w:vAlign w:val="center"/>
            <w:hideMark/>
          </w:tcPr>
          <w:p w14:paraId="44CBCAFA"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vAlign w:val="center"/>
          </w:tcPr>
          <w:p w14:paraId="5936C47E" w14:textId="34DE35D8"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31.551,32</w:t>
            </w:r>
          </w:p>
        </w:tc>
        <w:tc>
          <w:tcPr>
            <w:tcW w:w="1246" w:type="dxa"/>
            <w:tcBorders>
              <w:top w:val="nil"/>
              <w:left w:val="nil"/>
              <w:bottom w:val="nil"/>
              <w:right w:val="nil"/>
            </w:tcBorders>
            <w:shd w:val="clear" w:color="auto" w:fill="auto"/>
            <w:vAlign w:val="center"/>
          </w:tcPr>
          <w:p w14:paraId="251CF04A" w14:textId="2E17AE48" w:rsidR="00613F70" w:rsidRPr="00470F32" w:rsidRDefault="006E6E08"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1237" w:type="dxa"/>
            <w:tcBorders>
              <w:top w:val="nil"/>
              <w:left w:val="nil"/>
              <w:bottom w:val="nil"/>
              <w:right w:val="nil"/>
            </w:tcBorders>
            <w:shd w:val="clear" w:color="auto" w:fill="auto"/>
            <w:vAlign w:val="center"/>
          </w:tcPr>
          <w:p w14:paraId="623B0A8B" w14:textId="694A1214"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43" w:type="dxa"/>
            <w:tcBorders>
              <w:top w:val="nil"/>
              <w:left w:val="nil"/>
              <w:bottom w:val="nil"/>
              <w:right w:val="nil"/>
            </w:tcBorders>
            <w:shd w:val="clear" w:color="auto" w:fill="auto"/>
            <w:vAlign w:val="center"/>
          </w:tcPr>
          <w:p w14:paraId="0E10512A" w14:textId="22350243"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vAlign w:val="center"/>
          </w:tcPr>
          <w:p w14:paraId="2306637E" w14:textId="412E2586"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31.551,32</w:t>
            </w:r>
          </w:p>
        </w:tc>
      </w:tr>
      <w:tr w:rsidR="00613F70" w:rsidRPr="007E7835" w14:paraId="206C67E6" w14:textId="77777777" w:rsidTr="00470F32">
        <w:trPr>
          <w:trHeight w:val="283"/>
        </w:trPr>
        <w:tc>
          <w:tcPr>
            <w:tcW w:w="2436" w:type="dxa"/>
            <w:tcBorders>
              <w:top w:val="nil"/>
              <w:left w:val="nil"/>
              <w:bottom w:val="nil"/>
              <w:right w:val="nil"/>
            </w:tcBorders>
            <w:shd w:val="clear" w:color="auto" w:fill="auto"/>
            <w:vAlign w:val="center"/>
            <w:hideMark/>
          </w:tcPr>
          <w:p w14:paraId="3E6B6F83"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vAlign w:val="center"/>
          </w:tcPr>
          <w:p w14:paraId="3AA1BFF8" w14:textId="4BC46C0C"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444.642,01</w:t>
            </w:r>
          </w:p>
        </w:tc>
        <w:tc>
          <w:tcPr>
            <w:tcW w:w="1246" w:type="dxa"/>
            <w:tcBorders>
              <w:top w:val="nil"/>
              <w:left w:val="nil"/>
              <w:bottom w:val="nil"/>
              <w:right w:val="nil"/>
            </w:tcBorders>
            <w:shd w:val="clear" w:color="auto" w:fill="auto"/>
            <w:vAlign w:val="center"/>
          </w:tcPr>
          <w:p w14:paraId="6A4E5C97" w14:textId="72682D01"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3.659,84</w:t>
            </w:r>
          </w:p>
        </w:tc>
        <w:tc>
          <w:tcPr>
            <w:tcW w:w="1237" w:type="dxa"/>
            <w:tcBorders>
              <w:top w:val="nil"/>
              <w:left w:val="nil"/>
              <w:bottom w:val="nil"/>
              <w:right w:val="nil"/>
            </w:tcBorders>
            <w:shd w:val="clear" w:color="auto" w:fill="auto"/>
            <w:vAlign w:val="center"/>
          </w:tcPr>
          <w:p w14:paraId="5B430257" w14:textId="59A48B91"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43" w:type="dxa"/>
            <w:tcBorders>
              <w:top w:val="nil"/>
              <w:left w:val="nil"/>
              <w:bottom w:val="nil"/>
              <w:right w:val="nil"/>
            </w:tcBorders>
            <w:shd w:val="clear" w:color="auto" w:fill="auto"/>
            <w:vAlign w:val="center"/>
          </w:tcPr>
          <w:p w14:paraId="34BDBC9E" w14:textId="501C4D02"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vAlign w:val="center"/>
          </w:tcPr>
          <w:p w14:paraId="6DF9BA49" w14:textId="31E62F46"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448.301,85</w:t>
            </w:r>
          </w:p>
        </w:tc>
      </w:tr>
      <w:tr w:rsidR="00613F70" w:rsidRPr="007E7835" w14:paraId="5C63BF0C" w14:textId="77777777" w:rsidTr="00470F32">
        <w:trPr>
          <w:trHeight w:val="283"/>
        </w:trPr>
        <w:tc>
          <w:tcPr>
            <w:tcW w:w="2436" w:type="dxa"/>
            <w:tcBorders>
              <w:top w:val="nil"/>
              <w:left w:val="nil"/>
              <w:bottom w:val="nil"/>
              <w:right w:val="nil"/>
            </w:tcBorders>
            <w:shd w:val="clear" w:color="auto" w:fill="auto"/>
            <w:vAlign w:val="center"/>
            <w:hideMark/>
          </w:tcPr>
          <w:p w14:paraId="79DAB340"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nil"/>
              <w:right w:val="nil"/>
            </w:tcBorders>
            <w:shd w:val="clear" w:color="auto" w:fill="auto"/>
            <w:vAlign w:val="center"/>
          </w:tcPr>
          <w:p w14:paraId="561B9024" w14:textId="4971D443"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366.438,39</w:t>
            </w:r>
          </w:p>
        </w:tc>
        <w:tc>
          <w:tcPr>
            <w:tcW w:w="1246" w:type="dxa"/>
            <w:tcBorders>
              <w:top w:val="nil"/>
              <w:left w:val="nil"/>
              <w:bottom w:val="nil"/>
              <w:right w:val="nil"/>
            </w:tcBorders>
            <w:shd w:val="clear" w:color="auto" w:fill="auto"/>
            <w:vAlign w:val="center"/>
          </w:tcPr>
          <w:p w14:paraId="7A759283" w14:textId="21937F31"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2.347,50</w:t>
            </w:r>
          </w:p>
        </w:tc>
        <w:tc>
          <w:tcPr>
            <w:tcW w:w="1237" w:type="dxa"/>
            <w:tcBorders>
              <w:top w:val="nil"/>
              <w:left w:val="nil"/>
              <w:bottom w:val="nil"/>
              <w:right w:val="nil"/>
            </w:tcBorders>
            <w:shd w:val="clear" w:color="auto" w:fill="auto"/>
            <w:vAlign w:val="center"/>
          </w:tcPr>
          <w:p w14:paraId="0B8298D7" w14:textId="32AB9E3F"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(1.019,25)</w:t>
            </w:r>
          </w:p>
        </w:tc>
        <w:tc>
          <w:tcPr>
            <w:tcW w:w="1243" w:type="dxa"/>
            <w:tcBorders>
              <w:top w:val="nil"/>
              <w:left w:val="nil"/>
              <w:bottom w:val="nil"/>
              <w:right w:val="nil"/>
            </w:tcBorders>
            <w:shd w:val="clear" w:color="auto" w:fill="auto"/>
            <w:vAlign w:val="center"/>
          </w:tcPr>
          <w:p w14:paraId="2C2E1D4A" w14:textId="22CC7643"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vAlign w:val="center"/>
          </w:tcPr>
          <w:p w14:paraId="002667AB" w14:textId="1A063DF0"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367.766,64</w:t>
            </w:r>
          </w:p>
        </w:tc>
      </w:tr>
      <w:tr w:rsidR="00613F70" w:rsidRPr="007E7835" w14:paraId="45366F15" w14:textId="77777777" w:rsidTr="00470F32">
        <w:trPr>
          <w:trHeight w:val="283"/>
        </w:trPr>
        <w:tc>
          <w:tcPr>
            <w:tcW w:w="2436" w:type="dxa"/>
            <w:tcBorders>
              <w:top w:val="nil"/>
              <w:left w:val="nil"/>
              <w:bottom w:val="nil"/>
              <w:right w:val="nil"/>
            </w:tcBorders>
            <w:shd w:val="clear" w:color="auto" w:fill="auto"/>
            <w:vAlign w:val="center"/>
          </w:tcPr>
          <w:p w14:paraId="042190CE" w14:textId="47102293"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rFonts w:eastAsia="Times New Roman"/>
                <w:sz w:val="16"/>
                <w:szCs w:val="16"/>
                <w:bdr w:val="none" w:sz="0" w:space="0" w:color="auto"/>
                <w:lang w:eastAsia="es-ES"/>
              </w:rPr>
              <w:t xml:space="preserve">Anticipos </w:t>
            </w:r>
            <w:proofErr w:type="spellStart"/>
            <w:r>
              <w:rPr>
                <w:rFonts w:eastAsia="Times New Roman"/>
                <w:sz w:val="16"/>
                <w:szCs w:val="16"/>
                <w:bdr w:val="none" w:sz="0" w:space="0" w:color="auto"/>
                <w:lang w:eastAsia="es-ES"/>
              </w:rPr>
              <w:t>inmov</w:t>
            </w:r>
            <w:proofErr w:type="spellEnd"/>
            <w:r>
              <w:rPr>
                <w:rFonts w:eastAsia="Times New Roman"/>
                <w:sz w:val="16"/>
                <w:szCs w:val="16"/>
                <w:bdr w:val="none" w:sz="0" w:space="0" w:color="auto"/>
                <w:lang w:eastAsia="es-ES"/>
              </w:rPr>
              <w:t xml:space="preserve"> materiales</w:t>
            </w:r>
          </w:p>
        </w:tc>
        <w:tc>
          <w:tcPr>
            <w:tcW w:w="1279" w:type="dxa"/>
            <w:tcBorders>
              <w:top w:val="nil"/>
              <w:left w:val="nil"/>
              <w:bottom w:val="nil"/>
              <w:right w:val="nil"/>
            </w:tcBorders>
            <w:shd w:val="clear" w:color="auto" w:fill="auto"/>
            <w:vAlign w:val="center"/>
          </w:tcPr>
          <w:p w14:paraId="16BCE0F8" w14:textId="5AA4129E"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w:t>
            </w:r>
          </w:p>
        </w:tc>
        <w:tc>
          <w:tcPr>
            <w:tcW w:w="1246" w:type="dxa"/>
            <w:tcBorders>
              <w:top w:val="nil"/>
              <w:left w:val="nil"/>
              <w:bottom w:val="nil"/>
              <w:right w:val="nil"/>
            </w:tcBorders>
            <w:shd w:val="clear" w:color="auto" w:fill="auto"/>
            <w:vAlign w:val="center"/>
          </w:tcPr>
          <w:p w14:paraId="670F420E" w14:textId="32835025"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3.638,94</w:t>
            </w:r>
          </w:p>
        </w:tc>
        <w:tc>
          <w:tcPr>
            <w:tcW w:w="1237" w:type="dxa"/>
            <w:tcBorders>
              <w:top w:val="nil"/>
              <w:left w:val="nil"/>
              <w:bottom w:val="nil"/>
              <w:right w:val="nil"/>
            </w:tcBorders>
            <w:shd w:val="clear" w:color="auto" w:fill="auto"/>
            <w:vAlign w:val="center"/>
          </w:tcPr>
          <w:p w14:paraId="4F65F7FA" w14:textId="27A15911"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tcPr>
          <w:p w14:paraId="15E70EBC" w14:textId="0692061B" w:rsidR="00613F70" w:rsidRPr="00470F32" w:rsidRDefault="00613F70" w:rsidP="00470F3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vAlign w:val="center"/>
          </w:tcPr>
          <w:p w14:paraId="5C2CFEC3" w14:textId="07DD7DC2"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3.638,94</w:t>
            </w:r>
          </w:p>
        </w:tc>
      </w:tr>
      <w:tr w:rsidR="002427AC" w:rsidRPr="007E7835" w14:paraId="75ADEDAE" w14:textId="77777777" w:rsidTr="00470F32">
        <w:trPr>
          <w:trHeight w:val="283"/>
        </w:trPr>
        <w:tc>
          <w:tcPr>
            <w:tcW w:w="2436" w:type="dxa"/>
            <w:tcBorders>
              <w:top w:val="nil"/>
              <w:left w:val="nil"/>
              <w:bottom w:val="nil"/>
              <w:right w:val="nil"/>
            </w:tcBorders>
            <w:shd w:val="clear" w:color="auto" w:fill="auto"/>
            <w:vAlign w:val="center"/>
            <w:hideMark/>
          </w:tcPr>
          <w:p w14:paraId="79A5047A" w14:textId="77777777" w:rsidR="002427AC" w:rsidRPr="007E7835" w:rsidRDefault="002427AC" w:rsidP="002427A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1279" w:type="dxa"/>
            <w:tcBorders>
              <w:top w:val="single" w:sz="4" w:space="0" w:color="auto"/>
              <w:left w:val="nil"/>
              <w:bottom w:val="single" w:sz="4" w:space="0" w:color="auto"/>
              <w:right w:val="nil"/>
            </w:tcBorders>
            <w:shd w:val="clear" w:color="auto" w:fill="auto"/>
            <w:vAlign w:val="center"/>
          </w:tcPr>
          <w:p w14:paraId="4AA9B1BC" w14:textId="6381FABA"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1.281.656,31</w:t>
            </w:r>
          </w:p>
        </w:tc>
        <w:tc>
          <w:tcPr>
            <w:tcW w:w="1246" w:type="dxa"/>
            <w:tcBorders>
              <w:top w:val="single" w:sz="4" w:space="0" w:color="auto"/>
              <w:left w:val="nil"/>
              <w:bottom w:val="single" w:sz="4" w:space="0" w:color="auto"/>
              <w:right w:val="nil"/>
            </w:tcBorders>
            <w:shd w:val="clear" w:color="auto" w:fill="auto"/>
            <w:vAlign w:val="center"/>
          </w:tcPr>
          <w:p w14:paraId="6B14450C" w14:textId="39508CC4"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9.646,28</w:t>
            </w:r>
          </w:p>
        </w:tc>
        <w:tc>
          <w:tcPr>
            <w:tcW w:w="1237" w:type="dxa"/>
            <w:tcBorders>
              <w:top w:val="single" w:sz="4" w:space="0" w:color="auto"/>
              <w:left w:val="nil"/>
              <w:bottom w:val="single" w:sz="4" w:space="0" w:color="auto"/>
              <w:right w:val="nil"/>
            </w:tcBorders>
            <w:shd w:val="clear" w:color="auto" w:fill="auto"/>
            <w:vAlign w:val="center"/>
          </w:tcPr>
          <w:p w14:paraId="03A9CFB4" w14:textId="2AD99FA3"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(1.019,25)</w:t>
            </w:r>
          </w:p>
        </w:tc>
        <w:tc>
          <w:tcPr>
            <w:tcW w:w="1243" w:type="dxa"/>
            <w:tcBorders>
              <w:top w:val="single" w:sz="4" w:space="0" w:color="auto"/>
              <w:left w:val="nil"/>
              <w:bottom w:val="single" w:sz="4" w:space="0" w:color="auto"/>
              <w:right w:val="nil"/>
            </w:tcBorders>
            <w:shd w:val="clear" w:color="auto" w:fill="auto"/>
            <w:vAlign w:val="center"/>
          </w:tcPr>
          <w:p w14:paraId="2491E710" w14:textId="61E2FF56"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rFonts w:eastAsia="Times New Roman"/>
                <w:b/>
                <w:bCs/>
                <w:sz w:val="16"/>
                <w:szCs w:val="16"/>
                <w:bdr w:val="none" w:sz="0" w:space="0" w:color="auto"/>
                <w:lang w:eastAsia="es-ES"/>
              </w:rPr>
              <w:t>-</w:t>
            </w:r>
          </w:p>
        </w:tc>
        <w:tc>
          <w:tcPr>
            <w:tcW w:w="1281" w:type="dxa"/>
            <w:tcBorders>
              <w:top w:val="single" w:sz="4" w:space="0" w:color="auto"/>
              <w:left w:val="nil"/>
              <w:bottom w:val="single" w:sz="4" w:space="0" w:color="auto"/>
              <w:right w:val="nil"/>
            </w:tcBorders>
            <w:shd w:val="clear" w:color="auto" w:fill="auto"/>
            <w:vAlign w:val="center"/>
          </w:tcPr>
          <w:p w14:paraId="0C5A0CE9" w14:textId="7966E8D2"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1.290.283,34</w:t>
            </w:r>
          </w:p>
        </w:tc>
      </w:tr>
      <w:tr w:rsidR="00613F70" w:rsidRPr="007E7835" w14:paraId="0BBB21B8" w14:textId="77777777" w:rsidTr="00470F32">
        <w:trPr>
          <w:trHeight w:val="108"/>
        </w:trPr>
        <w:tc>
          <w:tcPr>
            <w:tcW w:w="2436" w:type="dxa"/>
            <w:tcBorders>
              <w:top w:val="nil"/>
              <w:left w:val="nil"/>
              <w:bottom w:val="nil"/>
              <w:right w:val="nil"/>
            </w:tcBorders>
            <w:shd w:val="clear" w:color="auto" w:fill="auto"/>
            <w:vAlign w:val="center"/>
            <w:hideMark/>
          </w:tcPr>
          <w:p w14:paraId="2C841E67"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1279" w:type="dxa"/>
            <w:tcBorders>
              <w:top w:val="nil"/>
              <w:left w:val="nil"/>
              <w:bottom w:val="nil"/>
              <w:right w:val="nil"/>
            </w:tcBorders>
            <w:shd w:val="clear" w:color="auto" w:fill="auto"/>
            <w:vAlign w:val="center"/>
          </w:tcPr>
          <w:p w14:paraId="638F285D" w14:textId="7777777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tcPr>
          <w:p w14:paraId="060C548D" w14:textId="7777777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tcPr>
          <w:p w14:paraId="221453C1" w14:textId="7777777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tcPr>
          <w:p w14:paraId="00DDE53D" w14:textId="7777777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tcPr>
          <w:p w14:paraId="5BB00BA2" w14:textId="7777777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r>
      <w:tr w:rsidR="00613F70" w:rsidRPr="007E7835" w14:paraId="28E5E460" w14:textId="77777777" w:rsidTr="00470F32">
        <w:trPr>
          <w:trHeight w:val="283"/>
        </w:trPr>
        <w:tc>
          <w:tcPr>
            <w:tcW w:w="2436" w:type="dxa"/>
            <w:tcBorders>
              <w:top w:val="nil"/>
              <w:left w:val="nil"/>
              <w:bottom w:val="nil"/>
              <w:right w:val="nil"/>
            </w:tcBorders>
            <w:shd w:val="clear" w:color="auto" w:fill="auto"/>
            <w:vAlign w:val="center"/>
            <w:hideMark/>
          </w:tcPr>
          <w:p w14:paraId="250942F2"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noWrap/>
            <w:vAlign w:val="center"/>
          </w:tcPr>
          <w:p w14:paraId="6F5A131B" w14:textId="0B7C5D96"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(246.975,28)</w:t>
            </w:r>
          </w:p>
        </w:tc>
        <w:tc>
          <w:tcPr>
            <w:tcW w:w="1246" w:type="dxa"/>
            <w:tcBorders>
              <w:top w:val="nil"/>
              <w:left w:val="nil"/>
              <w:bottom w:val="nil"/>
              <w:right w:val="nil"/>
            </w:tcBorders>
            <w:shd w:val="clear" w:color="auto" w:fill="auto"/>
            <w:noWrap/>
            <w:vAlign w:val="center"/>
          </w:tcPr>
          <w:p w14:paraId="6D9BE0CD" w14:textId="3186231F"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(81.745,76)</w:t>
            </w:r>
          </w:p>
        </w:tc>
        <w:tc>
          <w:tcPr>
            <w:tcW w:w="1237" w:type="dxa"/>
            <w:tcBorders>
              <w:top w:val="nil"/>
              <w:left w:val="nil"/>
              <w:bottom w:val="nil"/>
              <w:right w:val="nil"/>
            </w:tcBorders>
            <w:shd w:val="clear" w:color="auto" w:fill="auto"/>
            <w:vAlign w:val="center"/>
          </w:tcPr>
          <w:p w14:paraId="100C0B31" w14:textId="350B219D"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43" w:type="dxa"/>
            <w:tcBorders>
              <w:top w:val="nil"/>
              <w:left w:val="nil"/>
              <w:bottom w:val="nil"/>
              <w:right w:val="nil"/>
            </w:tcBorders>
            <w:shd w:val="clear" w:color="auto" w:fill="auto"/>
            <w:vAlign w:val="center"/>
          </w:tcPr>
          <w:p w14:paraId="39160DE0" w14:textId="58C5174C"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noWrap/>
            <w:vAlign w:val="center"/>
          </w:tcPr>
          <w:p w14:paraId="1E1F1142" w14:textId="2A5CC3D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(328.721,04)</w:t>
            </w:r>
          </w:p>
        </w:tc>
      </w:tr>
      <w:tr w:rsidR="00613F70" w:rsidRPr="007E7835" w14:paraId="475DE29C" w14:textId="77777777" w:rsidTr="00470F32">
        <w:trPr>
          <w:trHeight w:val="283"/>
        </w:trPr>
        <w:tc>
          <w:tcPr>
            <w:tcW w:w="2436" w:type="dxa"/>
            <w:tcBorders>
              <w:top w:val="nil"/>
              <w:left w:val="nil"/>
              <w:bottom w:val="nil"/>
              <w:right w:val="nil"/>
            </w:tcBorders>
            <w:shd w:val="clear" w:color="auto" w:fill="auto"/>
            <w:vAlign w:val="center"/>
            <w:hideMark/>
          </w:tcPr>
          <w:p w14:paraId="1676F0B9"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noWrap/>
            <w:vAlign w:val="center"/>
          </w:tcPr>
          <w:p w14:paraId="6BFDA55F" w14:textId="3D1F02E2"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(31.551,32)</w:t>
            </w:r>
          </w:p>
        </w:tc>
        <w:tc>
          <w:tcPr>
            <w:tcW w:w="1246" w:type="dxa"/>
            <w:tcBorders>
              <w:top w:val="nil"/>
              <w:left w:val="nil"/>
              <w:bottom w:val="nil"/>
              <w:right w:val="nil"/>
            </w:tcBorders>
            <w:shd w:val="clear" w:color="auto" w:fill="auto"/>
            <w:noWrap/>
            <w:vAlign w:val="center"/>
          </w:tcPr>
          <w:p w14:paraId="7CBE283E" w14:textId="2CDABEFC" w:rsidR="00613F70" w:rsidRPr="00470F32" w:rsidRDefault="006E6E08"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rFonts w:eastAsia="Times New Roman"/>
                <w:color w:val="auto"/>
                <w:sz w:val="16"/>
                <w:szCs w:val="16"/>
                <w:bdr w:val="none" w:sz="0" w:space="0" w:color="auto"/>
                <w:lang w:eastAsia="es-ES"/>
              </w:rPr>
              <w:t>-</w:t>
            </w:r>
          </w:p>
        </w:tc>
        <w:tc>
          <w:tcPr>
            <w:tcW w:w="1237" w:type="dxa"/>
            <w:tcBorders>
              <w:top w:val="nil"/>
              <w:left w:val="nil"/>
              <w:bottom w:val="nil"/>
              <w:right w:val="nil"/>
            </w:tcBorders>
            <w:shd w:val="clear" w:color="auto" w:fill="auto"/>
            <w:vAlign w:val="center"/>
          </w:tcPr>
          <w:p w14:paraId="261AC0BF" w14:textId="54581C5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43" w:type="dxa"/>
            <w:tcBorders>
              <w:top w:val="nil"/>
              <w:left w:val="nil"/>
              <w:bottom w:val="nil"/>
              <w:right w:val="nil"/>
            </w:tcBorders>
            <w:shd w:val="clear" w:color="auto" w:fill="auto"/>
            <w:vAlign w:val="center"/>
          </w:tcPr>
          <w:p w14:paraId="6B611A5A" w14:textId="7783FDE4"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noWrap/>
            <w:vAlign w:val="center"/>
          </w:tcPr>
          <w:p w14:paraId="073CED07" w14:textId="631C890A"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(31.551,32)</w:t>
            </w:r>
          </w:p>
        </w:tc>
      </w:tr>
      <w:tr w:rsidR="00613F70" w:rsidRPr="007E7835" w14:paraId="0892D359" w14:textId="77777777" w:rsidTr="00470F32">
        <w:trPr>
          <w:trHeight w:val="283"/>
        </w:trPr>
        <w:tc>
          <w:tcPr>
            <w:tcW w:w="2436" w:type="dxa"/>
            <w:tcBorders>
              <w:top w:val="nil"/>
              <w:left w:val="nil"/>
              <w:bottom w:val="nil"/>
              <w:right w:val="nil"/>
            </w:tcBorders>
            <w:shd w:val="clear" w:color="auto" w:fill="auto"/>
            <w:vAlign w:val="center"/>
            <w:hideMark/>
          </w:tcPr>
          <w:p w14:paraId="77CB55EE"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noWrap/>
            <w:vAlign w:val="center"/>
          </w:tcPr>
          <w:p w14:paraId="4EAC94CE" w14:textId="69BE6533"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(345.401,11)</w:t>
            </w:r>
          </w:p>
        </w:tc>
        <w:tc>
          <w:tcPr>
            <w:tcW w:w="1246" w:type="dxa"/>
            <w:tcBorders>
              <w:top w:val="nil"/>
              <w:left w:val="nil"/>
              <w:bottom w:val="nil"/>
              <w:right w:val="nil"/>
            </w:tcBorders>
            <w:shd w:val="clear" w:color="auto" w:fill="auto"/>
            <w:noWrap/>
            <w:vAlign w:val="center"/>
          </w:tcPr>
          <w:p w14:paraId="4DD57ABA" w14:textId="6F49959F"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(22.475,50)</w:t>
            </w:r>
          </w:p>
        </w:tc>
        <w:tc>
          <w:tcPr>
            <w:tcW w:w="1237" w:type="dxa"/>
            <w:tcBorders>
              <w:top w:val="nil"/>
              <w:left w:val="nil"/>
              <w:bottom w:val="nil"/>
              <w:right w:val="nil"/>
            </w:tcBorders>
            <w:shd w:val="clear" w:color="auto" w:fill="auto"/>
            <w:vAlign w:val="center"/>
          </w:tcPr>
          <w:p w14:paraId="11D20DE3" w14:textId="1C469850"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43" w:type="dxa"/>
            <w:tcBorders>
              <w:top w:val="nil"/>
              <w:left w:val="nil"/>
              <w:bottom w:val="nil"/>
              <w:right w:val="nil"/>
            </w:tcBorders>
            <w:shd w:val="clear" w:color="auto" w:fill="auto"/>
            <w:vAlign w:val="center"/>
          </w:tcPr>
          <w:p w14:paraId="426B688C" w14:textId="56BF293A"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nil"/>
              <w:right w:val="nil"/>
            </w:tcBorders>
            <w:shd w:val="clear" w:color="auto" w:fill="auto"/>
            <w:noWrap/>
            <w:vAlign w:val="center"/>
          </w:tcPr>
          <w:p w14:paraId="2D96ADB5" w14:textId="2A909433"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(367.876,61)</w:t>
            </w:r>
          </w:p>
        </w:tc>
      </w:tr>
      <w:tr w:rsidR="002427AC" w:rsidRPr="007E7835" w14:paraId="6F951D1A" w14:textId="77777777" w:rsidTr="00470F32">
        <w:trPr>
          <w:trHeight w:val="283"/>
        </w:trPr>
        <w:tc>
          <w:tcPr>
            <w:tcW w:w="2436" w:type="dxa"/>
            <w:tcBorders>
              <w:top w:val="nil"/>
              <w:left w:val="nil"/>
              <w:bottom w:val="nil"/>
              <w:right w:val="nil"/>
            </w:tcBorders>
            <w:shd w:val="clear" w:color="auto" w:fill="auto"/>
            <w:vAlign w:val="center"/>
            <w:hideMark/>
          </w:tcPr>
          <w:p w14:paraId="03C2A19A" w14:textId="77777777" w:rsidR="002427AC" w:rsidRPr="007E7835" w:rsidRDefault="002427AC" w:rsidP="002427A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single" w:sz="4" w:space="0" w:color="auto"/>
              <w:right w:val="nil"/>
            </w:tcBorders>
            <w:shd w:val="clear" w:color="auto" w:fill="auto"/>
            <w:noWrap/>
            <w:vAlign w:val="center"/>
          </w:tcPr>
          <w:p w14:paraId="5CBE411F" w14:textId="483D5235"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(317.134,75)</w:t>
            </w:r>
          </w:p>
        </w:tc>
        <w:tc>
          <w:tcPr>
            <w:tcW w:w="1246" w:type="dxa"/>
            <w:tcBorders>
              <w:top w:val="nil"/>
              <w:left w:val="nil"/>
              <w:bottom w:val="single" w:sz="4" w:space="0" w:color="auto"/>
              <w:right w:val="nil"/>
            </w:tcBorders>
            <w:shd w:val="clear" w:color="auto" w:fill="auto"/>
            <w:noWrap/>
            <w:vAlign w:val="center"/>
          </w:tcPr>
          <w:p w14:paraId="09D53A9A" w14:textId="3D238EBF"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(22.873,49)</w:t>
            </w:r>
          </w:p>
        </w:tc>
        <w:tc>
          <w:tcPr>
            <w:tcW w:w="1237" w:type="dxa"/>
            <w:tcBorders>
              <w:top w:val="nil"/>
              <w:left w:val="nil"/>
              <w:bottom w:val="nil"/>
              <w:right w:val="nil"/>
            </w:tcBorders>
            <w:shd w:val="clear" w:color="auto" w:fill="auto"/>
            <w:vAlign w:val="center"/>
          </w:tcPr>
          <w:p w14:paraId="5435CE7B" w14:textId="5175D16B"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338,58</w:t>
            </w:r>
          </w:p>
        </w:tc>
        <w:tc>
          <w:tcPr>
            <w:tcW w:w="1243" w:type="dxa"/>
            <w:tcBorders>
              <w:top w:val="nil"/>
              <w:left w:val="nil"/>
              <w:bottom w:val="nil"/>
              <w:right w:val="nil"/>
            </w:tcBorders>
            <w:shd w:val="clear" w:color="auto" w:fill="auto"/>
            <w:vAlign w:val="center"/>
          </w:tcPr>
          <w:p w14:paraId="2F3F28CA" w14:textId="08780F69"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470F32">
              <w:rPr>
                <w:sz w:val="16"/>
                <w:szCs w:val="16"/>
              </w:rPr>
              <w:t xml:space="preserve"> -</w:t>
            </w:r>
          </w:p>
        </w:tc>
        <w:tc>
          <w:tcPr>
            <w:tcW w:w="1281" w:type="dxa"/>
            <w:tcBorders>
              <w:top w:val="nil"/>
              <w:left w:val="nil"/>
              <w:bottom w:val="single" w:sz="4" w:space="0" w:color="auto"/>
              <w:right w:val="nil"/>
            </w:tcBorders>
            <w:shd w:val="clear" w:color="auto" w:fill="auto"/>
            <w:noWrap/>
            <w:vAlign w:val="center"/>
          </w:tcPr>
          <w:p w14:paraId="250C9AA3" w14:textId="0E06847C"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sidRPr="00470F32">
              <w:rPr>
                <w:sz w:val="16"/>
                <w:szCs w:val="16"/>
              </w:rPr>
              <w:t>(339.669,66)</w:t>
            </w:r>
          </w:p>
        </w:tc>
      </w:tr>
      <w:tr w:rsidR="002427AC" w:rsidRPr="007E7835" w14:paraId="2B9EFD0A" w14:textId="77777777" w:rsidTr="00470F32">
        <w:trPr>
          <w:trHeight w:val="283"/>
        </w:trPr>
        <w:tc>
          <w:tcPr>
            <w:tcW w:w="2436" w:type="dxa"/>
            <w:tcBorders>
              <w:top w:val="nil"/>
              <w:left w:val="nil"/>
              <w:bottom w:val="nil"/>
              <w:right w:val="nil"/>
            </w:tcBorders>
            <w:shd w:val="clear" w:color="auto" w:fill="auto"/>
            <w:vAlign w:val="center"/>
            <w:hideMark/>
          </w:tcPr>
          <w:p w14:paraId="468A6FFF" w14:textId="77777777" w:rsidR="002427AC" w:rsidRPr="007E7835" w:rsidRDefault="002427AC" w:rsidP="002427A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79" w:type="dxa"/>
            <w:tcBorders>
              <w:top w:val="nil"/>
              <w:left w:val="nil"/>
              <w:bottom w:val="nil"/>
              <w:right w:val="nil"/>
            </w:tcBorders>
            <w:shd w:val="clear" w:color="auto" w:fill="auto"/>
            <w:vAlign w:val="center"/>
          </w:tcPr>
          <w:p w14:paraId="47F765B9" w14:textId="1635DD0F"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(941.062,46)</w:t>
            </w:r>
          </w:p>
        </w:tc>
        <w:tc>
          <w:tcPr>
            <w:tcW w:w="1246" w:type="dxa"/>
            <w:tcBorders>
              <w:top w:val="nil"/>
              <w:left w:val="nil"/>
              <w:bottom w:val="nil"/>
              <w:right w:val="nil"/>
            </w:tcBorders>
            <w:shd w:val="clear" w:color="auto" w:fill="auto"/>
            <w:vAlign w:val="center"/>
          </w:tcPr>
          <w:p w14:paraId="79064D1C" w14:textId="2FEFCED0"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(127.094,75)</w:t>
            </w:r>
          </w:p>
        </w:tc>
        <w:tc>
          <w:tcPr>
            <w:tcW w:w="1237" w:type="dxa"/>
            <w:tcBorders>
              <w:top w:val="single" w:sz="4" w:space="0" w:color="auto"/>
              <w:left w:val="nil"/>
              <w:bottom w:val="nil"/>
              <w:right w:val="nil"/>
            </w:tcBorders>
            <w:shd w:val="clear" w:color="auto" w:fill="auto"/>
            <w:vAlign w:val="center"/>
          </w:tcPr>
          <w:p w14:paraId="01C92263" w14:textId="60F50A15"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338,58</w:t>
            </w:r>
          </w:p>
        </w:tc>
        <w:tc>
          <w:tcPr>
            <w:tcW w:w="1243" w:type="dxa"/>
            <w:tcBorders>
              <w:top w:val="single" w:sz="4" w:space="0" w:color="auto"/>
              <w:left w:val="nil"/>
              <w:bottom w:val="nil"/>
              <w:right w:val="nil"/>
            </w:tcBorders>
            <w:shd w:val="clear" w:color="auto" w:fill="auto"/>
            <w:vAlign w:val="center"/>
          </w:tcPr>
          <w:p w14:paraId="1C38E325" w14:textId="759FA4DE"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 xml:space="preserve"> -</w:t>
            </w:r>
          </w:p>
        </w:tc>
        <w:tc>
          <w:tcPr>
            <w:tcW w:w="1281" w:type="dxa"/>
            <w:tcBorders>
              <w:top w:val="nil"/>
              <w:left w:val="nil"/>
              <w:bottom w:val="nil"/>
              <w:right w:val="nil"/>
            </w:tcBorders>
            <w:shd w:val="clear" w:color="auto" w:fill="auto"/>
            <w:vAlign w:val="center"/>
          </w:tcPr>
          <w:p w14:paraId="4D6EB83E" w14:textId="5D484D33" w:rsidR="002427AC" w:rsidRPr="00470F32" w:rsidRDefault="002427AC"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(1.067.818,63)</w:t>
            </w:r>
          </w:p>
        </w:tc>
      </w:tr>
      <w:tr w:rsidR="00613F70" w:rsidRPr="007E7835" w14:paraId="3834F88C" w14:textId="77777777" w:rsidTr="00470F32">
        <w:trPr>
          <w:trHeight w:val="283"/>
        </w:trPr>
        <w:tc>
          <w:tcPr>
            <w:tcW w:w="2436" w:type="dxa"/>
            <w:tcBorders>
              <w:top w:val="single" w:sz="4" w:space="0" w:color="auto"/>
              <w:left w:val="nil"/>
              <w:bottom w:val="single" w:sz="4" w:space="0" w:color="auto"/>
              <w:right w:val="nil"/>
            </w:tcBorders>
            <w:shd w:val="clear" w:color="auto" w:fill="auto"/>
            <w:vAlign w:val="center"/>
            <w:hideMark/>
          </w:tcPr>
          <w:p w14:paraId="0D5E2C4C"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Valor neto contable</w:t>
            </w:r>
          </w:p>
        </w:tc>
        <w:tc>
          <w:tcPr>
            <w:tcW w:w="1279" w:type="dxa"/>
            <w:tcBorders>
              <w:top w:val="single" w:sz="4" w:space="0" w:color="auto"/>
              <w:left w:val="nil"/>
              <w:bottom w:val="single" w:sz="4" w:space="0" w:color="auto"/>
              <w:right w:val="nil"/>
            </w:tcBorders>
            <w:shd w:val="clear" w:color="auto" w:fill="auto"/>
            <w:vAlign w:val="center"/>
          </w:tcPr>
          <w:p w14:paraId="70D613E8" w14:textId="2B6E3974"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340.593,85</w:t>
            </w:r>
          </w:p>
        </w:tc>
        <w:tc>
          <w:tcPr>
            <w:tcW w:w="1246" w:type="dxa"/>
            <w:tcBorders>
              <w:top w:val="single" w:sz="4" w:space="0" w:color="auto"/>
              <w:left w:val="nil"/>
              <w:bottom w:val="single" w:sz="4" w:space="0" w:color="auto"/>
              <w:right w:val="nil"/>
            </w:tcBorders>
            <w:shd w:val="clear" w:color="auto" w:fill="auto"/>
            <w:vAlign w:val="center"/>
          </w:tcPr>
          <w:p w14:paraId="5FC6A33D" w14:textId="5A499D47"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 </w:t>
            </w:r>
          </w:p>
        </w:tc>
        <w:tc>
          <w:tcPr>
            <w:tcW w:w="1237" w:type="dxa"/>
            <w:tcBorders>
              <w:top w:val="single" w:sz="4" w:space="0" w:color="auto"/>
              <w:left w:val="nil"/>
              <w:bottom w:val="single" w:sz="4" w:space="0" w:color="auto"/>
              <w:right w:val="nil"/>
            </w:tcBorders>
            <w:shd w:val="clear" w:color="auto" w:fill="auto"/>
            <w:vAlign w:val="center"/>
          </w:tcPr>
          <w:p w14:paraId="62715405" w14:textId="55239CA9"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 </w:t>
            </w:r>
          </w:p>
        </w:tc>
        <w:tc>
          <w:tcPr>
            <w:tcW w:w="1243" w:type="dxa"/>
            <w:tcBorders>
              <w:top w:val="single" w:sz="4" w:space="0" w:color="auto"/>
              <w:left w:val="nil"/>
              <w:bottom w:val="single" w:sz="4" w:space="0" w:color="auto"/>
              <w:right w:val="nil"/>
            </w:tcBorders>
            <w:shd w:val="clear" w:color="auto" w:fill="auto"/>
            <w:vAlign w:val="center"/>
          </w:tcPr>
          <w:p w14:paraId="30B11D22" w14:textId="523DE080"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 </w:t>
            </w:r>
          </w:p>
        </w:tc>
        <w:tc>
          <w:tcPr>
            <w:tcW w:w="1281" w:type="dxa"/>
            <w:tcBorders>
              <w:top w:val="single" w:sz="4" w:space="0" w:color="auto"/>
              <w:left w:val="nil"/>
              <w:bottom w:val="single" w:sz="4" w:space="0" w:color="auto"/>
              <w:right w:val="nil"/>
            </w:tcBorders>
            <w:shd w:val="clear" w:color="auto" w:fill="auto"/>
            <w:vAlign w:val="center"/>
          </w:tcPr>
          <w:p w14:paraId="15B7689C" w14:textId="447F2D78" w:rsidR="00613F70" w:rsidRPr="00470F32" w:rsidRDefault="00613F70" w:rsidP="00470F32">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470F32">
              <w:rPr>
                <w:b/>
                <w:bCs/>
                <w:sz w:val="16"/>
                <w:szCs w:val="16"/>
              </w:rPr>
              <w:t>222.464,71</w:t>
            </w:r>
          </w:p>
        </w:tc>
      </w:tr>
    </w:tbl>
    <w:p w14:paraId="632FDE76" w14:textId="52370E0C" w:rsidR="00AE6657" w:rsidRPr="005644E5" w:rsidRDefault="00AE6657" w:rsidP="001B5A15">
      <w:pPr>
        <w:widowControl w:val="0"/>
        <w:spacing w:before="240" w:after="120" w:line="260" w:lineRule="exact"/>
        <w:jc w:val="both"/>
        <w:outlineLvl w:val="9"/>
        <w:rPr>
          <w:snapToGrid w:val="0"/>
          <w:sz w:val="20"/>
          <w:szCs w:val="22"/>
        </w:rPr>
      </w:pPr>
      <w:r w:rsidRPr="004F05A0">
        <w:rPr>
          <w:snapToGrid w:val="0"/>
          <w:sz w:val="20"/>
          <w:szCs w:val="22"/>
        </w:rPr>
        <w:t>Las altas del ejercicio 202</w:t>
      </w:r>
      <w:r w:rsidR="004F05A0" w:rsidRPr="004F05A0">
        <w:rPr>
          <w:snapToGrid w:val="0"/>
          <w:sz w:val="20"/>
          <w:szCs w:val="22"/>
        </w:rPr>
        <w:t>3</w:t>
      </w:r>
      <w:r w:rsidR="00064F9F">
        <w:rPr>
          <w:snapToGrid w:val="0"/>
          <w:sz w:val="20"/>
          <w:szCs w:val="22"/>
        </w:rPr>
        <w:t xml:space="preserve"> se corresponden principalmente con </w:t>
      </w:r>
      <w:r w:rsidR="00A40674">
        <w:rPr>
          <w:snapToGrid w:val="0"/>
          <w:sz w:val="20"/>
          <w:szCs w:val="22"/>
        </w:rPr>
        <w:t>mobiliario</w:t>
      </w:r>
      <w:r w:rsidR="00064F9F">
        <w:rPr>
          <w:snapToGrid w:val="0"/>
          <w:sz w:val="20"/>
          <w:szCs w:val="22"/>
        </w:rPr>
        <w:t xml:space="preserve"> de oficina.</w:t>
      </w:r>
    </w:p>
    <w:p w14:paraId="3E763946" w14:textId="6F04F433" w:rsidR="006220A2" w:rsidRDefault="006220A2" w:rsidP="004A41D6">
      <w:pPr>
        <w:widowControl w:val="0"/>
        <w:spacing w:before="120" w:after="120" w:line="260" w:lineRule="exact"/>
        <w:jc w:val="both"/>
        <w:outlineLvl w:val="9"/>
        <w:rPr>
          <w:snapToGrid w:val="0"/>
          <w:sz w:val="20"/>
          <w:szCs w:val="22"/>
        </w:rPr>
      </w:pPr>
      <w:r w:rsidRPr="005644E5">
        <w:rPr>
          <w:snapToGrid w:val="0"/>
          <w:sz w:val="20"/>
          <w:szCs w:val="22"/>
        </w:rPr>
        <w:t>El detalle y movimiento de</w:t>
      </w:r>
      <w:r w:rsidR="005644E5">
        <w:rPr>
          <w:snapToGrid w:val="0"/>
          <w:sz w:val="20"/>
          <w:szCs w:val="22"/>
        </w:rPr>
        <w:t>l</w:t>
      </w:r>
      <w:r w:rsidRPr="005644E5">
        <w:rPr>
          <w:snapToGrid w:val="0"/>
          <w:sz w:val="20"/>
          <w:szCs w:val="22"/>
        </w:rPr>
        <w:t xml:space="preserve"> “Inmovilizado material” en el ejercicio 20</w:t>
      </w:r>
      <w:r w:rsidR="00814174" w:rsidRPr="005644E5">
        <w:rPr>
          <w:snapToGrid w:val="0"/>
          <w:sz w:val="20"/>
          <w:szCs w:val="22"/>
        </w:rPr>
        <w:t>2</w:t>
      </w:r>
      <w:r w:rsidR="00613F70">
        <w:rPr>
          <w:snapToGrid w:val="0"/>
          <w:sz w:val="20"/>
          <w:szCs w:val="22"/>
        </w:rPr>
        <w:t>2</w:t>
      </w:r>
      <w:r w:rsidR="00BE5DE6" w:rsidRPr="005644E5">
        <w:rPr>
          <w:snapToGrid w:val="0"/>
          <w:sz w:val="20"/>
          <w:szCs w:val="22"/>
        </w:rPr>
        <w:t xml:space="preserve"> es el </w:t>
      </w:r>
      <w:r w:rsidRPr="005644E5">
        <w:rPr>
          <w:snapToGrid w:val="0"/>
          <w:sz w:val="20"/>
          <w:szCs w:val="22"/>
        </w:rPr>
        <w:t>siguiente:</w:t>
      </w:r>
    </w:p>
    <w:tbl>
      <w:tblPr>
        <w:tblW w:w="8722" w:type="dxa"/>
        <w:tblCellMar>
          <w:left w:w="70" w:type="dxa"/>
          <w:right w:w="70" w:type="dxa"/>
        </w:tblCellMar>
        <w:tblLook w:val="04A0" w:firstRow="1" w:lastRow="0" w:firstColumn="1" w:lastColumn="0" w:noHBand="0" w:noVBand="1"/>
      </w:tblPr>
      <w:tblGrid>
        <w:gridCol w:w="2436"/>
        <w:gridCol w:w="1279"/>
        <w:gridCol w:w="1246"/>
        <w:gridCol w:w="1237"/>
        <w:gridCol w:w="1243"/>
        <w:gridCol w:w="1281"/>
      </w:tblGrid>
      <w:tr w:rsidR="001715D7" w:rsidRPr="007E7835" w14:paraId="2FC25CED" w14:textId="77777777" w:rsidTr="00877F34">
        <w:trPr>
          <w:trHeight w:val="195"/>
        </w:trPr>
        <w:tc>
          <w:tcPr>
            <w:tcW w:w="2436" w:type="dxa"/>
            <w:tcBorders>
              <w:top w:val="single" w:sz="4" w:space="0" w:color="auto"/>
              <w:left w:val="nil"/>
              <w:bottom w:val="nil"/>
              <w:right w:val="nil"/>
            </w:tcBorders>
            <w:shd w:val="clear" w:color="auto" w:fill="auto"/>
            <w:vAlign w:val="center"/>
            <w:hideMark/>
          </w:tcPr>
          <w:p w14:paraId="3AA27D73" w14:textId="77777777" w:rsidR="001715D7" w:rsidRPr="007E7835"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6286" w:type="dxa"/>
            <w:gridSpan w:val="5"/>
            <w:tcBorders>
              <w:top w:val="single" w:sz="4" w:space="0" w:color="auto"/>
              <w:left w:val="nil"/>
              <w:bottom w:val="single" w:sz="4" w:space="0" w:color="auto"/>
              <w:right w:val="nil"/>
            </w:tcBorders>
            <w:shd w:val="clear" w:color="auto" w:fill="auto"/>
            <w:vAlign w:val="center"/>
            <w:hideMark/>
          </w:tcPr>
          <w:p w14:paraId="06B38357" w14:textId="77777777" w:rsidR="001715D7" w:rsidRPr="007E7835"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Euros</w:t>
            </w:r>
          </w:p>
        </w:tc>
      </w:tr>
      <w:tr w:rsidR="001715D7" w:rsidRPr="007E7835" w14:paraId="3D8D430E" w14:textId="77777777" w:rsidTr="00877F34">
        <w:trPr>
          <w:trHeight w:val="390"/>
        </w:trPr>
        <w:tc>
          <w:tcPr>
            <w:tcW w:w="2436" w:type="dxa"/>
            <w:tcBorders>
              <w:top w:val="nil"/>
              <w:left w:val="nil"/>
              <w:bottom w:val="single" w:sz="4" w:space="0" w:color="auto"/>
              <w:right w:val="nil"/>
            </w:tcBorders>
            <w:shd w:val="clear" w:color="auto" w:fill="auto"/>
            <w:vAlign w:val="center"/>
            <w:hideMark/>
          </w:tcPr>
          <w:p w14:paraId="4E73AC0A" w14:textId="77777777" w:rsidR="001715D7" w:rsidRPr="007E7835"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 </w:t>
            </w:r>
          </w:p>
        </w:tc>
        <w:tc>
          <w:tcPr>
            <w:tcW w:w="1279" w:type="dxa"/>
            <w:tcBorders>
              <w:top w:val="nil"/>
              <w:left w:val="nil"/>
              <w:bottom w:val="single" w:sz="4" w:space="0" w:color="auto"/>
              <w:right w:val="nil"/>
            </w:tcBorders>
            <w:shd w:val="clear" w:color="auto" w:fill="auto"/>
            <w:vAlign w:val="bottom"/>
            <w:hideMark/>
          </w:tcPr>
          <w:p w14:paraId="469BE176" w14:textId="0E86B58F"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 xml:space="preserve">Saldo al </w:t>
            </w:r>
            <w:r>
              <w:rPr>
                <w:rFonts w:eastAsia="Times New Roman"/>
                <w:b/>
                <w:bCs/>
                <w:sz w:val="16"/>
                <w:szCs w:val="16"/>
                <w:bdr w:val="none" w:sz="0" w:space="0" w:color="auto"/>
                <w:lang w:eastAsia="es-ES"/>
              </w:rPr>
              <w:t>01/01/202</w:t>
            </w:r>
            <w:r w:rsidR="00613F70">
              <w:rPr>
                <w:rFonts w:eastAsia="Times New Roman"/>
                <w:b/>
                <w:bCs/>
                <w:sz w:val="16"/>
                <w:szCs w:val="16"/>
                <w:bdr w:val="none" w:sz="0" w:space="0" w:color="auto"/>
                <w:lang w:eastAsia="es-ES"/>
              </w:rPr>
              <w:t>2</w:t>
            </w:r>
          </w:p>
        </w:tc>
        <w:tc>
          <w:tcPr>
            <w:tcW w:w="1246" w:type="dxa"/>
            <w:tcBorders>
              <w:top w:val="nil"/>
              <w:left w:val="nil"/>
              <w:bottom w:val="single" w:sz="4" w:space="0" w:color="auto"/>
              <w:right w:val="nil"/>
            </w:tcBorders>
            <w:shd w:val="clear" w:color="auto" w:fill="auto"/>
            <w:vAlign w:val="bottom"/>
            <w:hideMark/>
          </w:tcPr>
          <w:p w14:paraId="65253FEF"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Altas</w:t>
            </w:r>
          </w:p>
        </w:tc>
        <w:tc>
          <w:tcPr>
            <w:tcW w:w="1237" w:type="dxa"/>
            <w:tcBorders>
              <w:top w:val="nil"/>
              <w:left w:val="nil"/>
              <w:bottom w:val="single" w:sz="4" w:space="0" w:color="auto"/>
              <w:right w:val="nil"/>
            </w:tcBorders>
            <w:shd w:val="clear" w:color="auto" w:fill="auto"/>
            <w:vAlign w:val="bottom"/>
            <w:hideMark/>
          </w:tcPr>
          <w:p w14:paraId="6112AC62"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Bajas</w:t>
            </w:r>
          </w:p>
        </w:tc>
        <w:tc>
          <w:tcPr>
            <w:tcW w:w="1243" w:type="dxa"/>
            <w:tcBorders>
              <w:top w:val="nil"/>
              <w:left w:val="nil"/>
              <w:bottom w:val="single" w:sz="4" w:space="0" w:color="auto"/>
              <w:right w:val="nil"/>
            </w:tcBorders>
            <w:shd w:val="clear" w:color="auto" w:fill="auto"/>
            <w:vAlign w:val="bottom"/>
            <w:hideMark/>
          </w:tcPr>
          <w:p w14:paraId="246C0F68"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Traspasos</w:t>
            </w:r>
          </w:p>
        </w:tc>
        <w:tc>
          <w:tcPr>
            <w:tcW w:w="1281" w:type="dxa"/>
            <w:tcBorders>
              <w:top w:val="nil"/>
              <w:left w:val="nil"/>
              <w:bottom w:val="single" w:sz="4" w:space="0" w:color="auto"/>
              <w:right w:val="nil"/>
            </w:tcBorders>
            <w:shd w:val="clear" w:color="auto" w:fill="auto"/>
            <w:vAlign w:val="bottom"/>
            <w:hideMark/>
          </w:tcPr>
          <w:p w14:paraId="6097E085" w14:textId="6F1E9223"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Saldo al 31/12/202</w:t>
            </w:r>
            <w:r w:rsidR="00613F70">
              <w:rPr>
                <w:rFonts w:eastAsia="Times New Roman"/>
                <w:b/>
                <w:bCs/>
                <w:sz w:val="16"/>
                <w:szCs w:val="16"/>
                <w:bdr w:val="none" w:sz="0" w:space="0" w:color="auto"/>
                <w:lang w:eastAsia="es-ES"/>
              </w:rPr>
              <w:t>2</w:t>
            </w:r>
          </w:p>
        </w:tc>
      </w:tr>
      <w:tr w:rsidR="001715D7" w:rsidRPr="007E7835" w14:paraId="34E45015" w14:textId="77777777" w:rsidTr="00877F34">
        <w:trPr>
          <w:trHeight w:val="255"/>
        </w:trPr>
        <w:tc>
          <w:tcPr>
            <w:tcW w:w="2436" w:type="dxa"/>
            <w:tcBorders>
              <w:top w:val="nil"/>
              <w:left w:val="nil"/>
              <w:bottom w:val="nil"/>
              <w:right w:val="nil"/>
            </w:tcBorders>
            <w:shd w:val="clear" w:color="auto" w:fill="auto"/>
            <w:vAlign w:val="center"/>
            <w:hideMark/>
          </w:tcPr>
          <w:p w14:paraId="6F5249C6" w14:textId="77777777" w:rsidR="001715D7" w:rsidRPr="007E7835"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Coste</w:t>
            </w:r>
          </w:p>
        </w:tc>
        <w:tc>
          <w:tcPr>
            <w:tcW w:w="1279" w:type="dxa"/>
            <w:tcBorders>
              <w:top w:val="nil"/>
              <w:left w:val="nil"/>
              <w:bottom w:val="nil"/>
              <w:right w:val="nil"/>
            </w:tcBorders>
            <w:shd w:val="clear" w:color="auto" w:fill="auto"/>
            <w:vAlign w:val="center"/>
            <w:hideMark/>
          </w:tcPr>
          <w:p w14:paraId="42E51B07"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hideMark/>
          </w:tcPr>
          <w:p w14:paraId="6A4ABD2C"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hideMark/>
          </w:tcPr>
          <w:p w14:paraId="504834D3"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hideMark/>
          </w:tcPr>
          <w:p w14:paraId="7D1F5572"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hideMark/>
          </w:tcPr>
          <w:p w14:paraId="361DEB9A" w14:textId="77777777" w:rsidR="001715D7" w:rsidRPr="007639B1" w:rsidRDefault="001715D7" w:rsidP="00877F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613F70" w:rsidRPr="007E7835" w14:paraId="224775A9" w14:textId="77777777" w:rsidTr="00877F34">
        <w:trPr>
          <w:trHeight w:val="283"/>
        </w:trPr>
        <w:tc>
          <w:tcPr>
            <w:tcW w:w="2436" w:type="dxa"/>
            <w:tcBorders>
              <w:top w:val="nil"/>
              <w:left w:val="nil"/>
              <w:bottom w:val="nil"/>
              <w:right w:val="nil"/>
            </w:tcBorders>
            <w:shd w:val="clear" w:color="auto" w:fill="auto"/>
            <w:vAlign w:val="center"/>
            <w:hideMark/>
          </w:tcPr>
          <w:p w14:paraId="35E10701"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vAlign w:val="center"/>
            <w:hideMark/>
          </w:tcPr>
          <w:p w14:paraId="14D66EE2" w14:textId="64F5FF75"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405.254,51</w:t>
            </w:r>
          </w:p>
        </w:tc>
        <w:tc>
          <w:tcPr>
            <w:tcW w:w="1246" w:type="dxa"/>
            <w:tcBorders>
              <w:top w:val="nil"/>
              <w:left w:val="nil"/>
              <w:bottom w:val="nil"/>
              <w:right w:val="nil"/>
            </w:tcBorders>
            <w:shd w:val="clear" w:color="auto" w:fill="auto"/>
            <w:vAlign w:val="center"/>
          </w:tcPr>
          <w:p w14:paraId="01688C74" w14:textId="335B968A"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14.049,32</w:t>
            </w:r>
          </w:p>
        </w:tc>
        <w:tc>
          <w:tcPr>
            <w:tcW w:w="1237" w:type="dxa"/>
            <w:tcBorders>
              <w:top w:val="nil"/>
              <w:left w:val="nil"/>
              <w:bottom w:val="nil"/>
              <w:right w:val="nil"/>
            </w:tcBorders>
            <w:shd w:val="clear" w:color="auto" w:fill="auto"/>
            <w:vAlign w:val="center"/>
          </w:tcPr>
          <w:p w14:paraId="22E0E209" w14:textId="5970AC87"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 xml:space="preserve"> -</w:t>
            </w:r>
          </w:p>
        </w:tc>
        <w:tc>
          <w:tcPr>
            <w:tcW w:w="1243" w:type="dxa"/>
            <w:tcBorders>
              <w:top w:val="nil"/>
              <w:left w:val="nil"/>
              <w:bottom w:val="nil"/>
              <w:right w:val="nil"/>
            </w:tcBorders>
            <w:shd w:val="clear" w:color="auto" w:fill="auto"/>
            <w:vAlign w:val="center"/>
          </w:tcPr>
          <w:p w14:paraId="284C26F9" w14:textId="5BEB741B"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19.720,76</w:t>
            </w:r>
          </w:p>
        </w:tc>
        <w:tc>
          <w:tcPr>
            <w:tcW w:w="1281" w:type="dxa"/>
            <w:tcBorders>
              <w:top w:val="nil"/>
              <w:left w:val="nil"/>
              <w:bottom w:val="nil"/>
              <w:right w:val="nil"/>
            </w:tcBorders>
            <w:shd w:val="clear" w:color="auto" w:fill="auto"/>
            <w:vAlign w:val="center"/>
          </w:tcPr>
          <w:p w14:paraId="0C7FEA2D" w14:textId="3EBD1D57"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439.024,59</w:t>
            </w:r>
          </w:p>
        </w:tc>
      </w:tr>
      <w:tr w:rsidR="00613F70" w:rsidRPr="007E7835" w14:paraId="22E7A263" w14:textId="77777777" w:rsidTr="00877F34">
        <w:trPr>
          <w:trHeight w:val="283"/>
        </w:trPr>
        <w:tc>
          <w:tcPr>
            <w:tcW w:w="2436" w:type="dxa"/>
            <w:tcBorders>
              <w:top w:val="nil"/>
              <w:left w:val="nil"/>
              <w:bottom w:val="nil"/>
              <w:right w:val="nil"/>
            </w:tcBorders>
            <w:shd w:val="clear" w:color="auto" w:fill="auto"/>
            <w:vAlign w:val="center"/>
            <w:hideMark/>
          </w:tcPr>
          <w:p w14:paraId="2A79A428"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vAlign w:val="center"/>
            <w:hideMark/>
          </w:tcPr>
          <w:p w14:paraId="179B66DE" w14:textId="1E25AF77"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31.551,32</w:t>
            </w:r>
          </w:p>
        </w:tc>
        <w:tc>
          <w:tcPr>
            <w:tcW w:w="1246" w:type="dxa"/>
            <w:tcBorders>
              <w:top w:val="nil"/>
              <w:left w:val="nil"/>
              <w:bottom w:val="nil"/>
              <w:right w:val="nil"/>
            </w:tcBorders>
            <w:shd w:val="clear" w:color="auto" w:fill="auto"/>
            <w:vAlign w:val="center"/>
          </w:tcPr>
          <w:p w14:paraId="3FC603B0" w14:textId="475C5DCE"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37" w:type="dxa"/>
            <w:tcBorders>
              <w:top w:val="nil"/>
              <w:left w:val="nil"/>
              <w:bottom w:val="nil"/>
              <w:right w:val="nil"/>
            </w:tcBorders>
            <w:shd w:val="clear" w:color="auto" w:fill="auto"/>
            <w:vAlign w:val="center"/>
          </w:tcPr>
          <w:p w14:paraId="2A885F80" w14:textId="1D950925"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 xml:space="preserve"> -</w:t>
            </w:r>
          </w:p>
        </w:tc>
        <w:tc>
          <w:tcPr>
            <w:tcW w:w="1243" w:type="dxa"/>
            <w:tcBorders>
              <w:top w:val="nil"/>
              <w:left w:val="nil"/>
              <w:bottom w:val="nil"/>
              <w:right w:val="nil"/>
            </w:tcBorders>
            <w:shd w:val="clear" w:color="auto" w:fill="auto"/>
            <w:vAlign w:val="center"/>
          </w:tcPr>
          <w:p w14:paraId="4CC48A84" w14:textId="7E309DD4"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81" w:type="dxa"/>
            <w:tcBorders>
              <w:top w:val="nil"/>
              <w:left w:val="nil"/>
              <w:bottom w:val="nil"/>
              <w:right w:val="nil"/>
            </w:tcBorders>
            <w:shd w:val="clear" w:color="auto" w:fill="auto"/>
            <w:vAlign w:val="center"/>
          </w:tcPr>
          <w:p w14:paraId="2B02BBB4" w14:textId="4C368474"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31.551,32</w:t>
            </w:r>
          </w:p>
        </w:tc>
      </w:tr>
      <w:tr w:rsidR="00613F70" w:rsidRPr="007E7835" w14:paraId="0BEA10B6" w14:textId="77777777" w:rsidTr="00877F34">
        <w:trPr>
          <w:trHeight w:val="283"/>
        </w:trPr>
        <w:tc>
          <w:tcPr>
            <w:tcW w:w="2436" w:type="dxa"/>
            <w:tcBorders>
              <w:top w:val="nil"/>
              <w:left w:val="nil"/>
              <w:bottom w:val="nil"/>
              <w:right w:val="nil"/>
            </w:tcBorders>
            <w:shd w:val="clear" w:color="auto" w:fill="auto"/>
            <w:vAlign w:val="center"/>
            <w:hideMark/>
          </w:tcPr>
          <w:p w14:paraId="2B4D7A12"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vAlign w:val="center"/>
            <w:hideMark/>
          </w:tcPr>
          <w:p w14:paraId="5650D0AA" w14:textId="10A54D79"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444.642,01</w:t>
            </w:r>
          </w:p>
        </w:tc>
        <w:tc>
          <w:tcPr>
            <w:tcW w:w="1246" w:type="dxa"/>
            <w:tcBorders>
              <w:top w:val="nil"/>
              <w:left w:val="nil"/>
              <w:bottom w:val="nil"/>
              <w:right w:val="nil"/>
            </w:tcBorders>
            <w:shd w:val="clear" w:color="auto" w:fill="auto"/>
            <w:vAlign w:val="center"/>
          </w:tcPr>
          <w:p w14:paraId="7561F893" w14:textId="150A7E8E"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37" w:type="dxa"/>
            <w:tcBorders>
              <w:top w:val="nil"/>
              <w:left w:val="nil"/>
              <w:bottom w:val="nil"/>
              <w:right w:val="nil"/>
            </w:tcBorders>
            <w:shd w:val="clear" w:color="auto" w:fill="auto"/>
            <w:vAlign w:val="center"/>
          </w:tcPr>
          <w:p w14:paraId="4A8A120B" w14:textId="1FC47380"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sz w:val="16"/>
                <w:szCs w:val="16"/>
              </w:rPr>
              <w:t xml:space="preserve"> -</w:t>
            </w:r>
          </w:p>
        </w:tc>
        <w:tc>
          <w:tcPr>
            <w:tcW w:w="1243" w:type="dxa"/>
            <w:tcBorders>
              <w:top w:val="nil"/>
              <w:left w:val="nil"/>
              <w:bottom w:val="nil"/>
              <w:right w:val="nil"/>
            </w:tcBorders>
            <w:shd w:val="clear" w:color="auto" w:fill="auto"/>
            <w:vAlign w:val="center"/>
          </w:tcPr>
          <w:p w14:paraId="2DE3068A" w14:textId="38D9610B"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81" w:type="dxa"/>
            <w:tcBorders>
              <w:top w:val="nil"/>
              <w:left w:val="nil"/>
              <w:bottom w:val="nil"/>
              <w:right w:val="nil"/>
            </w:tcBorders>
            <w:shd w:val="clear" w:color="auto" w:fill="auto"/>
            <w:vAlign w:val="center"/>
          </w:tcPr>
          <w:p w14:paraId="797EAE1A" w14:textId="027C9584"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444.642,01</w:t>
            </w:r>
          </w:p>
        </w:tc>
      </w:tr>
      <w:tr w:rsidR="00613F70" w:rsidRPr="007E7835" w14:paraId="6641C9E9" w14:textId="77777777" w:rsidTr="00877F34">
        <w:trPr>
          <w:trHeight w:val="283"/>
        </w:trPr>
        <w:tc>
          <w:tcPr>
            <w:tcW w:w="2436" w:type="dxa"/>
            <w:tcBorders>
              <w:top w:val="nil"/>
              <w:left w:val="nil"/>
              <w:bottom w:val="nil"/>
              <w:right w:val="nil"/>
            </w:tcBorders>
            <w:shd w:val="clear" w:color="auto" w:fill="auto"/>
            <w:vAlign w:val="center"/>
            <w:hideMark/>
          </w:tcPr>
          <w:p w14:paraId="2D8FD3EF"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nil"/>
              <w:right w:val="nil"/>
            </w:tcBorders>
            <w:shd w:val="clear" w:color="auto" w:fill="auto"/>
            <w:vAlign w:val="center"/>
            <w:hideMark/>
          </w:tcPr>
          <w:p w14:paraId="01C24C0C" w14:textId="1B629E07"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358.598,47</w:t>
            </w:r>
          </w:p>
        </w:tc>
        <w:tc>
          <w:tcPr>
            <w:tcW w:w="1246" w:type="dxa"/>
            <w:tcBorders>
              <w:top w:val="nil"/>
              <w:left w:val="nil"/>
              <w:bottom w:val="nil"/>
              <w:right w:val="nil"/>
            </w:tcBorders>
            <w:shd w:val="clear" w:color="auto" w:fill="auto"/>
            <w:vAlign w:val="center"/>
          </w:tcPr>
          <w:p w14:paraId="15EC2222" w14:textId="477F1966"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7.839,92</w:t>
            </w:r>
          </w:p>
        </w:tc>
        <w:tc>
          <w:tcPr>
            <w:tcW w:w="1237" w:type="dxa"/>
            <w:tcBorders>
              <w:top w:val="nil"/>
              <w:left w:val="nil"/>
              <w:bottom w:val="nil"/>
              <w:right w:val="nil"/>
            </w:tcBorders>
            <w:shd w:val="clear" w:color="auto" w:fill="auto"/>
            <w:vAlign w:val="center"/>
          </w:tcPr>
          <w:p w14:paraId="1EE6278E" w14:textId="7B99AABA"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w:t>
            </w:r>
          </w:p>
        </w:tc>
        <w:tc>
          <w:tcPr>
            <w:tcW w:w="1243" w:type="dxa"/>
            <w:tcBorders>
              <w:top w:val="nil"/>
              <w:left w:val="nil"/>
              <w:bottom w:val="nil"/>
              <w:right w:val="nil"/>
            </w:tcBorders>
            <w:shd w:val="clear" w:color="auto" w:fill="auto"/>
            <w:vAlign w:val="center"/>
          </w:tcPr>
          <w:p w14:paraId="7E883BB6" w14:textId="121FABBD"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81" w:type="dxa"/>
            <w:tcBorders>
              <w:top w:val="nil"/>
              <w:left w:val="nil"/>
              <w:bottom w:val="nil"/>
              <w:right w:val="nil"/>
            </w:tcBorders>
            <w:shd w:val="clear" w:color="auto" w:fill="auto"/>
            <w:vAlign w:val="center"/>
          </w:tcPr>
          <w:p w14:paraId="4B67C01C" w14:textId="62CFA4AF"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366.438,39</w:t>
            </w:r>
          </w:p>
        </w:tc>
      </w:tr>
      <w:tr w:rsidR="00613F70" w:rsidRPr="007E7835" w14:paraId="5213ECCE" w14:textId="77777777" w:rsidTr="00877F34">
        <w:trPr>
          <w:trHeight w:val="283"/>
        </w:trPr>
        <w:tc>
          <w:tcPr>
            <w:tcW w:w="2436" w:type="dxa"/>
            <w:tcBorders>
              <w:top w:val="nil"/>
              <w:left w:val="nil"/>
              <w:bottom w:val="nil"/>
              <w:right w:val="nil"/>
            </w:tcBorders>
            <w:shd w:val="clear" w:color="auto" w:fill="auto"/>
            <w:vAlign w:val="center"/>
          </w:tcPr>
          <w:p w14:paraId="04EBE463" w14:textId="77777777" w:rsidR="00613F70" w:rsidRPr="007E7835"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rFonts w:eastAsia="Times New Roman"/>
                <w:sz w:val="16"/>
                <w:szCs w:val="16"/>
                <w:bdr w:val="none" w:sz="0" w:space="0" w:color="auto"/>
                <w:lang w:eastAsia="es-ES"/>
              </w:rPr>
              <w:t xml:space="preserve">Anticipos </w:t>
            </w:r>
            <w:proofErr w:type="spellStart"/>
            <w:r>
              <w:rPr>
                <w:rFonts w:eastAsia="Times New Roman"/>
                <w:sz w:val="16"/>
                <w:szCs w:val="16"/>
                <w:bdr w:val="none" w:sz="0" w:space="0" w:color="auto"/>
                <w:lang w:eastAsia="es-ES"/>
              </w:rPr>
              <w:t>inmov</w:t>
            </w:r>
            <w:proofErr w:type="spellEnd"/>
            <w:r>
              <w:rPr>
                <w:rFonts w:eastAsia="Times New Roman"/>
                <w:sz w:val="16"/>
                <w:szCs w:val="16"/>
                <w:bdr w:val="none" w:sz="0" w:space="0" w:color="auto"/>
                <w:lang w:eastAsia="es-ES"/>
              </w:rPr>
              <w:t xml:space="preserve"> materiales</w:t>
            </w:r>
          </w:p>
        </w:tc>
        <w:tc>
          <w:tcPr>
            <w:tcW w:w="1279" w:type="dxa"/>
            <w:tcBorders>
              <w:top w:val="nil"/>
              <w:left w:val="nil"/>
              <w:bottom w:val="nil"/>
              <w:right w:val="nil"/>
            </w:tcBorders>
            <w:shd w:val="clear" w:color="auto" w:fill="auto"/>
            <w:vAlign w:val="center"/>
          </w:tcPr>
          <w:p w14:paraId="68A55D4A" w14:textId="2D4C80B6"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19.720,76</w:t>
            </w:r>
          </w:p>
        </w:tc>
        <w:tc>
          <w:tcPr>
            <w:tcW w:w="1246" w:type="dxa"/>
            <w:tcBorders>
              <w:top w:val="nil"/>
              <w:left w:val="nil"/>
              <w:bottom w:val="nil"/>
              <w:right w:val="nil"/>
            </w:tcBorders>
            <w:shd w:val="clear" w:color="auto" w:fill="auto"/>
            <w:vAlign w:val="center"/>
          </w:tcPr>
          <w:p w14:paraId="2AF8C9FC" w14:textId="411A9935"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37" w:type="dxa"/>
            <w:tcBorders>
              <w:top w:val="nil"/>
              <w:left w:val="nil"/>
              <w:bottom w:val="nil"/>
              <w:right w:val="nil"/>
            </w:tcBorders>
            <w:shd w:val="clear" w:color="auto" w:fill="auto"/>
            <w:vAlign w:val="center"/>
          </w:tcPr>
          <w:p w14:paraId="256983D1" w14:textId="5C1853C4"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rFonts w:eastAsia="Times New Roman"/>
                <w:sz w:val="16"/>
                <w:szCs w:val="16"/>
                <w:bdr w:val="none" w:sz="0" w:space="0" w:color="auto"/>
                <w:lang w:eastAsia="es-ES"/>
              </w:rPr>
              <w:t>-</w:t>
            </w:r>
          </w:p>
        </w:tc>
        <w:tc>
          <w:tcPr>
            <w:tcW w:w="1243" w:type="dxa"/>
            <w:tcBorders>
              <w:top w:val="nil"/>
              <w:left w:val="nil"/>
              <w:bottom w:val="nil"/>
              <w:right w:val="nil"/>
            </w:tcBorders>
            <w:shd w:val="clear" w:color="auto" w:fill="auto"/>
            <w:vAlign w:val="center"/>
          </w:tcPr>
          <w:p w14:paraId="5BF2B666" w14:textId="43ED7F60" w:rsidR="00613F70" w:rsidRPr="007639B1" w:rsidRDefault="00613F70" w:rsidP="00613F7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(19.720,76)</w:t>
            </w:r>
          </w:p>
        </w:tc>
        <w:tc>
          <w:tcPr>
            <w:tcW w:w="1281" w:type="dxa"/>
            <w:tcBorders>
              <w:top w:val="nil"/>
              <w:left w:val="nil"/>
              <w:bottom w:val="nil"/>
              <w:right w:val="nil"/>
            </w:tcBorders>
            <w:shd w:val="clear" w:color="auto" w:fill="auto"/>
            <w:vAlign w:val="center"/>
          </w:tcPr>
          <w:p w14:paraId="094C6038" w14:textId="034D396D"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613F70" w:rsidRPr="007E7835" w14:paraId="300FE3CF" w14:textId="77777777" w:rsidTr="00877F34">
        <w:trPr>
          <w:trHeight w:val="283"/>
        </w:trPr>
        <w:tc>
          <w:tcPr>
            <w:tcW w:w="2436" w:type="dxa"/>
            <w:tcBorders>
              <w:top w:val="nil"/>
              <w:left w:val="nil"/>
              <w:bottom w:val="nil"/>
              <w:right w:val="nil"/>
            </w:tcBorders>
            <w:shd w:val="clear" w:color="auto" w:fill="auto"/>
            <w:vAlign w:val="center"/>
            <w:hideMark/>
          </w:tcPr>
          <w:p w14:paraId="617077F8"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1279" w:type="dxa"/>
            <w:tcBorders>
              <w:top w:val="single" w:sz="4" w:space="0" w:color="auto"/>
              <w:left w:val="nil"/>
              <w:bottom w:val="single" w:sz="4" w:space="0" w:color="auto"/>
              <w:right w:val="nil"/>
            </w:tcBorders>
            <w:shd w:val="clear" w:color="auto" w:fill="auto"/>
            <w:vAlign w:val="center"/>
            <w:hideMark/>
          </w:tcPr>
          <w:p w14:paraId="32B75CD5" w14:textId="759C71F4"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1.259.767,07</w:t>
            </w:r>
          </w:p>
        </w:tc>
        <w:tc>
          <w:tcPr>
            <w:tcW w:w="1246" w:type="dxa"/>
            <w:tcBorders>
              <w:top w:val="single" w:sz="4" w:space="0" w:color="auto"/>
              <w:left w:val="nil"/>
              <w:bottom w:val="single" w:sz="4" w:space="0" w:color="auto"/>
              <w:right w:val="nil"/>
            </w:tcBorders>
            <w:shd w:val="clear" w:color="auto" w:fill="auto"/>
            <w:vAlign w:val="center"/>
          </w:tcPr>
          <w:p w14:paraId="3F7114E5" w14:textId="704F421C"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21.889,24</w:t>
            </w:r>
          </w:p>
        </w:tc>
        <w:tc>
          <w:tcPr>
            <w:tcW w:w="1237" w:type="dxa"/>
            <w:tcBorders>
              <w:top w:val="single" w:sz="4" w:space="0" w:color="auto"/>
              <w:left w:val="nil"/>
              <w:bottom w:val="single" w:sz="4" w:space="0" w:color="auto"/>
              <w:right w:val="nil"/>
            </w:tcBorders>
            <w:shd w:val="clear" w:color="auto" w:fill="auto"/>
            <w:vAlign w:val="center"/>
          </w:tcPr>
          <w:p w14:paraId="703B73E6" w14:textId="6F49B705"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w:t>
            </w:r>
          </w:p>
        </w:tc>
        <w:tc>
          <w:tcPr>
            <w:tcW w:w="1243" w:type="dxa"/>
            <w:tcBorders>
              <w:top w:val="single" w:sz="4" w:space="0" w:color="auto"/>
              <w:left w:val="nil"/>
              <w:bottom w:val="single" w:sz="4" w:space="0" w:color="auto"/>
              <w:right w:val="nil"/>
            </w:tcBorders>
            <w:shd w:val="clear" w:color="auto" w:fill="auto"/>
            <w:vAlign w:val="center"/>
          </w:tcPr>
          <w:p w14:paraId="33DA2F2C"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639B1">
              <w:rPr>
                <w:rFonts w:eastAsia="Times New Roman"/>
                <w:b/>
                <w:bCs/>
                <w:sz w:val="16"/>
                <w:szCs w:val="16"/>
                <w:bdr w:val="none" w:sz="0" w:space="0" w:color="auto"/>
                <w:lang w:eastAsia="es-ES"/>
              </w:rPr>
              <w:t>-</w:t>
            </w:r>
          </w:p>
        </w:tc>
        <w:tc>
          <w:tcPr>
            <w:tcW w:w="1281" w:type="dxa"/>
            <w:tcBorders>
              <w:top w:val="single" w:sz="4" w:space="0" w:color="auto"/>
              <w:left w:val="nil"/>
              <w:bottom w:val="single" w:sz="4" w:space="0" w:color="auto"/>
              <w:right w:val="nil"/>
            </w:tcBorders>
            <w:shd w:val="clear" w:color="auto" w:fill="auto"/>
            <w:vAlign w:val="center"/>
          </w:tcPr>
          <w:p w14:paraId="5450851F" w14:textId="6854D1CB"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1.281.656,31</w:t>
            </w:r>
          </w:p>
        </w:tc>
      </w:tr>
      <w:tr w:rsidR="00613F70" w:rsidRPr="007E7835" w14:paraId="008EEC52" w14:textId="77777777" w:rsidTr="00877F34">
        <w:trPr>
          <w:trHeight w:val="108"/>
        </w:trPr>
        <w:tc>
          <w:tcPr>
            <w:tcW w:w="2436" w:type="dxa"/>
            <w:tcBorders>
              <w:top w:val="nil"/>
              <w:left w:val="nil"/>
              <w:bottom w:val="nil"/>
              <w:right w:val="nil"/>
            </w:tcBorders>
            <w:shd w:val="clear" w:color="auto" w:fill="auto"/>
            <w:vAlign w:val="center"/>
            <w:hideMark/>
          </w:tcPr>
          <w:p w14:paraId="6CA3451A"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Amortización</w:t>
            </w:r>
          </w:p>
        </w:tc>
        <w:tc>
          <w:tcPr>
            <w:tcW w:w="1279" w:type="dxa"/>
            <w:tcBorders>
              <w:top w:val="nil"/>
              <w:left w:val="nil"/>
              <w:bottom w:val="nil"/>
              <w:right w:val="nil"/>
            </w:tcBorders>
            <w:shd w:val="clear" w:color="auto" w:fill="auto"/>
            <w:vAlign w:val="center"/>
            <w:hideMark/>
          </w:tcPr>
          <w:p w14:paraId="4E9EEC88"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p>
        </w:tc>
        <w:tc>
          <w:tcPr>
            <w:tcW w:w="1246" w:type="dxa"/>
            <w:tcBorders>
              <w:top w:val="nil"/>
              <w:left w:val="nil"/>
              <w:bottom w:val="nil"/>
              <w:right w:val="nil"/>
            </w:tcBorders>
            <w:shd w:val="clear" w:color="auto" w:fill="auto"/>
            <w:vAlign w:val="center"/>
          </w:tcPr>
          <w:p w14:paraId="41E50170"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37" w:type="dxa"/>
            <w:tcBorders>
              <w:top w:val="nil"/>
              <w:left w:val="nil"/>
              <w:bottom w:val="nil"/>
              <w:right w:val="nil"/>
            </w:tcBorders>
            <w:shd w:val="clear" w:color="auto" w:fill="auto"/>
            <w:vAlign w:val="center"/>
          </w:tcPr>
          <w:p w14:paraId="0974EBF9"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43" w:type="dxa"/>
            <w:tcBorders>
              <w:top w:val="nil"/>
              <w:left w:val="nil"/>
              <w:bottom w:val="nil"/>
              <w:right w:val="nil"/>
            </w:tcBorders>
            <w:shd w:val="clear" w:color="auto" w:fill="auto"/>
            <w:vAlign w:val="center"/>
          </w:tcPr>
          <w:p w14:paraId="658D7178"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1281" w:type="dxa"/>
            <w:tcBorders>
              <w:top w:val="nil"/>
              <w:left w:val="nil"/>
              <w:bottom w:val="nil"/>
              <w:right w:val="nil"/>
            </w:tcBorders>
            <w:shd w:val="clear" w:color="auto" w:fill="auto"/>
            <w:vAlign w:val="center"/>
          </w:tcPr>
          <w:p w14:paraId="7E46E367"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r>
      <w:tr w:rsidR="00613F70" w:rsidRPr="007E7835" w14:paraId="509C3B59" w14:textId="77777777" w:rsidTr="00877F34">
        <w:trPr>
          <w:trHeight w:val="283"/>
        </w:trPr>
        <w:tc>
          <w:tcPr>
            <w:tcW w:w="2436" w:type="dxa"/>
            <w:tcBorders>
              <w:top w:val="nil"/>
              <w:left w:val="nil"/>
              <w:bottom w:val="nil"/>
              <w:right w:val="nil"/>
            </w:tcBorders>
            <w:shd w:val="clear" w:color="auto" w:fill="auto"/>
            <w:vAlign w:val="center"/>
            <w:hideMark/>
          </w:tcPr>
          <w:p w14:paraId="060CA9AF"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Construcciones</w:t>
            </w:r>
          </w:p>
        </w:tc>
        <w:tc>
          <w:tcPr>
            <w:tcW w:w="1279" w:type="dxa"/>
            <w:tcBorders>
              <w:top w:val="nil"/>
              <w:left w:val="nil"/>
              <w:bottom w:val="nil"/>
              <w:right w:val="nil"/>
            </w:tcBorders>
            <w:shd w:val="clear" w:color="auto" w:fill="auto"/>
            <w:noWrap/>
            <w:vAlign w:val="center"/>
            <w:hideMark/>
          </w:tcPr>
          <w:p w14:paraId="2ED65247" w14:textId="7C99C72E"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(179.362,07)</w:t>
            </w:r>
          </w:p>
        </w:tc>
        <w:tc>
          <w:tcPr>
            <w:tcW w:w="1246" w:type="dxa"/>
            <w:tcBorders>
              <w:top w:val="nil"/>
              <w:left w:val="nil"/>
              <w:bottom w:val="nil"/>
              <w:right w:val="nil"/>
            </w:tcBorders>
            <w:shd w:val="clear" w:color="auto" w:fill="auto"/>
            <w:noWrap/>
            <w:vAlign w:val="center"/>
          </w:tcPr>
          <w:p w14:paraId="6F1F3980" w14:textId="6E61E91E"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(67.613,21)</w:t>
            </w:r>
          </w:p>
        </w:tc>
        <w:tc>
          <w:tcPr>
            <w:tcW w:w="1237" w:type="dxa"/>
            <w:tcBorders>
              <w:top w:val="nil"/>
              <w:left w:val="nil"/>
              <w:bottom w:val="nil"/>
              <w:right w:val="nil"/>
            </w:tcBorders>
            <w:shd w:val="clear" w:color="auto" w:fill="auto"/>
            <w:vAlign w:val="center"/>
          </w:tcPr>
          <w:p w14:paraId="1BEDDDE6" w14:textId="4C6044FA"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43" w:type="dxa"/>
            <w:tcBorders>
              <w:top w:val="nil"/>
              <w:left w:val="nil"/>
              <w:bottom w:val="nil"/>
              <w:right w:val="nil"/>
            </w:tcBorders>
            <w:shd w:val="clear" w:color="auto" w:fill="auto"/>
            <w:vAlign w:val="center"/>
          </w:tcPr>
          <w:p w14:paraId="0F667C20"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tcPr>
          <w:p w14:paraId="69B49A9C" w14:textId="0E960058"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(246.975,28)</w:t>
            </w:r>
          </w:p>
        </w:tc>
      </w:tr>
      <w:tr w:rsidR="00613F70" w:rsidRPr="007E7835" w14:paraId="79B4AE27" w14:textId="77777777" w:rsidTr="00877F34">
        <w:trPr>
          <w:trHeight w:val="283"/>
        </w:trPr>
        <w:tc>
          <w:tcPr>
            <w:tcW w:w="2436" w:type="dxa"/>
            <w:tcBorders>
              <w:top w:val="nil"/>
              <w:left w:val="nil"/>
              <w:bottom w:val="nil"/>
              <w:right w:val="nil"/>
            </w:tcBorders>
            <w:shd w:val="clear" w:color="auto" w:fill="auto"/>
            <w:vAlign w:val="center"/>
            <w:hideMark/>
          </w:tcPr>
          <w:p w14:paraId="149D95A8"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Instalaciones técnicas</w:t>
            </w:r>
          </w:p>
        </w:tc>
        <w:tc>
          <w:tcPr>
            <w:tcW w:w="1279" w:type="dxa"/>
            <w:tcBorders>
              <w:top w:val="nil"/>
              <w:left w:val="nil"/>
              <w:bottom w:val="nil"/>
              <w:right w:val="nil"/>
            </w:tcBorders>
            <w:shd w:val="clear" w:color="auto" w:fill="auto"/>
            <w:noWrap/>
            <w:vAlign w:val="center"/>
            <w:hideMark/>
          </w:tcPr>
          <w:p w14:paraId="7C831D14" w14:textId="3999A4F6"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(31.551,32)</w:t>
            </w:r>
          </w:p>
        </w:tc>
        <w:tc>
          <w:tcPr>
            <w:tcW w:w="1246" w:type="dxa"/>
            <w:tcBorders>
              <w:top w:val="nil"/>
              <w:left w:val="nil"/>
              <w:bottom w:val="nil"/>
              <w:right w:val="nil"/>
            </w:tcBorders>
            <w:shd w:val="clear" w:color="auto" w:fill="auto"/>
            <w:noWrap/>
            <w:vAlign w:val="center"/>
          </w:tcPr>
          <w:p w14:paraId="4CFF7A4E" w14:textId="53D1AF20"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 xml:space="preserve"> -</w:t>
            </w:r>
          </w:p>
        </w:tc>
        <w:tc>
          <w:tcPr>
            <w:tcW w:w="1237" w:type="dxa"/>
            <w:tcBorders>
              <w:top w:val="nil"/>
              <w:left w:val="nil"/>
              <w:bottom w:val="nil"/>
              <w:right w:val="nil"/>
            </w:tcBorders>
            <w:shd w:val="clear" w:color="auto" w:fill="auto"/>
            <w:vAlign w:val="center"/>
          </w:tcPr>
          <w:p w14:paraId="0003EDDD" w14:textId="3D2FF55F"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43" w:type="dxa"/>
            <w:tcBorders>
              <w:top w:val="nil"/>
              <w:left w:val="nil"/>
              <w:bottom w:val="nil"/>
              <w:right w:val="nil"/>
            </w:tcBorders>
            <w:shd w:val="clear" w:color="auto" w:fill="auto"/>
            <w:vAlign w:val="center"/>
          </w:tcPr>
          <w:p w14:paraId="31C8DD80"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639B1">
              <w:rPr>
                <w:rFonts w:eastAsia="Times New Roman"/>
                <w:sz w:val="16"/>
                <w:szCs w:val="16"/>
                <w:bdr w:val="none" w:sz="0" w:space="0" w:color="auto"/>
                <w:lang w:eastAsia="es-ES"/>
              </w:rPr>
              <w:t>-</w:t>
            </w:r>
          </w:p>
        </w:tc>
        <w:tc>
          <w:tcPr>
            <w:tcW w:w="1281" w:type="dxa"/>
            <w:tcBorders>
              <w:top w:val="nil"/>
              <w:left w:val="nil"/>
              <w:bottom w:val="nil"/>
              <w:right w:val="nil"/>
            </w:tcBorders>
            <w:shd w:val="clear" w:color="auto" w:fill="auto"/>
            <w:noWrap/>
            <w:vAlign w:val="center"/>
          </w:tcPr>
          <w:p w14:paraId="01E64368" w14:textId="7B9EADDC"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(31.551,32)</w:t>
            </w:r>
          </w:p>
        </w:tc>
      </w:tr>
      <w:tr w:rsidR="00613F70" w:rsidRPr="007E7835" w14:paraId="67BE1B20" w14:textId="77777777" w:rsidTr="00877F34">
        <w:trPr>
          <w:trHeight w:val="283"/>
        </w:trPr>
        <w:tc>
          <w:tcPr>
            <w:tcW w:w="2436" w:type="dxa"/>
            <w:tcBorders>
              <w:top w:val="nil"/>
              <w:left w:val="nil"/>
              <w:bottom w:val="nil"/>
              <w:right w:val="nil"/>
            </w:tcBorders>
            <w:shd w:val="clear" w:color="auto" w:fill="auto"/>
            <w:vAlign w:val="center"/>
            <w:hideMark/>
          </w:tcPr>
          <w:p w14:paraId="238A0DAA"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Mobiliario</w:t>
            </w:r>
          </w:p>
        </w:tc>
        <w:tc>
          <w:tcPr>
            <w:tcW w:w="1279" w:type="dxa"/>
            <w:tcBorders>
              <w:top w:val="nil"/>
              <w:left w:val="nil"/>
              <w:bottom w:val="nil"/>
              <w:right w:val="nil"/>
            </w:tcBorders>
            <w:shd w:val="clear" w:color="auto" w:fill="auto"/>
            <w:noWrap/>
            <w:vAlign w:val="center"/>
            <w:hideMark/>
          </w:tcPr>
          <w:p w14:paraId="023AEC88" w14:textId="608E273A"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(323.248,68)</w:t>
            </w:r>
          </w:p>
        </w:tc>
        <w:tc>
          <w:tcPr>
            <w:tcW w:w="1246" w:type="dxa"/>
            <w:tcBorders>
              <w:top w:val="nil"/>
              <w:left w:val="nil"/>
              <w:bottom w:val="nil"/>
              <w:right w:val="nil"/>
            </w:tcBorders>
            <w:shd w:val="clear" w:color="auto" w:fill="auto"/>
            <w:noWrap/>
            <w:vAlign w:val="center"/>
          </w:tcPr>
          <w:p w14:paraId="2990D29B" w14:textId="3FAF89D3"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(22.152,43)</w:t>
            </w:r>
          </w:p>
        </w:tc>
        <w:tc>
          <w:tcPr>
            <w:tcW w:w="1237" w:type="dxa"/>
            <w:tcBorders>
              <w:top w:val="nil"/>
              <w:left w:val="nil"/>
              <w:bottom w:val="nil"/>
              <w:right w:val="nil"/>
            </w:tcBorders>
            <w:shd w:val="clear" w:color="auto" w:fill="auto"/>
            <w:vAlign w:val="center"/>
          </w:tcPr>
          <w:p w14:paraId="33EC5CCD" w14:textId="38B1D2DD"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43" w:type="dxa"/>
            <w:tcBorders>
              <w:top w:val="nil"/>
              <w:left w:val="nil"/>
              <w:bottom w:val="nil"/>
              <w:right w:val="nil"/>
            </w:tcBorders>
            <w:shd w:val="clear" w:color="auto" w:fill="auto"/>
            <w:vAlign w:val="center"/>
          </w:tcPr>
          <w:p w14:paraId="0DB102D0" w14:textId="77777777"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52E64">
              <w:rPr>
                <w:sz w:val="16"/>
                <w:szCs w:val="16"/>
              </w:rPr>
              <w:t xml:space="preserve">                      -     </w:t>
            </w:r>
          </w:p>
        </w:tc>
        <w:tc>
          <w:tcPr>
            <w:tcW w:w="1281" w:type="dxa"/>
            <w:tcBorders>
              <w:top w:val="nil"/>
              <w:left w:val="nil"/>
              <w:bottom w:val="nil"/>
              <w:right w:val="nil"/>
            </w:tcBorders>
            <w:shd w:val="clear" w:color="auto" w:fill="auto"/>
            <w:noWrap/>
            <w:vAlign w:val="center"/>
          </w:tcPr>
          <w:p w14:paraId="5AC58CF9" w14:textId="166D842B"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(345.401,11)</w:t>
            </w:r>
          </w:p>
        </w:tc>
      </w:tr>
      <w:tr w:rsidR="00613F70" w:rsidRPr="007E7835" w14:paraId="07615FBA" w14:textId="77777777" w:rsidTr="00877F34">
        <w:trPr>
          <w:trHeight w:val="283"/>
        </w:trPr>
        <w:tc>
          <w:tcPr>
            <w:tcW w:w="2436" w:type="dxa"/>
            <w:tcBorders>
              <w:top w:val="nil"/>
              <w:left w:val="nil"/>
              <w:bottom w:val="nil"/>
              <w:right w:val="nil"/>
            </w:tcBorders>
            <w:shd w:val="clear" w:color="auto" w:fill="auto"/>
            <w:vAlign w:val="center"/>
            <w:hideMark/>
          </w:tcPr>
          <w:p w14:paraId="03237F55"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E7835">
              <w:rPr>
                <w:rFonts w:eastAsia="Times New Roman"/>
                <w:sz w:val="16"/>
                <w:szCs w:val="16"/>
                <w:bdr w:val="none" w:sz="0" w:space="0" w:color="auto"/>
                <w:lang w:eastAsia="es-ES"/>
              </w:rPr>
              <w:t>Otro inmovilizado</w:t>
            </w:r>
          </w:p>
        </w:tc>
        <w:tc>
          <w:tcPr>
            <w:tcW w:w="1279" w:type="dxa"/>
            <w:tcBorders>
              <w:top w:val="nil"/>
              <w:left w:val="nil"/>
              <w:bottom w:val="single" w:sz="4" w:space="0" w:color="auto"/>
              <w:right w:val="nil"/>
            </w:tcBorders>
            <w:shd w:val="clear" w:color="auto" w:fill="auto"/>
            <w:noWrap/>
            <w:vAlign w:val="center"/>
            <w:hideMark/>
          </w:tcPr>
          <w:p w14:paraId="03D89827" w14:textId="02284353"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(292.845,21)</w:t>
            </w:r>
          </w:p>
        </w:tc>
        <w:tc>
          <w:tcPr>
            <w:tcW w:w="1246" w:type="dxa"/>
            <w:tcBorders>
              <w:top w:val="nil"/>
              <w:left w:val="nil"/>
              <w:bottom w:val="single" w:sz="4" w:space="0" w:color="auto"/>
              <w:right w:val="nil"/>
            </w:tcBorders>
            <w:shd w:val="clear" w:color="auto" w:fill="auto"/>
            <w:noWrap/>
            <w:vAlign w:val="center"/>
          </w:tcPr>
          <w:p w14:paraId="2751D375" w14:textId="610F5EF9"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(24.289,54)</w:t>
            </w:r>
          </w:p>
        </w:tc>
        <w:tc>
          <w:tcPr>
            <w:tcW w:w="1237" w:type="dxa"/>
            <w:tcBorders>
              <w:top w:val="nil"/>
              <w:left w:val="nil"/>
              <w:bottom w:val="nil"/>
              <w:right w:val="nil"/>
            </w:tcBorders>
            <w:shd w:val="clear" w:color="auto" w:fill="auto"/>
            <w:vAlign w:val="center"/>
          </w:tcPr>
          <w:p w14:paraId="0929FE53" w14:textId="48F183A4"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1243" w:type="dxa"/>
            <w:tcBorders>
              <w:top w:val="nil"/>
              <w:left w:val="nil"/>
              <w:bottom w:val="nil"/>
              <w:right w:val="nil"/>
            </w:tcBorders>
            <w:shd w:val="clear" w:color="auto" w:fill="auto"/>
            <w:vAlign w:val="center"/>
          </w:tcPr>
          <w:p w14:paraId="2B0E5DAE" w14:textId="77777777"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D52E64">
              <w:rPr>
                <w:sz w:val="16"/>
                <w:szCs w:val="16"/>
              </w:rPr>
              <w:t xml:space="preserve">                      -     </w:t>
            </w:r>
          </w:p>
        </w:tc>
        <w:tc>
          <w:tcPr>
            <w:tcW w:w="1281" w:type="dxa"/>
            <w:tcBorders>
              <w:top w:val="nil"/>
              <w:left w:val="nil"/>
              <w:bottom w:val="single" w:sz="4" w:space="0" w:color="auto"/>
              <w:right w:val="nil"/>
            </w:tcBorders>
            <w:shd w:val="clear" w:color="auto" w:fill="auto"/>
            <w:noWrap/>
            <w:vAlign w:val="center"/>
          </w:tcPr>
          <w:p w14:paraId="612C9BC9" w14:textId="3B07C4D9"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r>
              <w:rPr>
                <w:sz w:val="16"/>
                <w:szCs w:val="16"/>
              </w:rPr>
              <w:t>(317.134,75)</w:t>
            </w:r>
          </w:p>
        </w:tc>
      </w:tr>
      <w:tr w:rsidR="00613F70" w:rsidRPr="007E7835" w14:paraId="098E3A63" w14:textId="77777777" w:rsidTr="00877F34">
        <w:trPr>
          <w:trHeight w:val="283"/>
        </w:trPr>
        <w:tc>
          <w:tcPr>
            <w:tcW w:w="2436" w:type="dxa"/>
            <w:tcBorders>
              <w:top w:val="nil"/>
              <w:left w:val="nil"/>
              <w:bottom w:val="nil"/>
              <w:right w:val="nil"/>
            </w:tcBorders>
            <w:shd w:val="clear" w:color="auto" w:fill="auto"/>
            <w:vAlign w:val="center"/>
            <w:hideMark/>
          </w:tcPr>
          <w:p w14:paraId="3DA21B5E"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6"/>
                <w:szCs w:val="16"/>
                <w:bdr w:val="none" w:sz="0" w:space="0" w:color="auto"/>
                <w:lang w:eastAsia="es-ES"/>
              </w:rPr>
            </w:pPr>
          </w:p>
        </w:tc>
        <w:tc>
          <w:tcPr>
            <w:tcW w:w="1279" w:type="dxa"/>
            <w:tcBorders>
              <w:top w:val="nil"/>
              <w:left w:val="nil"/>
              <w:bottom w:val="nil"/>
              <w:right w:val="nil"/>
            </w:tcBorders>
            <w:shd w:val="clear" w:color="auto" w:fill="auto"/>
            <w:vAlign w:val="center"/>
            <w:hideMark/>
          </w:tcPr>
          <w:p w14:paraId="0F00B2DA" w14:textId="18D3C9E9"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(827.007,28)</w:t>
            </w:r>
          </w:p>
        </w:tc>
        <w:tc>
          <w:tcPr>
            <w:tcW w:w="1246" w:type="dxa"/>
            <w:tcBorders>
              <w:top w:val="nil"/>
              <w:left w:val="nil"/>
              <w:bottom w:val="nil"/>
              <w:right w:val="nil"/>
            </w:tcBorders>
            <w:shd w:val="clear" w:color="auto" w:fill="auto"/>
            <w:vAlign w:val="center"/>
          </w:tcPr>
          <w:p w14:paraId="28DA1689" w14:textId="21DE38ED"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(114.055,18)</w:t>
            </w:r>
          </w:p>
        </w:tc>
        <w:tc>
          <w:tcPr>
            <w:tcW w:w="1237" w:type="dxa"/>
            <w:tcBorders>
              <w:top w:val="single" w:sz="4" w:space="0" w:color="auto"/>
              <w:left w:val="nil"/>
              <w:bottom w:val="nil"/>
              <w:right w:val="nil"/>
            </w:tcBorders>
            <w:shd w:val="clear" w:color="auto" w:fill="auto"/>
            <w:vAlign w:val="center"/>
          </w:tcPr>
          <w:p w14:paraId="519F483B" w14:textId="5446250B"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1243" w:type="dxa"/>
            <w:tcBorders>
              <w:top w:val="single" w:sz="4" w:space="0" w:color="auto"/>
              <w:left w:val="nil"/>
              <w:bottom w:val="nil"/>
              <w:right w:val="nil"/>
            </w:tcBorders>
            <w:shd w:val="clear" w:color="auto" w:fill="auto"/>
            <w:vAlign w:val="center"/>
          </w:tcPr>
          <w:p w14:paraId="66A2DDB1" w14:textId="77777777"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D52E64">
              <w:rPr>
                <w:b/>
                <w:bCs/>
                <w:sz w:val="16"/>
                <w:szCs w:val="16"/>
              </w:rPr>
              <w:t xml:space="preserve"> -</w:t>
            </w:r>
          </w:p>
        </w:tc>
        <w:tc>
          <w:tcPr>
            <w:tcW w:w="1281" w:type="dxa"/>
            <w:tcBorders>
              <w:top w:val="nil"/>
              <w:left w:val="nil"/>
              <w:bottom w:val="nil"/>
              <w:right w:val="nil"/>
            </w:tcBorders>
            <w:shd w:val="clear" w:color="auto" w:fill="auto"/>
            <w:vAlign w:val="center"/>
          </w:tcPr>
          <w:p w14:paraId="111FBC79" w14:textId="08BE8984" w:rsidR="00613F70" w:rsidRPr="00D52E64"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(941.062,46)</w:t>
            </w:r>
          </w:p>
        </w:tc>
      </w:tr>
      <w:tr w:rsidR="00613F70" w:rsidRPr="007E7835" w14:paraId="20CE1BE8" w14:textId="77777777" w:rsidTr="00877F34">
        <w:trPr>
          <w:trHeight w:val="283"/>
        </w:trPr>
        <w:tc>
          <w:tcPr>
            <w:tcW w:w="2436" w:type="dxa"/>
            <w:tcBorders>
              <w:top w:val="single" w:sz="4" w:space="0" w:color="auto"/>
              <w:left w:val="nil"/>
              <w:bottom w:val="single" w:sz="4" w:space="0" w:color="auto"/>
              <w:right w:val="nil"/>
            </w:tcBorders>
            <w:shd w:val="clear" w:color="auto" w:fill="auto"/>
            <w:vAlign w:val="center"/>
            <w:hideMark/>
          </w:tcPr>
          <w:p w14:paraId="3062A5EF" w14:textId="77777777" w:rsidR="00613F70" w:rsidRPr="007E7835"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Valor neto contable</w:t>
            </w:r>
          </w:p>
        </w:tc>
        <w:tc>
          <w:tcPr>
            <w:tcW w:w="1279" w:type="dxa"/>
            <w:tcBorders>
              <w:top w:val="single" w:sz="4" w:space="0" w:color="auto"/>
              <w:left w:val="nil"/>
              <w:bottom w:val="single" w:sz="4" w:space="0" w:color="auto"/>
              <w:right w:val="nil"/>
            </w:tcBorders>
            <w:shd w:val="clear" w:color="auto" w:fill="auto"/>
            <w:vAlign w:val="center"/>
            <w:hideMark/>
          </w:tcPr>
          <w:p w14:paraId="53847D9E" w14:textId="61FD7A34"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432.759,79</w:t>
            </w:r>
          </w:p>
        </w:tc>
        <w:tc>
          <w:tcPr>
            <w:tcW w:w="1246" w:type="dxa"/>
            <w:tcBorders>
              <w:top w:val="single" w:sz="4" w:space="0" w:color="auto"/>
              <w:left w:val="nil"/>
              <w:bottom w:val="single" w:sz="4" w:space="0" w:color="auto"/>
              <w:right w:val="nil"/>
            </w:tcBorders>
            <w:shd w:val="clear" w:color="auto" w:fill="auto"/>
            <w:vAlign w:val="center"/>
          </w:tcPr>
          <w:p w14:paraId="1CD3EE4B"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37" w:type="dxa"/>
            <w:tcBorders>
              <w:top w:val="single" w:sz="4" w:space="0" w:color="auto"/>
              <w:left w:val="nil"/>
              <w:bottom w:val="single" w:sz="4" w:space="0" w:color="auto"/>
              <w:right w:val="nil"/>
            </w:tcBorders>
            <w:shd w:val="clear" w:color="auto" w:fill="auto"/>
            <w:vAlign w:val="center"/>
          </w:tcPr>
          <w:p w14:paraId="09696933"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43" w:type="dxa"/>
            <w:tcBorders>
              <w:top w:val="single" w:sz="4" w:space="0" w:color="auto"/>
              <w:left w:val="nil"/>
              <w:bottom w:val="single" w:sz="4" w:space="0" w:color="auto"/>
              <w:right w:val="nil"/>
            </w:tcBorders>
            <w:shd w:val="clear" w:color="auto" w:fill="auto"/>
            <w:vAlign w:val="center"/>
          </w:tcPr>
          <w:p w14:paraId="2BF5749D" w14:textId="77777777"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p>
        </w:tc>
        <w:tc>
          <w:tcPr>
            <w:tcW w:w="1281" w:type="dxa"/>
            <w:tcBorders>
              <w:top w:val="single" w:sz="4" w:space="0" w:color="auto"/>
              <w:left w:val="nil"/>
              <w:bottom w:val="single" w:sz="4" w:space="0" w:color="auto"/>
              <w:right w:val="nil"/>
            </w:tcBorders>
            <w:shd w:val="clear" w:color="auto" w:fill="auto"/>
            <w:vAlign w:val="center"/>
          </w:tcPr>
          <w:p w14:paraId="02876F86" w14:textId="06805DEF" w:rsidR="00613F70" w:rsidRPr="007639B1" w:rsidRDefault="00613F70" w:rsidP="00613F7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340.593,85</w:t>
            </w:r>
          </w:p>
        </w:tc>
      </w:tr>
    </w:tbl>
    <w:p w14:paraId="097C755D" w14:textId="2E04E434" w:rsidR="001715D7" w:rsidRPr="005644E5" w:rsidRDefault="001715D7" w:rsidP="001B5A15">
      <w:pPr>
        <w:widowControl w:val="0"/>
        <w:spacing w:before="240" w:after="120" w:line="260" w:lineRule="exact"/>
        <w:jc w:val="both"/>
        <w:outlineLvl w:val="9"/>
        <w:rPr>
          <w:snapToGrid w:val="0"/>
          <w:sz w:val="20"/>
          <w:szCs w:val="22"/>
        </w:rPr>
      </w:pPr>
      <w:r w:rsidRPr="005644E5">
        <w:rPr>
          <w:snapToGrid w:val="0"/>
          <w:sz w:val="20"/>
          <w:szCs w:val="22"/>
        </w:rPr>
        <w:t>Las altas del ejercicio 202</w:t>
      </w:r>
      <w:r w:rsidR="00064F9F">
        <w:rPr>
          <w:snapToGrid w:val="0"/>
          <w:sz w:val="20"/>
          <w:szCs w:val="22"/>
        </w:rPr>
        <w:t>2</w:t>
      </w:r>
      <w:r w:rsidRPr="005644E5">
        <w:rPr>
          <w:snapToGrid w:val="0"/>
          <w:sz w:val="20"/>
          <w:szCs w:val="22"/>
        </w:rPr>
        <w:t xml:space="preserve"> correspond</w:t>
      </w:r>
      <w:r w:rsidR="002E37F9">
        <w:rPr>
          <w:snapToGrid w:val="0"/>
          <w:sz w:val="20"/>
          <w:szCs w:val="22"/>
        </w:rPr>
        <w:t>ieron</w:t>
      </w:r>
      <w:r w:rsidRPr="005644E5">
        <w:rPr>
          <w:snapToGrid w:val="0"/>
          <w:sz w:val="20"/>
          <w:szCs w:val="22"/>
        </w:rPr>
        <w:t xml:space="preserve"> principalmente </w:t>
      </w:r>
      <w:r w:rsidR="00064F9F">
        <w:rPr>
          <w:snapToGrid w:val="0"/>
          <w:sz w:val="20"/>
          <w:szCs w:val="22"/>
        </w:rPr>
        <w:t xml:space="preserve">a la reforma del almacén situado en la calle Víctor Hugo N.º 60 de Las Palmas de Gran Canaria. </w:t>
      </w:r>
    </w:p>
    <w:p w14:paraId="7DE7EA68" w14:textId="594FB304" w:rsidR="006220A2" w:rsidRDefault="00720788" w:rsidP="006220A2">
      <w:pPr>
        <w:widowControl w:val="0"/>
        <w:tabs>
          <w:tab w:val="left" w:pos="284"/>
        </w:tabs>
        <w:spacing w:before="200"/>
        <w:rPr>
          <w:sz w:val="20"/>
          <w:szCs w:val="22"/>
          <w:u w:val="single"/>
        </w:rPr>
      </w:pPr>
      <w:r>
        <w:rPr>
          <w:sz w:val="20"/>
          <w:szCs w:val="22"/>
        </w:rPr>
        <w:t>a</w:t>
      </w:r>
      <w:r w:rsidR="006220A2" w:rsidRPr="0083433F">
        <w:rPr>
          <w:sz w:val="20"/>
          <w:szCs w:val="22"/>
        </w:rPr>
        <w:t>)</w:t>
      </w:r>
      <w:r w:rsidR="006220A2" w:rsidRPr="0083433F">
        <w:rPr>
          <w:sz w:val="20"/>
          <w:szCs w:val="22"/>
        </w:rPr>
        <w:tab/>
      </w:r>
      <w:r w:rsidR="006220A2" w:rsidRPr="0083433F">
        <w:rPr>
          <w:sz w:val="20"/>
          <w:szCs w:val="22"/>
          <w:u w:val="single"/>
        </w:rPr>
        <w:t xml:space="preserve">Pérdidas por deterioro </w:t>
      </w:r>
      <w:r w:rsidR="0073325C" w:rsidRPr="0083433F">
        <w:rPr>
          <w:sz w:val="20"/>
          <w:szCs w:val="22"/>
          <w:u w:val="single"/>
        </w:rPr>
        <w:t>y enajenación del inmovilizado.</w:t>
      </w:r>
    </w:p>
    <w:p w14:paraId="451899A2" w14:textId="0F43C94D" w:rsidR="000C3260" w:rsidRDefault="00DA1EFA" w:rsidP="004A41D6">
      <w:pPr>
        <w:widowControl w:val="0"/>
        <w:spacing w:before="120" w:after="120" w:line="260" w:lineRule="exact"/>
        <w:jc w:val="both"/>
        <w:outlineLvl w:val="9"/>
        <w:rPr>
          <w:snapToGrid w:val="0"/>
          <w:sz w:val="20"/>
          <w:szCs w:val="22"/>
        </w:rPr>
      </w:pPr>
      <w:r w:rsidRPr="005644E5">
        <w:rPr>
          <w:snapToGrid w:val="0"/>
          <w:sz w:val="20"/>
          <w:szCs w:val="22"/>
        </w:rPr>
        <w:t>Durante el ejercicio 202</w:t>
      </w:r>
      <w:r w:rsidR="00975FFC">
        <w:rPr>
          <w:snapToGrid w:val="0"/>
          <w:sz w:val="20"/>
          <w:szCs w:val="22"/>
        </w:rPr>
        <w:t>3</w:t>
      </w:r>
      <w:r w:rsidR="000C3260" w:rsidRPr="005644E5">
        <w:rPr>
          <w:snapToGrid w:val="0"/>
          <w:sz w:val="20"/>
          <w:szCs w:val="22"/>
        </w:rPr>
        <w:t xml:space="preserve"> </w:t>
      </w:r>
      <w:r w:rsidR="00EF7826" w:rsidRPr="005644E5">
        <w:rPr>
          <w:snapToGrid w:val="0"/>
          <w:sz w:val="20"/>
          <w:szCs w:val="22"/>
        </w:rPr>
        <w:t>y 20</w:t>
      </w:r>
      <w:r w:rsidR="00156E4B">
        <w:rPr>
          <w:snapToGrid w:val="0"/>
          <w:sz w:val="20"/>
          <w:szCs w:val="22"/>
        </w:rPr>
        <w:t>2</w:t>
      </w:r>
      <w:r w:rsidR="00975FFC">
        <w:rPr>
          <w:snapToGrid w:val="0"/>
          <w:sz w:val="20"/>
          <w:szCs w:val="22"/>
        </w:rPr>
        <w:t>2</w:t>
      </w:r>
      <w:r w:rsidR="00EF7826" w:rsidRPr="005644E5">
        <w:rPr>
          <w:snapToGrid w:val="0"/>
          <w:sz w:val="20"/>
          <w:szCs w:val="22"/>
        </w:rPr>
        <w:t xml:space="preserve"> </w:t>
      </w:r>
      <w:r w:rsidRPr="005644E5">
        <w:rPr>
          <w:snapToGrid w:val="0"/>
          <w:sz w:val="20"/>
          <w:szCs w:val="22"/>
        </w:rPr>
        <w:t>no se ha reconocido ni revertido correcciones valorativas por deterioro para ningún inmovilizado material.</w:t>
      </w:r>
    </w:p>
    <w:p w14:paraId="43F4CB8F" w14:textId="1886481E" w:rsidR="00A40674" w:rsidRPr="005644E5" w:rsidRDefault="00A40674" w:rsidP="004A41D6">
      <w:pPr>
        <w:widowControl w:val="0"/>
        <w:spacing w:before="120" w:after="120" w:line="260" w:lineRule="exact"/>
        <w:jc w:val="both"/>
        <w:outlineLvl w:val="9"/>
        <w:rPr>
          <w:snapToGrid w:val="0"/>
          <w:sz w:val="20"/>
          <w:szCs w:val="22"/>
        </w:rPr>
      </w:pPr>
      <w:r>
        <w:rPr>
          <w:snapToGrid w:val="0"/>
          <w:sz w:val="20"/>
          <w:szCs w:val="22"/>
        </w:rPr>
        <w:t>En el ejercicio 2023 se ha vendido un equipo informativo por su valor neto contable sin efecto en la cuenta de pérdidas y ganancias.</w:t>
      </w:r>
    </w:p>
    <w:p w14:paraId="096CE734" w14:textId="7550E3A4" w:rsidR="006220A2" w:rsidRPr="0083433F" w:rsidRDefault="00720788" w:rsidP="005644E5">
      <w:pPr>
        <w:keepNext/>
        <w:keepLines/>
        <w:widowControl w:val="0"/>
        <w:tabs>
          <w:tab w:val="left" w:pos="284"/>
        </w:tabs>
        <w:spacing w:before="200"/>
        <w:rPr>
          <w:sz w:val="20"/>
          <w:szCs w:val="22"/>
        </w:rPr>
      </w:pPr>
      <w:r>
        <w:rPr>
          <w:snapToGrid w:val="0"/>
          <w:sz w:val="20"/>
          <w:szCs w:val="22"/>
        </w:rPr>
        <w:lastRenderedPageBreak/>
        <w:t>b</w:t>
      </w:r>
      <w:r w:rsidR="006220A2" w:rsidRPr="0083433F">
        <w:rPr>
          <w:snapToGrid w:val="0"/>
          <w:sz w:val="20"/>
          <w:szCs w:val="22"/>
        </w:rPr>
        <w:t>)</w:t>
      </w:r>
      <w:r w:rsidR="006220A2" w:rsidRPr="0083433F">
        <w:rPr>
          <w:snapToGrid w:val="0"/>
          <w:sz w:val="20"/>
          <w:szCs w:val="22"/>
        </w:rPr>
        <w:tab/>
      </w:r>
      <w:r w:rsidR="006220A2" w:rsidRPr="0083433F">
        <w:rPr>
          <w:snapToGrid w:val="0"/>
          <w:sz w:val="20"/>
          <w:szCs w:val="22"/>
          <w:u w:val="single"/>
        </w:rPr>
        <w:t>Bienes totalmente amortizados</w:t>
      </w:r>
    </w:p>
    <w:p w14:paraId="31EE61E0" w14:textId="44F0616E" w:rsidR="006220A2" w:rsidRPr="005644E5" w:rsidRDefault="006220A2" w:rsidP="004A41D6">
      <w:pPr>
        <w:keepNext/>
        <w:keepLines/>
        <w:widowControl w:val="0"/>
        <w:spacing w:before="120" w:after="120" w:line="260" w:lineRule="exact"/>
        <w:jc w:val="both"/>
        <w:outlineLvl w:val="9"/>
        <w:rPr>
          <w:snapToGrid w:val="0"/>
          <w:sz w:val="20"/>
          <w:szCs w:val="22"/>
        </w:rPr>
      </w:pPr>
      <w:bookmarkStart w:id="4" w:name="OLE_LINK3"/>
      <w:r w:rsidRPr="005644E5">
        <w:rPr>
          <w:snapToGrid w:val="0"/>
          <w:sz w:val="20"/>
          <w:szCs w:val="22"/>
        </w:rPr>
        <w:t xml:space="preserve">El desglose del inmovilizado </w:t>
      </w:r>
      <w:r w:rsidR="005644E5">
        <w:rPr>
          <w:snapToGrid w:val="0"/>
          <w:sz w:val="20"/>
          <w:szCs w:val="22"/>
        </w:rPr>
        <w:t xml:space="preserve">material </w:t>
      </w:r>
      <w:r w:rsidRPr="005644E5">
        <w:rPr>
          <w:snapToGrid w:val="0"/>
          <w:sz w:val="20"/>
          <w:szCs w:val="22"/>
        </w:rPr>
        <w:t xml:space="preserve">totalmente amortizado y </w:t>
      </w:r>
      <w:r w:rsidR="00403785" w:rsidRPr="005644E5">
        <w:rPr>
          <w:snapToGrid w:val="0"/>
          <w:sz w:val="20"/>
          <w:szCs w:val="22"/>
        </w:rPr>
        <w:t>en uso a 31 de diciembre de 20</w:t>
      </w:r>
      <w:r w:rsidR="008B575B" w:rsidRPr="005644E5">
        <w:rPr>
          <w:snapToGrid w:val="0"/>
          <w:sz w:val="20"/>
          <w:szCs w:val="22"/>
        </w:rPr>
        <w:t>2</w:t>
      </w:r>
      <w:r w:rsidR="00975FFC">
        <w:rPr>
          <w:snapToGrid w:val="0"/>
          <w:sz w:val="20"/>
          <w:szCs w:val="22"/>
        </w:rPr>
        <w:t>3</w:t>
      </w:r>
      <w:r w:rsidR="00403785" w:rsidRPr="005644E5">
        <w:rPr>
          <w:snapToGrid w:val="0"/>
          <w:sz w:val="20"/>
          <w:szCs w:val="22"/>
        </w:rPr>
        <w:t xml:space="preserve"> y 20</w:t>
      </w:r>
      <w:r w:rsidR="007579CC" w:rsidRPr="005644E5">
        <w:rPr>
          <w:snapToGrid w:val="0"/>
          <w:sz w:val="20"/>
          <w:szCs w:val="22"/>
        </w:rPr>
        <w:t>2</w:t>
      </w:r>
      <w:r w:rsidR="00975FFC">
        <w:rPr>
          <w:snapToGrid w:val="0"/>
          <w:sz w:val="20"/>
          <w:szCs w:val="22"/>
        </w:rPr>
        <w:t>2</w:t>
      </w:r>
      <w:r w:rsidRPr="005644E5">
        <w:rPr>
          <w:snapToGrid w:val="0"/>
          <w:sz w:val="20"/>
          <w:szCs w:val="22"/>
        </w:rPr>
        <w:t xml:space="preserve"> es el siguiente: </w:t>
      </w:r>
      <w:bookmarkEnd w:id="4"/>
    </w:p>
    <w:tbl>
      <w:tblPr>
        <w:tblW w:w="5000" w:type="pct"/>
        <w:jc w:val="center"/>
        <w:tblCellMar>
          <w:left w:w="70" w:type="dxa"/>
          <w:right w:w="70" w:type="dxa"/>
        </w:tblCellMar>
        <w:tblLook w:val="04A0" w:firstRow="1" w:lastRow="0" w:firstColumn="1" w:lastColumn="0" w:noHBand="0" w:noVBand="1"/>
      </w:tblPr>
      <w:tblGrid>
        <w:gridCol w:w="4757"/>
        <w:gridCol w:w="2013"/>
        <w:gridCol w:w="2011"/>
      </w:tblGrid>
      <w:tr w:rsidR="006220A2" w:rsidRPr="005644E5" w14:paraId="08D1662A" w14:textId="77777777" w:rsidTr="007E7835">
        <w:trPr>
          <w:trHeight w:val="227"/>
          <w:jc w:val="center"/>
        </w:trPr>
        <w:tc>
          <w:tcPr>
            <w:tcW w:w="2709" w:type="pct"/>
            <w:tcBorders>
              <w:top w:val="single" w:sz="4" w:space="0" w:color="auto"/>
              <w:left w:val="nil"/>
              <w:bottom w:val="nil"/>
              <w:right w:val="nil"/>
            </w:tcBorders>
            <w:shd w:val="clear" w:color="auto" w:fill="auto"/>
            <w:noWrap/>
            <w:vAlign w:val="bottom"/>
            <w:hideMark/>
          </w:tcPr>
          <w:p w14:paraId="212D99C1" w14:textId="77777777" w:rsidR="006220A2" w:rsidRPr="005644E5" w:rsidRDefault="006220A2" w:rsidP="00852114">
            <w:pPr>
              <w:jc w:val="center"/>
              <w:rPr>
                <w:rFonts w:eastAsia="Times New Roman"/>
                <w:sz w:val="18"/>
                <w:szCs w:val="18"/>
              </w:rPr>
            </w:pPr>
            <w:r w:rsidRPr="005644E5">
              <w:rPr>
                <w:rFonts w:eastAsia="Times New Roman"/>
                <w:sz w:val="18"/>
                <w:szCs w:val="18"/>
              </w:rPr>
              <w:t> </w:t>
            </w:r>
          </w:p>
        </w:tc>
        <w:tc>
          <w:tcPr>
            <w:tcW w:w="2291" w:type="pct"/>
            <w:gridSpan w:val="2"/>
            <w:tcBorders>
              <w:top w:val="single" w:sz="4" w:space="0" w:color="auto"/>
              <w:left w:val="nil"/>
              <w:bottom w:val="single" w:sz="4" w:space="0" w:color="auto"/>
              <w:right w:val="nil"/>
            </w:tcBorders>
            <w:shd w:val="clear" w:color="auto" w:fill="auto"/>
            <w:noWrap/>
            <w:vAlign w:val="bottom"/>
            <w:hideMark/>
          </w:tcPr>
          <w:p w14:paraId="6D70509C" w14:textId="77777777" w:rsidR="006220A2" w:rsidRPr="005644E5" w:rsidRDefault="006220A2" w:rsidP="005644E5">
            <w:pPr>
              <w:ind w:right="469"/>
              <w:jc w:val="center"/>
              <w:rPr>
                <w:rFonts w:eastAsia="Times New Roman"/>
                <w:b/>
                <w:bCs/>
                <w:sz w:val="18"/>
                <w:szCs w:val="18"/>
              </w:rPr>
            </w:pPr>
            <w:r w:rsidRPr="005644E5">
              <w:rPr>
                <w:rFonts w:eastAsia="Times New Roman"/>
                <w:b/>
                <w:bCs/>
                <w:sz w:val="18"/>
                <w:szCs w:val="18"/>
              </w:rPr>
              <w:t>Euros</w:t>
            </w:r>
          </w:p>
        </w:tc>
      </w:tr>
      <w:tr w:rsidR="00A5041E" w:rsidRPr="005644E5" w14:paraId="6FE347CE" w14:textId="77777777" w:rsidTr="00A40674">
        <w:trPr>
          <w:trHeight w:val="227"/>
          <w:jc w:val="center"/>
        </w:trPr>
        <w:tc>
          <w:tcPr>
            <w:tcW w:w="2709" w:type="pct"/>
            <w:tcBorders>
              <w:top w:val="nil"/>
              <w:left w:val="nil"/>
              <w:bottom w:val="single" w:sz="4" w:space="0" w:color="auto"/>
              <w:right w:val="nil"/>
            </w:tcBorders>
            <w:shd w:val="clear" w:color="auto" w:fill="auto"/>
            <w:noWrap/>
            <w:vAlign w:val="bottom"/>
            <w:hideMark/>
          </w:tcPr>
          <w:p w14:paraId="6449058A" w14:textId="77777777" w:rsidR="00A5041E" w:rsidRPr="005644E5" w:rsidRDefault="00A5041E" w:rsidP="00A5041E">
            <w:pPr>
              <w:jc w:val="center"/>
              <w:rPr>
                <w:rFonts w:eastAsia="Times New Roman"/>
                <w:sz w:val="18"/>
                <w:szCs w:val="18"/>
              </w:rPr>
            </w:pPr>
            <w:r w:rsidRPr="005644E5">
              <w:rPr>
                <w:rFonts w:eastAsia="Times New Roman"/>
                <w:sz w:val="18"/>
                <w:szCs w:val="18"/>
              </w:rPr>
              <w:t> </w:t>
            </w:r>
          </w:p>
        </w:tc>
        <w:tc>
          <w:tcPr>
            <w:tcW w:w="1146" w:type="pct"/>
            <w:tcBorders>
              <w:top w:val="nil"/>
              <w:left w:val="nil"/>
              <w:bottom w:val="single" w:sz="4" w:space="0" w:color="auto"/>
              <w:right w:val="nil"/>
            </w:tcBorders>
            <w:shd w:val="clear" w:color="auto" w:fill="auto"/>
            <w:noWrap/>
            <w:vAlign w:val="bottom"/>
            <w:hideMark/>
          </w:tcPr>
          <w:p w14:paraId="60666662" w14:textId="636DCB5F" w:rsidR="00A5041E" w:rsidRPr="00A5041E" w:rsidRDefault="00A5041E" w:rsidP="00A5041E">
            <w:pPr>
              <w:ind w:right="469"/>
              <w:jc w:val="center"/>
              <w:rPr>
                <w:rFonts w:eastAsia="Times New Roman"/>
                <w:b/>
                <w:bCs/>
                <w:sz w:val="18"/>
                <w:szCs w:val="18"/>
              </w:rPr>
            </w:pPr>
            <w:r w:rsidRPr="00A5041E">
              <w:rPr>
                <w:b/>
                <w:bCs/>
                <w:sz w:val="18"/>
                <w:szCs w:val="18"/>
              </w:rPr>
              <w:t>31/12/202</w:t>
            </w:r>
            <w:r w:rsidR="00975FFC">
              <w:rPr>
                <w:b/>
                <w:bCs/>
                <w:sz w:val="18"/>
                <w:szCs w:val="18"/>
              </w:rPr>
              <w:t>3</w:t>
            </w:r>
          </w:p>
        </w:tc>
        <w:tc>
          <w:tcPr>
            <w:tcW w:w="1146" w:type="pct"/>
            <w:tcBorders>
              <w:top w:val="nil"/>
              <w:left w:val="nil"/>
              <w:bottom w:val="single" w:sz="4" w:space="0" w:color="auto"/>
              <w:right w:val="nil"/>
            </w:tcBorders>
            <w:shd w:val="clear" w:color="auto" w:fill="auto"/>
            <w:noWrap/>
            <w:vAlign w:val="bottom"/>
            <w:hideMark/>
          </w:tcPr>
          <w:p w14:paraId="5372A2FB" w14:textId="491AB981" w:rsidR="00A5041E" w:rsidRPr="005644E5" w:rsidRDefault="00A5041E" w:rsidP="00A5041E">
            <w:pPr>
              <w:ind w:right="469"/>
              <w:jc w:val="center"/>
              <w:rPr>
                <w:rFonts w:eastAsia="Times New Roman"/>
                <w:b/>
                <w:bCs/>
                <w:sz w:val="18"/>
                <w:szCs w:val="18"/>
              </w:rPr>
            </w:pPr>
            <w:r w:rsidRPr="005644E5">
              <w:rPr>
                <w:rFonts w:eastAsia="Times New Roman"/>
                <w:b/>
                <w:bCs/>
                <w:sz w:val="18"/>
                <w:szCs w:val="18"/>
              </w:rPr>
              <w:t>31/12/202</w:t>
            </w:r>
            <w:r w:rsidR="00975FFC">
              <w:rPr>
                <w:rFonts w:eastAsia="Times New Roman"/>
                <w:b/>
                <w:bCs/>
                <w:sz w:val="18"/>
                <w:szCs w:val="18"/>
              </w:rPr>
              <w:t>2</w:t>
            </w:r>
          </w:p>
        </w:tc>
      </w:tr>
      <w:tr w:rsidR="00A40674" w:rsidRPr="005644E5" w14:paraId="6144ADF8" w14:textId="77777777" w:rsidTr="00A40674">
        <w:trPr>
          <w:trHeight w:val="283"/>
          <w:jc w:val="center"/>
        </w:trPr>
        <w:tc>
          <w:tcPr>
            <w:tcW w:w="2709" w:type="pct"/>
            <w:tcBorders>
              <w:top w:val="nil"/>
              <w:left w:val="nil"/>
              <w:bottom w:val="nil"/>
              <w:right w:val="nil"/>
            </w:tcBorders>
            <w:shd w:val="clear" w:color="auto" w:fill="auto"/>
            <w:vAlign w:val="center"/>
            <w:hideMark/>
          </w:tcPr>
          <w:p w14:paraId="7D4694C1" w14:textId="77777777" w:rsidR="00A40674" w:rsidRPr="005644E5" w:rsidRDefault="00A40674" w:rsidP="00A40674">
            <w:pPr>
              <w:ind w:left="217"/>
              <w:rPr>
                <w:rFonts w:eastAsia="Times New Roman"/>
                <w:sz w:val="18"/>
                <w:szCs w:val="18"/>
              </w:rPr>
            </w:pPr>
            <w:r w:rsidRPr="005644E5">
              <w:rPr>
                <w:rFonts w:eastAsia="Times New Roman"/>
                <w:sz w:val="18"/>
                <w:szCs w:val="18"/>
              </w:rPr>
              <w:t>Construcciones</w:t>
            </w:r>
          </w:p>
        </w:tc>
        <w:tc>
          <w:tcPr>
            <w:tcW w:w="1146" w:type="pct"/>
            <w:tcBorders>
              <w:top w:val="nil"/>
              <w:left w:val="nil"/>
              <w:bottom w:val="nil"/>
              <w:right w:val="nil"/>
            </w:tcBorders>
            <w:shd w:val="clear" w:color="auto" w:fill="auto"/>
            <w:noWrap/>
            <w:vAlign w:val="center"/>
          </w:tcPr>
          <w:p w14:paraId="17C5B81C" w14:textId="206502C7" w:rsidR="00A40674" w:rsidRPr="00A40674" w:rsidRDefault="00A40674" w:rsidP="00A40674">
            <w:pPr>
              <w:pBdr>
                <w:top w:val="none" w:sz="0" w:space="0" w:color="auto"/>
                <w:left w:val="none" w:sz="0" w:space="0" w:color="auto"/>
                <w:bottom w:val="none" w:sz="0" w:space="0" w:color="auto"/>
                <w:right w:val="none" w:sz="0" w:space="0" w:color="auto"/>
                <w:between w:val="none" w:sz="0" w:space="0" w:color="auto"/>
                <w:bar w:val="none" w:sz="0" w:color="auto"/>
              </w:pBdr>
              <w:ind w:left="217" w:right="469"/>
              <w:jc w:val="right"/>
              <w:outlineLvl w:val="9"/>
              <w:rPr>
                <w:rFonts w:eastAsia="Times New Roman"/>
                <w:sz w:val="18"/>
                <w:szCs w:val="18"/>
                <w:bdr w:val="none" w:sz="0" w:space="0" w:color="auto"/>
                <w:lang w:eastAsia="es-ES"/>
              </w:rPr>
            </w:pPr>
            <w:r w:rsidRPr="00A40674">
              <w:rPr>
                <w:sz w:val="18"/>
                <w:szCs w:val="18"/>
              </w:rPr>
              <w:t>8.076,00</w:t>
            </w:r>
          </w:p>
        </w:tc>
        <w:tc>
          <w:tcPr>
            <w:tcW w:w="1146" w:type="pct"/>
            <w:tcBorders>
              <w:top w:val="nil"/>
              <w:left w:val="nil"/>
              <w:bottom w:val="nil"/>
              <w:right w:val="nil"/>
            </w:tcBorders>
            <w:shd w:val="clear" w:color="auto" w:fill="auto"/>
            <w:noWrap/>
            <w:vAlign w:val="center"/>
          </w:tcPr>
          <w:p w14:paraId="1734D7BA" w14:textId="0FD85EEF" w:rsidR="00A40674" w:rsidRPr="005644E5" w:rsidRDefault="00A40674" w:rsidP="00A40674">
            <w:pPr>
              <w:pBdr>
                <w:top w:val="none" w:sz="0" w:space="0" w:color="auto"/>
                <w:left w:val="none" w:sz="0" w:space="0" w:color="auto"/>
                <w:bottom w:val="none" w:sz="0" w:space="0" w:color="auto"/>
                <w:right w:val="none" w:sz="0" w:space="0" w:color="auto"/>
                <w:between w:val="none" w:sz="0" w:space="0" w:color="auto"/>
                <w:bar w:val="none" w:sz="0" w:color="auto"/>
              </w:pBdr>
              <w:ind w:left="217" w:right="469"/>
              <w:jc w:val="right"/>
              <w:outlineLvl w:val="9"/>
              <w:rPr>
                <w:rFonts w:eastAsia="Times New Roman"/>
                <w:sz w:val="18"/>
                <w:szCs w:val="18"/>
                <w:bdr w:val="none" w:sz="0" w:space="0" w:color="auto"/>
                <w:lang w:eastAsia="es-ES"/>
              </w:rPr>
            </w:pPr>
            <w:r w:rsidRPr="00A5041E">
              <w:rPr>
                <w:sz w:val="18"/>
                <w:szCs w:val="18"/>
              </w:rPr>
              <w:t>8.076,00</w:t>
            </w:r>
          </w:p>
        </w:tc>
      </w:tr>
      <w:tr w:rsidR="00A40674" w:rsidRPr="005644E5" w14:paraId="0C4C6321" w14:textId="77777777" w:rsidTr="00A40674">
        <w:trPr>
          <w:trHeight w:val="283"/>
          <w:jc w:val="center"/>
        </w:trPr>
        <w:tc>
          <w:tcPr>
            <w:tcW w:w="2709" w:type="pct"/>
            <w:tcBorders>
              <w:top w:val="nil"/>
              <w:left w:val="nil"/>
              <w:bottom w:val="nil"/>
              <w:right w:val="nil"/>
            </w:tcBorders>
            <w:shd w:val="clear" w:color="auto" w:fill="auto"/>
            <w:vAlign w:val="center"/>
            <w:hideMark/>
          </w:tcPr>
          <w:p w14:paraId="22D2F42A" w14:textId="77777777" w:rsidR="00A40674" w:rsidRPr="005644E5" w:rsidRDefault="00A40674" w:rsidP="00A40674">
            <w:pPr>
              <w:ind w:left="217"/>
              <w:rPr>
                <w:rFonts w:eastAsia="Times New Roman"/>
                <w:sz w:val="18"/>
                <w:szCs w:val="18"/>
              </w:rPr>
            </w:pPr>
            <w:r w:rsidRPr="005644E5">
              <w:rPr>
                <w:rFonts w:eastAsia="Times New Roman"/>
                <w:sz w:val="18"/>
                <w:szCs w:val="18"/>
              </w:rPr>
              <w:t>Instalaciones técnicas</w:t>
            </w:r>
          </w:p>
        </w:tc>
        <w:tc>
          <w:tcPr>
            <w:tcW w:w="1146" w:type="pct"/>
            <w:tcBorders>
              <w:top w:val="nil"/>
              <w:left w:val="nil"/>
              <w:bottom w:val="nil"/>
              <w:right w:val="nil"/>
            </w:tcBorders>
            <w:shd w:val="clear" w:color="auto" w:fill="auto"/>
            <w:noWrap/>
            <w:vAlign w:val="center"/>
          </w:tcPr>
          <w:p w14:paraId="11EDA668" w14:textId="4B763F78" w:rsidR="00A40674" w:rsidRPr="00A40674" w:rsidRDefault="00A40674" w:rsidP="00A40674">
            <w:pPr>
              <w:ind w:left="217" w:right="469"/>
              <w:jc w:val="right"/>
              <w:rPr>
                <w:sz w:val="18"/>
                <w:szCs w:val="18"/>
              </w:rPr>
            </w:pPr>
            <w:r w:rsidRPr="00A40674">
              <w:rPr>
                <w:sz w:val="18"/>
                <w:szCs w:val="18"/>
              </w:rPr>
              <w:t>31.551,32</w:t>
            </w:r>
          </w:p>
        </w:tc>
        <w:tc>
          <w:tcPr>
            <w:tcW w:w="1146" w:type="pct"/>
            <w:tcBorders>
              <w:top w:val="nil"/>
              <w:left w:val="nil"/>
              <w:bottom w:val="nil"/>
              <w:right w:val="nil"/>
            </w:tcBorders>
            <w:shd w:val="clear" w:color="auto" w:fill="auto"/>
            <w:noWrap/>
            <w:vAlign w:val="center"/>
          </w:tcPr>
          <w:p w14:paraId="6515B1A1" w14:textId="7F759F31" w:rsidR="00A40674" w:rsidRPr="005644E5" w:rsidRDefault="00A40674" w:rsidP="00A40674">
            <w:pPr>
              <w:ind w:left="217" w:right="469"/>
              <w:jc w:val="right"/>
              <w:rPr>
                <w:sz w:val="18"/>
                <w:szCs w:val="18"/>
              </w:rPr>
            </w:pPr>
            <w:r w:rsidRPr="00A5041E">
              <w:rPr>
                <w:sz w:val="18"/>
                <w:szCs w:val="18"/>
              </w:rPr>
              <w:t>31.551,32</w:t>
            </w:r>
          </w:p>
        </w:tc>
      </w:tr>
      <w:tr w:rsidR="00A40674" w:rsidRPr="005644E5" w14:paraId="6AE5743F" w14:textId="77777777" w:rsidTr="00A40674">
        <w:trPr>
          <w:trHeight w:val="283"/>
          <w:jc w:val="center"/>
        </w:trPr>
        <w:tc>
          <w:tcPr>
            <w:tcW w:w="2709" w:type="pct"/>
            <w:tcBorders>
              <w:top w:val="nil"/>
              <w:left w:val="nil"/>
              <w:bottom w:val="nil"/>
              <w:right w:val="nil"/>
            </w:tcBorders>
            <w:shd w:val="clear" w:color="auto" w:fill="auto"/>
            <w:vAlign w:val="center"/>
            <w:hideMark/>
          </w:tcPr>
          <w:p w14:paraId="6983A335" w14:textId="77777777" w:rsidR="00A40674" w:rsidRPr="005644E5" w:rsidRDefault="00A40674" w:rsidP="00A40674">
            <w:pPr>
              <w:ind w:left="217"/>
              <w:rPr>
                <w:rFonts w:eastAsia="Times New Roman"/>
                <w:sz w:val="18"/>
                <w:szCs w:val="18"/>
              </w:rPr>
            </w:pPr>
            <w:r w:rsidRPr="005644E5">
              <w:rPr>
                <w:rFonts w:eastAsia="Times New Roman"/>
                <w:sz w:val="18"/>
                <w:szCs w:val="18"/>
              </w:rPr>
              <w:t>Mobiliario</w:t>
            </w:r>
          </w:p>
        </w:tc>
        <w:tc>
          <w:tcPr>
            <w:tcW w:w="1146" w:type="pct"/>
            <w:tcBorders>
              <w:top w:val="nil"/>
              <w:left w:val="nil"/>
              <w:bottom w:val="nil"/>
              <w:right w:val="nil"/>
            </w:tcBorders>
            <w:shd w:val="clear" w:color="auto" w:fill="auto"/>
            <w:noWrap/>
            <w:vAlign w:val="center"/>
          </w:tcPr>
          <w:p w14:paraId="7A190742" w14:textId="14DC3C6C" w:rsidR="00A40674" w:rsidRPr="00A40674" w:rsidRDefault="00A40674" w:rsidP="00A40674">
            <w:pPr>
              <w:ind w:left="217" w:right="469"/>
              <w:jc w:val="right"/>
              <w:rPr>
                <w:sz w:val="18"/>
                <w:szCs w:val="18"/>
              </w:rPr>
            </w:pPr>
            <w:r w:rsidRPr="00A40674">
              <w:rPr>
                <w:sz w:val="18"/>
                <w:szCs w:val="18"/>
              </w:rPr>
              <w:t>268.099,26</w:t>
            </w:r>
          </w:p>
        </w:tc>
        <w:tc>
          <w:tcPr>
            <w:tcW w:w="1146" w:type="pct"/>
            <w:tcBorders>
              <w:top w:val="nil"/>
              <w:left w:val="nil"/>
              <w:bottom w:val="nil"/>
              <w:right w:val="nil"/>
            </w:tcBorders>
            <w:shd w:val="clear" w:color="auto" w:fill="auto"/>
            <w:noWrap/>
            <w:vAlign w:val="center"/>
          </w:tcPr>
          <w:p w14:paraId="2D387B78" w14:textId="02DBB47E" w:rsidR="00A40674" w:rsidRPr="005644E5" w:rsidRDefault="00A40674" w:rsidP="00A40674">
            <w:pPr>
              <w:ind w:left="217" w:right="469"/>
              <w:jc w:val="right"/>
              <w:rPr>
                <w:sz w:val="18"/>
                <w:szCs w:val="18"/>
              </w:rPr>
            </w:pPr>
            <w:r w:rsidRPr="00A5041E">
              <w:rPr>
                <w:sz w:val="18"/>
                <w:szCs w:val="18"/>
              </w:rPr>
              <w:t>266.404,38</w:t>
            </w:r>
          </w:p>
        </w:tc>
      </w:tr>
      <w:tr w:rsidR="00A40674" w:rsidRPr="005644E5" w14:paraId="30381245" w14:textId="77777777" w:rsidTr="00A40674">
        <w:trPr>
          <w:trHeight w:val="283"/>
          <w:jc w:val="center"/>
        </w:trPr>
        <w:tc>
          <w:tcPr>
            <w:tcW w:w="2709" w:type="pct"/>
            <w:tcBorders>
              <w:top w:val="nil"/>
              <w:left w:val="nil"/>
              <w:bottom w:val="single" w:sz="4" w:space="0" w:color="auto"/>
              <w:right w:val="nil"/>
            </w:tcBorders>
            <w:shd w:val="clear" w:color="auto" w:fill="auto"/>
            <w:vAlign w:val="center"/>
            <w:hideMark/>
          </w:tcPr>
          <w:p w14:paraId="7FA983ED" w14:textId="77777777" w:rsidR="00A40674" w:rsidRPr="005644E5" w:rsidRDefault="00A40674" w:rsidP="00A40674">
            <w:pPr>
              <w:ind w:left="217"/>
              <w:rPr>
                <w:rFonts w:eastAsia="Times New Roman"/>
                <w:sz w:val="18"/>
                <w:szCs w:val="18"/>
              </w:rPr>
            </w:pPr>
            <w:r w:rsidRPr="005644E5">
              <w:rPr>
                <w:rFonts w:eastAsia="Times New Roman"/>
                <w:sz w:val="18"/>
                <w:szCs w:val="18"/>
              </w:rPr>
              <w:t>Otro inmovilizado</w:t>
            </w:r>
          </w:p>
        </w:tc>
        <w:tc>
          <w:tcPr>
            <w:tcW w:w="1146" w:type="pct"/>
            <w:tcBorders>
              <w:top w:val="nil"/>
              <w:left w:val="nil"/>
              <w:bottom w:val="single" w:sz="4" w:space="0" w:color="auto"/>
              <w:right w:val="nil"/>
            </w:tcBorders>
            <w:shd w:val="clear" w:color="auto" w:fill="auto"/>
            <w:noWrap/>
            <w:vAlign w:val="center"/>
          </w:tcPr>
          <w:p w14:paraId="253722CB" w14:textId="7F09C403" w:rsidR="00A40674" w:rsidRPr="00A40674" w:rsidRDefault="00A40674" w:rsidP="00A40674">
            <w:pPr>
              <w:pBdr>
                <w:top w:val="none" w:sz="0" w:space="0" w:color="auto"/>
                <w:left w:val="none" w:sz="0" w:space="0" w:color="auto"/>
                <w:bottom w:val="none" w:sz="0" w:space="0" w:color="auto"/>
                <w:right w:val="none" w:sz="0" w:space="0" w:color="auto"/>
                <w:between w:val="none" w:sz="0" w:space="0" w:color="auto"/>
                <w:bar w:val="none" w:sz="0" w:color="auto"/>
              </w:pBdr>
              <w:ind w:right="463"/>
              <w:jc w:val="right"/>
              <w:outlineLvl w:val="9"/>
              <w:rPr>
                <w:rFonts w:eastAsia="Times New Roman"/>
                <w:sz w:val="18"/>
                <w:szCs w:val="18"/>
                <w:bdr w:val="none" w:sz="0" w:space="0" w:color="auto"/>
                <w:lang w:eastAsia="es-ES"/>
              </w:rPr>
            </w:pPr>
            <w:r w:rsidRPr="00A40674">
              <w:rPr>
                <w:sz w:val="18"/>
                <w:szCs w:val="18"/>
              </w:rPr>
              <w:t>270.535,84</w:t>
            </w:r>
          </w:p>
        </w:tc>
        <w:tc>
          <w:tcPr>
            <w:tcW w:w="1146" w:type="pct"/>
            <w:tcBorders>
              <w:top w:val="nil"/>
              <w:left w:val="nil"/>
              <w:bottom w:val="single" w:sz="4" w:space="0" w:color="auto"/>
              <w:right w:val="nil"/>
            </w:tcBorders>
            <w:shd w:val="clear" w:color="auto" w:fill="auto"/>
            <w:noWrap/>
            <w:vAlign w:val="center"/>
          </w:tcPr>
          <w:p w14:paraId="4F3E9DC9" w14:textId="625A11B6" w:rsidR="00A40674" w:rsidRPr="005644E5" w:rsidRDefault="00A40674" w:rsidP="00A40674">
            <w:pPr>
              <w:ind w:left="217" w:right="469"/>
              <w:jc w:val="right"/>
              <w:rPr>
                <w:sz w:val="18"/>
                <w:szCs w:val="18"/>
              </w:rPr>
            </w:pPr>
            <w:r w:rsidRPr="00A5041E">
              <w:rPr>
                <w:sz w:val="18"/>
                <w:szCs w:val="18"/>
              </w:rPr>
              <w:t>256.299,62</w:t>
            </w:r>
          </w:p>
        </w:tc>
      </w:tr>
      <w:tr w:rsidR="00A40674" w:rsidRPr="005644E5" w14:paraId="7BE5951D" w14:textId="77777777" w:rsidTr="00A40674">
        <w:trPr>
          <w:trHeight w:val="283"/>
          <w:jc w:val="center"/>
        </w:trPr>
        <w:tc>
          <w:tcPr>
            <w:tcW w:w="2709" w:type="pct"/>
            <w:tcBorders>
              <w:top w:val="nil"/>
              <w:left w:val="nil"/>
              <w:bottom w:val="single" w:sz="4" w:space="0" w:color="auto"/>
              <w:right w:val="nil"/>
            </w:tcBorders>
            <w:shd w:val="clear" w:color="auto" w:fill="auto"/>
            <w:noWrap/>
            <w:vAlign w:val="center"/>
            <w:hideMark/>
          </w:tcPr>
          <w:p w14:paraId="7221AA45" w14:textId="77777777" w:rsidR="00A40674" w:rsidRPr="005644E5" w:rsidRDefault="00A40674" w:rsidP="00A40674">
            <w:pPr>
              <w:ind w:left="217"/>
              <w:rPr>
                <w:rFonts w:eastAsia="Times New Roman"/>
                <w:b/>
                <w:bCs/>
                <w:sz w:val="18"/>
                <w:szCs w:val="18"/>
              </w:rPr>
            </w:pPr>
            <w:r w:rsidRPr="005644E5">
              <w:rPr>
                <w:rFonts w:eastAsia="Times New Roman"/>
                <w:b/>
                <w:bCs/>
                <w:sz w:val="18"/>
                <w:szCs w:val="18"/>
              </w:rPr>
              <w:t>Total</w:t>
            </w:r>
          </w:p>
        </w:tc>
        <w:tc>
          <w:tcPr>
            <w:tcW w:w="1146" w:type="pct"/>
            <w:tcBorders>
              <w:top w:val="nil"/>
              <w:left w:val="nil"/>
              <w:bottom w:val="single" w:sz="4" w:space="0" w:color="auto"/>
              <w:right w:val="nil"/>
            </w:tcBorders>
            <w:shd w:val="clear" w:color="auto" w:fill="auto"/>
            <w:noWrap/>
            <w:vAlign w:val="center"/>
          </w:tcPr>
          <w:p w14:paraId="108E04AB" w14:textId="201806A7" w:rsidR="00A40674" w:rsidRPr="00A40674" w:rsidRDefault="00A40674" w:rsidP="00A40674">
            <w:pPr>
              <w:ind w:left="217" w:right="469"/>
              <w:jc w:val="right"/>
              <w:rPr>
                <w:b/>
                <w:bCs/>
                <w:sz w:val="18"/>
                <w:szCs w:val="18"/>
              </w:rPr>
            </w:pPr>
            <w:r w:rsidRPr="00A40674">
              <w:rPr>
                <w:b/>
                <w:bCs/>
                <w:sz w:val="18"/>
                <w:szCs w:val="18"/>
              </w:rPr>
              <w:t>578.262,42</w:t>
            </w:r>
          </w:p>
        </w:tc>
        <w:tc>
          <w:tcPr>
            <w:tcW w:w="1146" w:type="pct"/>
            <w:tcBorders>
              <w:top w:val="nil"/>
              <w:left w:val="nil"/>
              <w:bottom w:val="single" w:sz="4" w:space="0" w:color="auto"/>
              <w:right w:val="nil"/>
            </w:tcBorders>
            <w:shd w:val="clear" w:color="auto" w:fill="auto"/>
            <w:noWrap/>
            <w:vAlign w:val="center"/>
            <w:hideMark/>
          </w:tcPr>
          <w:p w14:paraId="3355C14E" w14:textId="600FD0EC" w:rsidR="00A40674" w:rsidRPr="005644E5" w:rsidRDefault="00A40674" w:rsidP="00A40674">
            <w:pPr>
              <w:ind w:left="217" w:right="469"/>
              <w:jc w:val="right"/>
              <w:rPr>
                <w:b/>
                <w:bCs/>
                <w:sz w:val="18"/>
                <w:szCs w:val="18"/>
              </w:rPr>
            </w:pPr>
            <w:r w:rsidRPr="00A5041E">
              <w:rPr>
                <w:b/>
                <w:bCs/>
                <w:sz w:val="18"/>
                <w:szCs w:val="18"/>
              </w:rPr>
              <w:t>562.331,32</w:t>
            </w:r>
          </w:p>
        </w:tc>
      </w:tr>
    </w:tbl>
    <w:p w14:paraId="31967A30" w14:textId="3C663049" w:rsidR="006220A2" w:rsidRPr="006E6E08" w:rsidRDefault="00720788" w:rsidP="001B5A15">
      <w:pPr>
        <w:widowControl w:val="0"/>
        <w:tabs>
          <w:tab w:val="left" w:pos="284"/>
        </w:tabs>
        <w:spacing w:before="240" w:after="120" w:line="260" w:lineRule="exact"/>
        <w:jc w:val="both"/>
        <w:outlineLvl w:val="9"/>
        <w:rPr>
          <w:sz w:val="20"/>
          <w:szCs w:val="22"/>
        </w:rPr>
      </w:pPr>
      <w:r w:rsidRPr="006E6E08">
        <w:rPr>
          <w:snapToGrid w:val="0"/>
          <w:sz w:val="20"/>
          <w:szCs w:val="22"/>
        </w:rPr>
        <w:t>c</w:t>
      </w:r>
      <w:r w:rsidR="006220A2" w:rsidRPr="006E6E08">
        <w:rPr>
          <w:snapToGrid w:val="0"/>
          <w:sz w:val="20"/>
          <w:szCs w:val="22"/>
        </w:rPr>
        <w:t>)</w:t>
      </w:r>
      <w:r w:rsidR="006220A2" w:rsidRPr="006E6E08">
        <w:rPr>
          <w:snapToGrid w:val="0"/>
          <w:sz w:val="20"/>
          <w:szCs w:val="22"/>
        </w:rPr>
        <w:tab/>
      </w:r>
      <w:r w:rsidR="006220A2" w:rsidRPr="006E6E08">
        <w:rPr>
          <w:snapToGrid w:val="0"/>
          <w:sz w:val="20"/>
          <w:szCs w:val="22"/>
          <w:u w:val="single"/>
        </w:rPr>
        <w:t>Bienes bajo arrendamiento operativo</w:t>
      </w:r>
    </w:p>
    <w:p w14:paraId="74DA58A1" w14:textId="79BA1031" w:rsidR="00601586" w:rsidRPr="005644E5" w:rsidRDefault="006220A2" w:rsidP="004A41D6">
      <w:pPr>
        <w:widowControl w:val="0"/>
        <w:spacing w:before="120" w:after="120" w:line="260" w:lineRule="exact"/>
        <w:jc w:val="both"/>
        <w:outlineLvl w:val="9"/>
        <w:rPr>
          <w:snapToGrid w:val="0"/>
          <w:sz w:val="20"/>
          <w:szCs w:val="22"/>
        </w:rPr>
      </w:pPr>
      <w:r w:rsidRPr="006E6E08">
        <w:rPr>
          <w:snapToGrid w:val="0"/>
          <w:sz w:val="20"/>
          <w:szCs w:val="22"/>
        </w:rPr>
        <w:t xml:space="preserve">En la cuenta de pérdidas y ganancias se han incluido gastos por arrendamiento operativo correspondientes al alquiler de unas oficinas por importe de </w:t>
      </w:r>
      <w:r w:rsidR="00637728" w:rsidRPr="006E6E08">
        <w:rPr>
          <w:snapToGrid w:val="0"/>
          <w:sz w:val="20"/>
          <w:szCs w:val="22"/>
        </w:rPr>
        <w:t>69.406,50</w:t>
      </w:r>
      <w:r w:rsidR="008B575B" w:rsidRPr="006E6E08">
        <w:rPr>
          <w:snapToGrid w:val="0"/>
          <w:sz w:val="20"/>
          <w:szCs w:val="22"/>
        </w:rPr>
        <w:t xml:space="preserve"> </w:t>
      </w:r>
      <w:r w:rsidRPr="006E6E08">
        <w:rPr>
          <w:snapToGrid w:val="0"/>
          <w:sz w:val="20"/>
          <w:szCs w:val="22"/>
        </w:rPr>
        <w:t>euros (</w:t>
      </w:r>
      <w:r w:rsidR="00637728" w:rsidRPr="006E6E08">
        <w:rPr>
          <w:snapToGrid w:val="0"/>
          <w:sz w:val="20"/>
          <w:szCs w:val="22"/>
        </w:rPr>
        <w:t xml:space="preserve">67.931,60 </w:t>
      </w:r>
      <w:r w:rsidRPr="006E6E08">
        <w:rPr>
          <w:snapToGrid w:val="0"/>
          <w:sz w:val="20"/>
          <w:szCs w:val="22"/>
        </w:rPr>
        <w:t>euros en 20</w:t>
      </w:r>
      <w:r w:rsidR="00BA0A03" w:rsidRPr="006E6E08">
        <w:rPr>
          <w:snapToGrid w:val="0"/>
          <w:sz w:val="20"/>
          <w:szCs w:val="22"/>
        </w:rPr>
        <w:t>2</w:t>
      </w:r>
      <w:r w:rsidR="00637728" w:rsidRPr="006E6E08">
        <w:rPr>
          <w:snapToGrid w:val="0"/>
          <w:sz w:val="20"/>
          <w:szCs w:val="22"/>
        </w:rPr>
        <w:t>2</w:t>
      </w:r>
      <w:r w:rsidRPr="006E6E08">
        <w:rPr>
          <w:snapToGrid w:val="0"/>
          <w:sz w:val="20"/>
          <w:szCs w:val="22"/>
        </w:rPr>
        <w:t>).</w:t>
      </w:r>
    </w:p>
    <w:p w14:paraId="7787067B" w14:textId="24E8B551" w:rsidR="006220A2" w:rsidRPr="00B93FDD" w:rsidRDefault="00720788" w:rsidP="006220A2">
      <w:pPr>
        <w:widowControl w:val="0"/>
        <w:tabs>
          <w:tab w:val="left" w:pos="284"/>
        </w:tabs>
        <w:spacing w:before="200"/>
        <w:rPr>
          <w:snapToGrid w:val="0"/>
          <w:sz w:val="20"/>
          <w:szCs w:val="22"/>
          <w:u w:val="single"/>
        </w:rPr>
      </w:pPr>
      <w:r>
        <w:rPr>
          <w:snapToGrid w:val="0"/>
          <w:sz w:val="20"/>
          <w:szCs w:val="22"/>
        </w:rPr>
        <w:t>d</w:t>
      </w:r>
      <w:r w:rsidR="006220A2" w:rsidRPr="00184A9E">
        <w:rPr>
          <w:snapToGrid w:val="0"/>
          <w:sz w:val="20"/>
          <w:szCs w:val="22"/>
        </w:rPr>
        <w:t>)</w:t>
      </w:r>
      <w:r w:rsidR="006220A2" w:rsidRPr="00184A9E">
        <w:rPr>
          <w:snapToGrid w:val="0"/>
          <w:sz w:val="20"/>
          <w:szCs w:val="22"/>
        </w:rPr>
        <w:tab/>
      </w:r>
      <w:r w:rsidR="006220A2" w:rsidRPr="00184A9E">
        <w:rPr>
          <w:snapToGrid w:val="0"/>
          <w:sz w:val="20"/>
          <w:szCs w:val="22"/>
          <w:u w:val="single"/>
        </w:rPr>
        <w:t>Subvenciones recibidas</w:t>
      </w:r>
    </w:p>
    <w:p w14:paraId="4C8E840B" w14:textId="1AA8B760" w:rsidR="00EF7826" w:rsidRDefault="00EF7826" w:rsidP="004A41D6">
      <w:pPr>
        <w:widowControl w:val="0"/>
        <w:spacing w:before="120" w:after="120" w:line="260" w:lineRule="exact"/>
        <w:jc w:val="both"/>
        <w:outlineLvl w:val="9"/>
        <w:rPr>
          <w:snapToGrid w:val="0"/>
          <w:sz w:val="20"/>
          <w:szCs w:val="22"/>
        </w:rPr>
      </w:pPr>
      <w:r>
        <w:rPr>
          <w:snapToGrid w:val="0"/>
          <w:sz w:val="20"/>
          <w:szCs w:val="22"/>
        </w:rPr>
        <w:t xml:space="preserve">En </w:t>
      </w:r>
      <w:r w:rsidR="00704907">
        <w:rPr>
          <w:snapToGrid w:val="0"/>
          <w:sz w:val="20"/>
          <w:szCs w:val="22"/>
        </w:rPr>
        <w:t>los</w:t>
      </w:r>
      <w:r>
        <w:rPr>
          <w:snapToGrid w:val="0"/>
          <w:sz w:val="20"/>
          <w:szCs w:val="22"/>
        </w:rPr>
        <w:t xml:space="preserve"> ejercicio</w:t>
      </w:r>
      <w:r w:rsidR="00704907">
        <w:rPr>
          <w:snapToGrid w:val="0"/>
          <w:sz w:val="20"/>
          <w:szCs w:val="22"/>
        </w:rPr>
        <w:t>s</w:t>
      </w:r>
      <w:r>
        <w:rPr>
          <w:snapToGrid w:val="0"/>
          <w:sz w:val="20"/>
          <w:szCs w:val="22"/>
        </w:rPr>
        <w:t xml:space="preserve"> 202</w:t>
      </w:r>
      <w:r w:rsidR="00637728">
        <w:rPr>
          <w:snapToGrid w:val="0"/>
          <w:sz w:val="20"/>
          <w:szCs w:val="22"/>
        </w:rPr>
        <w:t>3</w:t>
      </w:r>
      <w:r w:rsidR="00704907">
        <w:rPr>
          <w:snapToGrid w:val="0"/>
          <w:sz w:val="20"/>
          <w:szCs w:val="22"/>
        </w:rPr>
        <w:t xml:space="preserve"> y 202</w:t>
      </w:r>
      <w:r w:rsidR="00637728">
        <w:rPr>
          <w:snapToGrid w:val="0"/>
          <w:sz w:val="20"/>
          <w:szCs w:val="22"/>
        </w:rPr>
        <w:t>2</w:t>
      </w:r>
      <w:r>
        <w:rPr>
          <w:snapToGrid w:val="0"/>
          <w:sz w:val="20"/>
          <w:szCs w:val="22"/>
        </w:rPr>
        <w:t xml:space="preserve"> no ha recibido subvenciones para la adquisición de inmovilizado.</w:t>
      </w:r>
    </w:p>
    <w:p w14:paraId="3B90BDA8" w14:textId="7897D055" w:rsidR="006220A2" w:rsidRPr="00B93FDD" w:rsidRDefault="00720788" w:rsidP="006220A2">
      <w:pPr>
        <w:widowControl w:val="0"/>
        <w:tabs>
          <w:tab w:val="left" w:pos="284"/>
        </w:tabs>
        <w:spacing w:before="200"/>
        <w:rPr>
          <w:snapToGrid w:val="0"/>
          <w:sz w:val="20"/>
          <w:szCs w:val="22"/>
          <w:u w:val="single"/>
        </w:rPr>
      </w:pPr>
      <w:r>
        <w:rPr>
          <w:snapToGrid w:val="0"/>
          <w:sz w:val="20"/>
          <w:szCs w:val="22"/>
        </w:rPr>
        <w:t>e</w:t>
      </w:r>
      <w:r w:rsidR="006220A2" w:rsidRPr="00B93FDD">
        <w:rPr>
          <w:snapToGrid w:val="0"/>
          <w:sz w:val="20"/>
          <w:szCs w:val="22"/>
        </w:rPr>
        <w:t>)</w:t>
      </w:r>
      <w:r w:rsidR="006220A2" w:rsidRPr="00B93FDD">
        <w:rPr>
          <w:snapToGrid w:val="0"/>
          <w:sz w:val="20"/>
          <w:szCs w:val="22"/>
        </w:rPr>
        <w:tab/>
      </w:r>
      <w:r w:rsidR="006220A2" w:rsidRPr="00B93FDD">
        <w:rPr>
          <w:snapToGrid w:val="0"/>
          <w:sz w:val="20"/>
          <w:szCs w:val="22"/>
          <w:u w:val="single"/>
        </w:rPr>
        <w:t>Seguros</w:t>
      </w:r>
    </w:p>
    <w:p w14:paraId="3AC8A96D" w14:textId="77777777" w:rsidR="006220A2" w:rsidRPr="00B93FDD" w:rsidRDefault="006220A2" w:rsidP="004A41D6">
      <w:pPr>
        <w:widowControl w:val="0"/>
        <w:spacing w:before="120" w:after="120" w:line="260" w:lineRule="exact"/>
        <w:jc w:val="both"/>
        <w:outlineLvl w:val="9"/>
        <w:rPr>
          <w:snapToGrid w:val="0"/>
          <w:sz w:val="20"/>
          <w:szCs w:val="22"/>
        </w:rPr>
      </w:pPr>
      <w:r w:rsidRPr="00B93FDD">
        <w:rPr>
          <w:snapToGrid w:val="0"/>
          <w:sz w:val="20"/>
          <w:szCs w:val="22"/>
        </w:rPr>
        <w:t>La Sociedad tiene contratadas varias pólizas de seguro para cubrir los riesgos a que están sujetos los bienes del inmovilizado material. La cobertura de estas pólizas se considera suficiente.</w:t>
      </w:r>
    </w:p>
    <w:p w14:paraId="3F189ACE" w14:textId="77777777" w:rsidR="006220A2" w:rsidRPr="00B93FDD" w:rsidRDefault="006220A2" w:rsidP="006220A2">
      <w:pPr>
        <w:jc w:val="both"/>
        <w:rPr>
          <w:snapToGrid w:val="0"/>
          <w:sz w:val="20"/>
          <w:szCs w:val="22"/>
        </w:rPr>
      </w:pPr>
    </w:p>
    <w:p w14:paraId="12A8F185" w14:textId="77BA4DFC" w:rsidR="006220A2" w:rsidRPr="0000769D" w:rsidRDefault="00F5041C"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bookmarkStart w:id="5" w:name="nota25"/>
      <w:bookmarkEnd w:id="5"/>
      <w:r w:rsidRPr="00DA650E">
        <w:rPr>
          <w:b/>
          <w:snapToGrid w:val="0"/>
          <w:sz w:val="22"/>
          <w:szCs w:val="22"/>
        </w:rPr>
        <w:t xml:space="preserve"> </w:t>
      </w:r>
      <w:r w:rsidR="006220A2" w:rsidRPr="0000769D">
        <w:rPr>
          <w:b/>
          <w:snapToGrid w:val="0"/>
          <w:sz w:val="22"/>
          <w:szCs w:val="22"/>
        </w:rPr>
        <w:t>Arrendamientos y otras operaciones de naturaleza similar</w:t>
      </w:r>
    </w:p>
    <w:p w14:paraId="76464305" w14:textId="77777777" w:rsidR="006220A2" w:rsidRPr="0000769D" w:rsidRDefault="006220A2" w:rsidP="008C63CA">
      <w:pPr>
        <w:keepNext/>
        <w:keepLines/>
        <w:widowControl w:val="0"/>
        <w:tabs>
          <w:tab w:val="left" w:pos="284"/>
          <w:tab w:val="left" w:pos="1134"/>
          <w:tab w:val="left" w:pos="1588"/>
        </w:tabs>
        <w:spacing w:before="200"/>
        <w:rPr>
          <w:sz w:val="20"/>
          <w:szCs w:val="22"/>
        </w:rPr>
      </w:pPr>
      <w:r w:rsidRPr="0000769D">
        <w:rPr>
          <w:sz w:val="20"/>
          <w:szCs w:val="22"/>
        </w:rPr>
        <w:t>a)</w:t>
      </w:r>
      <w:r w:rsidRPr="0000769D">
        <w:rPr>
          <w:sz w:val="20"/>
          <w:szCs w:val="22"/>
        </w:rPr>
        <w:tab/>
      </w:r>
      <w:r w:rsidRPr="0000769D">
        <w:rPr>
          <w:sz w:val="20"/>
          <w:szCs w:val="22"/>
          <w:u w:val="single"/>
        </w:rPr>
        <w:t>Compromisos por arrendamiento operativo</w:t>
      </w:r>
      <w:r w:rsidRPr="0000769D">
        <w:rPr>
          <w:sz w:val="20"/>
          <w:szCs w:val="22"/>
        </w:rPr>
        <w:t>.</w:t>
      </w:r>
    </w:p>
    <w:p w14:paraId="00861081" w14:textId="77777777" w:rsidR="006220A2" w:rsidRPr="0000769D" w:rsidRDefault="006220A2" w:rsidP="004A41D6">
      <w:pPr>
        <w:widowControl w:val="0"/>
        <w:spacing w:before="120" w:after="120" w:line="260" w:lineRule="exact"/>
        <w:jc w:val="both"/>
        <w:outlineLvl w:val="9"/>
        <w:rPr>
          <w:snapToGrid w:val="0"/>
          <w:sz w:val="20"/>
          <w:szCs w:val="22"/>
        </w:rPr>
      </w:pPr>
      <w:r w:rsidRPr="0000769D">
        <w:rPr>
          <w:snapToGrid w:val="0"/>
          <w:sz w:val="20"/>
          <w:szCs w:val="22"/>
        </w:rPr>
        <w:t>La Sociedad alquila instalaciones bajo contratos no cancelables de arrendamiento operativo.</w:t>
      </w:r>
    </w:p>
    <w:p w14:paraId="3233D7BE" w14:textId="77777777" w:rsidR="006220A2" w:rsidRPr="0000769D" w:rsidRDefault="006220A2" w:rsidP="004A41D6">
      <w:pPr>
        <w:widowControl w:val="0"/>
        <w:spacing w:before="120" w:after="120" w:line="260" w:lineRule="exact"/>
        <w:jc w:val="both"/>
        <w:outlineLvl w:val="9"/>
        <w:rPr>
          <w:snapToGrid w:val="0"/>
          <w:sz w:val="20"/>
          <w:szCs w:val="22"/>
        </w:rPr>
      </w:pPr>
      <w:r w:rsidRPr="0000769D">
        <w:rPr>
          <w:snapToGrid w:val="0"/>
          <w:sz w:val="20"/>
          <w:szCs w:val="22"/>
        </w:rPr>
        <w:t>Los pagos mínimos totales futuros por los arrendamientos operativos no cancelables son los siguientes:</w:t>
      </w:r>
    </w:p>
    <w:tbl>
      <w:tblPr>
        <w:tblW w:w="5000" w:type="pct"/>
        <w:jc w:val="center"/>
        <w:tblCellMar>
          <w:left w:w="70" w:type="dxa"/>
          <w:right w:w="70" w:type="dxa"/>
        </w:tblCellMar>
        <w:tblLook w:val="04A0" w:firstRow="1" w:lastRow="0" w:firstColumn="1" w:lastColumn="0" w:noHBand="0" w:noVBand="1"/>
      </w:tblPr>
      <w:tblGrid>
        <w:gridCol w:w="4869"/>
        <w:gridCol w:w="1956"/>
        <w:gridCol w:w="1956"/>
      </w:tblGrid>
      <w:tr w:rsidR="00754640" w:rsidRPr="0000769D" w14:paraId="1D4027D4" w14:textId="77777777" w:rsidTr="007E7835">
        <w:trPr>
          <w:trHeight w:val="227"/>
          <w:jc w:val="center"/>
        </w:trPr>
        <w:tc>
          <w:tcPr>
            <w:tcW w:w="2772" w:type="pct"/>
            <w:tcBorders>
              <w:top w:val="single" w:sz="4" w:space="0" w:color="auto"/>
              <w:left w:val="nil"/>
              <w:bottom w:val="nil"/>
              <w:right w:val="nil"/>
            </w:tcBorders>
            <w:shd w:val="clear" w:color="auto" w:fill="auto"/>
            <w:vAlign w:val="bottom"/>
            <w:hideMark/>
          </w:tcPr>
          <w:p w14:paraId="09E85451" w14:textId="77777777" w:rsidR="00754640" w:rsidRPr="0000769D" w:rsidRDefault="00754640" w:rsidP="005644E5">
            <w:pPr>
              <w:pBdr>
                <w:top w:val="none" w:sz="0" w:space="0" w:color="auto"/>
                <w:left w:val="none" w:sz="0" w:space="0" w:color="auto"/>
                <w:bottom w:val="none" w:sz="0" w:space="0" w:color="auto"/>
                <w:right w:val="none" w:sz="0" w:space="0" w:color="auto"/>
                <w:between w:val="none" w:sz="0" w:space="0" w:color="auto"/>
                <w:bar w:val="none" w:sz="0" w:color="auto"/>
              </w:pBdr>
              <w:ind w:left="359"/>
              <w:jc w:val="center"/>
              <w:outlineLvl w:val="9"/>
              <w:rPr>
                <w:rFonts w:eastAsia="Times New Roman"/>
                <w:sz w:val="18"/>
                <w:szCs w:val="18"/>
                <w:bdr w:val="none" w:sz="0" w:space="0" w:color="auto"/>
                <w:lang w:eastAsia="es-ES"/>
              </w:rPr>
            </w:pPr>
            <w:r w:rsidRPr="0000769D">
              <w:rPr>
                <w:rFonts w:eastAsia="Times New Roman"/>
                <w:sz w:val="18"/>
                <w:szCs w:val="18"/>
                <w:bdr w:val="none" w:sz="0" w:space="0" w:color="auto"/>
                <w:lang w:eastAsia="es-ES"/>
              </w:rPr>
              <w:t> </w:t>
            </w:r>
          </w:p>
        </w:tc>
        <w:tc>
          <w:tcPr>
            <w:tcW w:w="2228" w:type="pct"/>
            <w:gridSpan w:val="2"/>
            <w:tcBorders>
              <w:top w:val="single" w:sz="4" w:space="0" w:color="auto"/>
              <w:left w:val="nil"/>
              <w:bottom w:val="single" w:sz="4" w:space="0" w:color="auto"/>
              <w:right w:val="nil"/>
            </w:tcBorders>
            <w:shd w:val="clear" w:color="auto" w:fill="auto"/>
            <w:vAlign w:val="bottom"/>
            <w:hideMark/>
          </w:tcPr>
          <w:p w14:paraId="30F7608F" w14:textId="77777777" w:rsidR="00754640" w:rsidRPr="0000769D" w:rsidRDefault="00754640" w:rsidP="005644E5">
            <w:pPr>
              <w:pBdr>
                <w:top w:val="none" w:sz="0" w:space="0" w:color="auto"/>
                <w:left w:val="none" w:sz="0" w:space="0" w:color="auto"/>
                <w:bottom w:val="none" w:sz="0" w:space="0" w:color="auto"/>
                <w:right w:val="none" w:sz="0" w:space="0" w:color="auto"/>
                <w:between w:val="none" w:sz="0" w:space="0" w:color="auto"/>
                <w:bar w:val="none" w:sz="0" w:color="auto"/>
              </w:pBdr>
              <w:ind w:right="239"/>
              <w:jc w:val="center"/>
              <w:outlineLvl w:val="9"/>
              <w:rPr>
                <w:rFonts w:eastAsia="Times New Roman"/>
                <w:b/>
                <w:bCs/>
                <w:sz w:val="18"/>
                <w:szCs w:val="18"/>
                <w:bdr w:val="none" w:sz="0" w:space="0" w:color="auto"/>
                <w:lang w:eastAsia="es-ES"/>
              </w:rPr>
            </w:pPr>
            <w:r w:rsidRPr="0000769D">
              <w:rPr>
                <w:rFonts w:eastAsia="Times New Roman"/>
                <w:b/>
                <w:bCs/>
                <w:sz w:val="18"/>
                <w:szCs w:val="18"/>
                <w:bdr w:val="none" w:sz="0" w:space="0" w:color="auto"/>
                <w:lang w:eastAsia="es-ES"/>
              </w:rPr>
              <w:t>Euros</w:t>
            </w:r>
          </w:p>
        </w:tc>
      </w:tr>
      <w:tr w:rsidR="005B1141" w:rsidRPr="0000769D" w14:paraId="23460C5D" w14:textId="77777777" w:rsidTr="0080257D">
        <w:trPr>
          <w:trHeight w:val="227"/>
          <w:jc w:val="center"/>
        </w:trPr>
        <w:tc>
          <w:tcPr>
            <w:tcW w:w="2772" w:type="pct"/>
            <w:tcBorders>
              <w:top w:val="nil"/>
              <w:left w:val="nil"/>
              <w:bottom w:val="single" w:sz="4" w:space="0" w:color="auto"/>
              <w:right w:val="nil"/>
            </w:tcBorders>
            <w:shd w:val="clear" w:color="auto" w:fill="auto"/>
            <w:vAlign w:val="bottom"/>
            <w:hideMark/>
          </w:tcPr>
          <w:p w14:paraId="4144B1FE" w14:textId="77777777" w:rsidR="005B1141" w:rsidRPr="0000769D" w:rsidRDefault="005B1141" w:rsidP="005B1141">
            <w:pPr>
              <w:pBdr>
                <w:top w:val="none" w:sz="0" w:space="0" w:color="auto"/>
                <w:left w:val="none" w:sz="0" w:space="0" w:color="auto"/>
                <w:bottom w:val="none" w:sz="0" w:space="0" w:color="auto"/>
                <w:right w:val="none" w:sz="0" w:space="0" w:color="auto"/>
                <w:between w:val="none" w:sz="0" w:space="0" w:color="auto"/>
                <w:bar w:val="none" w:sz="0" w:color="auto"/>
              </w:pBdr>
              <w:ind w:left="359"/>
              <w:jc w:val="center"/>
              <w:outlineLvl w:val="9"/>
              <w:rPr>
                <w:rFonts w:eastAsia="Times New Roman"/>
                <w:sz w:val="18"/>
                <w:szCs w:val="18"/>
                <w:bdr w:val="none" w:sz="0" w:space="0" w:color="auto"/>
                <w:lang w:eastAsia="es-ES"/>
              </w:rPr>
            </w:pPr>
            <w:r w:rsidRPr="0000769D">
              <w:rPr>
                <w:rFonts w:eastAsia="Times New Roman"/>
                <w:sz w:val="18"/>
                <w:szCs w:val="18"/>
                <w:bdr w:val="none" w:sz="0" w:space="0" w:color="auto"/>
                <w:lang w:eastAsia="es-ES"/>
              </w:rPr>
              <w:t> </w:t>
            </w:r>
          </w:p>
        </w:tc>
        <w:tc>
          <w:tcPr>
            <w:tcW w:w="1114" w:type="pct"/>
            <w:tcBorders>
              <w:top w:val="nil"/>
              <w:left w:val="nil"/>
              <w:bottom w:val="single" w:sz="4" w:space="0" w:color="auto"/>
              <w:right w:val="nil"/>
            </w:tcBorders>
            <w:shd w:val="clear" w:color="auto" w:fill="auto"/>
            <w:noWrap/>
            <w:vAlign w:val="bottom"/>
            <w:hideMark/>
          </w:tcPr>
          <w:p w14:paraId="036D216D" w14:textId="049C0A30" w:rsidR="005B1141" w:rsidRPr="0000769D" w:rsidRDefault="005B1141" w:rsidP="005B1141">
            <w:pPr>
              <w:pBdr>
                <w:top w:val="none" w:sz="0" w:space="0" w:color="auto"/>
                <w:left w:val="none" w:sz="0" w:space="0" w:color="auto"/>
                <w:bottom w:val="none" w:sz="0" w:space="0" w:color="auto"/>
                <w:right w:val="none" w:sz="0" w:space="0" w:color="auto"/>
                <w:between w:val="none" w:sz="0" w:space="0" w:color="auto"/>
                <w:bar w:val="none" w:sz="0" w:color="auto"/>
              </w:pBdr>
              <w:ind w:right="239"/>
              <w:jc w:val="center"/>
              <w:outlineLvl w:val="9"/>
              <w:rPr>
                <w:rFonts w:eastAsia="Times New Roman"/>
                <w:b/>
                <w:bCs/>
                <w:sz w:val="18"/>
                <w:szCs w:val="18"/>
                <w:bdr w:val="none" w:sz="0" w:space="0" w:color="auto"/>
                <w:lang w:eastAsia="es-ES"/>
              </w:rPr>
            </w:pPr>
            <w:r w:rsidRPr="0000769D">
              <w:rPr>
                <w:rFonts w:eastAsia="Times New Roman"/>
                <w:b/>
                <w:bCs/>
                <w:sz w:val="18"/>
                <w:szCs w:val="18"/>
                <w:bdr w:val="none" w:sz="0" w:space="0" w:color="auto"/>
                <w:lang w:eastAsia="es-ES"/>
              </w:rPr>
              <w:t>202</w:t>
            </w:r>
            <w:r w:rsidR="0000769D" w:rsidRPr="0000769D">
              <w:rPr>
                <w:rFonts w:eastAsia="Times New Roman"/>
                <w:b/>
                <w:bCs/>
                <w:sz w:val="18"/>
                <w:szCs w:val="18"/>
                <w:bdr w:val="none" w:sz="0" w:space="0" w:color="auto"/>
                <w:lang w:eastAsia="es-ES"/>
              </w:rPr>
              <w:t>3</w:t>
            </w:r>
          </w:p>
        </w:tc>
        <w:tc>
          <w:tcPr>
            <w:tcW w:w="1114" w:type="pct"/>
            <w:tcBorders>
              <w:top w:val="nil"/>
              <w:left w:val="nil"/>
              <w:bottom w:val="single" w:sz="4" w:space="0" w:color="auto"/>
              <w:right w:val="nil"/>
            </w:tcBorders>
            <w:shd w:val="clear" w:color="auto" w:fill="auto"/>
            <w:vAlign w:val="bottom"/>
            <w:hideMark/>
          </w:tcPr>
          <w:p w14:paraId="0CA7FA9D" w14:textId="7689FADC" w:rsidR="005B1141" w:rsidRPr="0000769D" w:rsidRDefault="0000769D" w:rsidP="005B1141">
            <w:pPr>
              <w:pBdr>
                <w:top w:val="none" w:sz="0" w:space="0" w:color="auto"/>
                <w:left w:val="none" w:sz="0" w:space="0" w:color="auto"/>
                <w:bottom w:val="none" w:sz="0" w:space="0" w:color="auto"/>
                <w:right w:val="none" w:sz="0" w:space="0" w:color="auto"/>
                <w:between w:val="none" w:sz="0" w:space="0" w:color="auto"/>
                <w:bar w:val="none" w:sz="0" w:color="auto"/>
              </w:pBdr>
              <w:ind w:right="239"/>
              <w:jc w:val="center"/>
              <w:outlineLvl w:val="9"/>
              <w:rPr>
                <w:rFonts w:eastAsia="Times New Roman"/>
                <w:b/>
                <w:bCs/>
                <w:sz w:val="18"/>
                <w:szCs w:val="18"/>
                <w:bdr w:val="none" w:sz="0" w:space="0" w:color="auto"/>
                <w:lang w:eastAsia="es-ES"/>
              </w:rPr>
            </w:pPr>
            <w:r w:rsidRPr="0000769D">
              <w:rPr>
                <w:rFonts w:eastAsia="Times New Roman"/>
                <w:b/>
                <w:bCs/>
                <w:sz w:val="18"/>
                <w:szCs w:val="18"/>
                <w:bdr w:val="none" w:sz="0" w:space="0" w:color="auto"/>
                <w:lang w:eastAsia="es-ES"/>
              </w:rPr>
              <w:t>2022</w:t>
            </w:r>
          </w:p>
        </w:tc>
      </w:tr>
      <w:tr w:rsidR="0000769D" w:rsidRPr="0000769D" w14:paraId="282B8BE9" w14:textId="77777777" w:rsidTr="0000769D">
        <w:trPr>
          <w:trHeight w:val="283"/>
          <w:jc w:val="center"/>
        </w:trPr>
        <w:tc>
          <w:tcPr>
            <w:tcW w:w="2772" w:type="pct"/>
            <w:tcBorders>
              <w:top w:val="nil"/>
              <w:left w:val="nil"/>
              <w:bottom w:val="nil"/>
              <w:right w:val="nil"/>
            </w:tcBorders>
            <w:shd w:val="clear" w:color="auto" w:fill="auto"/>
            <w:vAlign w:val="center"/>
            <w:hideMark/>
          </w:tcPr>
          <w:p w14:paraId="51550F85" w14:textId="77777777" w:rsidR="0000769D" w:rsidRPr="0000769D" w:rsidRDefault="0000769D" w:rsidP="0000769D">
            <w:pPr>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00769D">
              <w:rPr>
                <w:rFonts w:eastAsia="Times New Roman"/>
                <w:sz w:val="18"/>
                <w:szCs w:val="18"/>
                <w:bdr w:val="none" w:sz="0" w:space="0" w:color="auto"/>
                <w:lang w:eastAsia="es-ES"/>
              </w:rPr>
              <w:t xml:space="preserve">Hasta un año </w:t>
            </w:r>
          </w:p>
        </w:tc>
        <w:tc>
          <w:tcPr>
            <w:tcW w:w="1114" w:type="pct"/>
            <w:tcBorders>
              <w:top w:val="nil"/>
              <w:left w:val="nil"/>
              <w:bottom w:val="nil"/>
              <w:right w:val="nil"/>
            </w:tcBorders>
            <w:shd w:val="clear" w:color="auto" w:fill="auto"/>
            <w:noWrap/>
            <w:vAlign w:val="center"/>
          </w:tcPr>
          <w:p w14:paraId="474142F3" w14:textId="31C1586B" w:rsidR="0000769D" w:rsidRPr="0000769D" w:rsidRDefault="0000769D" w:rsidP="0000769D">
            <w:pPr>
              <w:pBdr>
                <w:top w:val="none" w:sz="0" w:space="0" w:color="auto"/>
                <w:left w:val="none" w:sz="0" w:space="0" w:color="auto"/>
                <w:bottom w:val="none" w:sz="0" w:space="0" w:color="auto"/>
                <w:right w:val="none" w:sz="0" w:space="0" w:color="auto"/>
                <w:between w:val="none" w:sz="0" w:space="0" w:color="auto"/>
                <w:bar w:val="none" w:sz="0" w:color="auto"/>
              </w:pBdr>
              <w:ind w:right="239"/>
              <w:jc w:val="right"/>
              <w:outlineLvl w:val="9"/>
              <w:rPr>
                <w:rFonts w:eastAsia="Times New Roman"/>
                <w:sz w:val="18"/>
                <w:szCs w:val="18"/>
                <w:bdr w:val="none" w:sz="0" w:space="0" w:color="auto"/>
                <w:lang w:eastAsia="es-ES"/>
              </w:rPr>
            </w:pPr>
            <w:r w:rsidRPr="0000769D">
              <w:rPr>
                <w:sz w:val="18"/>
                <w:szCs w:val="18"/>
              </w:rPr>
              <w:t>57.753,90</w:t>
            </w:r>
          </w:p>
        </w:tc>
        <w:tc>
          <w:tcPr>
            <w:tcW w:w="1114" w:type="pct"/>
            <w:tcBorders>
              <w:top w:val="nil"/>
              <w:left w:val="nil"/>
              <w:bottom w:val="nil"/>
              <w:right w:val="nil"/>
            </w:tcBorders>
            <w:shd w:val="clear" w:color="auto" w:fill="auto"/>
            <w:vAlign w:val="center"/>
            <w:hideMark/>
          </w:tcPr>
          <w:p w14:paraId="2DB231C1" w14:textId="3EBF038E" w:rsidR="0000769D" w:rsidRPr="0000769D" w:rsidRDefault="0000769D" w:rsidP="0000769D">
            <w:pPr>
              <w:ind w:right="239"/>
              <w:jc w:val="right"/>
              <w:rPr>
                <w:sz w:val="18"/>
                <w:szCs w:val="18"/>
              </w:rPr>
            </w:pPr>
            <w:r w:rsidRPr="0000769D">
              <w:rPr>
                <w:sz w:val="18"/>
                <w:szCs w:val="18"/>
              </w:rPr>
              <w:t>65.680,19</w:t>
            </w:r>
          </w:p>
        </w:tc>
      </w:tr>
      <w:tr w:rsidR="0000769D" w:rsidRPr="0000769D" w14:paraId="3D785F5E" w14:textId="77777777" w:rsidTr="0000769D">
        <w:trPr>
          <w:trHeight w:val="283"/>
          <w:jc w:val="center"/>
        </w:trPr>
        <w:tc>
          <w:tcPr>
            <w:tcW w:w="2772" w:type="pct"/>
            <w:tcBorders>
              <w:top w:val="nil"/>
              <w:left w:val="nil"/>
              <w:bottom w:val="single" w:sz="4" w:space="0" w:color="auto"/>
              <w:right w:val="nil"/>
            </w:tcBorders>
            <w:shd w:val="clear" w:color="auto" w:fill="auto"/>
            <w:vAlign w:val="center"/>
            <w:hideMark/>
          </w:tcPr>
          <w:p w14:paraId="29A33879" w14:textId="77777777" w:rsidR="0000769D" w:rsidRPr="0000769D" w:rsidRDefault="0000769D" w:rsidP="0000769D">
            <w:pPr>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00769D">
              <w:rPr>
                <w:rFonts w:eastAsia="Times New Roman"/>
                <w:sz w:val="18"/>
                <w:szCs w:val="18"/>
                <w:bdr w:val="none" w:sz="0" w:space="0" w:color="auto"/>
                <w:lang w:eastAsia="es-ES"/>
              </w:rPr>
              <w:t>Entre uno y cinco años</w:t>
            </w:r>
          </w:p>
        </w:tc>
        <w:tc>
          <w:tcPr>
            <w:tcW w:w="1114" w:type="pct"/>
            <w:tcBorders>
              <w:top w:val="nil"/>
              <w:left w:val="nil"/>
              <w:bottom w:val="single" w:sz="4" w:space="0" w:color="auto"/>
              <w:right w:val="nil"/>
            </w:tcBorders>
            <w:shd w:val="clear" w:color="auto" w:fill="auto"/>
            <w:noWrap/>
            <w:vAlign w:val="center"/>
          </w:tcPr>
          <w:p w14:paraId="75BA30BA" w14:textId="3171B266" w:rsidR="0000769D" w:rsidRPr="0000769D" w:rsidRDefault="0000769D" w:rsidP="0000769D">
            <w:pPr>
              <w:ind w:right="239"/>
              <w:jc w:val="right"/>
              <w:rPr>
                <w:sz w:val="18"/>
                <w:szCs w:val="18"/>
              </w:rPr>
            </w:pPr>
            <w:r w:rsidRPr="0000769D">
              <w:rPr>
                <w:sz w:val="18"/>
                <w:szCs w:val="18"/>
              </w:rPr>
              <w:t>135.000,00</w:t>
            </w:r>
          </w:p>
        </w:tc>
        <w:tc>
          <w:tcPr>
            <w:tcW w:w="1114" w:type="pct"/>
            <w:tcBorders>
              <w:top w:val="nil"/>
              <w:left w:val="nil"/>
              <w:bottom w:val="nil"/>
              <w:right w:val="nil"/>
            </w:tcBorders>
            <w:shd w:val="clear" w:color="auto" w:fill="auto"/>
            <w:vAlign w:val="center"/>
            <w:hideMark/>
          </w:tcPr>
          <w:p w14:paraId="02EC474F" w14:textId="0AED5E0D" w:rsidR="0000769D" w:rsidRPr="0000769D" w:rsidRDefault="0000769D" w:rsidP="0000769D">
            <w:pPr>
              <w:ind w:right="239"/>
              <w:jc w:val="right"/>
              <w:rPr>
                <w:sz w:val="18"/>
                <w:szCs w:val="18"/>
              </w:rPr>
            </w:pPr>
            <w:r w:rsidRPr="0000769D">
              <w:rPr>
                <w:sz w:val="18"/>
                <w:szCs w:val="18"/>
              </w:rPr>
              <w:t>28.850,85</w:t>
            </w:r>
          </w:p>
        </w:tc>
      </w:tr>
      <w:tr w:rsidR="0000769D" w:rsidRPr="0000769D" w14:paraId="71DA5A20" w14:textId="77777777" w:rsidTr="0000769D">
        <w:trPr>
          <w:trHeight w:val="283"/>
          <w:jc w:val="center"/>
        </w:trPr>
        <w:tc>
          <w:tcPr>
            <w:tcW w:w="2772" w:type="pct"/>
            <w:tcBorders>
              <w:top w:val="nil"/>
              <w:left w:val="nil"/>
              <w:bottom w:val="single" w:sz="4" w:space="0" w:color="auto"/>
              <w:right w:val="nil"/>
            </w:tcBorders>
            <w:shd w:val="clear" w:color="auto" w:fill="auto"/>
            <w:vAlign w:val="center"/>
            <w:hideMark/>
          </w:tcPr>
          <w:p w14:paraId="4DEF5F6F" w14:textId="77777777" w:rsidR="0000769D" w:rsidRPr="0000769D" w:rsidRDefault="0000769D" w:rsidP="0000769D">
            <w:pPr>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b/>
                <w:bCs/>
                <w:sz w:val="18"/>
                <w:szCs w:val="18"/>
                <w:bdr w:val="none" w:sz="0" w:space="0" w:color="auto"/>
                <w:lang w:eastAsia="es-ES"/>
              </w:rPr>
            </w:pPr>
            <w:r w:rsidRPr="0000769D">
              <w:rPr>
                <w:rFonts w:eastAsia="Times New Roman"/>
                <w:b/>
                <w:bCs/>
                <w:sz w:val="18"/>
                <w:szCs w:val="18"/>
                <w:bdr w:val="none" w:sz="0" w:space="0" w:color="auto"/>
                <w:lang w:eastAsia="es-ES"/>
              </w:rPr>
              <w:t>Total</w:t>
            </w:r>
          </w:p>
        </w:tc>
        <w:tc>
          <w:tcPr>
            <w:tcW w:w="1114" w:type="pct"/>
            <w:tcBorders>
              <w:top w:val="nil"/>
              <w:left w:val="nil"/>
              <w:bottom w:val="single" w:sz="4" w:space="0" w:color="auto"/>
              <w:right w:val="nil"/>
            </w:tcBorders>
            <w:shd w:val="clear" w:color="auto" w:fill="auto"/>
            <w:noWrap/>
            <w:vAlign w:val="center"/>
          </w:tcPr>
          <w:p w14:paraId="732CFE56" w14:textId="3084517D" w:rsidR="0000769D" w:rsidRPr="0000769D" w:rsidRDefault="0000769D" w:rsidP="0000769D">
            <w:pPr>
              <w:ind w:right="239"/>
              <w:jc w:val="right"/>
              <w:rPr>
                <w:b/>
                <w:bCs/>
                <w:sz w:val="18"/>
                <w:szCs w:val="18"/>
              </w:rPr>
            </w:pPr>
            <w:r w:rsidRPr="0000769D">
              <w:rPr>
                <w:b/>
                <w:bCs/>
                <w:sz w:val="18"/>
                <w:szCs w:val="18"/>
              </w:rPr>
              <w:t>192.753,90</w:t>
            </w:r>
          </w:p>
        </w:tc>
        <w:tc>
          <w:tcPr>
            <w:tcW w:w="1114" w:type="pct"/>
            <w:tcBorders>
              <w:top w:val="single" w:sz="4" w:space="0" w:color="auto"/>
              <w:left w:val="nil"/>
              <w:bottom w:val="single" w:sz="4" w:space="0" w:color="auto"/>
              <w:right w:val="nil"/>
            </w:tcBorders>
            <w:shd w:val="clear" w:color="auto" w:fill="auto"/>
            <w:vAlign w:val="center"/>
            <w:hideMark/>
          </w:tcPr>
          <w:p w14:paraId="2026215B" w14:textId="13FFED79" w:rsidR="0000769D" w:rsidRPr="0000769D" w:rsidRDefault="0000769D" w:rsidP="0000769D">
            <w:pPr>
              <w:ind w:right="239"/>
              <w:jc w:val="right"/>
              <w:rPr>
                <w:b/>
                <w:bCs/>
                <w:sz w:val="18"/>
                <w:szCs w:val="18"/>
              </w:rPr>
            </w:pPr>
            <w:r w:rsidRPr="0000769D">
              <w:rPr>
                <w:b/>
                <w:bCs/>
                <w:sz w:val="18"/>
                <w:szCs w:val="18"/>
              </w:rPr>
              <w:t>94.531,04</w:t>
            </w:r>
          </w:p>
        </w:tc>
      </w:tr>
    </w:tbl>
    <w:p w14:paraId="60C0750F" w14:textId="5EE67933" w:rsidR="005644E5" w:rsidRDefault="006220A2" w:rsidP="001B5A15">
      <w:pPr>
        <w:widowControl w:val="0"/>
        <w:spacing w:before="240" w:after="120" w:line="260" w:lineRule="exact"/>
        <w:jc w:val="both"/>
        <w:outlineLvl w:val="9"/>
        <w:rPr>
          <w:snapToGrid w:val="0"/>
          <w:sz w:val="20"/>
          <w:szCs w:val="22"/>
        </w:rPr>
      </w:pPr>
      <w:r w:rsidRPr="0000769D">
        <w:rPr>
          <w:snapToGrid w:val="0"/>
          <w:sz w:val="20"/>
          <w:szCs w:val="22"/>
        </w:rPr>
        <w:t>El gasto reconocido en la cuenta de pérdidas y ganancias durante el ejercicio correspondiente a arrendamientos</w:t>
      </w:r>
      <w:r w:rsidR="0094063E" w:rsidRPr="0000769D">
        <w:rPr>
          <w:snapToGrid w:val="0"/>
          <w:sz w:val="20"/>
          <w:szCs w:val="22"/>
        </w:rPr>
        <w:t xml:space="preserve"> operativos asciende a</w:t>
      </w:r>
      <w:r w:rsidR="008B575B" w:rsidRPr="0000769D">
        <w:rPr>
          <w:snapToGrid w:val="0"/>
          <w:sz w:val="20"/>
          <w:szCs w:val="22"/>
        </w:rPr>
        <w:t xml:space="preserve"> </w:t>
      </w:r>
      <w:r w:rsidR="0000769D">
        <w:rPr>
          <w:snapToGrid w:val="0"/>
          <w:sz w:val="20"/>
          <w:szCs w:val="22"/>
        </w:rPr>
        <w:t xml:space="preserve">76.215,62 </w:t>
      </w:r>
      <w:r w:rsidR="0094063E" w:rsidRPr="0000769D">
        <w:rPr>
          <w:snapToGrid w:val="0"/>
          <w:sz w:val="20"/>
          <w:szCs w:val="22"/>
        </w:rPr>
        <w:t>euros (</w:t>
      </w:r>
      <w:r w:rsidR="0000769D" w:rsidRPr="0000769D">
        <w:rPr>
          <w:snapToGrid w:val="0"/>
          <w:sz w:val="20"/>
          <w:szCs w:val="22"/>
        </w:rPr>
        <w:t>74.904,92</w:t>
      </w:r>
      <w:r w:rsidR="00DA650E" w:rsidRPr="0000769D">
        <w:rPr>
          <w:snapToGrid w:val="0"/>
          <w:sz w:val="20"/>
          <w:szCs w:val="22"/>
        </w:rPr>
        <w:t xml:space="preserve"> </w:t>
      </w:r>
      <w:r w:rsidR="008C63CA" w:rsidRPr="0000769D">
        <w:rPr>
          <w:snapToGrid w:val="0"/>
          <w:sz w:val="20"/>
          <w:szCs w:val="22"/>
        </w:rPr>
        <w:t xml:space="preserve">euros en </w:t>
      </w:r>
      <w:r w:rsidR="005644E5" w:rsidRPr="0000769D">
        <w:rPr>
          <w:snapToGrid w:val="0"/>
          <w:sz w:val="20"/>
          <w:szCs w:val="22"/>
        </w:rPr>
        <w:t>el ejercicio anterior</w:t>
      </w:r>
      <w:r w:rsidRPr="0000769D">
        <w:rPr>
          <w:snapToGrid w:val="0"/>
          <w:sz w:val="20"/>
          <w:szCs w:val="22"/>
        </w:rPr>
        <w:t>).</w:t>
      </w:r>
    </w:p>
    <w:p w14:paraId="76533A5C" w14:textId="77777777" w:rsidR="005644E5" w:rsidRDefault="005644E5">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08E036DD" w14:textId="6FF599BD" w:rsidR="00AC0D8E" w:rsidRPr="0083433F" w:rsidRDefault="00AC0D8E"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83433F">
        <w:rPr>
          <w:b/>
          <w:snapToGrid w:val="0"/>
          <w:sz w:val="22"/>
          <w:szCs w:val="22"/>
        </w:rPr>
        <w:lastRenderedPageBreak/>
        <w:t>Análisis de instrumentos financieros</w:t>
      </w:r>
    </w:p>
    <w:p w14:paraId="1CA57CCD" w14:textId="77777777" w:rsidR="006220A2" w:rsidRPr="0083433F" w:rsidRDefault="006220A2" w:rsidP="005644E5">
      <w:pPr>
        <w:widowControl w:val="0"/>
        <w:spacing w:before="200"/>
        <w:ind w:left="284"/>
        <w:rPr>
          <w:b/>
          <w:snapToGrid w:val="0"/>
          <w:sz w:val="20"/>
          <w:szCs w:val="22"/>
        </w:rPr>
      </w:pPr>
      <w:r w:rsidRPr="0083433F">
        <w:rPr>
          <w:b/>
          <w:sz w:val="20"/>
          <w:szCs w:val="22"/>
        </w:rPr>
        <w:t>Análisis por categorías</w:t>
      </w:r>
    </w:p>
    <w:p w14:paraId="13B18703" w14:textId="7E54E1FC" w:rsidR="007F3953" w:rsidRPr="005644E5" w:rsidRDefault="006220A2" w:rsidP="004A41D6">
      <w:pPr>
        <w:widowControl w:val="0"/>
        <w:spacing w:before="120" w:after="120" w:line="260" w:lineRule="exact"/>
        <w:jc w:val="both"/>
        <w:outlineLvl w:val="9"/>
        <w:rPr>
          <w:snapToGrid w:val="0"/>
          <w:sz w:val="20"/>
          <w:szCs w:val="22"/>
        </w:rPr>
      </w:pPr>
      <w:r w:rsidRPr="005644E5">
        <w:rPr>
          <w:snapToGrid w:val="0"/>
          <w:sz w:val="20"/>
          <w:szCs w:val="22"/>
        </w:rPr>
        <w:t>El valor en libros de cada una de las categorías de instrumentos financieros establecidas en la norma de registro y valoración de “Instrumentos financieros” es el siguiente:</w:t>
      </w:r>
    </w:p>
    <w:p w14:paraId="1C953CF5" w14:textId="77777777" w:rsidR="006220A2" w:rsidRPr="0083433F" w:rsidRDefault="006220A2">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9"/>
        <w:rPr>
          <w:b/>
          <w:sz w:val="20"/>
          <w:szCs w:val="22"/>
        </w:rPr>
      </w:pPr>
      <w:r w:rsidRPr="0083433F">
        <w:rPr>
          <w:b/>
          <w:sz w:val="20"/>
          <w:szCs w:val="22"/>
        </w:rPr>
        <w:t>Activos financieros</w:t>
      </w:r>
    </w:p>
    <w:p w14:paraId="245045B1" w14:textId="77777777" w:rsidR="006220A2" w:rsidRPr="005644E5" w:rsidRDefault="006220A2" w:rsidP="004A41D6">
      <w:pPr>
        <w:widowControl w:val="0"/>
        <w:spacing w:before="120" w:after="120" w:line="260" w:lineRule="exact"/>
        <w:jc w:val="both"/>
        <w:outlineLvl w:val="9"/>
        <w:rPr>
          <w:snapToGrid w:val="0"/>
          <w:sz w:val="20"/>
          <w:szCs w:val="22"/>
        </w:rPr>
      </w:pPr>
      <w:r w:rsidRPr="005644E5">
        <w:rPr>
          <w:snapToGrid w:val="0"/>
          <w:sz w:val="20"/>
          <w:szCs w:val="22"/>
        </w:rPr>
        <w:t xml:space="preserve">El detalle de activos financieros a </w:t>
      </w:r>
      <w:r w:rsidR="008D42A8" w:rsidRPr="005644E5">
        <w:rPr>
          <w:snapToGrid w:val="0"/>
          <w:sz w:val="20"/>
          <w:szCs w:val="22"/>
        </w:rPr>
        <w:t>largo y corto</w:t>
      </w:r>
      <w:r w:rsidRPr="005644E5">
        <w:rPr>
          <w:snapToGrid w:val="0"/>
          <w:sz w:val="20"/>
          <w:szCs w:val="22"/>
        </w:rPr>
        <w:t xml:space="preserve"> </w:t>
      </w:r>
      <w:r w:rsidR="000C3260" w:rsidRPr="005644E5">
        <w:rPr>
          <w:snapToGrid w:val="0"/>
          <w:sz w:val="20"/>
          <w:szCs w:val="22"/>
        </w:rPr>
        <w:t>plazo</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3967"/>
        <w:gridCol w:w="2406"/>
        <w:gridCol w:w="2408"/>
      </w:tblGrid>
      <w:tr w:rsidR="008D42A8" w:rsidRPr="005644E5" w14:paraId="7F32FD29" w14:textId="77777777" w:rsidTr="007E7835">
        <w:trPr>
          <w:trHeight w:val="227"/>
        </w:trPr>
        <w:tc>
          <w:tcPr>
            <w:tcW w:w="2259" w:type="pct"/>
            <w:tcBorders>
              <w:top w:val="single" w:sz="4" w:space="0" w:color="auto"/>
              <w:left w:val="nil"/>
              <w:bottom w:val="nil"/>
              <w:right w:val="nil"/>
            </w:tcBorders>
            <w:shd w:val="clear" w:color="auto" w:fill="auto"/>
            <w:noWrap/>
            <w:vAlign w:val="center"/>
            <w:hideMark/>
          </w:tcPr>
          <w:p w14:paraId="368E641A"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0FA31A42" w14:textId="77777777" w:rsidR="008D42A8"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CA7AF6" w:rsidRPr="005644E5" w14:paraId="4F4D695A" w14:textId="77777777" w:rsidTr="007E7835">
        <w:trPr>
          <w:trHeight w:val="227"/>
        </w:trPr>
        <w:tc>
          <w:tcPr>
            <w:tcW w:w="2259" w:type="pct"/>
            <w:tcBorders>
              <w:top w:val="single" w:sz="4" w:space="0" w:color="auto"/>
              <w:left w:val="nil"/>
              <w:bottom w:val="nil"/>
              <w:right w:val="nil"/>
            </w:tcBorders>
            <w:shd w:val="clear" w:color="auto" w:fill="auto"/>
            <w:noWrap/>
            <w:vAlign w:val="center"/>
          </w:tcPr>
          <w:p w14:paraId="62270E05"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tcPr>
          <w:p w14:paraId="0F51C709"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Activos financieros a largo plazo</w:t>
            </w:r>
          </w:p>
        </w:tc>
      </w:tr>
      <w:tr w:rsidR="008D42A8" w:rsidRPr="005644E5" w14:paraId="1CB7C9FC" w14:textId="77777777" w:rsidTr="007E7835">
        <w:trPr>
          <w:trHeight w:val="227"/>
        </w:trPr>
        <w:tc>
          <w:tcPr>
            <w:tcW w:w="2259" w:type="pct"/>
            <w:tcBorders>
              <w:top w:val="nil"/>
              <w:left w:val="nil"/>
              <w:bottom w:val="nil"/>
              <w:right w:val="nil"/>
            </w:tcBorders>
            <w:shd w:val="clear" w:color="auto" w:fill="auto"/>
            <w:noWrap/>
            <w:vAlign w:val="center"/>
            <w:hideMark/>
          </w:tcPr>
          <w:p w14:paraId="67CF8DAA"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eastAsia="Times New Roman"/>
                <w:b/>
                <w:bCs/>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207AA926" w14:textId="77777777" w:rsidR="008D42A8" w:rsidRPr="005644E5" w:rsidRDefault="008D42A8"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Créditos, Derivados Otros</w:t>
            </w:r>
          </w:p>
        </w:tc>
      </w:tr>
      <w:tr w:rsidR="005D19D6" w:rsidRPr="005644E5" w14:paraId="17400E02" w14:textId="77777777" w:rsidTr="005644E5">
        <w:trPr>
          <w:trHeight w:val="283"/>
        </w:trPr>
        <w:tc>
          <w:tcPr>
            <w:tcW w:w="2259" w:type="pct"/>
            <w:tcBorders>
              <w:top w:val="nil"/>
              <w:left w:val="nil"/>
              <w:bottom w:val="single" w:sz="4" w:space="0" w:color="auto"/>
              <w:right w:val="nil"/>
            </w:tcBorders>
            <w:shd w:val="clear" w:color="auto" w:fill="auto"/>
            <w:noWrap/>
            <w:vAlign w:val="center"/>
            <w:hideMark/>
          </w:tcPr>
          <w:p w14:paraId="51CC7E58" w14:textId="77777777" w:rsidR="005D19D6" w:rsidRPr="005644E5" w:rsidRDefault="005D19D6" w:rsidP="005D19D6">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1370" w:type="pct"/>
            <w:tcBorders>
              <w:top w:val="nil"/>
              <w:left w:val="nil"/>
              <w:bottom w:val="single" w:sz="4" w:space="0" w:color="auto"/>
              <w:right w:val="nil"/>
            </w:tcBorders>
            <w:shd w:val="clear" w:color="auto" w:fill="auto"/>
            <w:noWrap/>
            <w:vAlign w:val="bottom"/>
            <w:hideMark/>
          </w:tcPr>
          <w:p w14:paraId="2D17DFD8" w14:textId="3F935126" w:rsidR="005D19D6" w:rsidRPr="005644E5" w:rsidRDefault="005D19D6" w:rsidP="005D19D6">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FF1FD2">
              <w:rPr>
                <w:rFonts w:eastAsia="Times New Roman"/>
                <w:b/>
                <w:bCs/>
                <w:sz w:val="18"/>
                <w:szCs w:val="18"/>
                <w:bdr w:val="none" w:sz="0" w:space="0" w:color="auto"/>
                <w:lang w:eastAsia="es-ES"/>
              </w:rPr>
              <w:t>3</w:t>
            </w:r>
          </w:p>
        </w:tc>
        <w:tc>
          <w:tcPr>
            <w:tcW w:w="1371" w:type="pct"/>
            <w:tcBorders>
              <w:top w:val="nil"/>
              <w:left w:val="nil"/>
              <w:bottom w:val="single" w:sz="4" w:space="0" w:color="auto"/>
              <w:right w:val="nil"/>
            </w:tcBorders>
            <w:shd w:val="clear" w:color="auto" w:fill="auto"/>
            <w:noWrap/>
            <w:vAlign w:val="bottom"/>
            <w:hideMark/>
          </w:tcPr>
          <w:p w14:paraId="07F32E33" w14:textId="4A6FE00B" w:rsidR="005D19D6" w:rsidRPr="005644E5" w:rsidRDefault="005D19D6" w:rsidP="005D19D6">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FF1FD2">
              <w:rPr>
                <w:rFonts w:eastAsia="Times New Roman"/>
                <w:b/>
                <w:bCs/>
                <w:sz w:val="18"/>
                <w:szCs w:val="18"/>
                <w:bdr w:val="none" w:sz="0" w:space="0" w:color="auto"/>
                <w:lang w:eastAsia="es-ES"/>
              </w:rPr>
              <w:t>2</w:t>
            </w:r>
          </w:p>
        </w:tc>
      </w:tr>
      <w:tr w:rsidR="005D19D6" w:rsidRPr="005644E5" w14:paraId="39E22484" w14:textId="77777777" w:rsidTr="005644E5">
        <w:trPr>
          <w:trHeight w:val="283"/>
        </w:trPr>
        <w:tc>
          <w:tcPr>
            <w:tcW w:w="2259" w:type="pct"/>
            <w:tcBorders>
              <w:top w:val="nil"/>
              <w:left w:val="nil"/>
              <w:bottom w:val="nil"/>
              <w:right w:val="nil"/>
            </w:tcBorders>
            <w:shd w:val="clear" w:color="auto" w:fill="auto"/>
            <w:noWrap/>
            <w:vAlign w:val="center"/>
            <w:hideMark/>
          </w:tcPr>
          <w:p w14:paraId="0F660E0A" w14:textId="174EAA8E" w:rsidR="005D19D6" w:rsidRPr="005644E5" w:rsidRDefault="005D19D6" w:rsidP="005D19D6">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Activos financieros a coste amortizado</w:t>
            </w:r>
          </w:p>
        </w:tc>
        <w:tc>
          <w:tcPr>
            <w:tcW w:w="1370" w:type="pct"/>
            <w:tcBorders>
              <w:top w:val="nil"/>
              <w:left w:val="nil"/>
              <w:bottom w:val="single" w:sz="4" w:space="0" w:color="auto"/>
              <w:right w:val="nil"/>
            </w:tcBorders>
            <w:shd w:val="clear" w:color="auto" w:fill="auto"/>
            <w:noWrap/>
            <w:vAlign w:val="center"/>
            <w:hideMark/>
          </w:tcPr>
          <w:p w14:paraId="593548A8" w14:textId="2B8E9BEF" w:rsidR="00FF1FD2" w:rsidRPr="005644E5" w:rsidRDefault="00FF1FD2" w:rsidP="00FF1FD2">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15.107,70</w:t>
            </w:r>
          </w:p>
        </w:tc>
        <w:tc>
          <w:tcPr>
            <w:tcW w:w="1371" w:type="pct"/>
            <w:tcBorders>
              <w:top w:val="nil"/>
              <w:left w:val="nil"/>
              <w:bottom w:val="single" w:sz="4" w:space="0" w:color="auto"/>
              <w:right w:val="nil"/>
            </w:tcBorders>
            <w:shd w:val="clear" w:color="auto" w:fill="auto"/>
            <w:noWrap/>
            <w:vAlign w:val="center"/>
            <w:hideMark/>
          </w:tcPr>
          <w:p w14:paraId="6C31499E" w14:textId="6108D390" w:rsidR="005D19D6" w:rsidRPr="005644E5" w:rsidRDefault="005D19D6" w:rsidP="005D19D6">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9.107,70</w:t>
            </w:r>
          </w:p>
        </w:tc>
      </w:tr>
      <w:tr w:rsidR="005D19D6" w:rsidRPr="005644E5" w14:paraId="19C9BB42" w14:textId="77777777" w:rsidTr="005644E5">
        <w:trPr>
          <w:trHeight w:val="283"/>
        </w:trPr>
        <w:tc>
          <w:tcPr>
            <w:tcW w:w="2259" w:type="pct"/>
            <w:tcBorders>
              <w:top w:val="single" w:sz="4" w:space="0" w:color="auto"/>
              <w:left w:val="nil"/>
              <w:bottom w:val="single" w:sz="4" w:space="0" w:color="auto"/>
              <w:right w:val="nil"/>
            </w:tcBorders>
            <w:shd w:val="clear" w:color="auto" w:fill="auto"/>
            <w:noWrap/>
            <w:vAlign w:val="center"/>
            <w:hideMark/>
          </w:tcPr>
          <w:p w14:paraId="339FA802" w14:textId="77777777" w:rsidR="005D19D6" w:rsidRPr="005644E5" w:rsidRDefault="005D19D6" w:rsidP="005D19D6">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Total</w:t>
            </w:r>
          </w:p>
        </w:tc>
        <w:tc>
          <w:tcPr>
            <w:tcW w:w="1370" w:type="pct"/>
            <w:tcBorders>
              <w:top w:val="nil"/>
              <w:left w:val="nil"/>
              <w:bottom w:val="single" w:sz="4" w:space="0" w:color="auto"/>
              <w:right w:val="nil"/>
            </w:tcBorders>
            <w:shd w:val="clear" w:color="auto" w:fill="auto"/>
            <w:noWrap/>
            <w:vAlign w:val="center"/>
            <w:hideMark/>
          </w:tcPr>
          <w:p w14:paraId="0EFD1638" w14:textId="3FE74AE2" w:rsidR="005D19D6" w:rsidRPr="00FF1FD2" w:rsidRDefault="00FF1FD2" w:rsidP="005D19D6">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b/>
                <w:bCs/>
                <w:sz w:val="18"/>
                <w:szCs w:val="18"/>
                <w:bdr w:val="none" w:sz="0" w:space="0" w:color="auto"/>
                <w:lang w:eastAsia="es-ES"/>
              </w:rPr>
            </w:pPr>
            <w:r w:rsidRPr="00FF1FD2">
              <w:rPr>
                <w:rFonts w:eastAsia="Times New Roman"/>
                <w:b/>
                <w:bCs/>
                <w:sz w:val="18"/>
                <w:szCs w:val="18"/>
                <w:bdr w:val="none" w:sz="0" w:space="0" w:color="auto"/>
                <w:lang w:eastAsia="es-ES"/>
              </w:rPr>
              <w:t>15.107,70</w:t>
            </w:r>
          </w:p>
        </w:tc>
        <w:tc>
          <w:tcPr>
            <w:tcW w:w="1371" w:type="pct"/>
            <w:tcBorders>
              <w:top w:val="nil"/>
              <w:left w:val="nil"/>
              <w:bottom w:val="single" w:sz="4" w:space="0" w:color="auto"/>
              <w:right w:val="nil"/>
            </w:tcBorders>
            <w:shd w:val="clear" w:color="auto" w:fill="auto"/>
            <w:noWrap/>
            <w:vAlign w:val="center"/>
            <w:hideMark/>
          </w:tcPr>
          <w:p w14:paraId="1E4A0C62" w14:textId="380CB7C2" w:rsidR="005D19D6" w:rsidRPr="005644E5" w:rsidRDefault="005D19D6" w:rsidP="005D19D6">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9.107,70</w:t>
            </w:r>
          </w:p>
        </w:tc>
      </w:tr>
    </w:tbl>
    <w:p w14:paraId="6B219A88" w14:textId="77777777" w:rsidR="008D42A8" w:rsidRPr="00573442" w:rsidRDefault="008D42A8" w:rsidP="004A41D6">
      <w:pPr>
        <w:widowControl w:val="0"/>
        <w:jc w:val="both"/>
        <w:rPr>
          <w:sz w:val="20"/>
        </w:rPr>
      </w:pPr>
    </w:p>
    <w:tbl>
      <w:tblPr>
        <w:tblW w:w="5000" w:type="pct"/>
        <w:tblCellMar>
          <w:left w:w="70" w:type="dxa"/>
          <w:right w:w="70" w:type="dxa"/>
        </w:tblCellMar>
        <w:tblLook w:val="04A0" w:firstRow="1" w:lastRow="0" w:firstColumn="1" w:lastColumn="0" w:noHBand="0" w:noVBand="1"/>
      </w:tblPr>
      <w:tblGrid>
        <w:gridCol w:w="3967"/>
        <w:gridCol w:w="2406"/>
        <w:gridCol w:w="2408"/>
      </w:tblGrid>
      <w:tr w:rsidR="000A70C7" w:rsidRPr="005644E5" w14:paraId="546531F3" w14:textId="77777777" w:rsidTr="007E7835">
        <w:trPr>
          <w:trHeight w:val="227"/>
        </w:trPr>
        <w:tc>
          <w:tcPr>
            <w:tcW w:w="2259" w:type="pct"/>
            <w:tcBorders>
              <w:top w:val="single" w:sz="4" w:space="0" w:color="auto"/>
              <w:left w:val="nil"/>
              <w:bottom w:val="nil"/>
              <w:right w:val="nil"/>
            </w:tcBorders>
            <w:shd w:val="clear" w:color="auto" w:fill="auto"/>
            <w:noWrap/>
            <w:vAlign w:val="center"/>
            <w:hideMark/>
          </w:tcPr>
          <w:p w14:paraId="03323F28" w14:textId="77777777" w:rsidR="000A70C7" w:rsidRPr="005644E5" w:rsidRDefault="000A70C7"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39AD9CCD" w14:textId="77777777" w:rsidR="000A70C7"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CA7AF6" w:rsidRPr="005644E5" w14:paraId="4F073E24" w14:textId="77777777" w:rsidTr="007E7835">
        <w:trPr>
          <w:trHeight w:val="227"/>
        </w:trPr>
        <w:tc>
          <w:tcPr>
            <w:tcW w:w="2259" w:type="pct"/>
            <w:tcBorders>
              <w:top w:val="single" w:sz="4" w:space="0" w:color="auto"/>
              <w:left w:val="nil"/>
              <w:bottom w:val="nil"/>
              <w:right w:val="nil"/>
            </w:tcBorders>
            <w:shd w:val="clear" w:color="auto" w:fill="auto"/>
            <w:noWrap/>
            <w:vAlign w:val="center"/>
          </w:tcPr>
          <w:p w14:paraId="493A2113"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both"/>
              <w:outlineLvl w:val="9"/>
              <w:rPr>
                <w:rFonts w:eastAsia="Times New Roman"/>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tcPr>
          <w:p w14:paraId="5613C206" w14:textId="77777777" w:rsidR="00CA7AF6" w:rsidRPr="005644E5" w:rsidRDefault="00CA7AF6"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Activos financieros a corto plazo</w:t>
            </w:r>
          </w:p>
        </w:tc>
      </w:tr>
      <w:tr w:rsidR="000A70C7" w:rsidRPr="005644E5" w14:paraId="4A2980DA" w14:textId="77777777" w:rsidTr="007E7835">
        <w:trPr>
          <w:trHeight w:val="227"/>
        </w:trPr>
        <w:tc>
          <w:tcPr>
            <w:tcW w:w="2259" w:type="pct"/>
            <w:tcBorders>
              <w:top w:val="nil"/>
              <w:left w:val="nil"/>
              <w:bottom w:val="nil"/>
              <w:right w:val="nil"/>
            </w:tcBorders>
            <w:shd w:val="clear" w:color="auto" w:fill="auto"/>
            <w:noWrap/>
            <w:vAlign w:val="center"/>
            <w:hideMark/>
          </w:tcPr>
          <w:p w14:paraId="63E7BC60" w14:textId="77777777" w:rsidR="000A70C7" w:rsidRPr="005644E5" w:rsidRDefault="000A70C7"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eastAsia="Times New Roman"/>
                <w:b/>
                <w:bCs/>
                <w:sz w:val="18"/>
                <w:szCs w:val="18"/>
                <w:bdr w:val="none" w:sz="0" w:space="0" w:color="auto"/>
                <w:lang w:eastAsia="es-ES"/>
              </w:rPr>
            </w:pPr>
          </w:p>
        </w:tc>
        <w:tc>
          <w:tcPr>
            <w:tcW w:w="2741" w:type="pct"/>
            <w:gridSpan w:val="2"/>
            <w:tcBorders>
              <w:top w:val="single" w:sz="4" w:space="0" w:color="auto"/>
              <w:left w:val="nil"/>
              <w:bottom w:val="single" w:sz="4" w:space="0" w:color="auto"/>
              <w:right w:val="nil"/>
            </w:tcBorders>
            <w:shd w:val="clear" w:color="auto" w:fill="auto"/>
            <w:noWrap/>
            <w:vAlign w:val="bottom"/>
            <w:hideMark/>
          </w:tcPr>
          <w:p w14:paraId="4C328BC9" w14:textId="77777777" w:rsidR="000A70C7" w:rsidRPr="005644E5" w:rsidRDefault="00D56777" w:rsidP="005644E5">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Créditos, Derivados Otros</w:t>
            </w:r>
          </w:p>
        </w:tc>
      </w:tr>
      <w:tr w:rsidR="00B809B7" w:rsidRPr="005644E5" w14:paraId="004DA197" w14:textId="77777777" w:rsidTr="005644E5">
        <w:trPr>
          <w:trHeight w:val="283"/>
        </w:trPr>
        <w:tc>
          <w:tcPr>
            <w:tcW w:w="2259" w:type="pct"/>
            <w:tcBorders>
              <w:top w:val="nil"/>
              <w:left w:val="nil"/>
              <w:bottom w:val="single" w:sz="4" w:space="0" w:color="auto"/>
              <w:right w:val="nil"/>
            </w:tcBorders>
            <w:shd w:val="clear" w:color="auto" w:fill="auto"/>
            <w:noWrap/>
            <w:vAlign w:val="center"/>
            <w:hideMark/>
          </w:tcPr>
          <w:p w14:paraId="3540F513" w14:textId="77777777" w:rsidR="00B809B7" w:rsidRPr="005644E5" w:rsidRDefault="00B809B7" w:rsidP="00B809B7">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1370" w:type="pct"/>
            <w:tcBorders>
              <w:top w:val="nil"/>
              <w:left w:val="nil"/>
              <w:bottom w:val="single" w:sz="4" w:space="0" w:color="auto"/>
              <w:right w:val="nil"/>
            </w:tcBorders>
            <w:shd w:val="clear" w:color="auto" w:fill="auto"/>
            <w:noWrap/>
            <w:vAlign w:val="bottom"/>
            <w:hideMark/>
          </w:tcPr>
          <w:p w14:paraId="1806B77E" w14:textId="4A260816" w:rsidR="00B809B7" w:rsidRPr="005644E5" w:rsidRDefault="00B809B7" w:rsidP="00B809B7">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D73022">
              <w:rPr>
                <w:rFonts w:eastAsia="Times New Roman"/>
                <w:b/>
                <w:bCs/>
                <w:sz w:val="18"/>
                <w:szCs w:val="18"/>
                <w:bdr w:val="none" w:sz="0" w:space="0" w:color="auto"/>
                <w:lang w:eastAsia="es-ES"/>
              </w:rPr>
              <w:t>3</w:t>
            </w:r>
          </w:p>
        </w:tc>
        <w:tc>
          <w:tcPr>
            <w:tcW w:w="1371" w:type="pct"/>
            <w:tcBorders>
              <w:top w:val="nil"/>
              <w:left w:val="nil"/>
              <w:bottom w:val="single" w:sz="4" w:space="0" w:color="auto"/>
              <w:right w:val="nil"/>
            </w:tcBorders>
            <w:shd w:val="clear" w:color="auto" w:fill="auto"/>
            <w:noWrap/>
            <w:vAlign w:val="bottom"/>
            <w:hideMark/>
          </w:tcPr>
          <w:p w14:paraId="54BA0B3A" w14:textId="1AA286AA" w:rsidR="00B809B7" w:rsidRPr="005644E5" w:rsidRDefault="00B809B7" w:rsidP="00B809B7">
            <w:pPr>
              <w:pBdr>
                <w:top w:val="none" w:sz="0" w:space="0" w:color="auto"/>
                <w:left w:val="none" w:sz="0" w:space="0" w:color="auto"/>
                <w:bottom w:val="none" w:sz="0" w:space="0" w:color="auto"/>
                <w:right w:val="none" w:sz="0" w:space="0" w:color="auto"/>
                <w:between w:val="none" w:sz="0" w:space="0" w:color="auto"/>
                <w:bar w:val="none" w:sz="0" w:color="auto"/>
              </w:pBdr>
              <w:ind w:right="210"/>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D73022">
              <w:rPr>
                <w:rFonts w:eastAsia="Times New Roman"/>
                <w:b/>
                <w:bCs/>
                <w:sz w:val="18"/>
                <w:szCs w:val="18"/>
                <w:bdr w:val="none" w:sz="0" w:space="0" w:color="auto"/>
                <w:lang w:eastAsia="es-ES"/>
              </w:rPr>
              <w:t>2</w:t>
            </w:r>
          </w:p>
        </w:tc>
      </w:tr>
      <w:tr w:rsidR="00A61EB2" w:rsidRPr="005644E5" w14:paraId="4C7064B1" w14:textId="77777777" w:rsidTr="005644E5">
        <w:trPr>
          <w:trHeight w:val="283"/>
        </w:trPr>
        <w:tc>
          <w:tcPr>
            <w:tcW w:w="2259" w:type="pct"/>
            <w:tcBorders>
              <w:top w:val="nil"/>
              <w:left w:val="nil"/>
              <w:bottom w:val="nil"/>
              <w:right w:val="nil"/>
            </w:tcBorders>
            <w:shd w:val="clear" w:color="auto" w:fill="auto"/>
            <w:noWrap/>
            <w:vAlign w:val="center"/>
            <w:hideMark/>
          </w:tcPr>
          <w:p w14:paraId="3D3CD873" w14:textId="7D62D8DD" w:rsidR="00A61EB2" w:rsidRPr="005644E5"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Activos financieros a coste amortizado</w:t>
            </w:r>
          </w:p>
        </w:tc>
        <w:tc>
          <w:tcPr>
            <w:tcW w:w="1370" w:type="pct"/>
            <w:tcBorders>
              <w:top w:val="nil"/>
              <w:left w:val="nil"/>
              <w:bottom w:val="single" w:sz="4" w:space="0" w:color="auto"/>
              <w:right w:val="nil"/>
            </w:tcBorders>
            <w:shd w:val="clear" w:color="auto" w:fill="auto"/>
            <w:noWrap/>
            <w:vAlign w:val="center"/>
          </w:tcPr>
          <w:p w14:paraId="62488F44" w14:textId="195191FD" w:rsidR="00A61EB2" w:rsidRPr="00D73022"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sz w:val="18"/>
                <w:szCs w:val="18"/>
              </w:rPr>
            </w:pPr>
            <w:r>
              <w:rPr>
                <w:sz w:val="18"/>
                <w:szCs w:val="18"/>
              </w:rPr>
              <w:t>309.142,25</w:t>
            </w:r>
          </w:p>
        </w:tc>
        <w:tc>
          <w:tcPr>
            <w:tcW w:w="1371" w:type="pct"/>
            <w:tcBorders>
              <w:top w:val="nil"/>
              <w:left w:val="nil"/>
              <w:bottom w:val="single" w:sz="4" w:space="0" w:color="auto"/>
              <w:right w:val="nil"/>
            </w:tcBorders>
            <w:shd w:val="clear" w:color="auto" w:fill="auto"/>
            <w:noWrap/>
            <w:vAlign w:val="center"/>
            <w:hideMark/>
          </w:tcPr>
          <w:p w14:paraId="14AD039D" w14:textId="095C3581" w:rsidR="00A61EB2" w:rsidRPr="005644E5"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sz w:val="18"/>
                <w:szCs w:val="18"/>
                <w:bdr w:val="none" w:sz="0" w:space="0" w:color="auto"/>
                <w:lang w:eastAsia="es-ES"/>
              </w:rPr>
            </w:pPr>
            <w:r>
              <w:rPr>
                <w:sz w:val="18"/>
                <w:szCs w:val="18"/>
              </w:rPr>
              <w:t>373.976,32</w:t>
            </w:r>
          </w:p>
        </w:tc>
      </w:tr>
      <w:tr w:rsidR="00A61EB2" w:rsidRPr="005644E5" w14:paraId="1389EE1D" w14:textId="77777777" w:rsidTr="005644E5">
        <w:trPr>
          <w:trHeight w:val="283"/>
        </w:trPr>
        <w:tc>
          <w:tcPr>
            <w:tcW w:w="2259" w:type="pct"/>
            <w:tcBorders>
              <w:top w:val="single" w:sz="4" w:space="0" w:color="auto"/>
              <w:left w:val="nil"/>
              <w:bottom w:val="single" w:sz="4" w:space="0" w:color="auto"/>
              <w:right w:val="nil"/>
            </w:tcBorders>
            <w:shd w:val="clear" w:color="auto" w:fill="auto"/>
            <w:noWrap/>
            <w:vAlign w:val="center"/>
            <w:hideMark/>
          </w:tcPr>
          <w:p w14:paraId="0ED3BF28" w14:textId="77777777" w:rsidR="00A61EB2" w:rsidRPr="005644E5"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Total</w:t>
            </w:r>
          </w:p>
        </w:tc>
        <w:tc>
          <w:tcPr>
            <w:tcW w:w="1370" w:type="pct"/>
            <w:tcBorders>
              <w:top w:val="nil"/>
              <w:left w:val="nil"/>
              <w:bottom w:val="single" w:sz="4" w:space="0" w:color="auto"/>
              <w:right w:val="nil"/>
            </w:tcBorders>
            <w:shd w:val="clear" w:color="auto" w:fill="auto"/>
            <w:noWrap/>
            <w:vAlign w:val="center"/>
          </w:tcPr>
          <w:p w14:paraId="6C5927BD" w14:textId="4A79ABE4" w:rsidR="00A61EB2" w:rsidRPr="005644E5" w:rsidRDefault="00A61EB2" w:rsidP="00A61EB2">
            <w:pPr>
              <w:ind w:right="210"/>
              <w:jc w:val="right"/>
              <w:rPr>
                <w:b/>
                <w:bCs/>
                <w:sz w:val="18"/>
                <w:szCs w:val="18"/>
              </w:rPr>
            </w:pPr>
            <w:r>
              <w:rPr>
                <w:b/>
                <w:bCs/>
                <w:sz w:val="18"/>
                <w:szCs w:val="18"/>
              </w:rPr>
              <w:t>309.142,25</w:t>
            </w:r>
          </w:p>
        </w:tc>
        <w:tc>
          <w:tcPr>
            <w:tcW w:w="1371" w:type="pct"/>
            <w:tcBorders>
              <w:top w:val="nil"/>
              <w:left w:val="nil"/>
              <w:bottom w:val="single" w:sz="4" w:space="0" w:color="auto"/>
              <w:right w:val="nil"/>
            </w:tcBorders>
            <w:shd w:val="clear" w:color="auto" w:fill="auto"/>
            <w:noWrap/>
            <w:vAlign w:val="center"/>
            <w:hideMark/>
          </w:tcPr>
          <w:p w14:paraId="33565F11" w14:textId="2FB551CB" w:rsidR="00A61EB2" w:rsidRPr="005644E5"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right="210"/>
              <w:jc w:val="right"/>
              <w:outlineLvl w:val="9"/>
              <w:rPr>
                <w:rFonts w:eastAsia="Times New Roman"/>
                <w:b/>
                <w:bCs/>
                <w:sz w:val="18"/>
                <w:szCs w:val="18"/>
                <w:bdr w:val="none" w:sz="0" w:space="0" w:color="auto"/>
                <w:lang w:eastAsia="es-ES"/>
              </w:rPr>
            </w:pPr>
            <w:r>
              <w:rPr>
                <w:b/>
                <w:bCs/>
                <w:sz w:val="18"/>
                <w:szCs w:val="18"/>
              </w:rPr>
              <w:t>373.976,32</w:t>
            </w:r>
          </w:p>
        </w:tc>
      </w:tr>
    </w:tbl>
    <w:p w14:paraId="2D808755" w14:textId="7346ABF4" w:rsidR="006220A2" w:rsidRPr="0083433F" w:rsidRDefault="00B84071">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40"/>
        <w:ind w:left="0" w:firstLine="0"/>
        <w:outlineLvl w:val="9"/>
        <w:rPr>
          <w:i/>
          <w:sz w:val="20"/>
          <w:szCs w:val="22"/>
          <w:u w:val="single"/>
        </w:rPr>
      </w:pPr>
      <w:r>
        <w:rPr>
          <w:i/>
          <w:sz w:val="20"/>
          <w:szCs w:val="22"/>
          <w:u w:val="single"/>
        </w:rPr>
        <w:t>Activos financieros a coste amortizado</w:t>
      </w:r>
    </w:p>
    <w:p w14:paraId="36D49595" w14:textId="5D1B36F0" w:rsidR="006220A2" w:rsidRPr="005644E5" w:rsidRDefault="006220A2" w:rsidP="00D67C6B">
      <w:pPr>
        <w:widowControl w:val="0"/>
        <w:spacing w:before="120" w:after="120" w:line="260" w:lineRule="exact"/>
        <w:jc w:val="both"/>
        <w:outlineLvl w:val="9"/>
        <w:rPr>
          <w:snapToGrid w:val="0"/>
          <w:sz w:val="20"/>
          <w:szCs w:val="22"/>
        </w:rPr>
      </w:pPr>
      <w:r w:rsidRPr="005644E5">
        <w:rPr>
          <w:snapToGrid w:val="0"/>
          <w:sz w:val="20"/>
          <w:szCs w:val="22"/>
        </w:rPr>
        <w:t xml:space="preserve">El detalle de los </w:t>
      </w:r>
      <w:r w:rsidR="007B20B9" w:rsidRPr="005644E5">
        <w:rPr>
          <w:snapToGrid w:val="0"/>
          <w:sz w:val="20"/>
          <w:szCs w:val="22"/>
        </w:rPr>
        <w:t>activos financieros a coste amortizado</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4729"/>
        <w:gridCol w:w="2025"/>
        <w:gridCol w:w="2027"/>
      </w:tblGrid>
      <w:tr w:rsidR="00A1201B" w:rsidRPr="005644E5" w14:paraId="5B096358" w14:textId="77777777" w:rsidTr="007E7835">
        <w:trPr>
          <w:trHeight w:val="227"/>
        </w:trPr>
        <w:tc>
          <w:tcPr>
            <w:tcW w:w="2693" w:type="pct"/>
            <w:tcBorders>
              <w:top w:val="single" w:sz="4" w:space="0" w:color="auto"/>
              <w:left w:val="nil"/>
              <w:bottom w:val="nil"/>
              <w:right w:val="nil"/>
            </w:tcBorders>
            <w:shd w:val="clear" w:color="auto" w:fill="auto"/>
            <w:noWrap/>
            <w:vAlign w:val="center"/>
            <w:hideMark/>
          </w:tcPr>
          <w:p w14:paraId="147B3678" w14:textId="77777777"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ascii="Times New Roman" w:eastAsia="Times New Roman" w:hAnsi="Times New Roman" w:cs="Times New Roman"/>
                <w:color w:val="auto"/>
                <w:sz w:val="18"/>
                <w:szCs w:val="18"/>
                <w:bdr w:val="none" w:sz="0" w:space="0" w:color="auto"/>
                <w:lang w:eastAsia="es-ES"/>
              </w:rPr>
            </w:pPr>
          </w:p>
        </w:tc>
        <w:tc>
          <w:tcPr>
            <w:tcW w:w="2307" w:type="pct"/>
            <w:gridSpan w:val="2"/>
            <w:tcBorders>
              <w:top w:val="single" w:sz="4" w:space="0" w:color="auto"/>
              <w:left w:val="nil"/>
              <w:bottom w:val="single" w:sz="4" w:space="0" w:color="auto"/>
              <w:right w:val="nil"/>
            </w:tcBorders>
            <w:shd w:val="clear" w:color="auto" w:fill="auto"/>
            <w:noWrap/>
            <w:vAlign w:val="bottom"/>
            <w:hideMark/>
          </w:tcPr>
          <w:p w14:paraId="55E55C0E" w14:textId="77777777"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Euros</w:t>
            </w:r>
          </w:p>
        </w:tc>
      </w:tr>
      <w:tr w:rsidR="00A1201B" w:rsidRPr="005644E5" w14:paraId="4B5DCBF5" w14:textId="77777777" w:rsidTr="005644E5">
        <w:trPr>
          <w:trHeight w:val="283"/>
        </w:trPr>
        <w:tc>
          <w:tcPr>
            <w:tcW w:w="2693" w:type="pct"/>
            <w:tcBorders>
              <w:top w:val="nil"/>
              <w:left w:val="nil"/>
              <w:bottom w:val="single" w:sz="4" w:space="0" w:color="auto"/>
              <w:right w:val="nil"/>
            </w:tcBorders>
            <w:shd w:val="clear" w:color="auto" w:fill="auto"/>
            <w:noWrap/>
            <w:vAlign w:val="center"/>
            <w:hideMark/>
          </w:tcPr>
          <w:p w14:paraId="12351424" w14:textId="77777777"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 </w:t>
            </w:r>
          </w:p>
        </w:tc>
        <w:tc>
          <w:tcPr>
            <w:tcW w:w="1153" w:type="pct"/>
            <w:tcBorders>
              <w:top w:val="nil"/>
              <w:left w:val="nil"/>
              <w:bottom w:val="single" w:sz="4" w:space="0" w:color="auto"/>
              <w:right w:val="nil"/>
            </w:tcBorders>
            <w:shd w:val="clear" w:color="auto" w:fill="auto"/>
            <w:noWrap/>
            <w:vAlign w:val="center"/>
            <w:hideMark/>
          </w:tcPr>
          <w:p w14:paraId="19527582" w14:textId="75D868B3"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31/12/202</w:t>
            </w:r>
            <w:r w:rsidR="00D73022">
              <w:rPr>
                <w:rFonts w:eastAsia="Times New Roman"/>
                <w:b/>
                <w:bCs/>
                <w:sz w:val="18"/>
                <w:szCs w:val="18"/>
                <w:bdr w:val="none" w:sz="0" w:space="0" w:color="auto"/>
                <w:lang w:eastAsia="es-ES"/>
              </w:rPr>
              <w:t>3</w:t>
            </w:r>
          </w:p>
        </w:tc>
        <w:tc>
          <w:tcPr>
            <w:tcW w:w="1154" w:type="pct"/>
            <w:tcBorders>
              <w:top w:val="nil"/>
              <w:left w:val="nil"/>
              <w:bottom w:val="single" w:sz="4" w:space="0" w:color="auto"/>
              <w:right w:val="nil"/>
            </w:tcBorders>
            <w:shd w:val="clear" w:color="auto" w:fill="auto"/>
            <w:noWrap/>
            <w:vAlign w:val="center"/>
            <w:hideMark/>
          </w:tcPr>
          <w:p w14:paraId="0B72BA32" w14:textId="4618122D" w:rsidR="00A1201B" w:rsidRPr="005644E5" w:rsidRDefault="00A1201B"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center"/>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31/12/20</w:t>
            </w:r>
            <w:r w:rsidR="004772D1" w:rsidRPr="005644E5">
              <w:rPr>
                <w:rFonts w:eastAsia="Times New Roman"/>
                <w:b/>
                <w:bCs/>
                <w:sz w:val="18"/>
                <w:szCs w:val="18"/>
                <w:bdr w:val="none" w:sz="0" w:space="0" w:color="auto"/>
                <w:lang w:eastAsia="es-ES"/>
              </w:rPr>
              <w:t>2</w:t>
            </w:r>
            <w:r w:rsidR="00D73022">
              <w:rPr>
                <w:rFonts w:eastAsia="Times New Roman"/>
                <w:b/>
                <w:bCs/>
                <w:sz w:val="18"/>
                <w:szCs w:val="18"/>
                <w:bdr w:val="none" w:sz="0" w:space="0" w:color="auto"/>
                <w:lang w:eastAsia="es-ES"/>
              </w:rPr>
              <w:t>2</w:t>
            </w:r>
          </w:p>
        </w:tc>
      </w:tr>
      <w:tr w:rsidR="00A1201B" w:rsidRPr="005644E5" w14:paraId="37C72681" w14:textId="77777777" w:rsidTr="005644E5">
        <w:tblPrEx>
          <w:jc w:val="center"/>
        </w:tblPrEx>
        <w:trPr>
          <w:trHeight w:val="283"/>
          <w:jc w:val="center"/>
        </w:trPr>
        <w:tc>
          <w:tcPr>
            <w:tcW w:w="5000" w:type="pct"/>
            <w:gridSpan w:val="3"/>
            <w:tcBorders>
              <w:top w:val="nil"/>
              <w:left w:val="nil"/>
              <w:bottom w:val="nil"/>
              <w:right w:val="nil"/>
            </w:tcBorders>
            <w:shd w:val="clear" w:color="auto" w:fill="auto"/>
            <w:noWrap/>
            <w:vAlign w:val="center"/>
            <w:hideMark/>
          </w:tcPr>
          <w:p w14:paraId="68664DE5" w14:textId="5955F9F0" w:rsidR="00A1201B" w:rsidRPr="005644E5" w:rsidRDefault="00B84071" w:rsidP="005644E5">
            <w:pPr>
              <w:pBdr>
                <w:top w:val="none" w:sz="0" w:space="0" w:color="auto"/>
                <w:left w:val="none" w:sz="0" w:space="0" w:color="auto"/>
                <w:bottom w:val="none" w:sz="0" w:space="0" w:color="auto"/>
                <w:right w:val="none" w:sz="0" w:space="0" w:color="auto"/>
                <w:between w:val="none" w:sz="0" w:space="0" w:color="auto"/>
                <w:bar w:val="none" w:sz="0" w:color="auto"/>
              </w:pBdr>
              <w:ind w:left="217" w:right="159"/>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Activos financieros a coste amortizado</w:t>
            </w:r>
            <w:r w:rsidR="00A1201B" w:rsidRPr="005644E5">
              <w:rPr>
                <w:rFonts w:eastAsia="Times New Roman"/>
                <w:b/>
                <w:bCs/>
                <w:sz w:val="18"/>
                <w:szCs w:val="18"/>
                <w:bdr w:val="none" w:sz="0" w:space="0" w:color="auto"/>
                <w:lang w:eastAsia="es-ES"/>
              </w:rPr>
              <w:t xml:space="preserve"> a l</w:t>
            </w:r>
            <w:r w:rsidR="008063DC" w:rsidRPr="005644E5">
              <w:rPr>
                <w:rFonts w:eastAsia="Times New Roman"/>
                <w:b/>
                <w:bCs/>
                <w:sz w:val="18"/>
                <w:szCs w:val="18"/>
                <w:bdr w:val="none" w:sz="0" w:space="0" w:color="auto"/>
                <w:lang w:eastAsia="es-ES"/>
              </w:rPr>
              <w:t>/p</w:t>
            </w:r>
            <w:r w:rsidR="00A1201B" w:rsidRPr="005644E5">
              <w:rPr>
                <w:rFonts w:eastAsia="Times New Roman"/>
                <w:b/>
                <w:bCs/>
                <w:sz w:val="18"/>
                <w:szCs w:val="18"/>
                <w:bdr w:val="none" w:sz="0" w:space="0" w:color="auto"/>
                <w:lang w:eastAsia="es-ES"/>
              </w:rPr>
              <w:t>:</w:t>
            </w:r>
          </w:p>
        </w:tc>
      </w:tr>
      <w:tr w:rsidR="004772D1" w:rsidRPr="005644E5" w14:paraId="69297425" w14:textId="77777777" w:rsidTr="005644E5">
        <w:tblPrEx>
          <w:jc w:val="center"/>
        </w:tblPrEx>
        <w:trPr>
          <w:trHeight w:val="283"/>
          <w:jc w:val="center"/>
        </w:trPr>
        <w:tc>
          <w:tcPr>
            <w:tcW w:w="2693" w:type="pct"/>
            <w:tcBorders>
              <w:top w:val="nil"/>
              <w:left w:val="nil"/>
              <w:bottom w:val="nil"/>
              <w:right w:val="nil"/>
            </w:tcBorders>
            <w:shd w:val="clear" w:color="auto" w:fill="auto"/>
            <w:noWrap/>
            <w:vAlign w:val="center"/>
            <w:hideMark/>
          </w:tcPr>
          <w:p w14:paraId="6E1CF44F" w14:textId="77777777" w:rsidR="004772D1" w:rsidRPr="005644E5" w:rsidRDefault="004772D1" w:rsidP="005644E5">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Fianzas</w:t>
            </w:r>
          </w:p>
        </w:tc>
        <w:tc>
          <w:tcPr>
            <w:tcW w:w="1153" w:type="pct"/>
            <w:tcBorders>
              <w:top w:val="nil"/>
              <w:left w:val="nil"/>
              <w:bottom w:val="nil"/>
              <w:right w:val="nil"/>
            </w:tcBorders>
            <w:shd w:val="clear" w:color="auto" w:fill="auto"/>
            <w:noWrap/>
            <w:vAlign w:val="center"/>
          </w:tcPr>
          <w:p w14:paraId="67D5658B" w14:textId="033754A6" w:rsidR="004772D1" w:rsidRPr="005644E5" w:rsidRDefault="00D73022"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15.107,70</w:t>
            </w:r>
          </w:p>
        </w:tc>
        <w:tc>
          <w:tcPr>
            <w:tcW w:w="1154" w:type="pct"/>
            <w:tcBorders>
              <w:top w:val="nil"/>
              <w:left w:val="nil"/>
              <w:bottom w:val="nil"/>
              <w:right w:val="nil"/>
            </w:tcBorders>
            <w:shd w:val="clear" w:color="auto" w:fill="auto"/>
            <w:noWrap/>
            <w:vAlign w:val="center"/>
            <w:hideMark/>
          </w:tcPr>
          <w:p w14:paraId="00A5869A" w14:textId="3EC03893" w:rsidR="004772D1" w:rsidRPr="005644E5" w:rsidRDefault="004772D1" w:rsidP="005644E5">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sidRPr="005644E5">
              <w:rPr>
                <w:rFonts w:eastAsia="Times New Roman"/>
                <w:sz w:val="18"/>
                <w:szCs w:val="18"/>
                <w:bdr w:val="none" w:sz="0" w:space="0" w:color="auto"/>
                <w:lang w:eastAsia="es-ES"/>
              </w:rPr>
              <w:t>9.107,70</w:t>
            </w:r>
          </w:p>
        </w:tc>
      </w:tr>
      <w:tr w:rsidR="004772D1" w:rsidRPr="005644E5" w14:paraId="67F97DFE" w14:textId="77777777" w:rsidTr="005644E5">
        <w:tblPrEx>
          <w:jc w:val="center"/>
        </w:tblPrEx>
        <w:trPr>
          <w:trHeight w:val="283"/>
          <w:jc w:val="center"/>
        </w:trPr>
        <w:tc>
          <w:tcPr>
            <w:tcW w:w="5000" w:type="pct"/>
            <w:gridSpan w:val="3"/>
            <w:tcBorders>
              <w:top w:val="nil"/>
              <w:left w:val="nil"/>
              <w:bottom w:val="nil"/>
              <w:right w:val="nil"/>
            </w:tcBorders>
            <w:shd w:val="clear" w:color="auto" w:fill="auto"/>
            <w:noWrap/>
            <w:vAlign w:val="center"/>
            <w:hideMark/>
          </w:tcPr>
          <w:p w14:paraId="7659A41A" w14:textId="66BFAB2C" w:rsidR="004772D1" w:rsidRPr="005644E5" w:rsidRDefault="00B84071" w:rsidP="005644E5">
            <w:pPr>
              <w:pBdr>
                <w:top w:val="none" w:sz="0" w:space="0" w:color="auto"/>
                <w:left w:val="none" w:sz="0" w:space="0" w:color="auto"/>
                <w:bottom w:val="none" w:sz="0" w:space="0" w:color="auto"/>
                <w:right w:val="none" w:sz="0" w:space="0" w:color="auto"/>
                <w:between w:val="none" w:sz="0" w:space="0" w:color="auto"/>
                <w:bar w:val="none" w:sz="0" w:color="auto"/>
              </w:pBdr>
              <w:ind w:left="217" w:right="159"/>
              <w:outlineLvl w:val="9"/>
              <w:rPr>
                <w:rFonts w:eastAsia="Times New Roman"/>
                <w:b/>
                <w:bCs/>
                <w:sz w:val="18"/>
                <w:szCs w:val="18"/>
                <w:bdr w:val="none" w:sz="0" w:space="0" w:color="auto"/>
                <w:lang w:eastAsia="es-ES"/>
              </w:rPr>
            </w:pPr>
            <w:r w:rsidRPr="005644E5">
              <w:rPr>
                <w:rFonts w:eastAsia="Times New Roman"/>
                <w:b/>
                <w:bCs/>
                <w:sz w:val="18"/>
                <w:szCs w:val="18"/>
                <w:bdr w:val="none" w:sz="0" w:space="0" w:color="auto"/>
                <w:lang w:eastAsia="es-ES"/>
              </w:rPr>
              <w:t xml:space="preserve">Activos financieros a coste amortizado </w:t>
            </w:r>
            <w:r w:rsidR="004772D1" w:rsidRPr="005644E5">
              <w:rPr>
                <w:rFonts w:eastAsia="Times New Roman"/>
                <w:b/>
                <w:bCs/>
                <w:sz w:val="18"/>
                <w:szCs w:val="18"/>
                <w:bdr w:val="none" w:sz="0" w:space="0" w:color="auto"/>
                <w:lang w:eastAsia="es-ES"/>
              </w:rPr>
              <w:t>a c/p:</w:t>
            </w:r>
          </w:p>
        </w:tc>
      </w:tr>
      <w:tr w:rsidR="00D73022" w:rsidRPr="005644E5" w14:paraId="7E6F84D3" w14:textId="77777777" w:rsidTr="005644E5">
        <w:tblPrEx>
          <w:jc w:val="center"/>
        </w:tblPrEx>
        <w:trPr>
          <w:trHeight w:val="283"/>
          <w:jc w:val="center"/>
        </w:trPr>
        <w:tc>
          <w:tcPr>
            <w:tcW w:w="2693" w:type="pct"/>
            <w:tcBorders>
              <w:top w:val="nil"/>
              <w:left w:val="nil"/>
              <w:bottom w:val="nil"/>
              <w:right w:val="nil"/>
            </w:tcBorders>
            <w:shd w:val="clear" w:color="auto" w:fill="auto"/>
            <w:noWrap/>
            <w:vAlign w:val="center"/>
            <w:hideMark/>
          </w:tcPr>
          <w:p w14:paraId="69635F8C" w14:textId="4F3DA38C" w:rsidR="00D73022" w:rsidRPr="005644E5" w:rsidRDefault="00D73022" w:rsidP="00D73022">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highlight w:val="yellow"/>
                <w:bdr w:val="none" w:sz="0" w:space="0" w:color="auto"/>
                <w:lang w:eastAsia="es-ES"/>
              </w:rPr>
            </w:pPr>
            <w:r w:rsidRPr="005644E5">
              <w:rPr>
                <w:sz w:val="18"/>
                <w:szCs w:val="18"/>
              </w:rPr>
              <w:t>Clientes por ventas y prestación de servicios</w:t>
            </w:r>
          </w:p>
        </w:tc>
        <w:tc>
          <w:tcPr>
            <w:tcW w:w="1153" w:type="pct"/>
            <w:tcBorders>
              <w:top w:val="nil"/>
              <w:left w:val="nil"/>
              <w:bottom w:val="nil"/>
              <w:right w:val="nil"/>
            </w:tcBorders>
            <w:shd w:val="clear" w:color="auto" w:fill="auto"/>
            <w:noWrap/>
            <w:vAlign w:val="center"/>
          </w:tcPr>
          <w:p w14:paraId="24557BBE" w14:textId="4FDC2C02" w:rsidR="00D73022" w:rsidRPr="005644E5" w:rsidRDefault="00D73022" w:rsidP="00D73022">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Pr>
                <w:sz w:val="18"/>
                <w:szCs w:val="18"/>
              </w:rPr>
              <w:t>278.650,74</w:t>
            </w:r>
          </w:p>
        </w:tc>
        <w:tc>
          <w:tcPr>
            <w:tcW w:w="1154" w:type="pct"/>
            <w:tcBorders>
              <w:top w:val="nil"/>
              <w:left w:val="nil"/>
              <w:bottom w:val="nil"/>
              <w:right w:val="nil"/>
            </w:tcBorders>
            <w:shd w:val="clear" w:color="auto" w:fill="auto"/>
            <w:noWrap/>
            <w:vAlign w:val="center"/>
            <w:hideMark/>
          </w:tcPr>
          <w:p w14:paraId="7E78E17D" w14:textId="4B4C13B1" w:rsidR="00D73022" w:rsidRPr="005644E5" w:rsidRDefault="00D73022" w:rsidP="00D73022">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Pr>
                <w:sz w:val="18"/>
                <w:szCs w:val="18"/>
              </w:rPr>
              <w:t>130.000,00</w:t>
            </w:r>
          </w:p>
        </w:tc>
      </w:tr>
      <w:tr w:rsidR="00D73022" w:rsidRPr="005644E5" w14:paraId="40A4B433" w14:textId="77777777" w:rsidTr="005644E5">
        <w:tblPrEx>
          <w:jc w:val="center"/>
        </w:tblPrEx>
        <w:trPr>
          <w:trHeight w:val="283"/>
          <w:jc w:val="center"/>
        </w:trPr>
        <w:tc>
          <w:tcPr>
            <w:tcW w:w="2693" w:type="pct"/>
            <w:tcBorders>
              <w:top w:val="nil"/>
              <w:left w:val="nil"/>
              <w:bottom w:val="nil"/>
              <w:right w:val="nil"/>
            </w:tcBorders>
            <w:shd w:val="clear" w:color="auto" w:fill="auto"/>
            <w:noWrap/>
            <w:vAlign w:val="center"/>
          </w:tcPr>
          <w:p w14:paraId="048E6A49" w14:textId="13CFFE60" w:rsidR="00D73022" w:rsidRPr="005644E5" w:rsidRDefault="00D73022" w:rsidP="00D73022">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sz w:val="18"/>
                <w:szCs w:val="18"/>
              </w:rPr>
            </w:pPr>
            <w:r w:rsidRPr="005644E5">
              <w:rPr>
                <w:sz w:val="18"/>
                <w:szCs w:val="18"/>
              </w:rPr>
              <w:t>Deudores</w:t>
            </w:r>
          </w:p>
        </w:tc>
        <w:tc>
          <w:tcPr>
            <w:tcW w:w="1153" w:type="pct"/>
            <w:tcBorders>
              <w:top w:val="nil"/>
              <w:left w:val="nil"/>
              <w:bottom w:val="nil"/>
              <w:right w:val="nil"/>
            </w:tcBorders>
            <w:shd w:val="clear" w:color="auto" w:fill="auto"/>
            <w:noWrap/>
            <w:vAlign w:val="center"/>
          </w:tcPr>
          <w:p w14:paraId="66902AB7" w14:textId="60B67A5A" w:rsidR="00D73022" w:rsidRPr="005644E5" w:rsidRDefault="00D73022" w:rsidP="00D73022">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sz w:val="18"/>
                <w:szCs w:val="18"/>
                <w:bdr w:val="none" w:sz="0" w:space="0" w:color="auto"/>
                <w:lang w:eastAsia="es-ES"/>
              </w:rPr>
            </w:pPr>
            <w:r>
              <w:rPr>
                <w:sz w:val="18"/>
                <w:szCs w:val="18"/>
              </w:rPr>
              <w:t>22.867,31</w:t>
            </w:r>
          </w:p>
        </w:tc>
        <w:tc>
          <w:tcPr>
            <w:tcW w:w="1154" w:type="pct"/>
            <w:tcBorders>
              <w:top w:val="nil"/>
              <w:left w:val="nil"/>
              <w:bottom w:val="nil"/>
              <w:right w:val="nil"/>
            </w:tcBorders>
            <w:shd w:val="clear" w:color="auto" w:fill="auto"/>
            <w:noWrap/>
            <w:vAlign w:val="center"/>
          </w:tcPr>
          <w:p w14:paraId="43C39129" w14:textId="446DD841" w:rsidR="00D73022" w:rsidRPr="005644E5" w:rsidRDefault="00D73022" w:rsidP="00D73022">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sz w:val="18"/>
                <w:szCs w:val="18"/>
              </w:rPr>
            </w:pPr>
            <w:r>
              <w:rPr>
                <w:sz w:val="18"/>
                <w:szCs w:val="18"/>
              </w:rPr>
              <w:t>243.976,32</w:t>
            </w:r>
          </w:p>
        </w:tc>
      </w:tr>
      <w:tr w:rsidR="00A61EB2" w:rsidRPr="005644E5" w14:paraId="1B7B6A22" w14:textId="77777777" w:rsidTr="005644E5">
        <w:tblPrEx>
          <w:jc w:val="center"/>
        </w:tblPrEx>
        <w:trPr>
          <w:trHeight w:val="283"/>
          <w:jc w:val="center"/>
        </w:trPr>
        <w:tc>
          <w:tcPr>
            <w:tcW w:w="2693" w:type="pct"/>
            <w:tcBorders>
              <w:top w:val="nil"/>
              <w:left w:val="nil"/>
              <w:bottom w:val="nil"/>
              <w:right w:val="nil"/>
            </w:tcBorders>
            <w:shd w:val="clear" w:color="auto" w:fill="auto"/>
            <w:noWrap/>
            <w:vAlign w:val="center"/>
          </w:tcPr>
          <w:p w14:paraId="72BDA323" w14:textId="430F7344" w:rsidR="00A61EB2" w:rsidRPr="00A61EB2"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left="213"/>
              <w:outlineLvl w:val="9"/>
              <w:rPr>
                <w:rFonts w:eastAsia="Times New Roman"/>
                <w:sz w:val="18"/>
                <w:szCs w:val="18"/>
                <w:bdr w:val="none" w:sz="0" w:space="0" w:color="auto"/>
                <w:lang w:eastAsia="es-ES"/>
              </w:rPr>
            </w:pPr>
            <w:r>
              <w:rPr>
                <w:sz w:val="18"/>
                <w:szCs w:val="18"/>
              </w:rPr>
              <w:t>Otros créditos</w:t>
            </w:r>
          </w:p>
        </w:tc>
        <w:tc>
          <w:tcPr>
            <w:tcW w:w="1153" w:type="pct"/>
            <w:tcBorders>
              <w:top w:val="nil"/>
              <w:left w:val="nil"/>
              <w:bottom w:val="nil"/>
              <w:right w:val="nil"/>
            </w:tcBorders>
            <w:shd w:val="clear" w:color="auto" w:fill="auto"/>
            <w:noWrap/>
            <w:vAlign w:val="center"/>
          </w:tcPr>
          <w:p w14:paraId="70285F70" w14:textId="45CF3D11" w:rsidR="00A61EB2"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sz w:val="18"/>
                <w:szCs w:val="18"/>
              </w:rPr>
            </w:pPr>
            <w:r>
              <w:rPr>
                <w:sz w:val="18"/>
                <w:szCs w:val="18"/>
              </w:rPr>
              <w:t>7.624,20</w:t>
            </w:r>
          </w:p>
        </w:tc>
        <w:tc>
          <w:tcPr>
            <w:tcW w:w="1154" w:type="pct"/>
            <w:tcBorders>
              <w:top w:val="nil"/>
              <w:left w:val="nil"/>
              <w:bottom w:val="nil"/>
              <w:right w:val="nil"/>
            </w:tcBorders>
            <w:shd w:val="clear" w:color="auto" w:fill="auto"/>
            <w:noWrap/>
            <w:vAlign w:val="center"/>
          </w:tcPr>
          <w:p w14:paraId="57E230EA" w14:textId="5D9D1A31" w:rsidR="00A61EB2"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sz w:val="18"/>
                <w:szCs w:val="18"/>
              </w:rPr>
            </w:pPr>
            <w:r>
              <w:rPr>
                <w:sz w:val="18"/>
                <w:szCs w:val="18"/>
              </w:rPr>
              <w:t>-</w:t>
            </w:r>
          </w:p>
        </w:tc>
      </w:tr>
      <w:tr w:rsidR="00A61EB2" w:rsidRPr="005644E5" w14:paraId="7A451D50" w14:textId="77777777" w:rsidTr="005644E5">
        <w:tblPrEx>
          <w:jc w:val="center"/>
        </w:tblPrEx>
        <w:trPr>
          <w:trHeight w:val="283"/>
          <w:jc w:val="center"/>
        </w:trPr>
        <w:tc>
          <w:tcPr>
            <w:tcW w:w="2693" w:type="pct"/>
            <w:tcBorders>
              <w:top w:val="single" w:sz="4" w:space="0" w:color="auto"/>
              <w:left w:val="nil"/>
              <w:bottom w:val="single" w:sz="4" w:space="0" w:color="auto"/>
              <w:right w:val="nil"/>
            </w:tcBorders>
            <w:shd w:val="clear" w:color="auto" w:fill="auto"/>
            <w:noWrap/>
            <w:vAlign w:val="center"/>
            <w:hideMark/>
          </w:tcPr>
          <w:p w14:paraId="17477BC8" w14:textId="77777777" w:rsidR="00A61EB2" w:rsidRPr="005644E5" w:rsidRDefault="00A61EB2" w:rsidP="00A61EB2">
            <w:pPr>
              <w:ind w:left="217"/>
              <w:rPr>
                <w:b/>
                <w:bCs/>
                <w:sz w:val="18"/>
                <w:szCs w:val="18"/>
                <w:highlight w:val="yellow"/>
              </w:rPr>
            </w:pPr>
            <w:r w:rsidRPr="005644E5">
              <w:rPr>
                <w:b/>
                <w:bCs/>
                <w:sz w:val="18"/>
                <w:szCs w:val="18"/>
              </w:rPr>
              <w:t>Total</w:t>
            </w:r>
          </w:p>
        </w:tc>
        <w:tc>
          <w:tcPr>
            <w:tcW w:w="1153" w:type="pct"/>
            <w:tcBorders>
              <w:top w:val="single" w:sz="4" w:space="0" w:color="auto"/>
              <w:left w:val="nil"/>
              <w:bottom w:val="single" w:sz="4" w:space="0" w:color="auto"/>
              <w:right w:val="nil"/>
            </w:tcBorders>
            <w:shd w:val="clear" w:color="auto" w:fill="auto"/>
            <w:noWrap/>
            <w:vAlign w:val="center"/>
          </w:tcPr>
          <w:p w14:paraId="2C645524" w14:textId="0927F98C" w:rsidR="00A61EB2" w:rsidRPr="003539EC"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right="161"/>
              <w:jc w:val="right"/>
              <w:outlineLvl w:val="9"/>
              <w:rPr>
                <w:rFonts w:eastAsia="Times New Roman"/>
                <w:b/>
                <w:bCs/>
                <w:sz w:val="18"/>
                <w:szCs w:val="18"/>
                <w:bdr w:val="none" w:sz="0" w:space="0" w:color="auto"/>
                <w:lang w:eastAsia="es-ES"/>
              </w:rPr>
            </w:pPr>
            <w:r>
              <w:rPr>
                <w:b/>
                <w:bCs/>
                <w:sz w:val="18"/>
                <w:szCs w:val="18"/>
              </w:rPr>
              <w:t>324.249,95</w:t>
            </w:r>
          </w:p>
        </w:tc>
        <w:tc>
          <w:tcPr>
            <w:tcW w:w="1154" w:type="pct"/>
            <w:tcBorders>
              <w:top w:val="single" w:sz="4" w:space="0" w:color="auto"/>
              <w:left w:val="nil"/>
              <w:bottom w:val="single" w:sz="4" w:space="0" w:color="auto"/>
              <w:right w:val="nil"/>
            </w:tcBorders>
            <w:shd w:val="clear" w:color="auto" w:fill="auto"/>
            <w:noWrap/>
            <w:vAlign w:val="center"/>
            <w:hideMark/>
          </w:tcPr>
          <w:p w14:paraId="2023035F" w14:textId="459C3C06" w:rsidR="00A61EB2" w:rsidRPr="005644E5" w:rsidRDefault="00A61EB2" w:rsidP="00A61EB2">
            <w:pPr>
              <w:pBdr>
                <w:top w:val="none" w:sz="0" w:space="0" w:color="auto"/>
                <w:left w:val="none" w:sz="0" w:space="0" w:color="auto"/>
                <w:bottom w:val="none" w:sz="0" w:space="0" w:color="auto"/>
                <w:right w:val="none" w:sz="0" w:space="0" w:color="auto"/>
                <w:between w:val="none" w:sz="0" w:space="0" w:color="auto"/>
                <w:bar w:val="none" w:sz="0" w:color="auto"/>
              </w:pBdr>
              <w:ind w:right="159"/>
              <w:jc w:val="right"/>
              <w:outlineLvl w:val="9"/>
              <w:rPr>
                <w:rFonts w:eastAsia="Times New Roman"/>
                <w:b/>
                <w:bCs/>
                <w:sz w:val="18"/>
                <w:szCs w:val="18"/>
                <w:bdr w:val="none" w:sz="0" w:space="0" w:color="auto"/>
                <w:lang w:eastAsia="es-ES"/>
              </w:rPr>
            </w:pPr>
            <w:r>
              <w:rPr>
                <w:b/>
                <w:bCs/>
                <w:sz w:val="18"/>
                <w:szCs w:val="18"/>
              </w:rPr>
              <w:t>383.084,02</w:t>
            </w:r>
          </w:p>
        </w:tc>
      </w:tr>
    </w:tbl>
    <w:p w14:paraId="73B4F52D" w14:textId="5201A74E" w:rsidR="009A2F81" w:rsidRPr="0028724B" w:rsidRDefault="009A2F81" w:rsidP="001B5A15">
      <w:pPr>
        <w:widowControl w:val="0"/>
        <w:spacing w:before="240" w:after="120" w:line="260" w:lineRule="exact"/>
        <w:jc w:val="both"/>
        <w:outlineLvl w:val="9"/>
        <w:rPr>
          <w:snapToGrid w:val="0"/>
          <w:sz w:val="20"/>
          <w:szCs w:val="22"/>
        </w:rPr>
      </w:pPr>
      <w:r w:rsidRPr="005644E5">
        <w:rPr>
          <w:snapToGrid w:val="0"/>
          <w:sz w:val="20"/>
          <w:szCs w:val="22"/>
        </w:rPr>
        <w:t xml:space="preserve">En </w:t>
      </w:r>
      <w:r w:rsidR="0028724B">
        <w:rPr>
          <w:snapToGrid w:val="0"/>
          <w:sz w:val="20"/>
          <w:szCs w:val="22"/>
        </w:rPr>
        <w:t xml:space="preserve">el ejercicio 2022 en </w:t>
      </w:r>
      <w:r w:rsidRPr="005644E5">
        <w:rPr>
          <w:snapToGrid w:val="0"/>
          <w:sz w:val="20"/>
          <w:szCs w:val="22"/>
        </w:rPr>
        <w:t>el epígrafe de “</w:t>
      </w:r>
      <w:r w:rsidRPr="00F509FC">
        <w:rPr>
          <w:snapToGrid w:val="0"/>
          <w:sz w:val="20"/>
          <w:szCs w:val="22"/>
        </w:rPr>
        <w:t>Deudores” figura</w:t>
      </w:r>
      <w:r w:rsidR="0028724B">
        <w:rPr>
          <w:snapToGrid w:val="0"/>
          <w:sz w:val="20"/>
          <w:szCs w:val="22"/>
        </w:rPr>
        <w:t>ba</w:t>
      </w:r>
      <w:r w:rsidRPr="00F509FC">
        <w:rPr>
          <w:snapToGrid w:val="0"/>
          <w:sz w:val="20"/>
          <w:szCs w:val="22"/>
        </w:rPr>
        <w:t xml:space="preserve"> un</w:t>
      </w:r>
      <w:r w:rsidRPr="005644E5">
        <w:rPr>
          <w:snapToGrid w:val="0"/>
          <w:sz w:val="20"/>
          <w:szCs w:val="22"/>
        </w:rPr>
        <w:t xml:space="preserve"> importe de </w:t>
      </w:r>
      <w:r>
        <w:rPr>
          <w:snapToGrid w:val="0"/>
          <w:sz w:val="20"/>
          <w:szCs w:val="22"/>
        </w:rPr>
        <w:t>218.168,12</w:t>
      </w:r>
      <w:r w:rsidRPr="005644E5">
        <w:rPr>
          <w:snapToGrid w:val="0"/>
          <w:sz w:val="20"/>
          <w:szCs w:val="22"/>
        </w:rPr>
        <w:t xml:space="preserve"> euros que </w:t>
      </w:r>
      <w:r w:rsidRPr="00F509FC">
        <w:rPr>
          <w:snapToGrid w:val="0"/>
          <w:sz w:val="20"/>
          <w:szCs w:val="22"/>
        </w:rPr>
        <w:t>correspond</w:t>
      </w:r>
      <w:r w:rsidR="0028724B">
        <w:rPr>
          <w:snapToGrid w:val="0"/>
          <w:sz w:val="20"/>
          <w:szCs w:val="22"/>
        </w:rPr>
        <w:t>ía</w:t>
      </w:r>
      <w:r w:rsidRPr="00F509FC">
        <w:rPr>
          <w:snapToGrid w:val="0"/>
          <w:sz w:val="20"/>
          <w:szCs w:val="22"/>
        </w:rPr>
        <w:t xml:space="preserve"> a las devoluciones pendientes de realizar por las entidades financieras derivadas de las tarjetas "bono </w:t>
      </w:r>
      <w:r>
        <w:rPr>
          <w:snapToGrid w:val="0"/>
          <w:sz w:val="20"/>
          <w:szCs w:val="22"/>
        </w:rPr>
        <w:t>La Palma</w:t>
      </w:r>
      <w:r w:rsidRPr="00F509FC">
        <w:rPr>
          <w:snapToGrid w:val="0"/>
          <w:sz w:val="20"/>
          <w:szCs w:val="22"/>
        </w:rPr>
        <w:t>"</w:t>
      </w:r>
      <w:r w:rsidRPr="00B74897">
        <w:rPr>
          <w:snapToGrid w:val="0"/>
          <w:sz w:val="20"/>
          <w:szCs w:val="22"/>
        </w:rPr>
        <w:t xml:space="preserve">. </w:t>
      </w:r>
      <w:r w:rsidRPr="00866EC2">
        <w:rPr>
          <w:snapToGrid w:val="0"/>
          <w:sz w:val="20"/>
          <w:szCs w:val="22"/>
        </w:rPr>
        <w:t xml:space="preserve">Durante el primer trimestre de 2023 las entidades financieras han </w:t>
      </w:r>
      <w:r w:rsidRPr="0028724B">
        <w:rPr>
          <w:snapToGrid w:val="0"/>
          <w:sz w:val="20"/>
          <w:szCs w:val="22"/>
        </w:rPr>
        <w:t>realizado las devoluciones.</w:t>
      </w:r>
    </w:p>
    <w:p w14:paraId="4882830B" w14:textId="2EDD2F6D" w:rsidR="006220A2" w:rsidRPr="0083433F" w:rsidRDefault="00F0148C" w:rsidP="00D67C6B">
      <w:pPr>
        <w:widowControl w:val="0"/>
        <w:spacing w:before="120" w:after="120" w:line="260" w:lineRule="exact"/>
        <w:jc w:val="both"/>
        <w:outlineLvl w:val="9"/>
        <w:rPr>
          <w:snapToGrid w:val="0"/>
          <w:sz w:val="20"/>
          <w:szCs w:val="22"/>
        </w:rPr>
      </w:pPr>
      <w:r w:rsidRPr="001B5A15">
        <w:rPr>
          <w:snapToGrid w:val="0"/>
          <w:sz w:val="20"/>
          <w:szCs w:val="22"/>
        </w:rPr>
        <w:t>En el ejercicio 202</w:t>
      </w:r>
      <w:r w:rsidR="00392703" w:rsidRPr="001B5A15">
        <w:rPr>
          <w:snapToGrid w:val="0"/>
          <w:sz w:val="20"/>
          <w:szCs w:val="22"/>
        </w:rPr>
        <w:t>3 no se</w:t>
      </w:r>
      <w:r w:rsidRPr="001B5A15">
        <w:rPr>
          <w:snapToGrid w:val="0"/>
          <w:sz w:val="20"/>
          <w:szCs w:val="22"/>
        </w:rPr>
        <w:t xml:space="preserve"> ha</w:t>
      </w:r>
      <w:r w:rsidR="00156559" w:rsidRPr="001B5A15">
        <w:rPr>
          <w:snapToGrid w:val="0"/>
          <w:sz w:val="20"/>
          <w:szCs w:val="22"/>
        </w:rPr>
        <w:t>n</w:t>
      </w:r>
      <w:r w:rsidRPr="001B5A15">
        <w:rPr>
          <w:snapToGrid w:val="0"/>
          <w:sz w:val="20"/>
          <w:szCs w:val="22"/>
        </w:rPr>
        <w:t xml:space="preserve"> </w:t>
      </w:r>
      <w:r w:rsidR="00156559" w:rsidRPr="001B5A15">
        <w:rPr>
          <w:snapToGrid w:val="0"/>
          <w:sz w:val="20"/>
          <w:szCs w:val="22"/>
        </w:rPr>
        <w:t xml:space="preserve">reconocido </w:t>
      </w:r>
      <w:r w:rsidR="00B74897" w:rsidRPr="001B5A15">
        <w:rPr>
          <w:snapToGrid w:val="0"/>
          <w:sz w:val="20"/>
          <w:szCs w:val="22"/>
        </w:rPr>
        <w:t xml:space="preserve">pérdidas y ganancias </w:t>
      </w:r>
      <w:r w:rsidR="00392703" w:rsidRPr="001B5A15">
        <w:rPr>
          <w:snapToGrid w:val="0"/>
          <w:sz w:val="20"/>
          <w:szCs w:val="22"/>
        </w:rPr>
        <w:t xml:space="preserve">por </w:t>
      </w:r>
      <w:r w:rsidR="00156559" w:rsidRPr="001B5A15">
        <w:rPr>
          <w:snapToGrid w:val="0"/>
          <w:sz w:val="20"/>
          <w:szCs w:val="22"/>
        </w:rPr>
        <w:t>saldos</w:t>
      </w:r>
      <w:r w:rsidRPr="001B5A15">
        <w:rPr>
          <w:snapToGrid w:val="0"/>
          <w:sz w:val="20"/>
          <w:szCs w:val="22"/>
        </w:rPr>
        <w:t xml:space="preserve"> incobrables</w:t>
      </w:r>
      <w:r w:rsidR="005C4CF5" w:rsidRPr="001B5A15">
        <w:rPr>
          <w:snapToGrid w:val="0"/>
          <w:sz w:val="20"/>
          <w:szCs w:val="22"/>
        </w:rPr>
        <w:t xml:space="preserve">. En el ejercicio 2022 se reconocieron </w:t>
      </w:r>
      <w:r w:rsidR="0057127A" w:rsidRPr="001B5A15">
        <w:rPr>
          <w:snapToGrid w:val="0"/>
          <w:sz w:val="20"/>
          <w:szCs w:val="22"/>
        </w:rPr>
        <w:t xml:space="preserve">saldos incobrables por importe de </w:t>
      </w:r>
      <w:r w:rsidR="006B15AE" w:rsidRPr="001B5A15">
        <w:rPr>
          <w:snapToGrid w:val="0"/>
          <w:sz w:val="20"/>
          <w:szCs w:val="22"/>
        </w:rPr>
        <w:t>6.68</w:t>
      </w:r>
      <w:r w:rsidR="00156559" w:rsidRPr="001B5A15">
        <w:rPr>
          <w:snapToGrid w:val="0"/>
          <w:sz w:val="20"/>
          <w:szCs w:val="22"/>
        </w:rPr>
        <w:t xml:space="preserve">8,09 euros correspondientes a </w:t>
      </w:r>
      <w:r w:rsidR="00D67C6B" w:rsidRPr="001B5A15">
        <w:rPr>
          <w:snapToGrid w:val="0"/>
          <w:sz w:val="20"/>
          <w:szCs w:val="22"/>
        </w:rPr>
        <w:t>“Deudores”</w:t>
      </w:r>
      <w:r w:rsidR="00077B1B" w:rsidRPr="001B5A15">
        <w:rPr>
          <w:snapToGrid w:val="0"/>
          <w:sz w:val="20"/>
          <w:szCs w:val="22"/>
        </w:rPr>
        <w:t xml:space="preserve"> (Nota 12.d)</w:t>
      </w:r>
      <w:r w:rsidR="006220A2" w:rsidRPr="001B5A15">
        <w:rPr>
          <w:snapToGrid w:val="0"/>
          <w:sz w:val="20"/>
          <w:szCs w:val="22"/>
        </w:rPr>
        <w:t>.</w:t>
      </w:r>
    </w:p>
    <w:p w14:paraId="51EA15EF" w14:textId="5B5D4BB9" w:rsidR="005644E5" w:rsidRDefault="006220A2" w:rsidP="00D67C6B">
      <w:pPr>
        <w:widowControl w:val="0"/>
        <w:spacing w:before="120" w:after="120" w:line="260" w:lineRule="exact"/>
        <w:jc w:val="both"/>
        <w:outlineLvl w:val="9"/>
        <w:rPr>
          <w:snapToGrid w:val="0"/>
          <w:sz w:val="20"/>
          <w:szCs w:val="22"/>
        </w:rPr>
      </w:pPr>
      <w:r w:rsidRPr="0083433F">
        <w:rPr>
          <w:snapToGrid w:val="0"/>
          <w:sz w:val="20"/>
          <w:szCs w:val="22"/>
        </w:rPr>
        <w:t>La exposición máxima al riesgo de crédito a la fecha de presentación de la información es el valor razonable de cada una de las categorías de cuentas a cobrar indicadas anteriormente. La Sociedad no mantiene ninguna garantía como seguro.</w:t>
      </w:r>
    </w:p>
    <w:p w14:paraId="252ECEFA" w14:textId="77777777" w:rsidR="005644E5" w:rsidRDefault="005644E5">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5A8846E5" w14:textId="77777777" w:rsidR="00EC29B8" w:rsidRPr="0083433F" w:rsidRDefault="00EC29B8" w:rsidP="005644E5">
      <w:pPr>
        <w:keepNext/>
        <w:keepLines/>
        <w:widowControl w:val="0"/>
        <w:spacing w:before="120" w:line="276" w:lineRule="auto"/>
        <w:ind w:left="284"/>
        <w:jc w:val="both"/>
        <w:rPr>
          <w:i/>
          <w:snapToGrid w:val="0"/>
          <w:sz w:val="20"/>
          <w:szCs w:val="22"/>
          <w:u w:val="single"/>
        </w:rPr>
      </w:pPr>
      <w:r w:rsidRPr="0083433F">
        <w:rPr>
          <w:i/>
          <w:sz w:val="20"/>
          <w:szCs w:val="22"/>
          <w:u w:val="single"/>
        </w:rPr>
        <w:lastRenderedPageBreak/>
        <w:t>Clasificación por vencimiento</w:t>
      </w:r>
    </w:p>
    <w:p w14:paraId="39149A15" w14:textId="160411F3" w:rsidR="00EC29B8" w:rsidRPr="005644E5" w:rsidRDefault="00EC29B8" w:rsidP="00D67C6B">
      <w:pPr>
        <w:widowControl w:val="0"/>
        <w:spacing w:before="120" w:after="120" w:line="260" w:lineRule="exact"/>
        <w:jc w:val="both"/>
        <w:outlineLvl w:val="9"/>
        <w:rPr>
          <w:snapToGrid w:val="0"/>
          <w:sz w:val="20"/>
          <w:szCs w:val="22"/>
        </w:rPr>
      </w:pPr>
      <w:r w:rsidRPr="005644E5">
        <w:rPr>
          <w:snapToGrid w:val="0"/>
          <w:sz w:val="20"/>
          <w:szCs w:val="22"/>
        </w:rPr>
        <w:t>Los importes de los instrumentos financieros de activo al cierre del ejercicio 202</w:t>
      </w:r>
      <w:r w:rsidR="00B45634">
        <w:rPr>
          <w:snapToGrid w:val="0"/>
          <w:sz w:val="20"/>
          <w:szCs w:val="22"/>
        </w:rPr>
        <w:t>3</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2449"/>
        <w:gridCol w:w="1041"/>
        <w:gridCol w:w="952"/>
        <w:gridCol w:w="954"/>
        <w:gridCol w:w="954"/>
        <w:gridCol w:w="695"/>
        <w:gridCol w:w="695"/>
        <w:gridCol w:w="1041"/>
      </w:tblGrid>
      <w:tr w:rsidR="00EC29B8" w:rsidRPr="007E7835" w14:paraId="38CD66A0" w14:textId="77777777" w:rsidTr="001B5A15">
        <w:trPr>
          <w:trHeight w:val="283"/>
        </w:trPr>
        <w:tc>
          <w:tcPr>
            <w:tcW w:w="5000" w:type="pct"/>
            <w:gridSpan w:val="8"/>
            <w:tcBorders>
              <w:top w:val="single" w:sz="4" w:space="0" w:color="auto"/>
              <w:left w:val="nil"/>
              <w:bottom w:val="nil"/>
              <w:right w:val="nil"/>
            </w:tcBorders>
            <w:shd w:val="clear" w:color="auto" w:fill="auto"/>
            <w:vAlign w:val="center"/>
            <w:hideMark/>
          </w:tcPr>
          <w:p w14:paraId="6667D7C4" w14:textId="77777777" w:rsidR="00EC29B8" w:rsidRPr="007E7835" w:rsidRDefault="00EC29B8"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ACTIVOS FINANCIEROS</w:t>
            </w:r>
          </w:p>
        </w:tc>
      </w:tr>
      <w:tr w:rsidR="00D83BF6" w:rsidRPr="007E7835" w14:paraId="28EDFBF3" w14:textId="77777777" w:rsidTr="001B5A15">
        <w:trPr>
          <w:trHeight w:val="283"/>
        </w:trPr>
        <w:tc>
          <w:tcPr>
            <w:tcW w:w="1394" w:type="pct"/>
            <w:tcBorders>
              <w:top w:val="single" w:sz="4" w:space="0" w:color="auto"/>
              <w:left w:val="nil"/>
              <w:bottom w:val="single" w:sz="4" w:space="0" w:color="auto"/>
              <w:right w:val="nil"/>
            </w:tcBorders>
            <w:shd w:val="clear" w:color="auto" w:fill="auto"/>
            <w:vAlign w:val="center"/>
            <w:hideMark/>
          </w:tcPr>
          <w:p w14:paraId="3AE6DB99" w14:textId="77777777" w:rsidR="00D83BF6" w:rsidRPr="007E7835" w:rsidRDefault="00D83BF6"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593" w:type="pct"/>
            <w:tcBorders>
              <w:top w:val="single" w:sz="4" w:space="0" w:color="auto"/>
              <w:left w:val="nil"/>
              <w:bottom w:val="single" w:sz="4" w:space="0" w:color="auto"/>
              <w:right w:val="nil"/>
            </w:tcBorders>
            <w:shd w:val="clear" w:color="auto" w:fill="auto"/>
            <w:vAlign w:val="center"/>
            <w:hideMark/>
          </w:tcPr>
          <w:p w14:paraId="45833D65" w14:textId="0E57D18D" w:rsidR="00D83BF6" w:rsidRPr="007E7835"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2024</w:t>
            </w:r>
          </w:p>
        </w:tc>
        <w:tc>
          <w:tcPr>
            <w:tcW w:w="542" w:type="pct"/>
            <w:tcBorders>
              <w:top w:val="single" w:sz="4" w:space="0" w:color="auto"/>
              <w:left w:val="nil"/>
              <w:bottom w:val="single" w:sz="4" w:space="0" w:color="auto"/>
              <w:right w:val="nil"/>
            </w:tcBorders>
            <w:shd w:val="clear" w:color="auto" w:fill="auto"/>
            <w:vAlign w:val="center"/>
            <w:hideMark/>
          </w:tcPr>
          <w:p w14:paraId="56D72A1A" w14:textId="3B38D6E0" w:rsidR="00D83BF6" w:rsidRPr="007E7835"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2025</w:t>
            </w:r>
          </w:p>
        </w:tc>
        <w:tc>
          <w:tcPr>
            <w:tcW w:w="543" w:type="pct"/>
            <w:tcBorders>
              <w:top w:val="single" w:sz="4" w:space="0" w:color="auto"/>
              <w:left w:val="nil"/>
              <w:bottom w:val="single" w:sz="4" w:space="0" w:color="auto"/>
              <w:right w:val="nil"/>
            </w:tcBorders>
            <w:shd w:val="clear" w:color="auto" w:fill="auto"/>
            <w:vAlign w:val="center"/>
            <w:hideMark/>
          </w:tcPr>
          <w:p w14:paraId="1776FC31" w14:textId="68B9DC84" w:rsidR="00D83BF6" w:rsidRPr="007E7835"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2026</w:t>
            </w:r>
          </w:p>
        </w:tc>
        <w:tc>
          <w:tcPr>
            <w:tcW w:w="543" w:type="pct"/>
            <w:tcBorders>
              <w:top w:val="single" w:sz="4" w:space="0" w:color="auto"/>
              <w:left w:val="nil"/>
              <w:bottom w:val="single" w:sz="4" w:space="0" w:color="auto"/>
              <w:right w:val="nil"/>
            </w:tcBorders>
            <w:shd w:val="clear" w:color="auto" w:fill="auto"/>
            <w:vAlign w:val="center"/>
            <w:hideMark/>
          </w:tcPr>
          <w:p w14:paraId="4AB5A7FC" w14:textId="376DF93D" w:rsidR="00D83BF6" w:rsidRPr="007E7835"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2027</w:t>
            </w:r>
          </w:p>
        </w:tc>
        <w:tc>
          <w:tcPr>
            <w:tcW w:w="396" w:type="pct"/>
            <w:tcBorders>
              <w:top w:val="single" w:sz="4" w:space="0" w:color="auto"/>
              <w:left w:val="nil"/>
              <w:bottom w:val="single" w:sz="4" w:space="0" w:color="auto"/>
              <w:right w:val="nil"/>
            </w:tcBorders>
            <w:shd w:val="clear" w:color="auto" w:fill="auto"/>
            <w:vAlign w:val="center"/>
            <w:hideMark/>
          </w:tcPr>
          <w:p w14:paraId="35FA53A0" w14:textId="6EDB79BF" w:rsidR="00D83BF6" w:rsidRPr="007E7835"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2028</w:t>
            </w:r>
          </w:p>
        </w:tc>
        <w:tc>
          <w:tcPr>
            <w:tcW w:w="396" w:type="pct"/>
            <w:tcBorders>
              <w:top w:val="single" w:sz="4" w:space="0" w:color="auto"/>
              <w:left w:val="nil"/>
              <w:bottom w:val="single" w:sz="4" w:space="0" w:color="auto"/>
              <w:right w:val="nil"/>
            </w:tcBorders>
            <w:shd w:val="clear" w:color="auto" w:fill="auto"/>
            <w:vAlign w:val="center"/>
            <w:hideMark/>
          </w:tcPr>
          <w:p w14:paraId="5F66FC3C" w14:textId="352B3D00" w:rsidR="00D83BF6" w:rsidRPr="007E7835"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2029</w:t>
            </w:r>
          </w:p>
        </w:tc>
        <w:tc>
          <w:tcPr>
            <w:tcW w:w="593" w:type="pct"/>
            <w:tcBorders>
              <w:top w:val="single" w:sz="4" w:space="0" w:color="auto"/>
              <w:left w:val="nil"/>
              <w:bottom w:val="single" w:sz="4" w:space="0" w:color="auto"/>
              <w:right w:val="nil"/>
            </w:tcBorders>
            <w:shd w:val="clear" w:color="auto" w:fill="auto"/>
            <w:vAlign w:val="center"/>
            <w:hideMark/>
          </w:tcPr>
          <w:p w14:paraId="0CE78535" w14:textId="77777777" w:rsidR="00D83BF6" w:rsidRPr="007E7835" w:rsidRDefault="00D83BF6"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r>
      <w:tr w:rsidR="0028724B" w:rsidRPr="00EC29B8" w14:paraId="12C2A472" w14:textId="77777777" w:rsidTr="00D83BF6">
        <w:trPr>
          <w:trHeight w:val="283"/>
        </w:trPr>
        <w:tc>
          <w:tcPr>
            <w:tcW w:w="1394" w:type="pct"/>
            <w:tcBorders>
              <w:top w:val="nil"/>
              <w:left w:val="nil"/>
              <w:bottom w:val="nil"/>
              <w:right w:val="nil"/>
            </w:tcBorders>
            <w:shd w:val="clear" w:color="auto" w:fill="auto"/>
            <w:vAlign w:val="center"/>
            <w:hideMark/>
          </w:tcPr>
          <w:p w14:paraId="4CE76DDF" w14:textId="77777777"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Activos financieros a coste amortizado (Nota 8.1.a)</w:t>
            </w:r>
          </w:p>
        </w:tc>
        <w:tc>
          <w:tcPr>
            <w:tcW w:w="593" w:type="pct"/>
            <w:tcBorders>
              <w:top w:val="nil"/>
              <w:left w:val="nil"/>
              <w:bottom w:val="nil"/>
              <w:right w:val="nil"/>
            </w:tcBorders>
            <w:shd w:val="clear" w:color="auto" w:fill="auto"/>
            <w:vAlign w:val="center"/>
          </w:tcPr>
          <w:p w14:paraId="656EE09F" w14:textId="19257A6C"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309.142,25</w:t>
            </w:r>
          </w:p>
        </w:tc>
        <w:tc>
          <w:tcPr>
            <w:tcW w:w="542" w:type="pct"/>
            <w:tcBorders>
              <w:top w:val="nil"/>
              <w:left w:val="nil"/>
              <w:bottom w:val="nil"/>
              <w:right w:val="nil"/>
            </w:tcBorders>
            <w:shd w:val="clear" w:color="auto" w:fill="auto"/>
            <w:noWrap/>
            <w:vAlign w:val="center"/>
          </w:tcPr>
          <w:p w14:paraId="69AC2114" w14:textId="2F4C094C"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15.107,70</w:t>
            </w:r>
          </w:p>
        </w:tc>
        <w:tc>
          <w:tcPr>
            <w:tcW w:w="543" w:type="pct"/>
            <w:tcBorders>
              <w:top w:val="nil"/>
              <w:left w:val="nil"/>
              <w:bottom w:val="nil"/>
              <w:right w:val="nil"/>
            </w:tcBorders>
            <w:shd w:val="clear" w:color="auto" w:fill="auto"/>
            <w:noWrap/>
            <w:vAlign w:val="center"/>
          </w:tcPr>
          <w:p w14:paraId="0B7DFCFF" w14:textId="062D4027"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43" w:type="pct"/>
            <w:tcBorders>
              <w:top w:val="nil"/>
              <w:left w:val="nil"/>
              <w:bottom w:val="nil"/>
              <w:right w:val="nil"/>
            </w:tcBorders>
            <w:shd w:val="clear" w:color="auto" w:fill="auto"/>
            <w:vAlign w:val="center"/>
          </w:tcPr>
          <w:p w14:paraId="7B5F785B" w14:textId="1102DF0E"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396" w:type="pct"/>
            <w:tcBorders>
              <w:top w:val="nil"/>
              <w:left w:val="nil"/>
              <w:bottom w:val="nil"/>
              <w:right w:val="nil"/>
            </w:tcBorders>
            <w:shd w:val="clear" w:color="auto" w:fill="auto"/>
            <w:noWrap/>
            <w:vAlign w:val="center"/>
          </w:tcPr>
          <w:p w14:paraId="18994454" w14:textId="7BB7641A"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396" w:type="pct"/>
            <w:tcBorders>
              <w:top w:val="nil"/>
              <w:left w:val="nil"/>
              <w:bottom w:val="nil"/>
              <w:right w:val="nil"/>
            </w:tcBorders>
            <w:shd w:val="clear" w:color="auto" w:fill="auto"/>
            <w:vAlign w:val="center"/>
          </w:tcPr>
          <w:p w14:paraId="4ADF1B5D" w14:textId="10977797"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3" w:type="pct"/>
            <w:tcBorders>
              <w:top w:val="nil"/>
              <w:left w:val="nil"/>
              <w:bottom w:val="nil"/>
              <w:right w:val="nil"/>
            </w:tcBorders>
            <w:shd w:val="clear" w:color="auto" w:fill="auto"/>
            <w:vAlign w:val="center"/>
          </w:tcPr>
          <w:p w14:paraId="6C29983F" w14:textId="578CCD41" w:rsidR="0028724B" w:rsidRPr="00EC29B8"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b/>
                <w:bCs/>
                <w:sz w:val="16"/>
                <w:szCs w:val="16"/>
              </w:rPr>
            </w:pPr>
            <w:r>
              <w:rPr>
                <w:b/>
                <w:bCs/>
                <w:sz w:val="16"/>
                <w:szCs w:val="16"/>
              </w:rPr>
              <w:t xml:space="preserve">     324.249,95   </w:t>
            </w:r>
          </w:p>
        </w:tc>
      </w:tr>
      <w:tr w:rsidR="0028724B" w:rsidRPr="00EC29B8" w14:paraId="35A653B4" w14:textId="77777777" w:rsidTr="00D83BF6">
        <w:trPr>
          <w:trHeight w:val="283"/>
        </w:trPr>
        <w:tc>
          <w:tcPr>
            <w:tcW w:w="1394" w:type="pct"/>
            <w:tcBorders>
              <w:top w:val="single" w:sz="4" w:space="0" w:color="auto"/>
              <w:left w:val="nil"/>
              <w:bottom w:val="single" w:sz="4" w:space="0" w:color="auto"/>
              <w:right w:val="nil"/>
            </w:tcBorders>
            <w:shd w:val="clear" w:color="auto" w:fill="auto"/>
            <w:vAlign w:val="center"/>
            <w:hideMark/>
          </w:tcPr>
          <w:p w14:paraId="502B711F" w14:textId="6A381FCE" w:rsidR="0028724B" w:rsidRPr="005644E5"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5644E5">
              <w:rPr>
                <w:rFonts w:eastAsia="Times New Roman"/>
                <w:b/>
                <w:bCs/>
                <w:sz w:val="16"/>
                <w:szCs w:val="16"/>
                <w:bdr w:val="none" w:sz="0" w:space="0" w:color="auto"/>
                <w:lang w:eastAsia="es-ES"/>
              </w:rPr>
              <w:t> Total</w:t>
            </w:r>
          </w:p>
        </w:tc>
        <w:tc>
          <w:tcPr>
            <w:tcW w:w="593" w:type="pct"/>
            <w:tcBorders>
              <w:top w:val="single" w:sz="4" w:space="0" w:color="auto"/>
              <w:left w:val="nil"/>
              <w:bottom w:val="single" w:sz="4" w:space="0" w:color="auto"/>
              <w:right w:val="nil"/>
            </w:tcBorders>
            <w:shd w:val="clear" w:color="auto" w:fill="auto"/>
            <w:vAlign w:val="center"/>
          </w:tcPr>
          <w:p w14:paraId="2D9F8595" w14:textId="709A6433" w:rsidR="0028724B" w:rsidRPr="00DA7911"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309.142,25</w:t>
            </w:r>
          </w:p>
        </w:tc>
        <w:tc>
          <w:tcPr>
            <w:tcW w:w="542" w:type="pct"/>
            <w:tcBorders>
              <w:top w:val="single" w:sz="4" w:space="0" w:color="auto"/>
              <w:left w:val="nil"/>
              <w:bottom w:val="single" w:sz="4" w:space="0" w:color="auto"/>
              <w:right w:val="nil"/>
            </w:tcBorders>
            <w:shd w:val="clear" w:color="auto" w:fill="auto"/>
            <w:noWrap/>
            <w:vAlign w:val="center"/>
          </w:tcPr>
          <w:p w14:paraId="5BD47E5E" w14:textId="7F163D67" w:rsidR="0028724B" w:rsidRPr="00DA7911"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15.107,70</w:t>
            </w:r>
          </w:p>
        </w:tc>
        <w:tc>
          <w:tcPr>
            <w:tcW w:w="543" w:type="pct"/>
            <w:tcBorders>
              <w:top w:val="single" w:sz="4" w:space="0" w:color="auto"/>
              <w:left w:val="nil"/>
              <w:bottom w:val="single" w:sz="4" w:space="0" w:color="auto"/>
              <w:right w:val="nil"/>
            </w:tcBorders>
            <w:shd w:val="clear" w:color="auto" w:fill="auto"/>
            <w:noWrap/>
            <w:vAlign w:val="center"/>
          </w:tcPr>
          <w:p w14:paraId="0200C2CE" w14:textId="65044B67" w:rsidR="0028724B" w:rsidRPr="00DA7911"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543" w:type="pct"/>
            <w:tcBorders>
              <w:top w:val="single" w:sz="4" w:space="0" w:color="auto"/>
              <w:left w:val="nil"/>
              <w:bottom w:val="single" w:sz="4" w:space="0" w:color="auto"/>
              <w:right w:val="nil"/>
            </w:tcBorders>
            <w:shd w:val="clear" w:color="auto" w:fill="auto"/>
            <w:vAlign w:val="center"/>
          </w:tcPr>
          <w:p w14:paraId="723E0677" w14:textId="18B1B4FC" w:rsidR="0028724B" w:rsidRPr="00DA7911"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396" w:type="pct"/>
            <w:tcBorders>
              <w:top w:val="single" w:sz="4" w:space="0" w:color="auto"/>
              <w:left w:val="nil"/>
              <w:bottom w:val="single" w:sz="4" w:space="0" w:color="auto"/>
              <w:right w:val="nil"/>
            </w:tcBorders>
            <w:shd w:val="clear" w:color="auto" w:fill="auto"/>
            <w:noWrap/>
            <w:vAlign w:val="center"/>
          </w:tcPr>
          <w:p w14:paraId="508AF4D3" w14:textId="60065258" w:rsidR="0028724B" w:rsidRPr="00DA7911"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396" w:type="pct"/>
            <w:tcBorders>
              <w:top w:val="single" w:sz="4" w:space="0" w:color="auto"/>
              <w:left w:val="nil"/>
              <w:bottom w:val="single" w:sz="4" w:space="0" w:color="auto"/>
              <w:right w:val="nil"/>
            </w:tcBorders>
            <w:shd w:val="clear" w:color="auto" w:fill="auto"/>
            <w:vAlign w:val="center"/>
          </w:tcPr>
          <w:p w14:paraId="7DDF1B4A" w14:textId="27619B04" w:rsidR="0028724B" w:rsidRPr="00DA7911" w:rsidRDefault="0028724B" w:rsidP="0028724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593" w:type="pct"/>
            <w:tcBorders>
              <w:top w:val="single" w:sz="4" w:space="0" w:color="auto"/>
              <w:left w:val="nil"/>
              <w:bottom w:val="single" w:sz="4" w:space="0" w:color="auto"/>
              <w:right w:val="nil"/>
            </w:tcBorders>
            <w:shd w:val="clear" w:color="auto" w:fill="auto"/>
            <w:vAlign w:val="center"/>
          </w:tcPr>
          <w:p w14:paraId="7326E183" w14:textId="285EFD51" w:rsidR="0028724B" w:rsidRPr="00DA7911" w:rsidRDefault="0028724B" w:rsidP="0028724B">
            <w:pPr>
              <w:jc w:val="right"/>
              <w:rPr>
                <w:b/>
                <w:bCs/>
                <w:sz w:val="16"/>
                <w:szCs w:val="16"/>
              </w:rPr>
            </w:pPr>
            <w:r>
              <w:rPr>
                <w:b/>
                <w:bCs/>
                <w:sz w:val="16"/>
                <w:szCs w:val="16"/>
              </w:rPr>
              <w:t>324.249,95</w:t>
            </w:r>
          </w:p>
        </w:tc>
      </w:tr>
    </w:tbl>
    <w:p w14:paraId="48E5F6A2" w14:textId="42F0330A" w:rsidR="00EC29B8" w:rsidRPr="005644E5" w:rsidRDefault="00EC29B8" w:rsidP="001B5A15">
      <w:pPr>
        <w:widowControl w:val="0"/>
        <w:spacing w:before="240" w:after="120" w:line="260" w:lineRule="exact"/>
        <w:jc w:val="both"/>
        <w:outlineLvl w:val="9"/>
        <w:rPr>
          <w:snapToGrid w:val="0"/>
          <w:sz w:val="20"/>
          <w:szCs w:val="22"/>
        </w:rPr>
      </w:pPr>
      <w:r w:rsidRPr="005644E5">
        <w:rPr>
          <w:snapToGrid w:val="0"/>
          <w:sz w:val="20"/>
          <w:szCs w:val="22"/>
        </w:rPr>
        <w:t>Los importes de los instrumentos financieros de activo al cierre del ejercicio 202</w:t>
      </w:r>
      <w:r w:rsidR="00B45634">
        <w:rPr>
          <w:snapToGrid w:val="0"/>
          <w:sz w:val="20"/>
          <w:szCs w:val="22"/>
        </w:rPr>
        <w:t>2</w:t>
      </w:r>
      <w:r w:rsidRPr="005644E5">
        <w:rPr>
          <w:snapToGrid w:val="0"/>
          <w:sz w:val="20"/>
          <w:szCs w:val="22"/>
        </w:rPr>
        <w:t xml:space="preserve"> es el siguiente:</w:t>
      </w:r>
    </w:p>
    <w:tbl>
      <w:tblPr>
        <w:tblW w:w="5000" w:type="pct"/>
        <w:tblCellMar>
          <w:left w:w="70" w:type="dxa"/>
          <w:right w:w="70" w:type="dxa"/>
        </w:tblCellMar>
        <w:tblLook w:val="04A0" w:firstRow="1" w:lastRow="0" w:firstColumn="1" w:lastColumn="0" w:noHBand="0" w:noVBand="1"/>
      </w:tblPr>
      <w:tblGrid>
        <w:gridCol w:w="2467"/>
        <w:gridCol w:w="973"/>
        <w:gridCol w:w="973"/>
        <w:gridCol w:w="975"/>
        <w:gridCol w:w="975"/>
        <w:gridCol w:w="762"/>
        <w:gridCol w:w="715"/>
        <w:gridCol w:w="941"/>
      </w:tblGrid>
      <w:tr w:rsidR="00EC29B8" w:rsidRPr="00EC29B8" w14:paraId="07F4B973" w14:textId="77777777" w:rsidTr="001B5A15">
        <w:trPr>
          <w:trHeight w:val="283"/>
        </w:trPr>
        <w:tc>
          <w:tcPr>
            <w:tcW w:w="5000" w:type="pct"/>
            <w:gridSpan w:val="8"/>
            <w:tcBorders>
              <w:top w:val="single" w:sz="4" w:space="0" w:color="auto"/>
              <w:left w:val="nil"/>
              <w:bottom w:val="nil"/>
              <w:right w:val="nil"/>
            </w:tcBorders>
            <w:shd w:val="clear" w:color="auto" w:fill="auto"/>
            <w:vAlign w:val="center"/>
            <w:hideMark/>
          </w:tcPr>
          <w:p w14:paraId="39338150" w14:textId="77777777" w:rsidR="00EC29B8" w:rsidRPr="00EC29B8" w:rsidRDefault="00EC29B8"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EC29B8">
              <w:rPr>
                <w:rFonts w:eastAsia="Times New Roman"/>
                <w:b/>
                <w:bCs/>
                <w:sz w:val="16"/>
                <w:szCs w:val="16"/>
                <w:bdr w:val="none" w:sz="0" w:space="0" w:color="auto"/>
                <w:lang w:eastAsia="es-ES"/>
              </w:rPr>
              <w:t>ACTIVOS FINANCIEROS</w:t>
            </w:r>
          </w:p>
        </w:tc>
      </w:tr>
      <w:tr w:rsidR="00B45634" w:rsidRPr="00EC29B8" w14:paraId="50216FA6" w14:textId="77777777" w:rsidTr="001B5A15">
        <w:trPr>
          <w:trHeight w:val="283"/>
        </w:trPr>
        <w:tc>
          <w:tcPr>
            <w:tcW w:w="1405" w:type="pct"/>
            <w:tcBorders>
              <w:top w:val="single" w:sz="4" w:space="0" w:color="auto"/>
              <w:left w:val="nil"/>
              <w:bottom w:val="single" w:sz="4" w:space="0" w:color="auto"/>
              <w:right w:val="nil"/>
            </w:tcBorders>
            <w:shd w:val="clear" w:color="auto" w:fill="auto"/>
            <w:vAlign w:val="center"/>
            <w:hideMark/>
          </w:tcPr>
          <w:p w14:paraId="527B2D05" w14:textId="77777777"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w:eastAsia="Times New Roman" w:hAnsi="Times" w:cs="Times"/>
                <w:sz w:val="16"/>
                <w:szCs w:val="16"/>
                <w:bdr w:val="none" w:sz="0" w:space="0" w:color="auto"/>
                <w:lang w:eastAsia="es-ES"/>
              </w:rPr>
            </w:pPr>
          </w:p>
        </w:tc>
        <w:tc>
          <w:tcPr>
            <w:tcW w:w="554" w:type="pct"/>
            <w:tcBorders>
              <w:top w:val="single" w:sz="4" w:space="0" w:color="auto"/>
              <w:left w:val="nil"/>
              <w:bottom w:val="single" w:sz="4" w:space="0" w:color="auto"/>
              <w:right w:val="nil"/>
            </w:tcBorders>
            <w:shd w:val="clear" w:color="auto" w:fill="auto"/>
            <w:vAlign w:val="center"/>
            <w:hideMark/>
          </w:tcPr>
          <w:p w14:paraId="5A7AF427" w14:textId="5E59AA3C"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3</w:t>
            </w:r>
          </w:p>
        </w:tc>
        <w:tc>
          <w:tcPr>
            <w:tcW w:w="554" w:type="pct"/>
            <w:tcBorders>
              <w:top w:val="single" w:sz="4" w:space="0" w:color="auto"/>
              <w:left w:val="nil"/>
              <w:bottom w:val="single" w:sz="4" w:space="0" w:color="auto"/>
              <w:right w:val="nil"/>
            </w:tcBorders>
            <w:shd w:val="clear" w:color="auto" w:fill="auto"/>
            <w:vAlign w:val="center"/>
            <w:hideMark/>
          </w:tcPr>
          <w:p w14:paraId="39F5661E" w14:textId="5189FE79"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4</w:t>
            </w:r>
          </w:p>
        </w:tc>
        <w:tc>
          <w:tcPr>
            <w:tcW w:w="555" w:type="pct"/>
            <w:tcBorders>
              <w:top w:val="single" w:sz="4" w:space="0" w:color="auto"/>
              <w:left w:val="nil"/>
              <w:bottom w:val="single" w:sz="4" w:space="0" w:color="auto"/>
              <w:right w:val="nil"/>
            </w:tcBorders>
            <w:shd w:val="clear" w:color="auto" w:fill="auto"/>
            <w:vAlign w:val="center"/>
            <w:hideMark/>
          </w:tcPr>
          <w:p w14:paraId="165B6099" w14:textId="7A21F786"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5</w:t>
            </w:r>
          </w:p>
        </w:tc>
        <w:tc>
          <w:tcPr>
            <w:tcW w:w="555" w:type="pct"/>
            <w:tcBorders>
              <w:top w:val="single" w:sz="4" w:space="0" w:color="auto"/>
              <w:left w:val="nil"/>
              <w:bottom w:val="single" w:sz="4" w:space="0" w:color="auto"/>
              <w:right w:val="nil"/>
            </w:tcBorders>
            <w:shd w:val="clear" w:color="auto" w:fill="auto"/>
            <w:vAlign w:val="center"/>
            <w:hideMark/>
          </w:tcPr>
          <w:p w14:paraId="4A957CF0" w14:textId="1E95D545"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6</w:t>
            </w:r>
          </w:p>
        </w:tc>
        <w:tc>
          <w:tcPr>
            <w:tcW w:w="434" w:type="pct"/>
            <w:tcBorders>
              <w:top w:val="single" w:sz="4" w:space="0" w:color="auto"/>
              <w:left w:val="nil"/>
              <w:bottom w:val="single" w:sz="4" w:space="0" w:color="auto"/>
              <w:right w:val="nil"/>
            </w:tcBorders>
            <w:shd w:val="clear" w:color="auto" w:fill="auto"/>
            <w:vAlign w:val="center"/>
            <w:hideMark/>
          </w:tcPr>
          <w:p w14:paraId="63E6D53B" w14:textId="6CE40E04"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7</w:t>
            </w:r>
          </w:p>
        </w:tc>
        <w:tc>
          <w:tcPr>
            <w:tcW w:w="407" w:type="pct"/>
            <w:tcBorders>
              <w:top w:val="single" w:sz="4" w:space="0" w:color="auto"/>
              <w:left w:val="nil"/>
              <w:bottom w:val="single" w:sz="4" w:space="0" w:color="auto"/>
              <w:right w:val="nil"/>
            </w:tcBorders>
            <w:shd w:val="clear" w:color="auto" w:fill="auto"/>
            <w:vAlign w:val="center"/>
            <w:hideMark/>
          </w:tcPr>
          <w:p w14:paraId="298F34AB" w14:textId="41D2E18E"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202</w:t>
            </w:r>
            <w:r>
              <w:rPr>
                <w:rFonts w:eastAsia="Times New Roman"/>
                <w:b/>
                <w:bCs/>
                <w:sz w:val="16"/>
                <w:szCs w:val="16"/>
                <w:bdr w:val="none" w:sz="0" w:space="0" w:color="auto"/>
                <w:lang w:eastAsia="es-ES"/>
              </w:rPr>
              <w:t>8</w:t>
            </w:r>
          </w:p>
        </w:tc>
        <w:tc>
          <w:tcPr>
            <w:tcW w:w="536" w:type="pct"/>
            <w:tcBorders>
              <w:top w:val="single" w:sz="4" w:space="0" w:color="auto"/>
              <w:left w:val="nil"/>
              <w:bottom w:val="single" w:sz="4" w:space="0" w:color="auto"/>
              <w:right w:val="nil"/>
            </w:tcBorders>
            <w:shd w:val="clear" w:color="auto" w:fill="auto"/>
            <w:vAlign w:val="center"/>
            <w:hideMark/>
          </w:tcPr>
          <w:p w14:paraId="75E43DBD" w14:textId="46AE1B09" w:rsidR="00B45634" w:rsidRPr="00EC29B8" w:rsidRDefault="00B45634" w:rsidP="001B5A15">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E7835">
              <w:rPr>
                <w:rFonts w:eastAsia="Times New Roman"/>
                <w:b/>
                <w:bCs/>
                <w:sz w:val="16"/>
                <w:szCs w:val="16"/>
                <w:bdr w:val="none" w:sz="0" w:space="0" w:color="auto"/>
                <w:lang w:eastAsia="es-ES"/>
              </w:rPr>
              <w:t>Total</w:t>
            </w:r>
          </w:p>
        </w:tc>
      </w:tr>
      <w:tr w:rsidR="00B45634" w:rsidRPr="007E7835" w14:paraId="10B51901" w14:textId="77777777" w:rsidTr="00B45634">
        <w:trPr>
          <w:trHeight w:val="283"/>
        </w:trPr>
        <w:tc>
          <w:tcPr>
            <w:tcW w:w="1405" w:type="pct"/>
            <w:tcBorders>
              <w:top w:val="nil"/>
              <w:left w:val="nil"/>
              <w:bottom w:val="nil"/>
              <w:right w:val="nil"/>
            </w:tcBorders>
            <w:shd w:val="clear" w:color="auto" w:fill="auto"/>
            <w:vAlign w:val="center"/>
            <w:hideMark/>
          </w:tcPr>
          <w:p w14:paraId="2DC5140A" w14:textId="77777777" w:rsidR="00B45634" w:rsidRPr="00EC29B8"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Activos financieros a coste amortizado (Nota 8.1.a)</w:t>
            </w:r>
          </w:p>
        </w:tc>
        <w:tc>
          <w:tcPr>
            <w:tcW w:w="554" w:type="pct"/>
            <w:tcBorders>
              <w:top w:val="nil"/>
              <w:left w:val="nil"/>
              <w:bottom w:val="nil"/>
              <w:right w:val="nil"/>
            </w:tcBorders>
            <w:shd w:val="clear" w:color="auto" w:fill="auto"/>
            <w:vAlign w:val="center"/>
            <w:hideMark/>
          </w:tcPr>
          <w:p w14:paraId="7C9E8A36" w14:textId="1A65AD38" w:rsidR="00B45634" w:rsidRPr="00EC29B8"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373.976,32</w:t>
            </w:r>
          </w:p>
        </w:tc>
        <w:tc>
          <w:tcPr>
            <w:tcW w:w="554" w:type="pct"/>
            <w:tcBorders>
              <w:top w:val="nil"/>
              <w:left w:val="nil"/>
              <w:bottom w:val="nil"/>
              <w:right w:val="nil"/>
            </w:tcBorders>
            <w:shd w:val="clear" w:color="auto" w:fill="auto"/>
            <w:noWrap/>
            <w:vAlign w:val="center"/>
            <w:hideMark/>
          </w:tcPr>
          <w:p w14:paraId="69293DDD" w14:textId="705FE2E6" w:rsidR="00B45634" w:rsidRPr="00EC29B8"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9.107,70</w:t>
            </w:r>
          </w:p>
        </w:tc>
        <w:tc>
          <w:tcPr>
            <w:tcW w:w="555" w:type="pct"/>
            <w:tcBorders>
              <w:top w:val="nil"/>
              <w:left w:val="nil"/>
              <w:bottom w:val="nil"/>
              <w:right w:val="nil"/>
            </w:tcBorders>
            <w:shd w:val="clear" w:color="auto" w:fill="auto"/>
            <w:noWrap/>
            <w:vAlign w:val="center"/>
          </w:tcPr>
          <w:p w14:paraId="6E37380D" w14:textId="299082B3" w:rsidR="00B45634" w:rsidRPr="00EC29B8"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p>
        </w:tc>
        <w:tc>
          <w:tcPr>
            <w:tcW w:w="555" w:type="pct"/>
            <w:tcBorders>
              <w:top w:val="nil"/>
              <w:left w:val="nil"/>
              <w:bottom w:val="nil"/>
              <w:right w:val="nil"/>
            </w:tcBorders>
            <w:shd w:val="clear" w:color="auto" w:fill="auto"/>
            <w:vAlign w:val="center"/>
            <w:hideMark/>
          </w:tcPr>
          <w:p w14:paraId="576E32B9" w14:textId="415CCBD6" w:rsidR="00B45634" w:rsidRPr="00EC29B8"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w:t>
            </w:r>
          </w:p>
        </w:tc>
        <w:tc>
          <w:tcPr>
            <w:tcW w:w="434" w:type="pct"/>
            <w:tcBorders>
              <w:top w:val="nil"/>
              <w:left w:val="nil"/>
              <w:bottom w:val="nil"/>
              <w:right w:val="nil"/>
            </w:tcBorders>
            <w:shd w:val="clear" w:color="auto" w:fill="auto"/>
            <w:noWrap/>
            <w:vAlign w:val="center"/>
            <w:hideMark/>
          </w:tcPr>
          <w:p w14:paraId="399CC18B" w14:textId="6BFD1FB9" w:rsidR="00B45634" w:rsidRPr="00EC29B8"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w:t>
            </w:r>
          </w:p>
        </w:tc>
        <w:tc>
          <w:tcPr>
            <w:tcW w:w="407" w:type="pct"/>
            <w:tcBorders>
              <w:top w:val="nil"/>
              <w:left w:val="nil"/>
              <w:bottom w:val="nil"/>
              <w:right w:val="nil"/>
            </w:tcBorders>
            <w:shd w:val="clear" w:color="auto" w:fill="auto"/>
            <w:vAlign w:val="center"/>
            <w:hideMark/>
          </w:tcPr>
          <w:p w14:paraId="4DB9BF45" w14:textId="4E3202FF" w:rsidR="00B45634" w:rsidRPr="00EC29B8"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EC29B8">
              <w:rPr>
                <w:rFonts w:eastAsia="Times New Roman"/>
                <w:sz w:val="16"/>
                <w:szCs w:val="16"/>
                <w:bdr w:val="none" w:sz="0" w:space="0" w:color="auto"/>
                <w:lang w:eastAsia="es-ES"/>
              </w:rPr>
              <w:t>-</w:t>
            </w:r>
          </w:p>
        </w:tc>
        <w:tc>
          <w:tcPr>
            <w:tcW w:w="536" w:type="pct"/>
            <w:tcBorders>
              <w:top w:val="nil"/>
              <w:left w:val="nil"/>
              <w:bottom w:val="nil"/>
              <w:right w:val="nil"/>
            </w:tcBorders>
            <w:shd w:val="clear" w:color="auto" w:fill="auto"/>
            <w:vAlign w:val="center"/>
            <w:hideMark/>
          </w:tcPr>
          <w:p w14:paraId="69EBA8BC" w14:textId="6352F341"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EC29B8">
              <w:rPr>
                <w:b/>
                <w:bCs/>
                <w:sz w:val="16"/>
                <w:szCs w:val="16"/>
              </w:rPr>
              <w:t xml:space="preserve">581.139,84   </w:t>
            </w:r>
          </w:p>
        </w:tc>
      </w:tr>
      <w:tr w:rsidR="00B45634" w:rsidRPr="007E7835" w14:paraId="2A7724E8" w14:textId="77777777" w:rsidTr="00B45634">
        <w:trPr>
          <w:trHeight w:val="283"/>
        </w:trPr>
        <w:tc>
          <w:tcPr>
            <w:tcW w:w="1405" w:type="pct"/>
            <w:tcBorders>
              <w:top w:val="single" w:sz="4" w:space="0" w:color="auto"/>
              <w:left w:val="nil"/>
              <w:bottom w:val="single" w:sz="4" w:space="0" w:color="auto"/>
              <w:right w:val="nil"/>
            </w:tcBorders>
            <w:shd w:val="clear" w:color="auto" w:fill="auto"/>
            <w:vAlign w:val="center"/>
            <w:hideMark/>
          </w:tcPr>
          <w:p w14:paraId="0E8CF3A3" w14:textId="2EC880E2" w:rsidR="00B45634" w:rsidRPr="005644E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w:eastAsia="Times New Roman" w:hAnsi="Times" w:cs="Times"/>
                <w:b/>
                <w:bCs/>
                <w:sz w:val="16"/>
                <w:szCs w:val="16"/>
                <w:bdr w:val="none" w:sz="0" w:space="0" w:color="auto"/>
                <w:lang w:eastAsia="es-ES"/>
              </w:rPr>
            </w:pPr>
            <w:r w:rsidRPr="005644E5">
              <w:rPr>
                <w:rFonts w:eastAsia="Times New Roman"/>
                <w:b/>
                <w:bCs/>
                <w:sz w:val="16"/>
                <w:szCs w:val="16"/>
                <w:bdr w:val="none" w:sz="0" w:space="0" w:color="auto"/>
                <w:lang w:eastAsia="es-ES"/>
              </w:rPr>
              <w:t> Total</w:t>
            </w:r>
          </w:p>
        </w:tc>
        <w:tc>
          <w:tcPr>
            <w:tcW w:w="554" w:type="pct"/>
            <w:tcBorders>
              <w:top w:val="single" w:sz="4" w:space="0" w:color="auto"/>
              <w:left w:val="nil"/>
              <w:bottom w:val="single" w:sz="4" w:space="0" w:color="auto"/>
              <w:right w:val="nil"/>
            </w:tcBorders>
            <w:shd w:val="clear" w:color="auto" w:fill="auto"/>
            <w:vAlign w:val="center"/>
            <w:hideMark/>
          </w:tcPr>
          <w:p w14:paraId="506B7780" w14:textId="55CBA09F"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373.976,32</w:t>
            </w:r>
          </w:p>
        </w:tc>
        <w:tc>
          <w:tcPr>
            <w:tcW w:w="554" w:type="pct"/>
            <w:tcBorders>
              <w:top w:val="single" w:sz="4" w:space="0" w:color="auto"/>
              <w:left w:val="nil"/>
              <w:bottom w:val="single" w:sz="4" w:space="0" w:color="auto"/>
              <w:right w:val="nil"/>
            </w:tcBorders>
            <w:shd w:val="clear" w:color="auto" w:fill="auto"/>
            <w:noWrap/>
            <w:vAlign w:val="center"/>
            <w:hideMark/>
          </w:tcPr>
          <w:p w14:paraId="45D447AF" w14:textId="79C3CE85"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9.107,70</w:t>
            </w:r>
          </w:p>
        </w:tc>
        <w:tc>
          <w:tcPr>
            <w:tcW w:w="555" w:type="pct"/>
            <w:tcBorders>
              <w:top w:val="single" w:sz="4" w:space="0" w:color="auto"/>
              <w:left w:val="nil"/>
              <w:bottom w:val="single" w:sz="4" w:space="0" w:color="auto"/>
              <w:right w:val="nil"/>
            </w:tcBorders>
            <w:shd w:val="clear" w:color="auto" w:fill="auto"/>
            <w:noWrap/>
            <w:vAlign w:val="center"/>
          </w:tcPr>
          <w:p w14:paraId="7BCEEAC6" w14:textId="67D6CC4F"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w:t>
            </w:r>
          </w:p>
        </w:tc>
        <w:tc>
          <w:tcPr>
            <w:tcW w:w="555" w:type="pct"/>
            <w:tcBorders>
              <w:top w:val="single" w:sz="4" w:space="0" w:color="auto"/>
              <w:left w:val="nil"/>
              <w:bottom w:val="single" w:sz="4" w:space="0" w:color="auto"/>
              <w:right w:val="nil"/>
            </w:tcBorders>
            <w:shd w:val="clear" w:color="auto" w:fill="auto"/>
            <w:vAlign w:val="center"/>
            <w:hideMark/>
          </w:tcPr>
          <w:p w14:paraId="4C11A4D7" w14:textId="7163EECC"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w:t>
            </w:r>
          </w:p>
        </w:tc>
        <w:tc>
          <w:tcPr>
            <w:tcW w:w="434" w:type="pct"/>
            <w:tcBorders>
              <w:top w:val="single" w:sz="4" w:space="0" w:color="auto"/>
              <w:left w:val="nil"/>
              <w:bottom w:val="single" w:sz="4" w:space="0" w:color="auto"/>
              <w:right w:val="nil"/>
            </w:tcBorders>
            <w:shd w:val="clear" w:color="auto" w:fill="auto"/>
            <w:noWrap/>
            <w:vAlign w:val="center"/>
            <w:hideMark/>
          </w:tcPr>
          <w:p w14:paraId="5BEDB022" w14:textId="4F8010EF"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407" w:type="pct"/>
            <w:tcBorders>
              <w:top w:val="single" w:sz="4" w:space="0" w:color="auto"/>
              <w:left w:val="nil"/>
              <w:bottom w:val="single" w:sz="4" w:space="0" w:color="auto"/>
              <w:right w:val="nil"/>
            </w:tcBorders>
            <w:shd w:val="clear" w:color="auto" w:fill="auto"/>
            <w:vAlign w:val="center"/>
            <w:hideMark/>
          </w:tcPr>
          <w:p w14:paraId="488AF4FF" w14:textId="1BAC0619"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536" w:type="pct"/>
            <w:tcBorders>
              <w:top w:val="single" w:sz="4" w:space="0" w:color="auto"/>
              <w:left w:val="nil"/>
              <w:bottom w:val="single" w:sz="4" w:space="0" w:color="auto"/>
              <w:right w:val="nil"/>
            </w:tcBorders>
            <w:shd w:val="clear" w:color="auto" w:fill="auto"/>
            <w:vAlign w:val="center"/>
            <w:hideMark/>
          </w:tcPr>
          <w:p w14:paraId="15E5C304" w14:textId="169A5335" w:rsidR="00B45634" w:rsidRPr="007E7835" w:rsidRDefault="00B45634" w:rsidP="00B4563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383.084,02</w:t>
            </w:r>
          </w:p>
        </w:tc>
      </w:tr>
    </w:tbl>
    <w:p w14:paraId="45655385" w14:textId="77777777" w:rsidR="007B55EF" w:rsidRPr="0083433F" w:rsidRDefault="007B55EF">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40" w:after="120" w:line="260" w:lineRule="exact"/>
        <w:ind w:left="0" w:firstLine="0"/>
        <w:jc w:val="both"/>
        <w:outlineLvl w:val="9"/>
        <w:rPr>
          <w:i/>
          <w:snapToGrid w:val="0"/>
          <w:sz w:val="20"/>
          <w:szCs w:val="22"/>
          <w:u w:val="single"/>
        </w:rPr>
      </w:pPr>
      <w:r w:rsidRPr="0083433F">
        <w:rPr>
          <w:i/>
          <w:sz w:val="20"/>
          <w:szCs w:val="22"/>
          <w:u w:val="single"/>
        </w:rPr>
        <w:t>Periodificaciones a corto plazo</w:t>
      </w:r>
    </w:p>
    <w:p w14:paraId="0C133C9C" w14:textId="272E04BF" w:rsidR="007B55EF" w:rsidRDefault="00876EB6" w:rsidP="00D67C6B">
      <w:pPr>
        <w:widowControl w:val="0"/>
        <w:spacing w:before="120" w:after="120" w:line="260" w:lineRule="exact"/>
        <w:jc w:val="both"/>
        <w:outlineLvl w:val="9"/>
        <w:rPr>
          <w:snapToGrid w:val="0"/>
          <w:sz w:val="20"/>
          <w:szCs w:val="22"/>
        </w:rPr>
      </w:pPr>
      <w:r w:rsidRPr="00866EC2">
        <w:rPr>
          <w:snapToGrid w:val="0"/>
          <w:sz w:val="20"/>
          <w:szCs w:val="22"/>
        </w:rPr>
        <w:t xml:space="preserve">En </w:t>
      </w:r>
      <w:r w:rsidR="00415573" w:rsidRPr="00866EC2">
        <w:rPr>
          <w:snapToGrid w:val="0"/>
          <w:sz w:val="20"/>
          <w:szCs w:val="22"/>
        </w:rPr>
        <w:t>el</w:t>
      </w:r>
      <w:r w:rsidRPr="00866EC2">
        <w:rPr>
          <w:snapToGrid w:val="0"/>
          <w:sz w:val="20"/>
          <w:szCs w:val="22"/>
        </w:rPr>
        <w:t xml:space="preserve"> ejercicio 202</w:t>
      </w:r>
      <w:r w:rsidR="00DA7911">
        <w:rPr>
          <w:snapToGrid w:val="0"/>
          <w:sz w:val="20"/>
          <w:szCs w:val="22"/>
        </w:rPr>
        <w:t>3</w:t>
      </w:r>
      <w:r w:rsidRPr="00866EC2">
        <w:rPr>
          <w:snapToGrid w:val="0"/>
          <w:sz w:val="20"/>
          <w:szCs w:val="22"/>
        </w:rPr>
        <w:t xml:space="preserve"> l</w:t>
      </w:r>
      <w:r w:rsidR="007B55EF" w:rsidRPr="00866EC2">
        <w:rPr>
          <w:snapToGrid w:val="0"/>
          <w:sz w:val="20"/>
          <w:szCs w:val="22"/>
        </w:rPr>
        <w:t xml:space="preserve">os ajustes por periodificación de activos </w:t>
      </w:r>
      <w:r w:rsidR="007F40B6" w:rsidRPr="00866EC2">
        <w:rPr>
          <w:snapToGrid w:val="0"/>
          <w:sz w:val="20"/>
          <w:szCs w:val="22"/>
        </w:rPr>
        <w:t xml:space="preserve">por importe de </w:t>
      </w:r>
      <w:r w:rsidR="00DA7911">
        <w:rPr>
          <w:snapToGrid w:val="0"/>
          <w:sz w:val="20"/>
          <w:szCs w:val="22"/>
        </w:rPr>
        <w:t>881.684,75</w:t>
      </w:r>
      <w:r w:rsidR="007F40B6" w:rsidRPr="00866EC2">
        <w:rPr>
          <w:snapToGrid w:val="0"/>
          <w:sz w:val="20"/>
          <w:szCs w:val="22"/>
        </w:rPr>
        <w:t xml:space="preserve"> euros </w:t>
      </w:r>
      <w:r w:rsidR="007B55EF" w:rsidRPr="00866EC2">
        <w:rPr>
          <w:snapToGrid w:val="0"/>
          <w:sz w:val="20"/>
          <w:szCs w:val="22"/>
        </w:rPr>
        <w:t>contienen principalmente los gastos anticipados de las reservas de espacio y stand de la feria FITUR</w:t>
      </w:r>
      <w:r w:rsidR="00415573" w:rsidRPr="00866EC2">
        <w:rPr>
          <w:snapToGrid w:val="0"/>
          <w:sz w:val="20"/>
          <w:szCs w:val="22"/>
        </w:rPr>
        <w:t xml:space="preserve"> 202</w:t>
      </w:r>
      <w:r w:rsidR="00A7700C">
        <w:rPr>
          <w:snapToGrid w:val="0"/>
          <w:sz w:val="20"/>
          <w:szCs w:val="22"/>
        </w:rPr>
        <w:t>4.</w:t>
      </w:r>
    </w:p>
    <w:p w14:paraId="340074BB" w14:textId="245C6C8C" w:rsidR="00415573" w:rsidRPr="007E7835" w:rsidRDefault="00415573" w:rsidP="00D67C6B">
      <w:pPr>
        <w:widowControl w:val="0"/>
        <w:spacing w:before="120" w:after="120" w:line="260" w:lineRule="exact"/>
        <w:jc w:val="both"/>
        <w:outlineLvl w:val="9"/>
        <w:rPr>
          <w:snapToGrid w:val="0"/>
          <w:sz w:val="20"/>
          <w:szCs w:val="22"/>
        </w:rPr>
      </w:pPr>
      <w:r>
        <w:rPr>
          <w:snapToGrid w:val="0"/>
          <w:sz w:val="20"/>
          <w:szCs w:val="22"/>
        </w:rPr>
        <w:t>En el ejercicio 202</w:t>
      </w:r>
      <w:r w:rsidR="00A7700C">
        <w:rPr>
          <w:snapToGrid w:val="0"/>
          <w:sz w:val="20"/>
          <w:szCs w:val="22"/>
        </w:rPr>
        <w:t>2</w:t>
      </w:r>
      <w:r>
        <w:rPr>
          <w:snapToGrid w:val="0"/>
          <w:sz w:val="20"/>
          <w:szCs w:val="22"/>
        </w:rPr>
        <w:t xml:space="preserve"> l</w:t>
      </w:r>
      <w:r w:rsidRPr="00714155">
        <w:rPr>
          <w:snapToGrid w:val="0"/>
          <w:sz w:val="20"/>
          <w:szCs w:val="22"/>
        </w:rPr>
        <w:t xml:space="preserve">os ajustes por periodificación de activos </w:t>
      </w:r>
      <w:r w:rsidR="007F40B6">
        <w:rPr>
          <w:snapToGrid w:val="0"/>
          <w:sz w:val="20"/>
          <w:szCs w:val="22"/>
        </w:rPr>
        <w:t xml:space="preserve">por importe de </w:t>
      </w:r>
      <w:r w:rsidR="00A7700C">
        <w:rPr>
          <w:snapToGrid w:val="0"/>
          <w:sz w:val="20"/>
          <w:szCs w:val="22"/>
        </w:rPr>
        <w:t>1.881.921,22</w:t>
      </w:r>
      <w:r w:rsidR="007F40B6">
        <w:rPr>
          <w:snapToGrid w:val="0"/>
          <w:sz w:val="20"/>
          <w:szCs w:val="22"/>
        </w:rPr>
        <w:t xml:space="preserve"> euros </w:t>
      </w:r>
      <w:r w:rsidRPr="00714155">
        <w:rPr>
          <w:snapToGrid w:val="0"/>
          <w:sz w:val="20"/>
          <w:szCs w:val="22"/>
        </w:rPr>
        <w:t>cont</w:t>
      </w:r>
      <w:r>
        <w:rPr>
          <w:snapToGrid w:val="0"/>
          <w:sz w:val="20"/>
          <w:szCs w:val="22"/>
        </w:rPr>
        <w:t>enían</w:t>
      </w:r>
      <w:r w:rsidRPr="00714155">
        <w:rPr>
          <w:snapToGrid w:val="0"/>
          <w:sz w:val="20"/>
          <w:szCs w:val="22"/>
        </w:rPr>
        <w:t xml:space="preserve"> principalmente los gastos anticipados de las reservas de espacio y stand de la feria FITUR</w:t>
      </w:r>
      <w:r>
        <w:rPr>
          <w:snapToGrid w:val="0"/>
          <w:sz w:val="20"/>
          <w:szCs w:val="22"/>
        </w:rPr>
        <w:t xml:space="preserve"> 202</w:t>
      </w:r>
      <w:r w:rsidR="00A7700C">
        <w:rPr>
          <w:snapToGrid w:val="0"/>
          <w:sz w:val="20"/>
          <w:szCs w:val="22"/>
        </w:rPr>
        <w:t>3, y los gastos correspondientes al Marco del Plan de Recuperación, Transformación y Resiliencia (MRR) 2022-2023.</w:t>
      </w:r>
    </w:p>
    <w:p w14:paraId="1C5862F8" w14:textId="49B06E40" w:rsidR="006220A2" w:rsidRPr="00573442" w:rsidRDefault="005644E5">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60" w:lineRule="exact"/>
        <w:ind w:left="284" w:hanging="284"/>
        <w:outlineLvl w:val="9"/>
        <w:rPr>
          <w:b/>
          <w:sz w:val="20"/>
          <w:szCs w:val="22"/>
        </w:rPr>
      </w:pPr>
      <w:r>
        <w:rPr>
          <w:b/>
          <w:sz w:val="20"/>
          <w:szCs w:val="22"/>
        </w:rPr>
        <w:t xml:space="preserve"> </w:t>
      </w:r>
      <w:r w:rsidR="006220A2" w:rsidRPr="00573442">
        <w:rPr>
          <w:b/>
          <w:sz w:val="20"/>
          <w:szCs w:val="22"/>
        </w:rPr>
        <w:t>Efectivo y otros activos líquidos equivalentes</w:t>
      </w:r>
    </w:p>
    <w:p w14:paraId="05D98237" w14:textId="77777777" w:rsidR="007F3953" w:rsidRPr="005644E5" w:rsidRDefault="006220A2" w:rsidP="00D67C6B">
      <w:pPr>
        <w:widowControl w:val="0"/>
        <w:spacing w:before="120" w:after="120" w:line="260" w:lineRule="exact"/>
        <w:jc w:val="both"/>
        <w:outlineLvl w:val="9"/>
        <w:rPr>
          <w:snapToGrid w:val="0"/>
          <w:sz w:val="20"/>
          <w:szCs w:val="22"/>
        </w:rPr>
      </w:pPr>
      <w:r w:rsidRPr="005644E5">
        <w:rPr>
          <w:snapToGrid w:val="0"/>
          <w:sz w:val="20"/>
          <w:szCs w:val="22"/>
        </w:rPr>
        <w:t>El detalle del efectivo y otros activos líquidos equivalentes es el siguiente:</w:t>
      </w:r>
    </w:p>
    <w:tbl>
      <w:tblPr>
        <w:tblW w:w="5000" w:type="pct"/>
        <w:jc w:val="center"/>
        <w:tblCellMar>
          <w:left w:w="70" w:type="dxa"/>
          <w:right w:w="70" w:type="dxa"/>
        </w:tblCellMar>
        <w:tblLook w:val="04A0" w:firstRow="1" w:lastRow="0" w:firstColumn="1" w:lastColumn="0" w:noHBand="0" w:noVBand="1"/>
      </w:tblPr>
      <w:tblGrid>
        <w:gridCol w:w="4511"/>
        <w:gridCol w:w="2134"/>
        <w:gridCol w:w="2136"/>
      </w:tblGrid>
      <w:tr w:rsidR="006220A2" w:rsidRPr="005644E5" w14:paraId="12811E3F" w14:textId="77777777" w:rsidTr="001B5A15">
        <w:trPr>
          <w:trHeight w:val="227"/>
          <w:jc w:val="center"/>
        </w:trPr>
        <w:tc>
          <w:tcPr>
            <w:tcW w:w="2569" w:type="pct"/>
            <w:tcBorders>
              <w:top w:val="single" w:sz="4" w:space="0" w:color="auto"/>
              <w:left w:val="nil"/>
              <w:bottom w:val="nil"/>
              <w:right w:val="nil"/>
            </w:tcBorders>
            <w:shd w:val="clear" w:color="auto" w:fill="auto"/>
            <w:vAlign w:val="center"/>
            <w:hideMark/>
          </w:tcPr>
          <w:p w14:paraId="04651B5A" w14:textId="77777777" w:rsidR="006220A2" w:rsidRPr="005644E5" w:rsidRDefault="006220A2" w:rsidP="005644E5">
            <w:pPr>
              <w:ind w:left="217"/>
              <w:rPr>
                <w:rFonts w:eastAsia="Times New Roman"/>
                <w:sz w:val="18"/>
                <w:szCs w:val="18"/>
              </w:rPr>
            </w:pPr>
            <w:r w:rsidRPr="005644E5">
              <w:rPr>
                <w:rFonts w:eastAsia="Times New Roman"/>
                <w:sz w:val="18"/>
                <w:szCs w:val="18"/>
              </w:rPr>
              <w:t> </w:t>
            </w:r>
          </w:p>
        </w:tc>
        <w:tc>
          <w:tcPr>
            <w:tcW w:w="2431" w:type="pct"/>
            <w:gridSpan w:val="2"/>
            <w:tcBorders>
              <w:top w:val="single" w:sz="4" w:space="0" w:color="auto"/>
              <w:left w:val="nil"/>
              <w:bottom w:val="single" w:sz="4" w:space="0" w:color="auto"/>
              <w:right w:val="nil"/>
            </w:tcBorders>
            <w:shd w:val="clear" w:color="auto" w:fill="auto"/>
            <w:vAlign w:val="center"/>
            <w:hideMark/>
          </w:tcPr>
          <w:p w14:paraId="35D6F4FB" w14:textId="77777777" w:rsidR="006220A2" w:rsidRPr="005644E5" w:rsidRDefault="003B2290" w:rsidP="001B5A15">
            <w:pPr>
              <w:ind w:right="194"/>
              <w:jc w:val="center"/>
              <w:rPr>
                <w:rFonts w:eastAsia="Times New Roman"/>
                <w:b/>
                <w:bCs/>
                <w:sz w:val="18"/>
                <w:szCs w:val="18"/>
              </w:rPr>
            </w:pPr>
            <w:r w:rsidRPr="005644E5">
              <w:rPr>
                <w:rFonts w:eastAsia="Times New Roman"/>
                <w:b/>
                <w:bCs/>
                <w:sz w:val="18"/>
                <w:szCs w:val="18"/>
              </w:rPr>
              <w:t>Eur</w:t>
            </w:r>
            <w:r w:rsidR="006220A2" w:rsidRPr="005644E5">
              <w:rPr>
                <w:rFonts w:eastAsia="Times New Roman"/>
                <w:b/>
                <w:bCs/>
                <w:sz w:val="18"/>
                <w:szCs w:val="18"/>
              </w:rPr>
              <w:t>os</w:t>
            </w:r>
          </w:p>
        </w:tc>
      </w:tr>
      <w:tr w:rsidR="00CA185F" w:rsidRPr="005644E5" w14:paraId="3E5EF58A" w14:textId="77777777" w:rsidTr="001B5A15">
        <w:trPr>
          <w:trHeight w:val="283"/>
          <w:jc w:val="center"/>
        </w:trPr>
        <w:tc>
          <w:tcPr>
            <w:tcW w:w="2569" w:type="pct"/>
            <w:tcBorders>
              <w:top w:val="nil"/>
              <w:left w:val="nil"/>
              <w:bottom w:val="single" w:sz="4" w:space="0" w:color="auto"/>
              <w:right w:val="nil"/>
            </w:tcBorders>
            <w:shd w:val="clear" w:color="auto" w:fill="auto"/>
            <w:vAlign w:val="center"/>
            <w:hideMark/>
          </w:tcPr>
          <w:p w14:paraId="7E722149" w14:textId="77777777" w:rsidR="00CA185F" w:rsidRPr="005644E5" w:rsidRDefault="00CA185F" w:rsidP="00CA185F">
            <w:pPr>
              <w:ind w:left="217"/>
              <w:rPr>
                <w:rFonts w:eastAsia="Times New Roman"/>
                <w:sz w:val="18"/>
                <w:szCs w:val="18"/>
              </w:rPr>
            </w:pPr>
            <w:r w:rsidRPr="005644E5">
              <w:rPr>
                <w:rFonts w:eastAsia="Times New Roman"/>
                <w:sz w:val="18"/>
                <w:szCs w:val="18"/>
              </w:rPr>
              <w:t> </w:t>
            </w:r>
          </w:p>
        </w:tc>
        <w:tc>
          <w:tcPr>
            <w:tcW w:w="1215" w:type="pct"/>
            <w:tcBorders>
              <w:top w:val="nil"/>
              <w:left w:val="nil"/>
              <w:bottom w:val="single" w:sz="4" w:space="0" w:color="auto"/>
              <w:right w:val="nil"/>
            </w:tcBorders>
            <w:shd w:val="clear" w:color="auto" w:fill="auto"/>
            <w:vAlign w:val="center"/>
            <w:hideMark/>
          </w:tcPr>
          <w:p w14:paraId="7B73FBE1" w14:textId="098F9AE3" w:rsidR="00CA185F" w:rsidRPr="005644E5" w:rsidRDefault="00CA185F" w:rsidP="001B5A15">
            <w:pPr>
              <w:ind w:right="194"/>
              <w:jc w:val="center"/>
              <w:rPr>
                <w:rFonts w:eastAsia="Times New Roman"/>
                <w:b/>
                <w:bCs/>
                <w:sz w:val="18"/>
                <w:szCs w:val="18"/>
              </w:rPr>
            </w:pPr>
            <w:r w:rsidRPr="005644E5">
              <w:rPr>
                <w:rFonts w:eastAsia="Times New Roman"/>
                <w:b/>
                <w:bCs/>
                <w:sz w:val="18"/>
                <w:szCs w:val="18"/>
              </w:rPr>
              <w:t>31/12/202</w:t>
            </w:r>
            <w:r w:rsidR="00A7700C">
              <w:rPr>
                <w:rFonts w:eastAsia="Times New Roman"/>
                <w:b/>
                <w:bCs/>
                <w:sz w:val="18"/>
                <w:szCs w:val="18"/>
              </w:rPr>
              <w:t>3</w:t>
            </w:r>
          </w:p>
        </w:tc>
        <w:tc>
          <w:tcPr>
            <w:tcW w:w="1216" w:type="pct"/>
            <w:tcBorders>
              <w:top w:val="nil"/>
              <w:left w:val="nil"/>
              <w:bottom w:val="single" w:sz="4" w:space="0" w:color="auto"/>
              <w:right w:val="nil"/>
            </w:tcBorders>
            <w:shd w:val="clear" w:color="auto" w:fill="auto"/>
            <w:vAlign w:val="center"/>
            <w:hideMark/>
          </w:tcPr>
          <w:p w14:paraId="2B92EB70" w14:textId="71B30D87" w:rsidR="00CA185F" w:rsidRPr="005644E5" w:rsidRDefault="00CA185F" w:rsidP="001B5A15">
            <w:pPr>
              <w:ind w:right="194"/>
              <w:jc w:val="center"/>
              <w:rPr>
                <w:rFonts w:eastAsia="Times New Roman"/>
                <w:b/>
                <w:bCs/>
                <w:sz w:val="18"/>
                <w:szCs w:val="18"/>
              </w:rPr>
            </w:pPr>
            <w:r w:rsidRPr="005644E5">
              <w:rPr>
                <w:rFonts w:eastAsia="Times New Roman"/>
                <w:b/>
                <w:bCs/>
                <w:sz w:val="18"/>
                <w:szCs w:val="18"/>
              </w:rPr>
              <w:t>31/12/202</w:t>
            </w:r>
            <w:r w:rsidR="00A7700C">
              <w:rPr>
                <w:rFonts w:eastAsia="Times New Roman"/>
                <w:b/>
                <w:bCs/>
                <w:sz w:val="18"/>
                <w:szCs w:val="18"/>
              </w:rPr>
              <w:t>2</w:t>
            </w:r>
          </w:p>
        </w:tc>
      </w:tr>
      <w:tr w:rsidR="00A7700C" w:rsidRPr="005644E5" w14:paraId="3D5B43E0" w14:textId="77777777" w:rsidTr="001B5A15">
        <w:trPr>
          <w:trHeight w:val="283"/>
          <w:jc w:val="center"/>
        </w:trPr>
        <w:tc>
          <w:tcPr>
            <w:tcW w:w="2569" w:type="pct"/>
            <w:tcBorders>
              <w:top w:val="nil"/>
              <w:left w:val="nil"/>
              <w:bottom w:val="nil"/>
              <w:right w:val="nil"/>
            </w:tcBorders>
            <w:shd w:val="clear" w:color="auto" w:fill="auto"/>
            <w:vAlign w:val="center"/>
            <w:hideMark/>
          </w:tcPr>
          <w:p w14:paraId="5BFE7E68" w14:textId="77777777" w:rsidR="00A7700C" w:rsidRPr="005644E5" w:rsidRDefault="00A7700C" w:rsidP="00A7700C">
            <w:pPr>
              <w:ind w:left="217"/>
              <w:rPr>
                <w:rFonts w:eastAsia="Times New Roman"/>
                <w:sz w:val="18"/>
                <w:szCs w:val="18"/>
              </w:rPr>
            </w:pPr>
            <w:r w:rsidRPr="005644E5">
              <w:rPr>
                <w:rFonts w:eastAsia="Times New Roman"/>
                <w:sz w:val="18"/>
                <w:szCs w:val="18"/>
              </w:rPr>
              <w:t>Tesorería</w:t>
            </w:r>
          </w:p>
        </w:tc>
        <w:tc>
          <w:tcPr>
            <w:tcW w:w="1215" w:type="pct"/>
            <w:tcBorders>
              <w:top w:val="nil"/>
              <w:left w:val="nil"/>
              <w:bottom w:val="nil"/>
              <w:right w:val="nil"/>
            </w:tcBorders>
            <w:shd w:val="clear" w:color="auto" w:fill="auto"/>
            <w:vAlign w:val="center"/>
          </w:tcPr>
          <w:p w14:paraId="4D443C5D" w14:textId="701C6D18" w:rsidR="00A7700C" w:rsidRPr="00A7700C" w:rsidRDefault="00A7700C" w:rsidP="00A7700C">
            <w:pPr>
              <w:pBdr>
                <w:top w:val="none" w:sz="0" w:space="0" w:color="auto"/>
                <w:left w:val="none" w:sz="0" w:space="0" w:color="auto"/>
                <w:bottom w:val="none" w:sz="0" w:space="0" w:color="auto"/>
                <w:right w:val="none" w:sz="0" w:space="0" w:color="auto"/>
                <w:between w:val="none" w:sz="0" w:space="0" w:color="auto"/>
                <w:bar w:val="none" w:sz="0" w:color="auto"/>
              </w:pBdr>
              <w:ind w:right="194"/>
              <w:jc w:val="right"/>
              <w:outlineLvl w:val="9"/>
              <w:rPr>
                <w:sz w:val="18"/>
                <w:szCs w:val="18"/>
              </w:rPr>
            </w:pPr>
            <w:r w:rsidRPr="00A7700C">
              <w:rPr>
                <w:sz w:val="18"/>
                <w:szCs w:val="18"/>
              </w:rPr>
              <w:t>15.215.512,78</w:t>
            </w:r>
          </w:p>
        </w:tc>
        <w:tc>
          <w:tcPr>
            <w:tcW w:w="1216" w:type="pct"/>
            <w:tcBorders>
              <w:top w:val="nil"/>
              <w:left w:val="nil"/>
              <w:bottom w:val="nil"/>
              <w:right w:val="nil"/>
            </w:tcBorders>
            <w:shd w:val="clear" w:color="auto" w:fill="auto"/>
            <w:vAlign w:val="center"/>
            <w:hideMark/>
          </w:tcPr>
          <w:p w14:paraId="4DCC9ACB" w14:textId="34B07314" w:rsidR="00A7700C" w:rsidRPr="005644E5" w:rsidRDefault="00A7700C" w:rsidP="00A7700C">
            <w:pPr>
              <w:pBdr>
                <w:top w:val="none" w:sz="0" w:space="0" w:color="auto"/>
                <w:left w:val="none" w:sz="0" w:space="0" w:color="auto"/>
                <w:bottom w:val="none" w:sz="0" w:space="0" w:color="auto"/>
                <w:right w:val="none" w:sz="0" w:space="0" w:color="auto"/>
                <w:between w:val="none" w:sz="0" w:space="0" w:color="auto"/>
                <w:bar w:val="none" w:sz="0" w:color="auto"/>
              </w:pBdr>
              <w:ind w:right="194"/>
              <w:jc w:val="right"/>
              <w:outlineLvl w:val="9"/>
              <w:rPr>
                <w:rFonts w:eastAsia="Times New Roman"/>
                <w:sz w:val="18"/>
                <w:szCs w:val="18"/>
                <w:bdr w:val="none" w:sz="0" w:space="0" w:color="auto"/>
                <w:lang w:eastAsia="es-ES"/>
              </w:rPr>
            </w:pPr>
            <w:r>
              <w:rPr>
                <w:sz w:val="18"/>
                <w:szCs w:val="18"/>
              </w:rPr>
              <w:t>20.864.421,45</w:t>
            </w:r>
          </w:p>
        </w:tc>
      </w:tr>
      <w:tr w:rsidR="00A7700C" w:rsidRPr="005644E5" w14:paraId="77F6E28B" w14:textId="77777777" w:rsidTr="001B5A15">
        <w:trPr>
          <w:trHeight w:val="283"/>
          <w:jc w:val="center"/>
        </w:trPr>
        <w:tc>
          <w:tcPr>
            <w:tcW w:w="2569" w:type="pct"/>
            <w:tcBorders>
              <w:top w:val="single" w:sz="4" w:space="0" w:color="auto"/>
              <w:left w:val="nil"/>
              <w:bottom w:val="single" w:sz="4" w:space="0" w:color="auto"/>
              <w:right w:val="nil"/>
            </w:tcBorders>
            <w:shd w:val="clear" w:color="auto" w:fill="auto"/>
            <w:vAlign w:val="center"/>
            <w:hideMark/>
          </w:tcPr>
          <w:p w14:paraId="7147B1F4" w14:textId="77777777" w:rsidR="00A7700C" w:rsidRPr="005644E5" w:rsidRDefault="00A7700C" w:rsidP="00A7700C">
            <w:pPr>
              <w:ind w:left="217"/>
              <w:rPr>
                <w:rFonts w:eastAsia="Times New Roman"/>
                <w:b/>
                <w:bCs/>
                <w:sz w:val="18"/>
                <w:szCs w:val="18"/>
              </w:rPr>
            </w:pPr>
            <w:r w:rsidRPr="005644E5">
              <w:rPr>
                <w:rFonts w:eastAsia="Times New Roman"/>
                <w:b/>
                <w:bCs/>
                <w:sz w:val="18"/>
                <w:szCs w:val="18"/>
              </w:rPr>
              <w:t>Total</w:t>
            </w:r>
          </w:p>
        </w:tc>
        <w:tc>
          <w:tcPr>
            <w:tcW w:w="1215" w:type="pct"/>
            <w:tcBorders>
              <w:top w:val="single" w:sz="4" w:space="0" w:color="auto"/>
              <w:left w:val="nil"/>
              <w:bottom w:val="single" w:sz="4" w:space="0" w:color="auto"/>
              <w:right w:val="nil"/>
            </w:tcBorders>
            <w:shd w:val="clear" w:color="auto" w:fill="auto"/>
            <w:vAlign w:val="center"/>
          </w:tcPr>
          <w:p w14:paraId="6682C5B7" w14:textId="2862BA74" w:rsidR="00A7700C" w:rsidRPr="005644E5" w:rsidRDefault="00A7700C" w:rsidP="00A7700C">
            <w:pPr>
              <w:pBdr>
                <w:top w:val="none" w:sz="0" w:space="0" w:color="auto"/>
                <w:left w:val="none" w:sz="0" w:space="0" w:color="auto"/>
                <w:bottom w:val="none" w:sz="0" w:space="0" w:color="auto"/>
                <w:right w:val="none" w:sz="0" w:space="0" w:color="auto"/>
                <w:between w:val="none" w:sz="0" w:space="0" w:color="auto"/>
                <w:bar w:val="none" w:sz="0" w:color="auto"/>
              </w:pBdr>
              <w:ind w:right="194"/>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15.215.512,78</w:t>
            </w:r>
          </w:p>
        </w:tc>
        <w:tc>
          <w:tcPr>
            <w:tcW w:w="1216" w:type="pct"/>
            <w:tcBorders>
              <w:top w:val="single" w:sz="4" w:space="0" w:color="auto"/>
              <w:left w:val="nil"/>
              <w:bottom w:val="single" w:sz="4" w:space="0" w:color="auto"/>
              <w:right w:val="nil"/>
            </w:tcBorders>
            <w:shd w:val="clear" w:color="auto" w:fill="auto"/>
            <w:vAlign w:val="center"/>
            <w:hideMark/>
          </w:tcPr>
          <w:p w14:paraId="41E7E2DC" w14:textId="3B011767" w:rsidR="00A7700C" w:rsidRPr="005644E5" w:rsidRDefault="00A7700C" w:rsidP="00A7700C">
            <w:pPr>
              <w:ind w:right="194"/>
              <w:jc w:val="right"/>
              <w:rPr>
                <w:b/>
                <w:bCs/>
                <w:sz w:val="18"/>
                <w:szCs w:val="18"/>
              </w:rPr>
            </w:pPr>
            <w:r>
              <w:rPr>
                <w:b/>
                <w:bCs/>
                <w:sz w:val="18"/>
                <w:szCs w:val="18"/>
              </w:rPr>
              <w:t>20.864.421,45</w:t>
            </w:r>
          </w:p>
        </w:tc>
      </w:tr>
    </w:tbl>
    <w:p w14:paraId="44807E67" w14:textId="543CF749" w:rsidR="006220A2" w:rsidRPr="00A53B56" w:rsidRDefault="005644E5">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60" w:lineRule="exact"/>
        <w:ind w:left="284" w:hanging="284"/>
        <w:outlineLvl w:val="9"/>
        <w:rPr>
          <w:b/>
          <w:sz w:val="20"/>
          <w:szCs w:val="22"/>
        </w:rPr>
      </w:pPr>
      <w:r>
        <w:rPr>
          <w:b/>
          <w:sz w:val="20"/>
          <w:szCs w:val="22"/>
        </w:rPr>
        <w:t xml:space="preserve"> </w:t>
      </w:r>
      <w:r w:rsidR="006220A2" w:rsidRPr="00A53B56">
        <w:rPr>
          <w:b/>
          <w:sz w:val="20"/>
          <w:szCs w:val="22"/>
        </w:rPr>
        <w:t>Pasivos financieros</w:t>
      </w:r>
    </w:p>
    <w:p w14:paraId="107E0811" w14:textId="77777777" w:rsidR="003E27B2" w:rsidRPr="00A53B56" w:rsidRDefault="006220A2" w:rsidP="00D67C6B">
      <w:pPr>
        <w:widowControl w:val="0"/>
        <w:spacing w:before="120" w:after="120" w:line="260" w:lineRule="exact"/>
        <w:jc w:val="both"/>
        <w:outlineLvl w:val="9"/>
        <w:rPr>
          <w:snapToGrid w:val="0"/>
          <w:sz w:val="20"/>
          <w:szCs w:val="22"/>
        </w:rPr>
      </w:pPr>
      <w:r w:rsidRPr="00A53B56">
        <w:rPr>
          <w:snapToGrid w:val="0"/>
          <w:sz w:val="20"/>
          <w:szCs w:val="22"/>
        </w:rPr>
        <w:t xml:space="preserve">El detalle de los pasivos financieros a </w:t>
      </w:r>
      <w:r w:rsidR="00077070" w:rsidRPr="00A53B56">
        <w:rPr>
          <w:snapToGrid w:val="0"/>
          <w:sz w:val="20"/>
          <w:szCs w:val="22"/>
        </w:rPr>
        <w:t>largo</w:t>
      </w:r>
      <w:r w:rsidRPr="00A53B56">
        <w:rPr>
          <w:snapToGrid w:val="0"/>
          <w:sz w:val="20"/>
          <w:szCs w:val="22"/>
        </w:rPr>
        <w:t xml:space="preserve"> </w:t>
      </w:r>
      <w:r w:rsidR="00716A99" w:rsidRPr="00A53B56">
        <w:rPr>
          <w:snapToGrid w:val="0"/>
          <w:sz w:val="20"/>
          <w:szCs w:val="22"/>
        </w:rPr>
        <w:t>plazo</w:t>
      </w:r>
      <w:r w:rsidRPr="00A53B56">
        <w:rPr>
          <w:snapToGrid w:val="0"/>
          <w:sz w:val="20"/>
          <w:szCs w:val="22"/>
        </w:rPr>
        <w:t xml:space="preserve"> es el siguiente, en euros:</w:t>
      </w:r>
    </w:p>
    <w:tbl>
      <w:tblPr>
        <w:tblW w:w="5000" w:type="pct"/>
        <w:tblCellMar>
          <w:left w:w="70" w:type="dxa"/>
          <w:right w:w="70" w:type="dxa"/>
        </w:tblCellMar>
        <w:tblLook w:val="04A0" w:firstRow="1" w:lastRow="0" w:firstColumn="1" w:lastColumn="0" w:noHBand="0" w:noVBand="1"/>
      </w:tblPr>
      <w:tblGrid>
        <w:gridCol w:w="3785"/>
        <w:gridCol w:w="1249"/>
        <w:gridCol w:w="1249"/>
        <w:gridCol w:w="223"/>
        <w:gridCol w:w="1026"/>
        <w:gridCol w:w="1249"/>
      </w:tblGrid>
      <w:tr w:rsidR="009527C4" w:rsidRPr="00A53B56" w14:paraId="1357046D" w14:textId="77777777" w:rsidTr="00A53B56">
        <w:trPr>
          <w:trHeight w:val="227"/>
        </w:trPr>
        <w:tc>
          <w:tcPr>
            <w:tcW w:w="2156" w:type="pct"/>
            <w:tcBorders>
              <w:top w:val="single" w:sz="4" w:space="0" w:color="auto"/>
              <w:left w:val="nil"/>
              <w:bottom w:val="nil"/>
              <w:right w:val="nil"/>
            </w:tcBorders>
            <w:shd w:val="clear" w:color="auto" w:fill="auto"/>
            <w:noWrap/>
            <w:vAlign w:val="center"/>
            <w:hideMark/>
          </w:tcPr>
          <w:p w14:paraId="4E083510" w14:textId="77777777" w:rsidR="009527C4" w:rsidRPr="00A53B5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2844" w:type="pct"/>
            <w:gridSpan w:val="5"/>
            <w:tcBorders>
              <w:top w:val="single" w:sz="4" w:space="0" w:color="auto"/>
              <w:left w:val="nil"/>
              <w:bottom w:val="nil"/>
              <w:right w:val="nil"/>
            </w:tcBorders>
            <w:shd w:val="clear" w:color="auto" w:fill="auto"/>
            <w:noWrap/>
            <w:vAlign w:val="bottom"/>
            <w:hideMark/>
          </w:tcPr>
          <w:p w14:paraId="2BE88C31" w14:textId="77777777" w:rsidR="009527C4" w:rsidRPr="00A53B56"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Euros</w:t>
            </w:r>
          </w:p>
        </w:tc>
      </w:tr>
      <w:tr w:rsidR="000715CB" w:rsidRPr="00A53B56" w14:paraId="120A16DE" w14:textId="77777777" w:rsidTr="00A53B56">
        <w:trPr>
          <w:trHeight w:val="227"/>
        </w:trPr>
        <w:tc>
          <w:tcPr>
            <w:tcW w:w="2156" w:type="pct"/>
            <w:tcBorders>
              <w:top w:val="nil"/>
              <w:left w:val="nil"/>
              <w:right w:val="nil"/>
            </w:tcBorders>
            <w:shd w:val="clear" w:color="auto" w:fill="auto"/>
            <w:noWrap/>
            <w:vAlign w:val="center"/>
            <w:hideMark/>
          </w:tcPr>
          <w:p w14:paraId="0C518E29" w14:textId="77777777" w:rsidR="009527C4" w:rsidRPr="00A53B5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2844" w:type="pct"/>
            <w:gridSpan w:val="5"/>
            <w:tcBorders>
              <w:top w:val="single" w:sz="4" w:space="0" w:color="auto"/>
              <w:left w:val="nil"/>
              <w:bottom w:val="single" w:sz="4" w:space="0" w:color="auto"/>
              <w:right w:val="nil"/>
            </w:tcBorders>
            <w:shd w:val="clear" w:color="auto" w:fill="auto"/>
            <w:noWrap/>
            <w:vAlign w:val="bottom"/>
            <w:hideMark/>
          </w:tcPr>
          <w:p w14:paraId="2FC77617" w14:textId="77777777" w:rsidR="009527C4" w:rsidRPr="00A53B56"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Pasivos financieros a largo plazo</w:t>
            </w:r>
          </w:p>
        </w:tc>
      </w:tr>
      <w:tr w:rsidR="000715CB" w:rsidRPr="00A53B56" w14:paraId="52C1D251" w14:textId="77777777" w:rsidTr="00A53B56">
        <w:trPr>
          <w:trHeight w:val="227"/>
        </w:trPr>
        <w:tc>
          <w:tcPr>
            <w:tcW w:w="2156" w:type="pct"/>
            <w:vMerge w:val="restart"/>
            <w:tcBorders>
              <w:top w:val="nil"/>
              <w:left w:val="nil"/>
              <w:bottom w:val="nil"/>
              <w:right w:val="nil"/>
            </w:tcBorders>
            <w:shd w:val="clear" w:color="auto" w:fill="auto"/>
            <w:noWrap/>
            <w:vAlign w:val="center"/>
            <w:hideMark/>
          </w:tcPr>
          <w:p w14:paraId="281BF334" w14:textId="77777777" w:rsidR="009527C4" w:rsidRPr="00A53B5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549" w:type="pct"/>
            <w:gridSpan w:val="3"/>
            <w:vMerge w:val="restart"/>
            <w:tcBorders>
              <w:top w:val="nil"/>
              <w:left w:val="nil"/>
              <w:bottom w:val="nil"/>
              <w:right w:val="nil"/>
            </w:tcBorders>
            <w:shd w:val="clear" w:color="auto" w:fill="auto"/>
            <w:vAlign w:val="bottom"/>
            <w:hideMark/>
          </w:tcPr>
          <w:p w14:paraId="6EF735B4" w14:textId="77777777" w:rsidR="007E7835" w:rsidRPr="00A53B56"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 xml:space="preserve">Deudas con </w:t>
            </w:r>
          </w:p>
          <w:p w14:paraId="534DE057" w14:textId="24BC82EB" w:rsidR="009527C4" w:rsidRPr="00A53B56"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entidades de crédito</w:t>
            </w:r>
          </w:p>
        </w:tc>
        <w:tc>
          <w:tcPr>
            <w:tcW w:w="1294" w:type="pct"/>
            <w:gridSpan w:val="2"/>
            <w:tcBorders>
              <w:left w:val="nil"/>
              <w:right w:val="nil"/>
            </w:tcBorders>
            <w:shd w:val="clear" w:color="auto" w:fill="auto"/>
            <w:noWrap/>
            <w:vAlign w:val="bottom"/>
            <w:hideMark/>
          </w:tcPr>
          <w:p w14:paraId="6DA44A43" w14:textId="77777777" w:rsidR="009527C4" w:rsidRPr="00A53B56"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Derivados</w:t>
            </w:r>
          </w:p>
        </w:tc>
      </w:tr>
      <w:tr w:rsidR="000715CB" w:rsidRPr="00A53B56" w14:paraId="0918363C" w14:textId="77777777" w:rsidTr="00A53B56">
        <w:trPr>
          <w:trHeight w:val="227"/>
        </w:trPr>
        <w:tc>
          <w:tcPr>
            <w:tcW w:w="2156" w:type="pct"/>
            <w:vMerge/>
            <w:tcBorders>
              <w:left w:val="nil"/>
              <w:right w:val="nil"/>
            </w:tcBorders>
            <w:vAlign w:val="center"/>
            <w:hideMark/>
          </w:tcPr>
          <w:p w14:paraId="70AE4F81" w14:textId="77777777" w:rsidR="009527C4" w:rsidRPr="00A53B5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549" w:type="pct"/>
            <w:gridSpan w:val="3"/>
            <w:vMerge/>
            <w:tcBorders>
              <w:left w:val="nil"/>
              <w:bottom w:val="nil"/>
              <w:right w:val="nil"/>
            </w:tcBorders>
            <w:vAlign w:val="bottom"/>
            <w:hideMark/>
          </w:tcPr>
          <w:p w14:paraId="6A2CFF26" w14:textId="77777777" w:rsidR="009527C4" w:rsidRPr="00A53B56"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294" w:type="pct"/>
            <w:gridSpan w:val="2"/>
            <w:tcBorders>
              <w:left w:val="nil"/>
              <w:bottom w:val="nil"/>
              <w:right w:val="nil"/>
            </w:tcBorders>
            <w:shd w:val="clear" w:color="auto" w:fill="auto"/>
            <w:noWrap/>
            <w:vAlign w:val="bottom"/>
            <w:hideMark/>
          </w:tcPr>
          <w:p w14:paraId="5B45353C" w14:textId="77777777" w:rsidR="009527C4" w:rsidRPr="00A53B56" w:rsidRDefault="009527C4" w:rsidP="00447C3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Otros</w:t>
            </w:r>
          </w:p>
        </w:tc>
      </w:tr>
      <w:tr w:rsidR="00CA185F" w:rsidRPr="00A53B56" w14:paraId="01877A3B" w14:textId="77777777" w:rsidTr="001B5A15">
        <w:tblPrEx>
          <w:jc w:val="center"/>
        </w:tblPrEx>
        <w:trPr>
          <w:trHeight w:val="283"/>
          <w:jc w:val="center"/>
        </w:trPr>
        <w:tc>
          <w:tcPr>
            <w:tcW w:w="2156" w:type="pct"/>
            <w:tcBorders>
              <w:left w:val="nil"/>
              <w:bottom w:val="nil"/>
              <w:right w:val="nil"/>
            </w:tcBorders>
            <w:shd w:val="clear" w:color="auto" w:fill="auto"/>
            <w:noWrap/>
            <w:vAlign w:val="center"/>
            <w:hideMark/>
          </w:tcPr>
          <w:p w14:paraId="00E563CF" w14:textId="77777777" w:rsidR="00CA185F" w:rsidRPr="00A53B56" w:rsidRDefault="00CA185F" w:rsidP="00CA185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A53B56">
              <w:rPr>
                <w:rFonts w:eastAsia="Times New Roman"/>
                <w:sz w:val="18"/>
                <w:szCs w:val="18"/>
                <w:bdr w:val="none" w:sz="0" w:space="0" w:color="auto"/>
                <w:lang w:eastAsia="es-ES"/>
              </w:rPr>
              <w:t> </w:t>
            </w:r>
          </w:p>
        </w:tc>
        <w:tc>
          <w:tcPr>
            <w:tcW w:w="711" w:type="pct"/>
            <w:tcBorders>
              <w:top w:val="single" w:sz="4" w:space="0" w:color="auto"/>
              <w:left w:val="nil"/>
              <w:bottom w:val="nil"/>
              <w:right w:val="nil"/>
            </w:tcBorders>
            <w:shd w:val="clear" w:color="auto" w:fill="auto"/>
            <w:noWrap/>
            <w:vAlign w:val="bottom"/>
            <w:hideMark/>
          </w:tcPr>
          <w:p w14:paraId="7B329EAA" w14:textId="5AADCA73" w:rsidR="00CA185F" w:rsidRPr="00A53B56" w:rsidRDefault="00CA185F" w:rsidP="00CA185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31/12/202</w:t>
            </w:r>
            <w:r w:rsidR="00A53B56" w:rsidRPr="00A53B56">
              <w:rPr>
                <w:rFonts w:eastAsia="Times New Roman"/>
                <w:b/>
                <w:bCs/>
                <w:sz w:val="18"/>
                <w:szCs w:val="18"/>
                <w:bdr w:val="none" w:sz="0" w:space="0" w:color="auto"/>
                <w:lang w:eastAsia="es-ES"/>
              </w:rPr>
              <w:t>3</w:t>
            </w:r>
          </w:p>
        </w:tc>
        <w:tc>
          <w:tcPr>
            <w:tcW w:w="711" w:type="pct"/>
            <w:tcBorders>
              <w:top w:val="single" w:sz="4" w:space="0" w:color="auto"/>
              <w:left w:val="nil"/>
              <w:bottom w:val="nil"/>
              <w:right w:val="nil"/>
            </w:tcBorders>
            <w:shd w:val="clear" w:color="auto" w:fill="auto"/>
            <w:noWrap/>
            <w:vAlign w:val="bottom"/>
            <w:hideMark/>
          </w:tcPr>
          <w:p w14:paraId="5FFDCEE0" w14:textId="2363D2F6" w:rsidR="00CA185F" w:rsidRPr="00A53B56" w:rsidRDefault="00CA185F" w:rsidP="00CA185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31/12/202</w:t>
            </w:r>
            <w:r w:rsidR="00A53B56" w:rsidRPr="00A53B56">
              <w:rPr>
                <w:rFonts w:eastAsia="Times New Roman"/>
                <w:b/>
                <w:bCs/>
                <w:sz w:val="18"/>
                <w:szCs w:val="18"/>
                <w:bdr w:val="none" w:sz="0" w:space="0" w:color="auto"/>
                <w:lang w:eastAsia="es-ES"/>
              </w:rPr>
              <w:t>2</w:t>
            </w:r>
          </w:p>
        </w:tc>
        <w:tc>
          <w:tcPr>
            <w:tcW w:w="711" w:type="pct"/>
            <w:gridSpan w:val="2"/>
            <w:tcBorders>
              <w:top w:val="single" w:sz="4" w:space="0" w:color="auto"/>
              <w:left w:val="nil"/>
              <w:bottom w:val="nil"/>
              <w:right w:val="nil"/>
            </w:tcBorders>
            <w:shd w:val="clear" w:color="auto" w:fill="auto"/>
            <w:noWrap/>
            <w:vAlign w:val="bottom"/>
            <w:hideMark/>
          </w:tcPr>
          <w:p w14:paraId="26F65B24" w14:textId="1C7779B2" w:rsidR="00CA185F" w:rsidRPr="00A53B56" w:rsidRDefault="00CA185F" w:rsidP="00CA185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31/12/202</w:t>
            </w:r>
            <w:r w:rsidR="00A53B56">
              <w:rPr>
                <w:rFonts w:eastAsia="Times New Roman"/>
                <w:b/>
                <w:bCs/>
                <w:sz w:val="18"/>
                <w:szCs w:val="18"/>
                <w:bdr w:val="none" w:sz="0" w:space="0" w:color="auto"/>
                <w:lang w:eastAsia="es-ES"/>
              </w:rPr>
              <w:t>3</w:t>
            </w:r>
          </w:p>
        </w:tc>
        <w:tc>
          <w:tcPr>
            <w:tcW w:w="710" w:type="pct"/>
            <w:tcBorders>
              <w:top w:val="single" w:sz="4" w:space="0" w:color="auto"/>
              <w:left w:val="nil"/>
              <w:bottom w:val="nil"/>
              <w:right w:val="nil"/>
            </w:tcBorders>
            <w:shd w:val="clear" w:color="auto" w:fill="auto"/>
            <w:noWrap/>
            <w:vAlign w:val="bottom"/>
            <w:hideMark/>
          </w:tcPr>
          <w:p w14:paraId="54133FE8" w14:textId="25D1771B" w:rsidR="00CA185F" w:rsidRPr="00A53B56" w:rsidRDefault="00CA185F" w:rsidP="00CA185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31/12/202</w:t>
            </w:r>
            <w:r w:rsidR="00A53B56">
              <w:rPr>
                <w:rFonts w:eastAsia="Times New Roman"/>
                <w:b/>
                <w:bCs/>
                <w:sz w:val="18"/>
                <w:szCs w:val="18"/>
                <w:bdr w:val="none" w:sz="0" w:space="0" w:color="auto"/>
                <w:lang w:eastAsia="es-ES"/>
              </w:rPr>
              <w:t>2</w:t>
            </w:r>
          </w:p>
        </w:tc>
      </w:tr>
      <w:tr w:rsidR="00A53B56" w:rsidRPr="00A53B56" w14:paraId="7139B515" w14:textId="77777777" w:rsidTr="00A53B56">
        <w:trPr>
          <w:trHeight w:val="283"/>
        </w:trPr>
        <w:tc>
          <w:tcPr>
            <w:tcW w:w="2156" w:type="pct"/>
            <w:tcBorders>
              <w:top w:val="single" w:sz="4" w:space="0" w:color="auto"/>
              <w:left w:val="nil"/>
              <w:bottom w:val="nil"/>
              <w:right w:val="nil"/>
            </w:tcBorders>
            <w:shd w:val="clear" w:color="auto" w:fill="auto"/>
            <w:noWrap/>
            <w:vAlign w:val="center"/>
            <w:hideMark/>
          </w:tcPr>
          <w:p w14:paraId="20FECB23" w14:textId="77777777"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A53B56">
              <w:rPr>
                <w:rFonts w:eastAsia="Times New Roman"/>
                <w:sz w:val="18"/>
                <w:szCs w:val="18"/>
                <w:bdr w:val="none" w:sz="0" w:space="0" w:color="auto"/>
                <w:lang w:eastAsia="es-ES"/>
              </w:rPr>
              <w:t>Pasivos financieros a coste amortizado</w:t>
            </w:r>
          </w:p>
          <w:p w14:paraId="4568DFD5" w14:textId="69C3BB74"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A53B56">
              <w:rPr>
                <w:rFonts w:eastAsia="Times New Roman"/>
                <w:sz w:val="18"/>
                <w:szCs w:val="18"/>
                <w:bdr w:val="none" w:sz="0" w:space="0" w:color="auto"/>
                <w:lang w:eastAsia="es-ES"/>
              </w:rPr>
              <w:t>(Nota 8.3.a)</w:t>
            </w:r>
          </w:p>
        </w:tc>
        <w:tc>
          <w:tcPr>
            <w:tcW w:w="711" w:type="pct"/>
            <w:tcBorders>
              <w:top w:val="single" w:sz="4" w:space="0" w:color="auto"/>
              <w:left w:val="nil"/>
              <w:bottom w:val="nil"/>
              <w:right w:val="nil"/>
            </w:tcBorders>
            <w:shd w:val="clear" w:color="auto" w:fill="auto"/>
            <w:noWrap/>
            <w:vAlign w:val="center"/>
            <w:hideMark/>
          </w:tcPr>
          <w:p w14:paraId="635FC346" w14:textId="7A768F59"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 -</w:t>
            </w:r>
          </w:p>
        </w:tc>
        <w:tc>
          <w:tcPr>
            <w:tcW w:w="711" w:type="pct"/>
            <w:tcBorders>
              <w:top w:val="single" w:sz="4" w:space="0" w:color="auto"/>
              <w:left w:val="nil"/>
              <w:bottom w:val="nil"/>
              <w:right w:val="nil"/>
            </w:tcBorders>
            <w:shd w:val="clear" w:color="auto" w:fill="auto"/>
            <w:noWrap/>
            <w:vAlign w:val="center"/>
            <w:hideMark/>
          </w:tcPr>
          <w:p w14:paraId="6BD33203" w14:textId="39D858B2"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 -</w:t>
            </w:r>
          </w:p>
        </w:tc>
        <w:tc>
          <w:tcPr>
            <w:tcW w:w="711" w:type="pct"/>
            <w:gridSpan w:val="2"/>
            <w:tcBorders>
              <w:top w:val="single" w:sz="4" w:space="0" w:color="auto"/>
              <w:left w:val="nil"/>
              <w:bottom w:val="nil"/>
              <w:right w:val="nil"/>
            </w:tcBorders>
            <w:shd w:val="clear" w:color="auto" w:fill="auto"/>
            <w:noWrap/>
            <w:vAlign w:val="center"/>
          </w:tcPr>
          <w:p w14:paraId="20329846" w14:textId="21071A1E"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5.768,00</w:t>
            </w:r>
          </w:p>
        </w:tc>
        <w:tc>
          <w:tcPr>
            <w:tcW w:w="710" w:type="pct"/>
            <w:tcBorders>
              <w:top w:val="single" w:sz="4" w:space="0" w:color="auto"/>
              <w:left w:val="nil"/>
              <w:bottom w:val="nil"/>
              <w:right w:val="nil"/>
            </w:tcBorders>
            <w:shd w:val="clear" w:color="auto" w:fill="auto"/>
            <w:noWrap/>
            <w:vAlign w:val="center"/>
          </w:tcPr>
          <w:p w14:paraId="50088095" w14:textId="121596D5"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8.418,00</w:t>
            </w:r>
          </w:p>
        </w:tc>
      </w:tr>
      <w:tr w:rsidR="00A53B56" w:rsidRPr="005644E5" w14:paraId="4CFAAB82" w14:textId="77777777" w:rsidTr="001B5A15">
        <w:tblPrEx>
          <w:jc w:val="center"/>
        </w:tblPrEx>
        <w:trPr>
          <w:trHeight w:val="283"/>
          <w:jc w:val="center"/>
        </w:trPr>
        <w:tc>
          <w:tcPr>
            <w:tcW w:w="2156" w:type="pct"/>
            <w:tcBorders>
              <w:top w:val="single" w:sz="4" w:space="0" w:color="auto"/>
              <w:left w:val="nil"/>
              <w:bottom w:val="single" w:sz="4" w:space="0" w:color="auto"/>
              <w:right w:val="nil"/>
            </w:tcBorders>
            <w:shd w:val="clear" w:color="auto" w:fill="auto"/>
            <w:noWrap/>
            <w:vAlign w:val="center"/>
            <w:hideMark/>
          </w:tcPr>
          <w:p w14:paraId="4DE4E87B" w14:textId="77777777"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A53B56">
              <w:rPr>
                <w:rFonts w:eastAsia="Times New Roman"/>
                <w:b/>
                <w:bCs/>
                <w:sz w:val="18"/>
                <w:szCs w:val="18"/>
                <w:bdr w:val="none" w:sz="0" w:space="0" w:color="auto"/>
                <w:lang w:eastAsia="es-ES"/>
              </w:rPr>
              <w:t>Total</w:t>
            </w:r>
          </w:p>
        </w:tc>
        <w:tc>
          <w:tcPr>
            <w:tcW w:w="711" w:type="pct"/>
            <w:tcBorders>
              <w:top w:val="single" w:sz="4" w:space="0" w:color="auto"/>
              <w:left w:val="nil"/>
              <w:bottom w:val="single" w:sz="4" w:space="0" w:color="auto"/>
              <w:right w:val="nil"/>
            </w:tcBorders>
            <w:shd w:val="clear" w:color="auto" w:fill="auto"/>
            <w:noWrap/>
            <w:vAlign w:val="center"/>
            <w:hideMark/>
          </w:tcPr>
          <w:p w14:paraId="61B78847" w14:textId="28175D42"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 -</w:t>
            </w:r>
          </w:p>
        </w:tc>
        <w:tc>
          <w:tcPr>
            <w:tcW w:w="711" w:type="pct"/>
            <w:tcBorders>
              <w:top w:val="single" w:sz="4" w:space="0" w:color="auto"/>
              <w:left w:val="nil"/>
              <w:bottom w:val="single" w:sz="4" w:space="0" w:color="auto"/>
              <w:right w:val="nil"/>
            </w:tcBorders>
            <w:shd w:val="clear" w:color="auto" w:fill="auto"/>
            <w:noWrap/>
            <w:vAlign w:val="center"/>
            <w:hideMark/>
          </w:tcPr>
          <w:p w14:paraId="58F40494" w14:textId="6A11700F"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 xml:space="preserve"> -</w:t>
            </w:r>
          </w:p>
        </w:tc>
        <w:tc>
          <w:tcPr>
            <w:tcW w:w="711" w:type="pct"/>
            <w:gridSpan w:val="2"/>
            <w:tcBorders>
              <w:top w:val="single" w:sz="4" w:space="0" w:color="auto"/>
              <w:left w:val="nil"/>
              <w:bottom w:val="single" w:sz="4" w:space="0" w:color="auto"/>
              <w:right w:val="nil"/>
            </w:tcBorders>
            <w:shd w:val="clear" w:color="auto" w:fill="auto"/>
            <w:noWrap/>
            <w:vAlign w:val="center"/>
          </w:tcPr>
          <w:p w14:paraId="2460741D" w14:textId="69AFD3BE" w:rsidR="00A53B56" w:rsidRPr="00A53B56"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5.768,00</w:t>
            </w:r>
          </w:p>
        </w:tc>
        <w:tc>
          <w:tcPr>
            <w:tcW w:w="710" w:type="pct"/>
            <w:tcBorders>
              <w:top w:val="single" w:sz="4" w:space="0" w:color="auto"/>
              <w:left w:val="nil"/>
              <w:bottom w:val="single" w:sz="4" w:space="0" w:color="auto"/>
              <w:right w:val="nil"/>
            </w:tcBorders>
            <w:shd w:val="clear" w:color="auto" w:fill="auto"/>
            <w:noWrap/>
            <w:vAlign w:val="center"/>
          </w:tcPr>
          <w:p w14:paraId="235347EA" w14:textId="57C504AE" w:rsidR="00A53B56" w:rsidRPr="005644E5" w:rsidRDefault="00A53B56" w:rsidP="00A53B5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8.418,00</w:t>
            </w:r>
          </w:p>
        </w:tc>
      </w:tr>
    </w:tbl>
    <w:p w14:paraId="2A2D5910" w14:textId="77777777" w:rsidR="008E734E" w:rsidRDefault="008E734E" w:rsidP="00176BA0">
      <w:pPr>
        <w:keepNext/>
        <w:keepLines/>
        <w:widowControl w:val="0"/>
        <w:spacing w:before="120" w:after="120" w:line="260" w:lineRule="exact"/>
        <w:ind w:left="284"/>
        <w:jc w:val="both"/>
        <w:outlineLvl w:val="9"/>
        <w:rPr>
          <w:snapToGrid w:val="0"/>
          <w:sz w:val="20"/>
          <w:szCs w:val="22"/>
        </w:rPr>
      </w:pPr>
    </w:p>
    <w:p w14:paraId="56E07457" w14:textId="4E9AF81D" w:rsidR="00077070" w:rsidRPr="00037346" w:rsidRDefault="00077070" w:rsidP="00D67C6B">
      <w:pPr>
        <w:keepNext/>
        <w:keepLines/>
        <w:widowControl w:val="0"/>
        <w:spacing w:before="120" w:after="120" w:line="260" w:lineRule="exact"/>
        <w:jc w:val="both"/>
        <w:outlineLvl w:val="9"/>
        <w:rPr>
          <w:snapToGrid w:val="0"/>
          <w:sz w:val="20"/>
          <w:szCs w:val="22"/>
        </w:rPr>
      </w:pPr>
      <w:r w:rsidRPr="00037346">
        <w:rPr>
          <w:snapToGrid w:val="0"/>
          <w:sz w:val="20"/>
          <w:szCs w:val="22"/>
        </w:rPr>
        <w:t xml:space="preserve">El detalle de los pasivos financieros a corto </w:t>
      </w:r>
      <w:r w:rsidR="00716A99" w:rsidRPr="00037346">
        <w:rPr>
          <w:snapToGrid w:val="0"/>
          <w:sz w:val="20"/>
          <w:szCs w:val="22"/>
        </w:rPr>
        <w:t>plazo</w:t>
      </w:r>
      <w:r w:rsidRPr="00037346">
        <w:rPr>
          <w:snapToGrid w:val="0"/>
          <w:sz w:val="20"/>
          <w:szCs w:val="22"/>
        </w:rPr>
        <w:t xml:space="preserve"> es el siguiente, en euros:</w:t>
      </w:r>
    </w:p>
    <w:tbl>
      <w:tblPr>
        <w:tblW w:w="5000" w:type="pct"/>
        <w:tblCellMar>
          <w:left w:w="70" w:type="dxa"/>
          <w:right w:w="70" w:type="dxa"/>
        </w:tblCellMar>
        <w:tblLook w:val="04A0" w:firstRow="1" w:lastRow="0" w:firstColumn="1" w:lastColumn="0" w:noHBand="0" w:noVBand="1"/>
      </w:tblPr>
      <w:tblGrid>
        <w:gridCol w:w="3402"/>
        <w:gridCol w:w="1461"/>
        <w:gridCol w:w="1192"/>
        <w:gridCol w:w="1363"/>
        <w:gridCol w:w="1363"/>
      </w:tblGrid>
      <w:tr w:rsidR="00447C36" w:rsidRPr="00037346" w14:paraId="709F64FD" w14:textId="77777777" w:rsidTr="00176BA0">
        <w:trPr>
          <w:trHeight w:val="227"/>
        </w:trPr>
        <w:tc>
          <w:tcPr>
            <w:tcW w:w="1937" w:type="pct"/>
            <w:tcBorders>
              <w:top w:val="single" w:sz="4" w:space="0" w:color="auto"/>
              <w:left w:val="nil"/>
              <w:bottom w:val="nil"/>
              <w:right w:val="nil"/>
            </w:tcBorders>
            <w:shd w:val="clear" w:color="auto" w:fill="auto"/>
            <w:vAlign w:val="bottom"/>
          </w:tcPr>
          <w:p w14:paraId="4518FAF0" w14:textId="77777777" w:rsidR="00447C36" w:rsidRPr="00037346" w:rsidRDefault="00447C36" w:rsidP="00176BA0">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3063" w:type="pct"/>
            <w:gridSpan w:val="4"/>
            <w:tcBorders>
              <w:top w:val="single" w:sz="4" w:space="0" w:color="auto"/>
              <w:left w:val="nil"/>
              <w:bottom w:val="single" w:sz="4" w:space="0" w:color="auto"/>
              <w:right w:val="nil"/>
            </w:tcBorders>
            <w:shd w:val="clear" w:color="auto" w:fill="auto"/>
            <w:vAlign w:val="bottom"/>
          </w:tcPr>
          <w:p w14:paraId="6A5F99E2" w14:textId="77777777" w:rsidR="00447C36" w:rsidRPr="00037346" w:rsidRDefault="00447C36" w:rsidP="00176BA0">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Euros</w:t>
            </w:r>
          </w:p>
        </w:tc>
      </w:tr>
      <w:tr w:rsidR="009527C4" w:rsidRPr="00037346" w14:paraId="56BC7544" w14:textId="77777777" w:rsidTr="00176BA0">
        <w:trPr>
          <w:trHeight w:val="227"/>
        </w:trPr>
        <w:tc>
          <w:tcPr>
            <w:tcW w:w="1937" w:type="pct"/>
            <w:tcBorders>
              <w:top w:val="nil"/>
              <w:left w:val="nil"/>
              <w:bottom w:val="nil"/>
              <w:right w:val="nil"/>
            </w:tcBorders>
            <w:shd w:val="clear" w:color="auto" w:fill="auto"/>
            <w:vAlign w:val="bottom"/>
            <w:hideMark/>
          </w:tcPr>
          <w:p w14:paraId="2DF241B6" w14:textId="77777777"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3063" w:type="pct"/>
            <w:gridSpan w:val="4"/>
            <w:tcBorders>
              <w:top w:val="single" w:sz="4" w:space="0" w:color="auto"/>
              <w:left w:val="nil"/>
              <w:bottom w:val="single" w:sz="4" w:space="0" w:color="auto"/>
              <w:right w:val="nil"/>
            </w:tcBorders>
            <w:shd w:val="clear" w:color="auto" w:fill="auto"/>
            <w:vAlign w:val="bottom"/>
            <w:hideMark/>
          </w:tcPr>
          <w:p w14:paraId="41CFAA13" w14:textId="77777777"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Pasivos financieros a corto plazo</w:t>
            </w:r>
          </w:p>
        </w:tc>
      </w:tr>
      <w:tr w:rsidR="000715CB" w:rsidRPr="00037346" w14:paraId="384DF366" w14:textId="77777777" w:rsidTr="00176BA0">
        <w:trPr>
          <w:trHeight w:val="227"/>
        </w:trPr>
        <w:tc>
          <w:tcPr>
            <w:tcW w:w="1937" w:type="pct"/>
            <w:vMerge w:val="restart"/>
            <w:tcBorders>
              <w:top w:val="nil"/>
              <w:left w:val="nil"/>
              <w:bottom w:val="nil"/>
              <w:right w:val="nil"/>
            </w:tcBorders>
            <w:shd w:val="clear" w:color="auto" w:fill="auto"/>
            <w:vAlign w:val="bottom"/>
            <w:hideMark/>
          </w:tcPr>
          <w:p w14:paraId="16EB8DCB" w14:textId="77777777"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511" w:type="pct"/>
            <w:gridSpan w:val="2"/>
            <w:tcBorders>
              <w:top w:val="nil"/>
              <w:left w:val="nil"/>
              <w:bottom w:val="nil"/>
              <w:right w:val="nil"/>
            </w:tcBorders>
            <w:shd w:val="clear" w:color="auto" w:fill="auto"/>
            <w:vAlign w:val="bottom"/>
            <w:hideMark/>
          </w:tcPr>
          <w:p w14:paraId="65AB6149" w14:textId="06BAD956"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Deudas con entidades</w:t>
            </w:r>
          </w:p>
        </w:tc>
        <w:tc>
          <w:tcPr>
            <w:tcW w:w="1552" w:type="pct"/>
            <w:gridSpan w:val="2"/>
            <w:tcBorders>
              <w:top w:val="nil"/>
              <w:left w:val="nil"/>
              <w:bottom w:val="nil"/>
              <w:right w:val="nil"/>
            </w:tcBorders>
            <w:shd w:val="clear" w:color="auto" w:fill="auto"/>
            <w:vAlign w:val="bottom"/>
            <w:hideMark/>
          </w:tcPr>
          <w:p w14:paraId="7AC024BA" w14:textId="77777777"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Derivados y</w:t>
            </w:r>
          </w:p>
        </w:tc>
      </w:tr>
      <w:tr w:rsidR="000715CB" w:rsidRPr="00037346" w14:paraId="464168E8" w14:textId="77777777" w:rsidTr="00176BA0">
        <w:trPr>
          <w:trHeight w:val="227"/>
        </w:trPr>
        <w:tc>
          <w:tcPr>
            <w:tcW w:w="1937" w:type="pct"/>
            <w:vMerge/>
            <w:tcBorders>
              <w:top w:val="nil"/>
              <w:left w:val="nil"/>
              <w:bottom w:val="nil"/>
              <w:right w:val="nil"/>
            </w:tcBorders>
            <w:vAlign w:val="center"/>
            <w:hideMark/>
          </w:tcPr>
          <w:p w14:paraId="217F6566" w14:textId="77777777"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1511" w:type="pct"/>
            <w:gridSpan w:val="2"/>
            <w:tcBorders>
              <w:top w:val="nil"/>
              <w:left w:val="nil"/>
              <w:bottom w:val="single" w:sz="4" w:space="0" w:color="auto"/>
              <w:right w:val="nil"/>
            </w:tcBorders>
            <w:shd w:val="clear" w:color="auto" w:fill="auto"/>
            <w:vAlign w:val="bottom"/>
            <w:hideMark/>
          </w:tcPr>
          <w:p w14:paraId="2F61CFA0" w14:textId="77777777"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de crédito</w:t>
            </w:r>
          </w:p>
        </w:tc>
        <w:tc>
          <w:tcPr>
            <w:tcW w:w="1552" w:type="pct"/>
            <w:gridSpan w:val="2"/>
            <w:tcBorders>
              <w:top w:val="nil"/>
              <w:left w:val="nil"/>
              <w:bottom w:val="single" w:sz="4" w:space="0" w:color="auto"/>
              <w:right w:val="nil"/>
            </w:tcBorders>
            <w:shd w:val="clear" w:color="auto" w:fill="auto"/>
            <w:vAlign w:val="bottom"/>
            <w:hideMark/>
          </w:tcPr>
          <w:p w14:paraId="5666F13C" w14:textId="77777777" w:rsidR="009527C4" w:rsidRPr="00037346" w:rsidRDefault="009527C4" w:rsidP="007E7835">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Otros</w:t>
            </w:r>
          </w:p>
        </w:tc>
      </w:tr>
      <w:tr w:rsidR="00037346" w:rsidRPr="00037346" w14:paraId="3E48150B" w14:textId="77777777" w:rsidTr="00176BA0">
        <w:trPr>
          <w:trHeight w:val="283"/>
        </w:trPr>
        <w:tc>
          <w:tcPr>
            <w:tcW w:w="1937" w:type="pct"/>
            <w:tcBorders>
              <w:top w:val="nil"/>
              <w:left w:val="nil"/>
              <w:bottom w:val="single" w:sz="4" w:space="0" w:color="auto"/>
              <w:right w:val="nil"/>
            </w:tcBorders>
            <w:shd w:val="clear" w:color="auto" w:fill="auto"/>
            <w:vAlign w:val="bottom"/>
            <w:hideMark/>
          </w:tcPr>
          <w:p w14:paraId="56626B84" w14:textId="77777777"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Calibri" w:eastAsia="Times New Roman" w:hAnsi="Calibri" w:cs="Calibri"/>
                <w:sz w:val="18"/>
                <w:szCs w:val="18"/>
                <w:bdr w:val="none" w:sz="0" w:space="0" w:color="auto"/>
                <w:lang w:eastAsia="es-ES"/>
              </w:rPr>
            </w:pPr>
            <w:r w:rsidRPr="00037346">
              <w:rPr>
                <w:rFonts w:ascii="Calibri" w:eastAsia="Times New Roman" w:hAnsi="Calibri" w:cs="Calibri"/>
                <w:sz w:val="18"/>
                <w:szCs w:val="18"/>
                <w:bdr w:val="none" w:sz="0" w:space="0" w:color="auto"/>
                <w:lang w:eastAsia="es-ES"/>
              </w:rPr>
              <w:t> </w:t>
            </w:r>
          </w:p>
        </w:tc>
        <w:tc>
          <w:tcPr>
            <w:tcW w:w="832" w:type="pct"/>
            <w:tcBorders>
              <w:top w:val="nil"/>
              <w:left w:val="nil"/>
              <w:bottom w:val="single" w:sz="4" w:space="0" w:color="auto"/>
              <w:right w:val="nil"/>
            </w:tcBorders>
            <w:shd w:val="clear" w:color="auto" w:fill="auto"/>
            <w:vAlign w:val="bottom"/>
            <w:hideMark/>
          </w:tcPr>
          <w:p w14:paraId="18C37BA0" w14:textId="09703FC6"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31/12/2023</w:t>
            </w:r>
          </w:p>
        </w:tc>
        <w:tc>
          <w:tcPr>
            <w:tcW w:w="679" w:type="pct"/>
            <w:tcBorders>
              <w:top w:val="nil"/>
              <w:left w:val="nil"/>
              <w:bottom w:val="single" w:sz="4" w:space="0" w:color="auto"/>
              <w:right w:val="nil"/>
            </w:tcBorders>
            <w:shd w:val="clear" w:color="auto" w:fill="auto"/>
            <w:vAlign w:val="bottom"/>
            <w:hideMark/>
          </w:tcPr>
          <w:p w14:paraId="1E6A6658" w14:textId="0CA11D0F"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31/12/2022</w:t>
            </w:r>
          </w:p>
        </w:tc>
        <w:tc>
          <w:tcPr>
            <w:tcW w:w="776" w:type="pct"/>
            <w:tcBorders>
              <w:top w:val="nil"/>
              <w:left w:val="nil"/>
              <w:bottom w:val="single" w:sz="4" w:space="0" w:color="auto"/>
              <w:right w:val="nil"/>
            </w:tcBorders>
            <w:shd w:val="clear" w:color="auto" w:fill="auto"/>
            <w:vAlign w:val="bottom"/>
            <w:hideMark/>
          </w:tcPr>
          <w:p w14:paraId="72E500CD" w14:textId="1E7E5165"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31/12/2023</w:t>
            </w:r>
          </w:p>
        </w:tc>
        <w:tc>
          <w:tcPr>
            <w:tcW w:w="776" w:type="pct"/>
            <w:tcBorders>
              <w:top w:val="nil"/>
              <w:left w:val="nil"/>
              <w:bottom w:val="single" w:sz="4" w:space="0" w:color="auto"/>
              <w:right w:val="nil"/>
            </w:tcBorders>
            <w:shd w:val="clear" w:color="auto" w:fill="auto"/>
            <w:vAlign w:val="bottom"/>
            <w:hideMark/>
          </w:tcPr>
          <w:p w14:paraId="565CB993" w14:textId="3847B649"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31/12/2022</w:t>
            </w:r>
          </w:p>
        </w:tc>
      </w:tr>
      <w:tr w:rsidR="00037346" w:rsidRPr="00037346" w14:paraId="1B25E209" w14:textId="77777777" w:rsidTr="00176BA0">
        <w:trPr>
          <w:trHeight w:val="283"/>
        </w:trPr>
        <w:tc>
          <w:tcPr>
            <w:tcW w:w="1937" w:type="pct"/>
            <w:tcBorders>
              <w:top w:val="nil"/>
              <w:left w:val="nil"/>
              <w:bottom w:val="single" w:sz="4" w:space="0" w:color="auto"/>
              <w:right w:val="nil"/>
            </w:tcBorders>
            <w:shd w:val="clear" w:color="auto" w:fill="auto"/>
            <w:vAlign w:val="center"/>
            <w:hideMark/>
          </w:tcPr>
          <w:p w14:paraId="6E5C1C43" w14:textId="23410968"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Pasivos financieros a coste amortizado (Nota 8.3.a)</w:t>
            </w:r>
          </w:p>
        </w:tc>
        <w:tc>
          <w:tcPr>
            <w:tcW w:w="832" w:type="pct"/>
            <w:tcBorders>
              <w:top w:val="nil"/>
              <w:left w:val="nil"/>
              <w:bottom w:val="single" w:sz="4" w:space="0" w:color="auto"/>
              <w:right w:val="nil"/>
            </w:tcBorders>
            <w:shd w:val="clear" w:color="auto" w:fill="auto"/>
            <w:vAlign w:val="center"/>
          </w:tcPr>
          <w:p w14:paraId="5EB52B4D" w14:textId="464A93F2"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378,60</w:t>
            </w:r>
          </w:p>
        </w:tc>
        <w:tc>
          <w:tcPr>
            <w:tcW w:w="679" w:type="pct"/>
            <w:tcBorders>
              <w:top w:val="nil"/>
              <w:left w:val="nil"/>
              <w:bottom w:val="single" w:sz="4" w:space="0" w:color="auto"/>
              <w:right w:val="nil"/>
            </w:tcBorders>
            <w:shd w:val="clear" w:color="auto" w:fill="auto"/>
            <w:vAlign w:val="center"/>
            <w:hideMark/>
          </w:tcPr>
          <w:p w14:paraId="674B17A4" w14:textId="311360EB"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1.141,82</w:t>
            </w:r>
          </w:p>
        </w:tc>
        <w:tc>
          <w:tcPr>
            <w:tcW w:w="776" w:type="pct"/>
            <w:tcBorders>
              <w:top w:val="nil"/>
              <w:left w:val="nil"/>
              <w:bottom w:val="single" w:sz="4" w:space="0" w:color="auto"/>
              <w:right w:val="nil"/>
            </w:tcBorders>
            <w:shd w:val="clear" w:color="auto" w:fill="auto"/>
            <w:vAlign w:val="center"/>
          </w:tcPr>
          <w:p w14:paraId="46D6D348" w14:textId="119AF3A6"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9.084.303,18</w:t>
            </w:r>
          </w:p>
        </w:tc>
        <w:tc>
          <w:tcPr>
            <w:tcW w:w="776" w:type="pct"/>
            <w:tcBorders>
              <w:top w:val="nil"/>
              <w:left w:val="nil"/>
              <w:bottom w:val="single" w:sz="4" w:space="0" w:color="auto"/>
              <w:right w:val="nil"/>
            </w:tcBorders>
            <w:shd w:val="clear" w:color="auto" w:fill="auto"/>
            <w:vAlign w:val="center"/>
            <w:hideMark/>
          </w:tcPr>
          <w:p w14:paraId="3A744FCB" w14:textId="12D803A1"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13.984.856,45</w:t>
            </w:r>
          </w:p>
        </w:tc>
      </w:tr>
      <w:tr w:rsidR="00037346" w:rsidRPr="00037346" w14:paraId="1150AA4C" w14:textId="77777777" w:rsidTr="00176BA0">
        <w:trPr>
          <w:trHeight w:val="283"/>
        </w:trPr>
        <w:tc>
          <w:tcPr>
            <w:tcW w:w="1937" w:type="pct"/>
            <w:tcBorders>
              <w:top w:val="nil"/>
              <w:left w:val="nil"/>
              <w:bottom w:val="single" w:sz="4" w:space="0" w:color="auto"/>
              <w:right w:val="nil"/>
            </w:tcBorders>
            <w:shd w:val="clear" w:color="auto" w:fill="auto"/>
            <w:vAlign w:val="center"/>
            <w:hideMark/>
          </w:tcPr>
          <w:p w14:paraId="175D2B18" w14:textId="77777777"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Total</w:t>
            </w:r>
          </w:p>
        </w:tc>
        <w:tc>
          <w:tcPr>
            <w:tcW w:w="832" w:type="pct"/>
            <w:tcBorders>
              <w:top w:val="nil"/>
              <w:left w:val="nil"/>
              <w:bottom w:val="single" w:sz="4" w:space="0" w:color="auto"/>
              <w:right w:val="nil"/>
            </w:tcBorders>
            <w:shd w:val="clear" w:color="auto" w:fill="auto"/>
            <w:vAlign w:val="center"/>
          </w:tcPr>
          <w:p w14:paraId="6C4AF78E" w14:textId="746AA3BC"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37346">
              <w:rPr>
                <w:b/>
                <w:bCs/>
                <w:sz w:val="18"/>
                <w:szCs w:val="18"/>
              </w:rPr>
              <w:t>378,60</w:t>
            </w:r>
          </w:p>
        </w:tc>
        <w:tc>
          <w:tcPr>
            <w:tcW w:w="679" w:type="pct"/>
            <w:tcBorders>
              <w:top w:val="nil"/>
              <w:left w:val="nil"/>
              <w:bottom w:val="single" w:sz="4" w:space="0" w:color="auto"/>
              <w:right w:val="nil"/>
            </w:tcBorders>
            <w:shd w:val="clear" w:color="auto" w:fill="auto"/>
            <w:vAlign w:val="center"/>
            <w:hideMark/>
          </w:tcPr>
          <w:p w14:paraId="1307F980" w14:textId="51B2C98B"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37346">
              <w:rPr>
                <w:b/>
                <w:bCs/>
                <w:sz w:val="18"/>
                <w:szCs w:val="18"/>
              </w:rPr>
              <w:t>1.141,82</w:t>
            </w:r>
          </w:p>
        </w:tc>
        <w:tc>
          <w:tcPr>
            <w:tcW w:w="776" w:type="pct"/>
            <w:tcBorders>
              <w:top w:val="nil"/>
              <w:left w:val="nil"/>
              <w:bottom w:val="single" w:sz="4" w:space="0" w:color="auto"/>
              <w:right w:val="nil"/>
            </w:tcBorders>
            <w:shd w:val="clear" w:color="auto" w:fill="auto"/>
            <w:vAlign w:val="center"/>
          </w:tcPr>
          <w:p w14:paraId="33FB612B" w14:textId="14613437" w:rsidR="00037346" w:rsidRPr="00037346" w:rsidRDefault="00037346" w:rsidP="00037346">
            <w:pPr>
              <w:keepNext/>
              <w:keepLines/>
              <w:jc w:val="right"/>
              <w:rPr>
                <w:b/>
                <w:bCs/>
                <w:sz w:val="18"/>
                <w:szCs w:val="18"/>
              </w:rPr>
            </w:pPr>
            <w:r w:rsidRPr="00037346">
              <w:rPr>
                <w:b/>
                <w:bCs/>
                <w:sz w:val="18"/>
                <w:szCs w:val="18"/>
              </w:rPr>
              <w:t>9.084.303,18</w:t>
            </w:r>
          </w:p>
        </w:tc>
        <w:tc>
          <w:tcPr>
            <w:tcW w:w="776" w:type="pct"/>
            <w:tcBorders>
              <w:top w:val="nil"/>
              <w:left w:val="nil"/>
              <w:bottom w:val="single" w:sz="4" w:space="0" w:color="auto"/>
              <w:right w:val="nil"/>
            </w:tcBorders>
            <w:shd w:val="clear" w:color="auto" w:fill="auto"/>
            <w:vAlign w:val="center"/>
            <w:hideMark/>
          </w:tcPr>
          <w:p w14:paraId="4DCB74E7" w14:textId="1D441A88" w:rsidR="00037346" w:rsidRPr="00037346" w:rsidRDefault="00037346" w:rsidP="0003734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37346">
              <w:rPr>
                <w:b/>
                <w:bCs/>
                <w:sz w:val="18"/>
                <w:szCs w:val="18"/>
              </w:rPr>
              <w:t>13.984.856,45</w:t>
            </w:r>
          </w:p>
        </w:tc>
      </w:tr>
    </w:tbl>
    <w:p w14:paraId="5EA1DA0F" w14:textId="6FA26560" w:rsidR="006220A2" w:rsidRPr="00037346" w:rsidRDefault="006D5571">
      <w:pPr>
        <w:keepNext/>
        <w:keepLines/>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rPr>
      </w:pPr>
      <w:r w:rsidRPr="00037346">
        <w:rPr>
          <w:i/>
          <w:sz w:val="20"/>
          <w:szCs w:val="22"/>
          <w:u w:val="single"/>
        </w:rPr>
        <w:t>Pasivos financieros a coste amortizado</w:t>
      </w:r>
    </w:p>
    <w:p w14:paraId="023750FD" w14:textId="2E4DDE5B" w:rsidR="006220A2" w:rsidRPr="00037346" w:rsidRDefault="006220A2" w:rsidP="00D67C6B">
      <w:pPr>
        <w:widowControl w:val="0"/>
        <w:spacing w:before="120" w:after="120" w:line="260" w:lineRule="exact"/>
        <w:jc w:val="both"/>
        <w:outlineLvl w:val="9"/>
        <w:rPr>
          <w:snapToGrid w:val="0"/>
          <w:sz w:val="20"/>
          <w:szCs w:val="22"/>
        </w:rPr>
      </w:pPr>
      <w:r w:rsidRPr="00037346">
        <w:rPr>
          <w:snapToGrid w:val="0"/>
          <w:sz w:val="20"/>
          <w:szCs w:val="22"/>
        </w:rPr>
        <w:t xml:space="preserve">Su detalle </w:t>
      </w:r>
      <w:r w:rsidR="0063457A" w:rsidRPr="00037346">
        <w:rPr>
          <w:snapToGrid w:val="0"/>
          <w:sz w:val="20"/>
          <w:szCs w:val="22"/>
        </w:rPr>
        <w:t xml:space="preserve">a 31 de diciembre de </w:t>
      </w:r>
      <w:r w:rsidR="009527C4" w:rsidRPr="00037346">
        <w:rPr>
          <w:snapToGrid w:val="0"/>
          <w:sz w:val="20"/>
          <w:szCs w:val="22"/>
        </w:rPr>
        <w:t>202</w:t>
      </w:r>
      <w:r w:rsidR="00037346" w:rsidRPr="00037346">
        <w:rPr>
          <w:snapToGrid w:val="0"/>
          <w:sz w:val="20"/>
          <w:szCs w:val="22"/>
        </w:rPr>
        <w:t>3</w:t>
      </w:r>
      <w:r w:rsidR="00037346" w:rsidRPr="00037346">
        <w:rPr>
          <w:snapToGrid w:val="0"/>
          <w:sz w:val="20"/>
          <w:szCs w:val="22"/>
        </w:rPr>
        <w:tab/>
      </w:r>
      <w:r w:rsidR="009527C4" w:rsidRPr="00037346">
        <w:rPr>
          <w:snapToGrid w:val="0"/>
          <w:sz w:val="20"/>
          <w:szCs w:val="22"/>
        </w:rPr>
        <w:t xml:space="preserve"> y 20</w:t>
      </w:r>
      <w:r w:rsidR="006D5571" w:rsidRPr="00037346">
        <w:rPr>
          <w:snapToGrid w:val="0"/>
          <w:sz w:val="20"/>
          <w:szCs w:val="22"/>
        </w:rPr>
        <w:t>2</w:t>
      </w:r>
      <w:r w:rsidR="00037346" w:rsidRPr="00037346">
        <w:rPr>
          <w:snapToGrid w:val="0"/>
          <w:sz w:val="20"/>
          <w:szCs w:val="22"/>
        </w:rPr>
        <w:t>2</w:t>
      </w:r>
      <w:r w:rsidRPr="00037346">
        <w:rPr>
          <w:snapToGrid w:val="0"/>
          <w:sz w:val="20"/>
          <w:szCs w:val="22"/>
        </w:rPr>
        <w:t xml:space="preserve"> se indica a continuación:</w:t>
      </w:r>
    </w:p>
    <w:tbl>
      <w:tblPr>
        <w:tblW w:w="5000" w:type="pct"/>
        <w:tblCellMar>
          <w:left w:w="70" w:type="dxa"/>
          <w:right w:w="70" w:type="dxa"/>
        </w:tblCellMar>
        <w:tblLook w:val="04A0" w:firstRow="1" w:lastRow="0" w:firstColumn="1" w:lastColumn="0" w:noHBand="0" w:noVBand="1"/>
      </w:tblPr>
      <w:tblGrid>
        <w:gridCol w:w="3576"/>
        <w:gridCol w:w="1199"/>
        <w:gridCol w:w="1203"/>
        <w:gridCol w:w="1403"/>
        <w:gridCol w:w="1400"/>
      </w:tblGrid>
      <w:tr w:rsidR="009527C4" w:rsidRPr="00037346" w14:paraId="14B96A76" w14:textId="77777777" w:rsidTr="00037346">
        <w:trPr>
          <w:trHeight w:val="283"/>
        </w:trPr>
        <w:tc>
          <w:tcPr>
            <w:tcW w:w="2036" w:type="pct"/>
            <w:tcBorders>
              <w:top w:val="single" w:sz="4" w:space="0" w:color="auto"/>
              <w:left w:val="nil"/>
              <w:bottom w:val="nil"/>
              <w:right w:val="nil"/>
            </w:tcBorders>
            <w:shd w:val="clear" w:color="auto" w:fill="auto"/>
            <w:noWrap/>
            <w:vAlign w:val="center"/>
            <w:hideMark/>
          </w:tcPr>
          <w:p w14:paraId="1F2A9DBA" w14:textId="77777777" w:rsidR="009527C4" w:rsidRPr="0003734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 </w:t>
            </w:r>
          </w:p>
        </w:tc>
        <w:tc>
          <w:tcPr>
            <w:tcW w:w="2964" w:type="pct"/>
            <w:gridSpan w:val="4"/>
            <w:tcBorders>
              <w:top w:val="single" w:sz="4" w:space="0" w:color="auto"/>
              <w:left w:val="nil"/>
              <w:bottom w:val="single" w:sz="4" w:space="0" w:color="auto"/>
              <w:right w:val="nil"/>
            </w:tcBorders>
            <w:shd w:val="clear" w:color="auto" w:fill="auto"/>
            <w:noWrap/>
            <w:vAlign w:val="bottom"/>
            <w:hideMark/>
          </w:tcPr>
          <w:p w14:paraId="40F1BBAB" w14:textId="77777777" w:rsidR="009527C4" w:rsidRPr="0003734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Euros</w:t>
            </w:r>
          </w:p>
        </w:tc>
      </w:tr>
      <w:tr w:rsidR="009527C4" w:rsidRPr="00037346" w14:paraId="533ECCEA" w14:textId="77777777" w:rsidTr="00037346">
        <w:trPr>
          <w:trHeight w:val="283"/>
        </w:trPr>
        <w:tc>
          <w:tcPr>
            <w:tcW w:w="2036" w:type="pct"/>
            <w:tcBorders>
              <w:top w:val="nil"/>
              <w:left w:val="nil"/>
              <w:bottom w:val="nil"/>
              <w:right w:val="nil"/>
            </w:tcBorders>
            <w:shd w:val="clear" w:color="auto" w:fill="auto"/>
            <w:noWrap/>
            <w:vAlign w:val="center"/>
            <w:hideMark/>
          </w:tcPr>
          <w:p w14:paraId="2835F474" w14:textId="77777777" w:rsidR="009527C4" w:rsidRPr="0003734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368" w:type="pct"/>
            <w:gridSpan w:val="2"/>
            <w:tcBorders>
              <w:top w:val="single" w:sz="4" w:space="0" w:color="auto"/>
              <w:left w:val="nil"/>
              <w:bottom w:val="single" w:sz="4" w:space="0" w:color="auto"/>
              <w:right w:val="nil"/>
            </w:tcBorders>
            <w:shd w:val="clear" w:color="auto" w:fill="auto"/>
            <w:noWrap/>
            <w:vAlign w:val="bottom"/>
            <w:hideMark/>
          </w:tcPr>
          <w:p w14:paraId="38EFD9D6" w14:textId="77777777" w:rsidR="009527C4" w:rsidRPr="0003734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A largo plazo</w:t>
            </w:r>
          </w:p>
        </w:tc>
        <w:tc>
          <w:tcPr>
            <w:tcW w:w="1596" w:type="pct"/>
            <w:gridSpan w:val="2"/>
            <w:tcBorders>
              <w:top w:val="single" w:sz="4" w:space="0" w:color="auto"/>
              <w:left w:val="nil"/>
              <w:bottom w:val="single" w:sz="4" w:space="0" w:color="auto"/>
              <w:right w:val="nil"/>
            </w:tcBorders>
            <w:shd w:val="clear" w:color="auto" w:fill="auto"/>
            <w:noWrap/>
            <w:vAlign w:val="bottom"/>
            <w:hideMark/>
          </w:tcPr>
          <w:p w14:paraId="6484BC75" w14:textId="77777777" w:rsidR="009527C4" w:rsidRPr="00037346" w:rsidRDefault="009527C4" w:rsidP="009527C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A corto plazo</w:t>
            </w:r>
          </w:p>
        </w:tc>
      </w:tr>
      <w:tr w:rsidR="00037346" w:rsidRPr="00037346" w14:paraId="1763E4DD" w14:textId="77777777" w:rsidTr="00037346">
        <w:trPr>
          <w:trHeight w:val="283"/>
        </w:trPr>
        <w:tc>
          <w:tcPr>
            <w:tcW w:w="2036" w:type="pct"/>
            <w:tcBorders>
              <w:top w:val="nil"/>
              <w:left w:val="nil"/>
              <w:bottom w:val="single" w:sz="4" w:space="0" w:color="auto"/>
              <w:right w:val="nil"/>
            </w:tcBorders>
            <w:shd w:val="clear" w:color="auto" w:fill="auto"/>
            <w:noWrap/>
            <w:vAlign w:val="center"/>
            <w:hideMark/>
          </w:tcPr>
          <w:p w14:paraId="2B4802E1" w14:textId="77777777"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 </w:t>
            </w:r>
          </w:p>
        </w:tc>
        <w:tc>
          <w:tcPr>
            <w:tcW w:w="683" w:type="pct"/>
            <w:tcBorders>
              <w:top w:val="nil"/>
              <w:left w:val="nil"/>
              <w:bottom w:val="single" w:sz="4" w:space="0" w:color="auto"/>
              <w:right w:val="nil"/>
            </w:tcBorders>
            <w:shd w:val="clear" w:color="auto" w:fill="auto"/>
            <w:noWrap/>
            <w:vAlign w:val="bottom"/>
            <w:hideMark/>
          </w:tcPr>
          <w:p w14:paraId="04A32B5D" w14:textId="5AAD3555"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31/12/2023</w:t>
            </w:r>
          </w:p>
        </w:tc>
        <w:tc>
          <w:tcPr>
            <w:tcW w:w="685" w:type="pct"/>
            <w:tcBorders>
              <w:top w:val="nil"/>
              <w:left w:val="nil"/>
              <w:bottom w:val="single" w:sz="4" w:space="0" w:color="auto"/>
              <w:right w:val="nil"/>
            </w:tcBorders>
            <w:shd w:val="clear" w:color="auto" w:fill="auto"/>
            <w:noWrap/>
            <w:vAlign w:val="bottom"/>
            <w:hideMark/>
          </w:tcPr>
          <w:p w14:paraId="02C3360D" w14:textId="41953570"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31/12/2022</w:t>
            </w:r>
          </w:p>
        </w:tc>
        <w:tc>
          <w:tcPr>
            <w:tcW w:w="799" w:type="pct"/>
            <w:tcBorders>
              <w:top w:val="nil"/>
              <w:left w:val="nil"/>
              <w:bottom w:val="single" w:sz="4" w:space="0" w:color="auto"/>
              <w:right w:val="nil"/>
            </w:tcBorders>
            <w:shd w:val="clear" w:color="auto" w:fill="auto"/>
            <w:noWrap/>
            <w:vAlign w:val="bottom"/>
            <w:hideMark/>
          </w:tcPr>
          <w:p w14:paraId="15FD4B18" w14:textId="37C4AD87"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31/12/2023</w:t>
            </w:r>
          </w:p>
        </w:tc>
        <w:tc>
          <w:tcPr>
            <w:tcW w:w="797" w:type="pct"/>
            <w:tcBorders>
              <w:top w:val="nil"/>
              <w:left w:val="nil"/>
              <w:bottom w:val="single" w:sz="4" w:space="0" w:color="auto"/>
              <w:right w:val="nil"/>
            </w:tcBorders>
            <w:shd w:val="clear" w:color="auto" w:fill="auto"/>
            <w:noWrap/>
            <w:vAlign w:val="bottom"/>
            <w:hideMark/>
          </w:tcPr>
          <w:p w14:paraId="31369E4E" w14:textId="70A8B940"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31/12/2022</w:t>
            </w:r>
          </w:p>
        </w:tc>
      </w:tr>
      <w:tr w:rsidR="006D5571" w:rsidRPr="00037346" w14:paraId="3BEBADE4" w14:textId="77777777" w:rsidTr="00037346">
        <w:trPr>
          <w:trHeight w:val="283"/>
        </w:trPr>
        <w:tc>
          <w:tcPr>
            <w:tcW w:w="2036" w:type="pct"/>
            <w:tcBorders>
              <w:top w:val="nil"/>
              <w:left w:val="nil"/>
              <w:bottom w:val="nil"/>
              <w:right w:val="nil"/>
            </w:tcBorders>
            <w:shd w:val="clear" w:color="auto" w:fill="auto"/>
            <w:noWrap/>
            <w:vAlign w:val="center"/>
            <w:hideMark/>
          </w:tcPr>
          <w:p w14:paraId="6E4FB38C" w14:textId="2A6898CA" w:rsidR="006D5571" w:rsidRPr="00037346"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Pasivos financieros a coste amortizado:</w:t>
            </w:r>
          </w:p>
        </w:tc>
        <w:tc>
          <w:tcPr>
            <w:tcW w:w="683" w:type="pct"/>
            <w:tcBorders>
              <w:top w:val="nil"/>
              <w:left w:val="nil"/>
              <w:bottom w:val="nil"/>
              <w:right w:val="nil"/>
            </w:tcBorders>
            <w:shd w:val="clear" w:color="auto" w:fill="auto"/>
            <w:noWrap/>
            <w:vAlign w:val="center"/>
            <w:hideMark/>
          </w:tcPr>
          <w:p w14:paraId="02A7E3B8" w14:textId="77777777" w:rsidR="006D5571" w:rsidRPr="00037346"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685" w:type="pct"/>
            <w:tcBorders>
              <w:top w:val="nil"/>
              <w:left w:val="nil"/>
              <w:bottom w:val="nil"/>
              <w:right w:val="nil"/>
            </w:tcBorders>
            <w:shd w:val="clear" w:color="auto" w:fill="auto"/>
            <w:noWrap/>
            <w:vAlign w:val="center"/>
            <w:hideMark/>
          </w:tcPr>
          <w:p w14:paraId="7DD7C602" w14:textId="77777777" w:rsidR="006D5571" w:rsidRPr="00037346"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99" w:type="pct"/>
            <w:tcBorders>
              <w:top w:val="nil"/>
              <w:left w:val="nil"/>
              <w:bottom w:val="nil"/>
              <w:right w:val="nil"/>
            </w:tcBorders>
            <w:shd w:val="clear" w:color="auto" w:fill="auto"/>
            <w:noWrap/>
            <w:vAlign w:val="center"/>
          </w:tcPr>
          <w:p w14:paraId="59D43576" w14:textId="77777777" w:rsidR="006D5571" w:rsidRPr="00037346"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c>
          <w:tcPr>
            <w:tcW w:w="797" w:type="pct"/>
            <w:tcBorders>
              <w:top w:val="nil"/>
              <w:left w:val="nil"/>
              <w:bottom w:val="nil"/>
              <w:right w:val="nil"/>
            </w:tcBorders>
            <w:shd w:val="clear" w:color="auto" w:fill="auto"/>
            <w:noWrap/>
            <w:vAlign w:val="center"/>
            <w:hideMark/>
          </w:tcPr>
          <w:p w14:paraId="3D13CEA7" w14:textId="77777777" w:rsidR="006D5571" w:rsidRPr="00037346" w:rsidRDefault="006D5571" w:rsidP="006D5571">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037346" w:rsidRPr="00037346" w14:paraId="2959292E" w14:textId="77777777" w:rsidTr="00037346">
        <w:trPr>
          <w:trHeight w:val="283"/>
        </w:trPr>
        <w:tc>
          <w:tcPr>
            <w:tcW w:w="2036" w:type="pct"/>
            <w:tcBorders>
              <w:top w:val="nil"/>
              <w:left w:val="nil"/>
              <w:bottom w:val="nil"/>
              <w:right w:val="nil"/>
            </w:tcBorders>
            <w:shd w:val="clear" w:color="auto" w:fill="auto"/>
            <w:noWrap/>
            <w:vAlign w:val="center"/>
            <w:hideMark/>
          </w:tcPr>
          <w:p w14:paraId="5B7AD9C5" w14:textId="77777777"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Deudas con entidades de crédito</w:t>
            </w:r>
          </w:p>
        </w:tc>
        <w:tc>
          <w:tcPr>
            <w:tcW w:w="683" w:type="pct"/>
            <w:tcBorders>
              <w:top w:val="nil"/>
              <w:left w:val="nil"/>
              <w:bottom w:val="nil"/>
              <w:right w:val="nil"/>
            </w:tcBorders>
            <w:shd w:val="clear" w:color="auto" w:fill="auto"/>
            <w:noWrap/>
            <w:vAlign w:val="center"/>
            <w:hideMark/>
          </w:tcPr>
          <w:p w14:paraId="13014185" w14:textId="191E7348"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685" w:type="pct"/>
            <w:tcBorders>
              <w:top w:val="nil"/>
              <w:left w:val="nil"/>
              <w:bottom w:val="nil"/>
              <w:right w:val="nil"/>
            </w:tcBorders>
            <w:shd w:val="clear" w:color="auto" w:fill="auto"/>
            <w:noWrap/>
            <w:vAlign w:val="center"/>
            <w:hideMark/>
          </w:tcPr>
          <w:p w14:paraId="323B54D2" w14:textId="717ABBF8"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799" w:type="pct"/>
            <w:tcBorders>
              <w:top w:val="nil"/>
              <w:left w:val="nil"/>
              <w:bottom w:val="nil"/>
              <w:right w:val="nil"/>
            </w:tcBorders>
            <w:shd w:val="clear" w:color="auto" w:fill="auto"/>
            <w:noWrap/>
            <w:vAlign w:val="center"/>
          </w:tcPr>
          <w:p w14:paraId="2931DD66" w14:textId="24983CCC"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378,60</w:t>
            </w:r>
          </w:p>
        </w:tc>
        <w:tc>
          <w:tcPr>
            <w:tcW w:w="797" w:type="pct"/>
            <w:tcBorders>
              <w:top w:val="nil"/>
              <w:left w:val="nil"/>
              <w:bottom w:val="nil"/>
              <w:right w:val="nil"/>
            </w:tcBorders>
            <w:shd w:val="clear" w:color="auto" w:fill="auto"/>
            <w:noWrap/>
            <w:vAlign w:val="center"/>
            <w:hideMark/>
          </w:tcPr>
          <w:p w14:paraId="7907551D" w14:textId="4A4B54E5"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1.141,82</w:t>
            </w:r>
          </w:p>
        </w:tc>
      </w:tr>
      <w:tr w:rsidR="00037346" w:rsidRPr="00037346" w14:paraId="1F86DF62" w14:textId="77777777" w:rsidTr="00037346">
        <w:trPr>
          <w:trHeight w:val="283"/>
        </w:trPr>
        <w:tc>
          <w:tcPr>
            <w:tcW w:w="2036" w:type="pct"/>
            <w:tcBorders>
              <w:top w:val="nil"/>
              <w:left w:val="nil"/>
              <w:bottom w:val="nil"/>
              <w:right w:val="nil"/>
            </w:tcBorders>
            <w:shd w:val="clear" w:color="auto" w:fill="auto"/>
            <w:noWrap/>
            <w:vAlign w:val="center"/>
            <w:hideMark/>
          </w:tcPr>
          <w:p w14:paraId="5C8D9610" w14:textId="77777777"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Acreedores comerciales</w:t>
            </w:r>
          </w:p>
        </w:tc>
        <w:tc>
          <w:tcPr>
            <w:tcW w:w="683" w:type="pct"/>
            <w:tcBorders>
              <w:top w:val="nil"/>
              <w:left w:val="nil"/>
              <w:bottom w:val="nil"/>
              <w:right w:val="nil"/>
            </w:tcBorders>
            <w:shd w:val="clear" w:color="auto" w:fill="auto"/>
            <w:noWrap/>
            <w:vAlign w:val="center"/>
            <w:hideMark/>
          </w:tcPr>
          <w:p w14:paraId="3EC2C12C" w14:textId="1C4AFA18"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685" w:type="pct"/>
            <w:tcBorders>
              <w:top w:val="nil"/>
              <w:left w:val="nil"/>
              <w:bottom w:val="nil"/>
              <w:right w:val="nil"/>
            </w:tcBorders>
            <w:shd w:val="clear" w:color="auto" w:fill="auto"/>
            <w:noWrap/>
            <w:vAlign w:val="center"/>
            <w:hideMark/>
          </w:tcPr>
          <w:p w14:paraId="50799B43" w14:textId="759254FC"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799" w:type="pct"/>
            <w:tcBorders>
              <w:top w:val="nil"/>
              <w:left w:val="nil"/>
              <w:bottom w:val="nil"/>
              <w:right w:val="nil"/>
            </w:tcBorders>
            <w:shd w:val="clear" w:color="auto" w:fill="auto"/>
            <w:noWrap/>
            <w:vAlign w:val="center"/>
          </w:tcPr>
          <w:p w14:paraId="644630DB" w14:textId="07BF7628" w:rsidR="00037346" w:rsidRPr="00037346" w:rsidRDefault="00037346" w:rsidP="00037346">
            <w:pPr>
              <w:jc w:val="right"/>
              <w:rPr>
                <w:sz w:val="18"/>
                <w:szCs w:val="18"/>
              </w:rPr>
            </w:pPr>
            <w:r w:rsidRPr="00037346">
              <w:rPr>
                <w:sz w:val="18"/>
                <w:szCs w:val="18"/>
              </w:rPr>
              <w:t>8.962.917,83</w:t>
            </w:r>
          </w:p>
        </w:tc>
        <w:tc>
          <w:tcPr>
            <w:tcW w:w="797" w:type="pct"/>
            <w:tcBorders>
              <w:top w:val="nil"/>
              <w:left w:val="nil"/>
              <w:bottom w:val="nil"/>
              <w:right w:val="nil"/>
            </w:tcBorders>
            <w:shd w:val="clear" w:color="auto" w:fill="auto"/>
            <w:noWrap/>
            <w:vAlign w:val="center"/>
            <w:hideMark/>
          </w:tcPr>
          <w:p w14:paraId="73CD2164" w14:textId="33926D6C"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13.504.916,32</w:t>
            </w:r>
          </w:p>
        </w:tc>
      </w:tr>
      <w:tr w:rsidR="00037346" w:rsidRPr="00037346" w14:paraId="33EA766F" w14:textId="77777777" w:rsidTr="00037346">
        <w:trPr>
          <w:trHeight w:val="283"/>
        </w:trPr>
        <w:tc>
          <w:tcPr>
            <w:tcW w:w="2036" w:type="pct"/>
            <w:tcBorders>
              <w:top w:val="nil"/>
              <w:left w:val="nil"/>
              <w:bottom w:val="nil"/>
              <w:right w:val="nil"/>
            </w:tcBorders>
            <w:shd w:val="clear" w:color="auto" w:fill="auto"/>
            <w:noWrap/>
            <w:vAlign w:val="center"/>
            <w:hideMark/>
          </w:tcPr>
          <w:p w14:paraId="1434755E" w14:textId="77777777"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Fianzas</w:t>
            </w:r>
          </w:p>
        </w:tc>
        <w:tc>
          <w:tcPr>
            <w:tcW w:w="683" w:type="pct"/>
            <w:tcBorders>
              <w:top w:val="nil"/>
              <w:left w:val="nil"/>
              <w:right w:val="nil"/>
            </w:tcBorders>
            <w:shd w:val="clear" w:color="auto" w:fill="auto"/>
            <w:noWrap/>
            <w:vAlign w:val="center"/>
            <w:hideMark/>
          </w:tcPr>
          <w:p w14:paraId="3B87448E" w14:textId="2D0F7F59"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685" w:type="pct"/>
            <w:tcBorders>
              <w:top w:val="nil"/>
              <w:left w:val="nil"/>
              <w:right w:val="nil"/>
            </w:tcBorders>
            <w:shd w:val="clear" w:color="auto" w:fill="auto"/>
            <w:noWrap/>
            <w:vAlign w:val="center"/>
            <w:hideMark/>
          </w:tcPr>
          <w:p w14:paraId="4F5DD846" w14:textId="652F63FF"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799" w:type="pct"/>
            <w:tcBorders>
              <w:top w:val="nil"/>
              <w:left w:val="nil"/>
              <w:right w:val="nil"/>
            </w:tcBorders>
            <w:shd w:val="clear" w:color="auto" w:fill="auto"/>
            <w:noWrap/>
            <w:vAlign w:val="center"/>
          </w:tcPr>
          <w:p w14:paraId="5E3EC35B" w14:textId="5FFDDAF6" w:rsidR="00037346" w:rsidRPr="00037346" w:rsidRDefault="00037346" w:rsidP="00037346">
            <w:pPr>
              <w:jc w:val="right"/>
              <w:rPr>
                <w:sz w:val="18"/>
                <w:szCs w:val="18"/>
              </w:rPr>
            </w:pPr>
            <w:r w:rsidRPr="00037346">
              <w:rPr>
                <w:sz w:val="18"/>
                <w:szCs w:val="18"/>
              </w:rPr>
              <w:t>17.593,54</w:t>
            </w:r>
          </w:p>
        </w:tc>
        <w:tc>
          <w:tcPr>
            <w:tcW w:w="797" w:type="pct"/>
            <w:tcBorders>
              <w:top w:val="nil"/>
              <w:left w:val="nil"/>
              <w:right w:val="nil"/>
            </w:tcBorders>
            <w:shd w:val="clear" w:color="auto" w:fill="auto"/>
            <w:noWrap/>
            <w:vAlign w:val="center"/>
            <w:hideMark/>
          </w:tcPr>
          <w:p w14:paraId="28D9504E" w14:textId="4C0082E2"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12.383,72</w:t>
            </w:r>
          </w:p>
        </w:tc>
      </w:tr>
      <w:tr w:rsidR="00037346" w:rsidRPr="00037346" w14:paraId="7AB79CF6" w14:textId="77777777" w:rsidTr="00037346">
        <w:trPr>
          <w:trHeight w:val="283"/>
        </w:trPr>
        <w:tc>
          <w:tcPr>
            <w:tcW w:w="2036" w:type="pct"/>
            <w:tcBorders>
              <w:top w:val="nil"/>
              <w:left w:val="nil"/>
              <w:bottom w:val="nil"/>
              <w:right w:val="nil"/>
            </w:tcBorders>
            <w:shd w:val="clear" w:color="auto" w:fill="auto"/>
            <w:noWrap/>
            <w:vAlign w:val="center"/>
            <w:hideMark/>
          </w:tcPr>
          <w:p w14:paraId="44CE5FB5" w14:textId="77777777"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Personal</w:t>
            </w:r>
          </w:p>
        </w:tc>
        <w:tc>
          <w:tcPr>
            <w:tcW w:w="683" w:type="pct"/>
            <w:tcBorders>
              <w:top w:val="nil"/>
              <w:left w:val="nil"/>
              <w:right w:val="nil"/>
            </w:tcBorders>
            <w:shd w:val="clear" w:color="auto" w:fill="auto"/>
            <w:noWrap/>
            <w:vAlign w:val="center"/>
            <w:hideMark/>
          </w:tcPr>
          <w:p w14:paraId="3C3A855C" w14:textId="738B698A"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685" w:type="pct"/>
            <w:tcBorders>
              <w:top w:val="nil"/>
              <w:left w:val="nil"/>
              <w:right w:val="nil"/>
            </w:tcBorders>
            <w:shd w:val="clear" w:color="auto" w:fill="auto"/>
            <w:noWrap/>
            <w:vAlign w:val="center"/>
            <w:hideMark/>
          </w:tcPr>
          <w:p w14:paraId="2C1AF5C3" w14:textId="7271F892"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 xml:space="preserve"> -</w:t>
            </w:r>
          </w:p>
        </w:tc>
        <w:tc>
          <w:tcPr>
            <w:tcW w:w="799" w:type="pct"/>
            <w:tcBorders>
              <w:top w:val="nil"/>
              <w:left w:val="nil"/>
              <w:right w:val="nil"/>
            </w:tcBorders>
            <w:shd w:val="clear" w:color="auto" w:fill="auto"/>
            <w:noWrap/>
            <w:vAlign w:val="center"/>
          </w:tcPr>
          <w:p w14:paraId="2152FD6D" w14:textId="2893D5B0" w:rsidR="00037346" w:rsidRPr="00037346" w:rsidRDefault="00037346" w:rsidP="00037346">
            <w:pPr>
              <w:jc w:val="right"/>
              <w:rPr>
                <w:sz w:val="18"/>
                <w:szCs w:val="18"/>
              </w:rPr>
            </w:pPr>
            <w:r w:rsidRPr="00037346">
              <w:rPr>
                <w:sz w:val="18"/>
                <w:szCs w:val="18"/>
              </w:rPr>
              <w:t>103.791,81</w:t>
            </w:r>
          </w:p>
        </w:tc>
        <w:tc>
          <w:tcPr>
            <w:tcW w:w="797" w:type="pct"/>
            <w:tcBorders>
              <w:top w:val="nil"/>
              <w:left w:val="nil"/>
              <w:right w:val="nil"/>
            </w:tcBorders>
            <w:shd w:val="clear" w:color="auto" w:fill="auto"/>
            <w:noWrap/>
            <w:vAlign w:val="center"/>
            <w:hideMark/>
          </w:tcPr>
          <w:p w14:paraId="07D1124C" w14:textId="338A549E"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467.556,41</w:t>
            </w:r>
          </w:p>
        </w:tc>
      </w:tr>
      <w:tr w:rsidR="00037346" w:rsidRPr="00037346" w14:paraId="4B4AE673" w14:textId="77777777" w:rsidTr="00037346">
        <w:trPr>
          <w:trHeight w:val="283"/>
        </w:trPr>
        <w:tc>
          <w:tcPr>
            <w:tcW w:w="2036" w:type="pct"/>
            <w:tcBorders>
              <w:top w:val="nil"/>
              <w:left w:val="nil"/>
              <w:bottom w:val="nil"/>
              <w:right w:val="nil"/>
            </w:tcBorders>
            <w:shd w:val="clear" w:color="auto" w:fill="auto"/>
            <w:noWrap/>
            <w:vAlign w:val="center"/>
          </w:tcPr>
          <w:p w14:paraId="116FC695" w14:textId="6635AD89"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037346">
              <w:rPr>
                <w:rFonts w:eastAsia="Times New Roman"/>
                <w:sz w:val="18"/>
                <w:szCs w:val="18"/>
                <w:bdr w:val="none" w:sz="0" w:space="0" w:color="auto"/>
                <w:lang w:eastAsia="es-ES"/>
              </w:rPr>
              <w:t>Otros pasivos financieros</w:t>
            </w:r>
          </w:p>
        </w:tc>
        <w:tc>
          <w:tcPr>
            <w:tcW w:w="683" w:type="pct"/>
            <w:tcBorders>
              <w:left w:val="nil"/>
              <w:bottom w:val="single" w:sz="4" w:space="0" w:color="auto"/>
              <w:right w:val="nil"/>
            </w:tcBorders>
            <w:shd w:val="clear" w:color="auto" w:fill="auto"/>
            <w:noWrap/>
            <w:vAlign w:val="center"/>
          </w:tcPr>
          <w:p w14:paraId="0821FC5A" w14:textId="23D7796F"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5.768,00</w:t>
            </w:r>
          </w:p>
        </w:tc>
        <w:tc>
          <w:tcPr>
            <w:tcW w:w="685" w:type="pct"/>
            <w:tcBorders>
              <w:left w:val="nil"/>
              <w:bottom w:val="single" w:sz="4" w:space="0" w:color="auto"/>
              <w:right w:val="nil"/>
            </w:tcBorders>
            <w:shd w:val="clear" w:color="auto" w:fill="auto"/>
            <w:noWrap/>
            <w:vAlign w:val="center"/>
          </w:tcPr>
          <w:p w14:paraId="1ADAC158" w14:textId="51307268"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037346">
              <w:rPr>
                <w:sz w:val="18"/>
                <w:szCs w:val="18"/>
              </w:rPr>
              <w:t>8.418,00</w:t>
            </w:r>
          </w:p>
        </w:tc>
        <w:tc>
          <w:tcPr>
            <w:tcW w:w="799" w:type="pct"/>
            <w:tcBorders>
              <w:left w:val="nil"/>
              <w:bottom w:val="single" w:sz="4" w:space="0" w:color="auto"/>
              <w:right w:val="nil"/>
            </w:tcBorders>
            <w:shd w:val="clear" w:color="auto" w:fill="auto"/>
            <w:noWrap/>
            <w:vAlign w:val="center"/>
          </w:tcPr>
          <w:p w14:paraId="55380CBB" w14:textId="41AA31F4" w:rsidR="00037346" w:rsidRPr="00037346" w:rsidRDefault="00037346" w:rsidP="00037346">
            <w:pPr>
              <w:jc w:val="right"/>
              <w:rPr>
                <w:sz w:val="18"/>
                <w:szCs w:val="18"/>
              </w:rPr>
            </w:pPr>
            <w:r w:rsidRPr="00037346">
              <w:rPr>
                <w:sz w:val="18"/>
                <w:szCs w:val="18"/>
              </w:rPr>
              <w:t xml:space="preserve"> -</w:t>
            </w:r>
          </w:p>
        </w:tc>
        <w:tc>
          <w:tcPr>
            <w:tcW w:w="797" w:type="pct"/>
            <w:tcBorders>
              <w:left w:val="nil"/>
              <w:bottom w:val="single" w:sz="4" w:space="0" w:color="auto"/>
              <w:right w:val="nil"/>
            </w:tcBorders>
            <w:shd w:val="clear" w:color="auto" w:fill="auto"/>
            <w:noWrap/>
            <w:vAlign w:val="center"/>
          </w:tcPr>
          <w:p w14:paraId="624D51E0" w14:textId="17B5C32D"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sidRPr="00037346">
              <w:rPr>
                <w:sz w:val="18"/>
                <w:szCs w:val="18"/>
              </w:rPr>
              <w:t xml:space="preserve"> -</w:t>
            </w:r>
          </w:p>
        </w:tc>
      </w:tr>
      <w:tr w:rsidR="00037346" w:rsidRPr="00037346" w14:paraId="2B89828C" w14:textId="77777777" w:rsidTr="00037346">
        <w:trPr>
          <w:trHeight w:val="283"/>
        </w:trPr>
        <w:tc>
          <w:tcPr>
            <w:tcW w:w="2036" w:type="pct"/>
            <w:tcBorders>
              <w:top w:val="single" w:sz="4" w:space="0" w:color="auto"/>
              <w:left w:val="nil"/>
              <w:bottom w:val="single" w:sz="4" w:space="0" w:color="auto"/>
              <w:right w:val="nil"/>
            </w:tcBorders>
            <w:shd w:val="clear" w:color="auto" w:fill="auto"/>
            <w:noWrap/>
            <w:vAlign w:val="center"/>
            <w:hideMark/>
          </w:tcPr>
          <w:p w14:paraId="710D81C6" w14:textId="77777777"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037346">
              <w:rPr>
                <w:rFonts w:eastAsia="Times New Roman"/>
                <w:b/>
                <w:bCs/>
                <w:sz w:val="18"/>
                <w:szCs w:val="18"/>
                <w:bdr w:val="none" w:sz="0" w:space="0" w:color="auto"/>
                <w:lang w:eastAsia="es-ES"/>
              </w:rPr>
              <w:t>Total</w:t>
            </w:r>
          </w:p>
        </w:tc>
        <w:tc>
          <w:tcPr>
            <w:tcW w:w="683" w:type="pct"/>
            <w:tcBorders>
              <w:top w:val="nil"/>
              <w:left w:val="nil"/>
              <w:bottom w:val="single" w:sz="4" w:space="0" w:color="auto"/>
              <w:right w:val="nil"/>
            </w:tcBorders>
            <w:shd w:val="clear" w:color="auto" w:fill="auto"/>
            <w:noWrap/>
            <w:vAlign w:val="center"/>
            <w:hideMark/>
          </w:tcPr>
          <w:p w14:paraId="2E38853D" w14:textId="1F1CFEEC"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37346">
              <w:rPr>
                <w:b/>
                <w:bCs/>
                <w:sz w:val="18"/>
                <w:szCs w:val="18"/>
              </w:rPr>
              <w:t>5.768,00</w:t>
            </w:r>
          </w:p>
        </w:tc>
        <w:tc>
          <w:tcPr>
            <w:tcW w:w="685" w:type="pct"/>
            <w:tcBorders>
              <w:top w:val="nil"/>
              <w:left w:val="nil"/>
              <w:bottom w:val="single" w:sz="4" w:space="0" w:color="auto"/>
              <w:right w:val="nil"/>
            </w:tcBorders>
            <w:shd w:val="clear" w:color="auto" w:fill="auto"/>
            <w:noWrap/>
            <w:vAlign w:val="center"/>
            <w:hideMark/>
          </w:tcPr>
          <w:p w14:paraId="495C35D3" w14:textId="78098561"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37346">
              <w:rPr>
                <w:b/>
                <w:bCs/>
                <w:sz w:val="18"/>
                <w:szCs w:val="18"/>
              </w:rPr>
              <w:t>8.418,00</w:t>
            </w:r>
          </w:p>
        </w:tc>
        <w:tc>
          <w:tcPr>
            <w:tcW w:w="799" w:type="pct"/>
            <w:tcBorders>
              <w:top w:val="nil"/>
              <w:left w:val="nil"/>
              <w:bottom w:val="single" w:sz="4" w:space="0" w:color="auto"/>
              <w:right w:val="nil"/>
            </w:tcBorders>
            <w:shd w:val="clear" w:color="auto" w:fill="auto"/>
            <w:noWrap/>
            <w:vAlign w:val="center"/>
          </w:tcPr>
          <w:p w14:paraId="7189B01F" w14:textId="082E001F"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37346">
              <w:rPr>
                <w:b/>
                <w:bCs/>
                <w:sz w:val="18"/>
                <w:szCs w:val="18"/>
              </w:rPr>
              <w:t>9.084.681,78</w:t>
            </w:r>
          </w:p>
        </w:tc>
        <w:tc>
          <w:tcPr>
            <w:tcW w:w="797" w:type="pct"/>
            <w:tcBorders>
              <w:top w:val="nil"/>
              <w:left w:val="nil"/>
              <w:bottom w:val="single" w:sz="4" w:space="0" w:color="auto"/>
              <w:right w:val="nil"/>
            </w:tcBorders>
            <w:shd w:val="clear" w:color="auto" w:fill="auto"/>
            <w:noWrap/>
            <w:vAlign w:val="center"/>
            <w:hideMark/>
          </w:tcPr>
          <w:p w14:paraId="4A36989C" w14:textId="63E0D0A2" w:rsidR="00037346" w:rsidRPr="00037346" w:rsidRDefault="00037346" w:rsidP="00037346">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037346">
              <w:rPr>
                <w:b/>
                <w:bCs/>
                <w:sz w:val="18"/>
                <w:szCs w:val="18"/>
              </w:rPr>
              <w:t>13.985.998,27</w:t>
            </w:r>
          </w:p>
        </w:tc>
      </w:tr>
    </w:tbl>
    <w:p w14:paraId="55620196" w14:textId="77777777" w:rsidR="006220A2" w:rsidRPr="00037346" w:rsidRDefault="006220A2" w:rsidP="001B5A15">
      <w:pPr>
        <w:widowControl w:val="0"/>
        <w:spacing w:before="240" w:after="120" w:line="260" w:lineRule="exact"/>
        <w:jc w:val="both"/>
        <w:outlineLvl w:val="9"/>
        <w:rPr>
          <w:snapToGrid w:val="0"/>
          <w:sz w:val="20"/>
          <w:szCs w:val="22"/>
        </w:rPr>
      </w:pPr>
      <w:r w:rsidRPr="00037346">
        <w:rPr>
          <w:snapToGrid w:val="0"/>
          <w:sz w:val="20"/>
          <w:szCs w:val="22"/>
        </w:rPr>
        <w:t xml:space="preserve">El valor contable de las deudas a corto plazo se aproxima a su valor razonable, dado que el efecto del descuento no es significativo. </w:t>
      </w:r>
    </w:p>
    <w:p w14:paraId="2BE3B155" w14:textId="2C43B711" w:rsidR="006220A2" w:rsidRPr="00037346" w:rsidRDefault="006220A2" w:rsidP="00D67C6B">
      <w:pPr>
        <w:widowControl w:val="0"/>
        <w:spacing w:before="120" w:after="120" w:line="260" w:lineRule="exact"/>
        <w:jc w:val="both"/>
        <w:outlineLvl w:val="9"/>
        <w:rPr>
          <w:snapToGrid w:val="0"/>
          <w:sz w:val="20"/>
          <w:szCs w:val="22"/>
        </w:rPr>
      </w:pPr>
      <w:r w:rsidRPr="00037346">
        <w:rPr>
          <w:snapToGrid w:val="0"/>
          <w:sz w:val="20"/>
          <w:szCs w:val="22"/>
        </w:rPr>
        <w:t>El importe reflejado en el epígrafe de deudas con entidades de crédito recoge el importe de las Visas pendientes de pago a 31 de diciembre de 20</w:t>
      </w:r>
      <w:r w:rsidR="00037346" w:rsidRPr="00037346">
        <w:rPr>
          <w:snapToGrid w:val="0"/>
          <w:sz w:val="20"/>
          <w:szCs w:val="22"/>
        </w:rPr>
        <w:t>23</w:t>
      </w:r>
      <w:r w:rsidRPr="00037346">
        <w:rPr>
          <w:snapToGrid w:val="0"/>
          <w:sz w:val="20"/>
          <w:szCs w:val="22"/>
        </w:rPr>
        <w:t>.</w:t>
      </w:r>
    </w:p>
    <w:p w14:paraId="5916DB8D" w14:textId="77777777" w:rsidR="008D73BD" w:rsidRPr="00037346" w:rsidRDefault="00C82F49" w:rsidP="00D67C6B">
      <w:pPr>
        <w:widowControl w:val="0"/>
        <w:spacing w:before="120" w:after="120" w:line="260" w:lineRule="exact"/>
        <w:jc w:val="both"/>
        <w:outlineLvl w:val="9"/>
        <w:rPr>
          <w:snapToGrid w:val="0"/>
          <w:sz w:val="20"/>
          <w:szCs w:val="22"/>
        </w:rPr>
      </w:pPr>
      <w:r w:rsidRPr="00037346">
        <w:rPr>
          <w:snapToGrid w:val="0"/>
          <w:sz w:val="20"/>
          <w:szCs w:val="22"/>
        </w:rPr>
        <w:t>Los importes de fianzas a largo y corto plazo corresponden a depósitos efectuados por los adjudicatarios de los contratos de prestación de servicios.</w:t>
      </w:r>
    </w:p>
    <w:p w14:paraId="14663EA1" w14:textId="77777777" w:rsidR="00037346" w:rsidRPr="00814E7A" w:rsidRDefault="008D73BD" w:rsidP="00D67C6B">
      <w:pPr>
        <w:widowControl w:val="0"/>
        <w:spacing w:before="120" w:after="120" w:line="260" w:lineRule="exact"/>
        <w:jc w:val="both"/>
        <w:outlineLvl w:val="9"/>
        <w:rPr>
          <w:snapToGrid w:val="0"/>
          <w:sz w:val="20"/>
          <w:szCs w:val="22"/>
        </w:rPr>
      </w:pPr>
      <w:r w:rsidRPr="00814E7A">
        <w:rPr>
          <w:snapToGrid w:val="0"/>
          <w:sz w:val="20"/>
          <w:szCs w:val="22"/>
        </w:rPr>
        <w:t>A 31 de diciembre de 20</w:t>
      </w:r>
      <w:r w:rsidR="004F02E4" w:rsidRPr="00814E7A">
        <w:rPr>
          <w:snapToGrid w:val="0"/>
          <w:sz w:val="20"/>
          <w:szCs w:val="22"/>
        </w:rPr>
        <w:t>2</w:t>
      </w:r>
      <w:r w:rsidR="002477D5" w:rsidRPr="00814E7A">
        <w:rPr>
          <w:snapToGrid w:val="0"/>
          <w:sz w:val="20"/>
          <w:szCs w:val="22"/>
        </w:rPr>
        <w:t>2</w:t>
      </w:r>
      <w:r w:rsidRPr="00814E7A">
        <w:rPr>
          <w:snapToGrid w:val="0"/>
          <w:sz w:val="20"/>
          <w:szCs w:val="22"/>
        </w:rPr>
        <w:t xml:space="preserve"> la Sociedad </w:t>
      </w:r>
      <w:r w:rsidR="0030596B" w:rsidRPr="00814E7A">
        <w:rPr>
          <w:snapToGrid w:val="0"/>
          <w:sz w:val="20"/>
          <w:szCs w:val="22"/>
        </w:rPr>
        <w:t>t</w:t>
      </w:r>
      <w:r w:rsidR="00037346" w:rsidRPr="00814E7A">
        <w:rPr>
          <w:snapToGrid w:val="0"/>
          <w:sz w:val="20"/>
          <w:szCs w:val="22"/>
        </w:rPr>
        <w:t xml:space="preserve">enía </w:t>
      </w:r>
      <w:r w:rsidRPr="00814E7A">
        <w:rPr>
          <w:snapToGrid w:val="0"/>
          <w:sz w:val="20"/>
          <w:szCs w:val="22"/>
        </w:rPr>
        <w:t>registrad</w:t>
      </w:r>
      <w:r w:rsidR="003D1D1F" w:rsidRPr="00814E7A">
        <w:rPr>
          <w:snapToGrid w:val="0"/>
          <w:sz w:val="20"/>
          <w:szCs w:val="22"/>
        </w:rPr>
        <w:t>a</w:t>
      </w:r>
      <w:r w:rsidRPr="00814E7A">
        <w:rPr>
          <w:snapToGrid w:val="0"/>
          <w:sz w:val="20"/>
          <w:szCs w:val="22"/>
        </w:rPr>
        <w:t xml:space="preserve"> una provisión </w:t>
      </w:r>
      <w:r w:rsidR="00306D4F" w:rsidRPr="00814E7A">
        <w:rPr>
          <w:snapToGrid w:val="0"/>
          <w:sz w:val="20"/>
          <w:szCs w:val="22"/>
        </w:rPr>
        <w:t xml:space="preserve">por los salarios minorados en 2010 por importe de </w:t>
      </w:r>
      <w:r w:rsidR="00724835" w:rsidRPr="00814E7A">
        <w:rPr>
          <w:snapToGrid w:val="0"/>
          <w:sz w:val="20"/>
          <w:szCs w:val="22"/>
        </w:rPr>
        <w:t>381.940,00</w:t>
      </w:r>
      <w:r w:rsidR="00615565" w:rsidRPr="00814E7A">
        <w:rPr>
          <w:snapToGrid w:val="0"/>
          <w:sz w:val="20"/>
          <w:szCs w:val="22"/>
        </w:rPr>
        <w:t xml:space="preserve"> euros</w:t>
      </w:r>
      <w:r w:rsidR="00306D4F" w:rsidRPr="00814E7A">
        <w:rPr>
          <w:snapToGrid w:val="0"/>
          <w:sz w:val="20"/>
          <w:szCs w:val="22"/>
        </w:rPr>
        <w:t xml:space="preserve"> </w:t>
      </w:r>
      <w:r w:rsidRPr="00814E7A">
        <w:rPr>
          <w:snapToGrid w:val="0"/>
          <w:sz w:val="20"/>
          <w:szCs w:val="22"/>
        </w:rPr>
        <w:t>correspondiente</w:t>
      </w:r>
      <w:r w:rsidR="00306D4F" w:rsidRPr="00814E7A">
        <w:rPr>
          <w:snapToGrid w:val="0"/>
          <w:sz w:val="20"/>
          <w:szCs w:val="22"/>
        </w:rPr>
        <w:t>s</w:t>
      </w:r>
      <w:r w:rsidRPr="00814E7A">
        <w:rPr>
          <w:snapToGrid w:val="0"/>
          <w:sz w:val="20"/>
          <w:szCs w:val="22"/>
        </w:rPr>
        <w:t xml:space="preserve"> al 5</w:t>
      </w:r>
      <w:r w:rsidR="00497BBB" w:rsidRPr="00814E7A">
        <w:rPr>
          <w:snapToGrid w:val="0"/>
          <w:sz w:val="20"/>
          <w:szCs w:val="22"/>
        </w:rPr>
        <w:t>%</w:t>
      </w:r>
      <w:r w:rsidRPr="00814E7A">
        <w:rPr>
          <w:snapToGrid w:val="0"/>
          <w:sz w:val="20"/>
          <w:szCs w:val="22"/>
        </w:rPr>
        <w:t xml:space="preserve"> del salario base, antigüedad y bolsa de vacaciones </w:t>
      </w:r>
      <w:r w:rsidR="00306D4F" w:rsidRPr="00814E7A">
        <w:rPr>
          <w:snapToGrid w:val="0"/>
          <w:sz w:val="20"/>
          <w:szCs w:val="22"/>
        </w:rPr>
        <w:t>del ejercicio</w:t>
      </w:r>
      <w:r w:rsidR="00724835" w:rsidRPr="00814E7A">
        <w:rPr>
          <w:snapToGrid w:val="0"/>
          <w:sz w:val="20"/>
          <w:szCs w:val="22"/>
        </w:rPr>
        <w:t>, con efecto desde el 1 de enero de 2019</w:t>
      </w:r>
      <w:r w:rsidRPr="00814E7A">
        <w:rPr>
          <w:snapToGrid w:val="0"/>
          <w:sz w:val="20"/>
          <w:szCs w:val="22"/>
        </w:rPr>
        <w:t>, reconocida por la Dirección General de Planificación y Presupuestos del Gobierno de Canarias</w:t>
      </w:r>
      <w:r w:rsidR="00724835" w:rsidRPr="00814E7A">
        <w:rPr>
          <w:snapToGrid w:val="0"/>
          <w:sz w:val="20"/>
          <w:szCs w:val="22"/>
        </w:rPr>
        <w:t>, en base a la Ley 7/2022, de 28 de diciembre, de Presupuestos Generales de la Comunidad Autónoma de Canarias para 2023</w:t>
      </w:r>
      <w:r w:rsidR="003B5950" w:rsidRPr="00814E7A">
        <w:rPr>
          <w:snapToGrid w:val="0"/>
          <w:sz w:val="20"/>
          <w:szCs w:val="22"/>
        </w:rPr>
        <w:t xml:space="preserve"> (</w:t>
      </w:r>
      <w:r w:rsidR="00866EC2" w:rsidRPr="00814E7A">
        <w:rPr>
          <w:snapToGrid w:val="0"/>
          <w:sz w:val="20"/>
          <w:szCs w:val="22"/>
        </w:rPr>
        <w:t>N</w:t>
      </w:r>
      <w:r w:rsidR="003B5950" w:rsidRPr="00814E7A">
        <w:rPr>
          <w:snapToGrid w:val="0"/>
          <w:sz w:val="20"/>
          <w:szCs w:val="22"/>
        </w:rPr>
        <w:t>ota</w:t>
      </w:r>
      <w:r w:rsidR="00D02FCE" w:rsidRPr="00814E7A">
        <w:rPr>
          <w:snapToGrid w:val="0"/>
          <w:sz w:val="20"/>
          <w:szCs w:val="22"/>
        </w:rPr>
        <w:t>s</w:t>
      </w:r>
      <w:r w:rsidR="003B5950" w:rsidRPr="00814E7A">
        <w:rPr>
          <w:snapToGrid w:val="0"/>
          <w:sz w:val="20"/>
          <w:szCs w:val="22"/>
        </w:rPr>
        <w:t xml:space="preserve"> 11.1.b</w:t>
      </w:r>
      <w:r w:rsidR="00D02FCE" w:rsidRPr="00814E7A">
        <w:rPr>
          <w:snapToGrid w:val="0"/>
          <w:sz w:val="20"/>
          <w:szCs w:val="22"/>
        </w:rPr>
        <w:t xml:space="preserve"> y 12.c</w:t>
      </w:r>
      <w:r w:rsidR="003B5950" w:rsidRPr="00814E7A">
        <w:rPr>
          <w:snapToGrid w:val="0"/>
          <w:sz w:val="20"/>
          <w:szCs w:val="22"/>
        </w:rPr>
        <w:t>)</w:t>
      </w:r>
      <w:r w:rsidR="00724835" w:rsidRPr="00814E7A">
        <w:rPr>
          <w:snapToGrid w:val="0"/>
          <w:sz w:val="20"/>
          <w:szCs w:val="22"/>
        </w:rPr>
        <w:t>.</w:t>
      </w:r>
    </w:p>
    <w:p w14:paraId="5CF1899C" w14:textId="3F1E9C7D" w:rsidR="008D73BD" w:rsidRDefault="00037346" w:rsidP="00D67C6B">
      <w:pPr>
        <w:widowControl w:val="0"/>
        <w:spacing w:before="120" w:after="120" w:line="260" w:lineRule="exact"/>
        <w:jc w:val="both"/>
        <w:outlineLvl w:val="9"/>
        <w:rPr>
          <w:snapToGrid w:val="0"/>
          <w:sz w:val="20"/>
          <w:szCs w:val="22"/>
        </w:rPr>
      </w:pPr>
      <w:r w:rsidRPr="00814E7A">
        <w:rPr>
          <w:snapToGrid w:val="0"/>
          <w:sz w:val="20"/>
          <w:szCs w:val="22"/>
        </w:rPr>
        <w:t>Durante el ejercicio 2023 la Sociedad ha abonado dichos conceptos a los trabajadores, reconociendo un exceso de provisión en la cuenta de pérdidas y ganancias por importe de 69.506,52 euros.</w:t>
      </w:r>
    </w:p>
    <w:p w14:paraId="39391A43" w14:textId="77777777" w:rsidR="006220A2" w:rsidRPr="0083433F" w:rsidRDefault="006220A2" w:rsidP="00AB4061">
      <w:pPr>
        <w:pStyle w:val="Ttulo5"/>
        <w:keepNext w:val="0"/>
        <w:tabs>
          <w:tab w:val="left" w:pos="284"/>
        </w:tabs>
        <w:spacing w:before="200"/>
        <w:rPr>
          <w:rFonts w:ascii="Arial" w:hAnsi="Arial" w:cs="Arial"/>
          <w:b/>
          <w:i/>
          <w:color w:val="auto"/>
          <w:sz w:val="20"/>
          <w:szCs w:val="22"/>
          <w:u w:val="single"/>
        </w:rPr>
      </w:pPr>
      <w:r w:rsidRPr="0083433F">
        <w:rPr>
          <w:rFonts w:ascii="Arial" w:hAnsi="Arial" w:cs="Arial"/>
          <w:i/>
          <w:color w:val="auto"/>
          <w:sz w:val="20"/>
          <w:szCs w:val="22"/>
          <w:u w:val="single"/>
        </w:rPr>
        <w:t>Acreedores comerciales</w:t>
      </w:r>
    </w:p>
    <w:p w14:paraId="5EB14817" w14:textId="77777777" w:rsidR="006220A2" w:rsidRPr="0083433F" w:rsidRDefault="006220A2" w:rsidP="00D67C6B">
      <w:pPr>
        <w:widowControl w:val="0"/>
        <w:spacing w:before="120" w:after="120" w:line="260" w:lineRule="exact"/>
        <w:jc w:val="both"/>
        <w:outlineLvl w:val="9"/>
        <w:rPr>
          <w:snapToGrid w:val="0"/>
          <w:sz w:val="20"/>
          <w:szCs w:val="22"/>
        </w:rPr>
      </w:pPr>
      <w:r w:rsidRPr="0083433F">
        <w:rPr>
          <w:snapToGrid w:val="0"/>
          <w:sz w:val="20"/>
          <w:szCs w:val="22"/>
        </w:rPr>
        <w:t xml:space="preserve">La totalidad del saldo recogido en este epígrafe se debe a los saldos acreedores pendientes de pago que se desprenden de las actividades comerciales de la Sociedad. </w:t>
      </w:r>
    </w:p>
    <w:p w14:paraId="52278CB2" w14:textId="77777777" w:rsidR="006220A2" w:rsidRPr="001D0C22" w:rsidRDefault="006220A2">
      <w:pPr>
        <w:keepNext/>
        <w:keepLines/>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i/>
          <w:sz w:val="20"/>
          <w:szCs w:val="22"/>
          <w:u w:val="single"/>
        </w:rPr>
      </w:pPr>
      <w:r w:rsidRPr="001D0C22">
        <w:rPr>
          <w:i/>
          <w:sz w:val="20"/>
          <w:szCs w:val="22"/>
          <w:u w:val="single"/>
        </w:rPr>
        <w:lastRenderedPageBreak/>
        <w:t>Clasificación por vencimiento</w:t>
      </w:r>
    </w:p>
    <w:p w14:paraId="607393B4" w14:textId="6D07241D" w:rsidR="0049245C" w:rsidRPr="001D0C22" w:rsidRDefault="0049245C" w:rsidP="0049245C">
      <w:pPr>
        <w:keepNext/>
        <w:keepLines/>
        <w:widowControl w:val="0"/>
        <w:spacing w:before="120" w:after="120" w:line="260" w:lineRule="exact"/>
        <w:jc w:val="both"/>
        <w:rPr>
          <w:snapToGrid w:val="0"/>
          <w:sz w:val="20"/>
          <w:szCs w:val="22"/>
        </w:rPr>
      </w:pPr>
      <w:r w:rsidRPr="001D0C22">
        <w:rPr>
          <w:snapToGrid w:val="0"/>
          <w:sz w:val="20"/>
          <w:szCs w:val="22"/>
        </w:rPr>
        <w:t>Los importes de los instrumentos financieros de pasivo al cierre de 2023 son los siguientes:</w:t>
      </w:r>
    </w:p>
    <w:tbl>
      <w:tblPr>
        <w:tblW w:w="5000" w:type="pct"/>
        <w:tblCellMar>
          <w:left w:w="70" w:type="dxa"/>
          <w:right w:w="70" w:type="dxa"/>
        </w:tblCellMar>
        <w:tblLook w:val="04A0" w:firstRow="1" w:lastRow="0" w:firstColumn="1" w:lastColumn="0" w:noHBand="0" w:noVBand="1"/>
      </w:tblPr>
      <w:tblGrid>
        <w:gridCol w:w="2656"/>
        <w:gridCol w:w="1139"/>
        <w:gridCol w:w="763"/>
        <w:gridCol w:w="774"/>
        <w:gridCol w:w="588"/>
        <w:gridCol w:w="732"/>
        <w:gridCol w:w="985"/>
        <w:gridCol w:w="1144"/>
      </w:tblGrid>
      <w:tr w:rsidR="0049245C" w:rsidRPr="001D0C22" w14:paraId="1E978A6D" w14:textId="77777777" w:rsidTr="001B5A15">
        <w:trPr>
          <w:trHeight w:val="227"/>
        </w:trPr>
        <w:tc>
          <w:tcPr>
            <w:tcW w:w="5000" w:type="pct"/>
            <w:gridSpan w:val="8"/>
            <w:tcBorders>
              <w:top w:val="single" w:sz="4" w:space="0" w:color="auto"/>
              <w:left w:val="nil"/>
              <w:bottom w:val="single" w:sz="4" w:space="0" w:color="auto"/>
              <w:right w:val="nil"/>
            </w:tcBorders>
            <w:shd w:val="clear" w:color="auto" w:fill="auto"/>
            <w:vAlign w:val="center"/>
            <w:hideMark/>
          </w:tcPr>
          <w:p w14:paraId="4CF643E5" w14:textId="77777777"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PASIVOS FINANCIEROS</w:t>
            </w:r>
          </w:p>
        </w:tc>
      </w:tr>
      <w:tr w:rsidR="0049245C" w:rsidRPr="001D0C22" w14:paraId="2E67A83C" w14:textId="77777777" w:rsidTr="001B5A15">
        <w:trPr>
          <w:trHeight w:val="283"/>
        </w:trPr>
        <w:tc>
          <w:tcPr>
            <w:tcW w:w="1532" w:type="pct"/>
            <w:tcBorders>
              <w:top w:val="nil"/>
              <w:left w:val="nil"/>
              <w:bottom w:val="single" w:sz="4" w:space="0" w:color="auto"/>
              <w:right w:val="nil"/>
            </w:tcBorders>
            <w:shd w:val="clear" w:color="auto" w:fill="auto"/>
            <w:vAlign w:val="center"/>
            <w:hideMark/>
          </w:tcPr>
          <w:p w14:paraId="36A63018" w14:textId="77777777"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668" w:type="pct"/>
            <w:tcBorders>
              <w:top w:val="nil"/>
              <w:left w:val="nil"/>
              <w:bottom w:val="single" w:sz="4" w:space="0" w:color="auto"/>
              <w:right w:val="nil"/>
            </w:tcBorders>
            <w:shd w:val="clear" w:color="auto" w:fill="auto"/>
            <w:vAlign w:val="center"/>
            <w:hideMark/>
          </w:tcPr>
          <w:p w14:paraId="208FE0E9" w14:textId="73F2584B"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2024</w:t>
            </w:r>
          </w:p>
        </w:tc>
        <w:tc>
          <w:tcPr>
            <w:tcW w:w="299" w:type="pct"/>
            <w:tcBorders>
              <w:top w:val="nil"/>
              <w:left w:val="nil"/>
              <w:bottom w:val="single" w:sz="4" w:space="0" w:color="auto"/>
              <w:right w:val="nil"/>
            </w:tcBorders>
            <w:shd w:val="clear" w:color="auto" w:fill="auto"/>
            <w:vAlign w:val="center"/>
            <w:hideMark/>
          </w:tcPr>
          <w:p w14:paraId="4AB41C77" w14:textId="280E3064"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2025</w:t>
            </w:r>
          </w:p>
        </w:tc>
        <w:tc>
          <w:tcPr>
            <w:tcW w:w="460" w:type="pct"/>
            <w:tcBorders>
              <w:top w:val="nil"/>
              <w:left w:val="nil"/>
              <w:bottom w:val="single" w:sz="4" w:space="0" w:color="auto"/>
              <w:right w:val="nil"/>
            </w:tcBorders>
            <w:shd w:val="clear" w:color="auto" w:fill="auto"/>
            <w:vAlign w:val="center"/>
            <w:hideMark/>
          </w:tcPr>
          <w:p w14:paraId="7AB4E88E" w14:textId="503A6BCE"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2026</w:t>
            </w:r>
          </w:p>
        </w:tc>
        <w:tc>
          <w:tcPr>
            <w:tcW w:w="354" w:type="pct"/>
            <w:tcBorders>
              <w:top w:val="nil"/>
              <w:left w:val="nil"/>
              <w:bottom w:val="single" w:sz="4" w:space="0" w:color="auto"/>
              <w:right w:val="nil"/>
            </w:tcBorders>
            <w:shd w:val="clear" w:color="auto" w:fill="auto"/>
            <w:vAlign w:val="center"/>
            <w:hideMark/>
          </w:tcPr>
          <w:p w14:paraId="094A7BF0" w14:textId="6B43F8DF"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2027</w:t>
            </w:r>
          </w:p>
        </w:tc>
        <w:tc>
          <w:tcPr>
            <w:tcW w:w="436" w:type="pct"/>
            <w:tcBorders>
              <w:top w:val="nil"/>
              <w:left w:val="nil"/>
              <w:bottom w:val="single" w:sz="4" w:space="0" w:color="auto"/>
              <w:right w:val="nil"/>
            </w:tcBorders>
            <w:shd w:val="clear" w:color="auto" w:fill="auto"/>
            <w:vAlign w:val="center"/>
            <w:hideMark/>
          </w:tcPr>
          <w:p w14:paraId="09814C7B" w14:textId="4A24CAF0"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2025</w:t>
            </w:r>
          </w:p>
        </w:tc>
        <w:tc>
          <w:tcPr>
            <w:tcW w:w="580" w:type="pct"/>
            <w:tcBorders>
              <w:top w:val="nil"/>
              <w:left w:val="nil"/>
              <w:bottom w:val="single" w:sz="4" w:space="0" w:color="auto"/>
              <w:right w:val="nil"/>
            </w:tcBorders>
            <w:shd w:val="clear" w:color="auto" w:fill="auto"/>
            <w:vAlign w:val="center"/>
            <w:hideMark/>
          </w:tcPr>
          <w:p w14:paraId="405FB731" w14:textId="77777777"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+5 años</w:t>
            </w:r>
          </w:p>
        </w:tc>
        <w:tc>
          <w:tcPr>
            <w:tcW w:w="671" w:type="pct"/>
            <w:tcBorders>
              <w:top w:val="nil"/>
              <w:left w:val="nil"/>
              <w:bottom w:val="single" w:sz="4" w:space="0" w:color="auto"/>
              <w:right w:val="nil"/>
            </w:tcBorders>
            <w:shd w:val="clear" w:color="auto" w:fill="auto"/>
            <w:vAlign w:val="center"/>
            <w:hideMark/>
          </w:tcPr>
          <w:p w14:paraId="3303A898" w14:textId="77777777" w:rsidR="0049245C" w:rsidRPr="001D0C22" w:rsidRDefault="0049245C"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Total</w:t>
            </w:r>
          </w:p>
        </w:tc>
      </w:tr>
      <w:tr w:rsidR="0049245C" w:rsidRPr="001D0C22" w14:paraId="262D50F6" w14:textId="77777777" w:rsidTr="003207C0">
        <w:trPr>
          <w:trHeight w:val="283"/>
        </w:trPr>
        <w:tc>
          <w:tcPr>
            <w:tcW w:w="1532" w:type="pct"/>
            <w:tcBorders>
              <w:top w:val="nil"/>
              <w:left w:val="nil"/>
              <w:bottom w:val="single" w:sz="4" w:space="0" w:color="auto"/>
              <w:right w:val="nil"/>
            </w:tcBorders>
            <w:shd w:val="clear" w:color="auto" w:fill="auto"/>
            <w:vAlign w:val="center"/>
          </w:tcPr>
          <w:p w14:paraId="59ADD78B" w14:textId="77777777"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Deudas con entidades de crédito (Nota 8.3.a)</w:t>
            </w:r>
          </w:p>
        </w:tc>
        <w:tc>
          <w:tcPr>
            <w:tcW w:w="668" w:type="pct"/>
            <w:tcBorders>
              <w:top w:val="nil"/>
              <w:left w:val="nil"/>
              <w:bottom w:val="single" w:sz="4" w:space="0" w:color="auto"/>
              <w:right w:val="nil"/>
            </w:tcBorders>
            <w:shd w:val="clear" w:color="auto" w:fill="auto"/>
            <w:vAlign w:val="center"/>
          </w:tcPr>
          <w:p w14:paraId="7D32CFDA" w14:textId="0C0508C5"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sz w:val="16"/>
                <w:szCs w:val="16"/>
              </w:rPr>
              <w:t>378,60</w:t>
            </w:r>
          </w:p>
        </w:tc>
        <w:tc>
          <w:tcPr>
            <w:tcW w:w="299" w:type="pct"/>
            <w:tcBorders>
              <w:top w:val="nil"/>
              <w:left w:val="nil"/>
              <w:bottom w:val="single" w:sz="4" w:space="0" w:color="auto"/>
              <w:right w:val="nil"/>
            </w:tcBorders>
            <w:shd w:val="clear" w:color="auto" w:fill="auto"/>
            <w:vAlign w:val="center"/>
          </w:tcPr>
          <w:p w14:paraId="215CCEAA" w14:textId="5F0C59C4"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w:t>
            </w:r>
          </w:p>
        </w:tc>
        <w:tc>
          <w:tcPr>
            <w:tcW w:w="460" w:type="pct"/>
            <w:tcBorders>
              <w:top w:val="nil"/>
              <w:left w:val="nil"/>
              <w:bottom w:val="single" w:sz="4" w:space="0" w:color="auto"/>
              <w:right w:val="nil"/>
            </w:tcBorders>
            <w:shd w:val="clear" w:color="auto" w:fill="auto"/>
            <w:vAlign w:val="center"/>
          </w:tcPr>
          <w:p w14:paraId="00711BF7" w14:textId="66F6A2FD"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w:t>
            </w:r>
          </w:p>
        </w:tc>
        <w:tc>
          <w:tcPr>
            <w:tcW w:w="354" w:type="pct"/>
            <w:tcBorders>
              <w:top w:val="nil"/>
              <w:left w:val="nil"/>
              <w:bottom w:val="single" w:sz="4" w:space="0" w:color="auto"/>
              <w:right w:val="nil"/>
            </w:tcBorders>
            <w:shd w:val="clear" w:color="auto" w:fill="auto"/>
            <w:vAlign w:val="center"/>
          </w:tcPr>
          <w:p w14:paraId="0E4A7BCB" w14:textId="53E4FCBA"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w:t>
            </w:r>
          </w:p>
        </w:tc>
        <w:tc>
          <w:tcPr>
            <w:tcW w:w="436" w:type="pct"/>
            <w:tcBorders>
              <w:top w:val="nil"/>
              <w:left w:val="nil"/>
              <w:bottom w:val="single" w:sz="4" w:space="0" w:color="auto"/>
              <w:right w:val="nil"/>
            </w:tcBorders>
            <w:shd w:val="clear" w:color="auto" w:fill="auto"/>
            <w:vAlign w:val="center"/>
          </w:tcPr>
          <w:p w14:paraId="5A7BE2E7" w14:textId="7727C850"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 xml:space="preserve"> -</w:t>
            </w:r>
          </w:p>
        </w:tc>
        <w:tc>
          <w:tcPr>
            <w:tcW w:w="580" w:type="pct"/>
            <w:tcBorders>
              <w:top w:val="nil"/>
              <w:left w:val="nil"/>
              <w:bottom w:val="single" w:sz="4" w:space="0" w:color="auto"/>
              <w:right w:val="nil"/>
            </w:tcBorders>
            <w:shd w:val="clear" w:color="auto" w:fill="auto"/>
            <w:vAlign w:val="center"/>
          </w:tcPr>
          <w:p w14:paraId="5DBC9A2F" w14:textId="49922202"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w:t>
            </w:r>
          </w:p>
        </w:tc>
        <w:tc>
          <w:tcPr>
            <w:tcW w:w="671" w:type="pct"/>
            <w:tcBorders>
              <w:top w:val="nil"/>
              <w:left w:val="nil"/>
              <w:bottom w:val="single" w:sz="4" w:space="0" w:color="auto"/>
              <w:right w:val="nil"/>
            </w:tcBorders>
            <w:shd w:val="clear" w:color="auto" w:fill="auto"/>
            <w:vAlign w:val="center"/>
          </w:tcPr>
          <w:p w14:paraId="2773F290" w14:textId="667B36D2"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378,60</w:t>
            </w:r>
          </w:p>
        </w:tc>
      </w:tr>
      <w:tr w:rsidR="0049245C" w:rsidRPr="001D0C22" w14:paraId="14D01765" w14:textId="77777777" w:rsidTr="003207C0">
        <w:trPr>
          <w:trHeight w:val="283"/>
        </w:trPr>
        <w:tc>
          <w:tcPr>
            <w:tcW w:w="1532" w:type="pct"/>
            <w:tcBorders>
              <w:top w:val="nil"/>
              <w:left w:val="nil"/>
              <w:bottom w:val="single" w:sz="4" w:space="0" w:color="auto"/>
              <w:right w:val="nil"/>
            </w:tcBorders>
            <w:shd w:val="clear" w:color="auto" w:fill="auto"/>
            <w:vAlign w:val="bottom"/>
          </w:tcPr>
          <w:p w14:paraId="3387AE42" w14:textId="77777777"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 xml:space="preserve">Pasivos financieros a coste amortizado a otras empresas </w:t>
            </w:r>
          </w:p>
          <w:p w14:paraId="7734D8FD" w14:textId="77777777"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(Nota 8.3.a)</w:t>
            </w:r>
          </w:p>
        </w:tc>
        <w:tc>
          <w:tcPr>
            <w:tcW w:w="668" w:type="pct"/>
            <w:tcBorders>
              <w:top w:val="nil"/>
              <w:left w:val="nil"/>
              <w:bottom w:val="single" w:sz="4" w:space="0" w:color="auto"/>
              <w:right w:val="nil"/>
            </w:tcBorders>
            <w:shd w:val="clear" w:color="auto" w:fill="auto"/>
            <w:vAlign w:val="center"/>
          </w:tcPr>
          <w:p w14:paraId="417558E6" w14:textId="49E9A602"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sz w:val="16"/>
                <w:szCs w:val="16"/>
              </w:rPr>
              <w:t>9.084.303,18</w:t>
            </w:r>
          </w:p>
        </w:tc>
        <w:tc>
          <w:tcPr>
            <w:tcW w:w="299" w:type="pct"/>
            <w:tcBorders>
              <w:top w:val="nil"/>
              <w:left w:val="nil"/>
              <w:bottom w:val="single" w:sz="4" w:space="0" w:color="auto"/>
              <w:right w:val="nil"/>
            </w:tcBorders>
            <w:shd w:val="clear" w:color="auto" w:fill="auto"/>
            <w:vAlign w:val="center"/>
          </w:tcPr>
          <w:p w14:paraId="4DE0341D" w14:textId="44F34BD2"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5.768,00</w:t>
            </w:r>
          </w:p>
        </w:tc>
        <w:tc>
          <w:tcPr>
            <w:tcW w:w="460" w:type="pct"/>
            <w:tcBorders>
              <w:top w:val="nil"/>
              <w:left w:val="nil"/>
              <w:bottom w:val="single" w:sz="4" w:space="0" w:color="auto"/>
              <w:right w:val="nil"/>
            </w:tcBorders>
            <w:shd w:val="clear" w:color="auto" w:fill="auto"/>
            <w:vAlign w:val="center"/>
          </w:tcPr>
          <w:p w14:paraId="2D3C1E18" w14:textId="460CC187"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 xml:space="preserve"> -</w:t>
            </w:r>
          </w:p>
        </w:tc>
        <w:tc>
          <w:tcPr>
            <w:tcW w:w="354" w:type="pct"/>
            <w:tcBorders>
              <w:top w:val="nil"/>
              <w:left w:val="nil"/>
              <w:bottom w:val="single" w:sz="4" w:space="0" w:color="auto"/>
              <w:right w:val="nil"/>
            </w:tcBorders>
            <w:shd w:val="clear" w:color="auto" w:fill="auto"/>
            <w:vAlign w:val="center"/>
          </w:tcPr>
          <w:p w14:paraId="765B4539" w14:textId="4B1580F8"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w:t>
            </w:r>
          </w:p>
        </w:tc>
        <w:tc>
          <w:tcPr>
            <w:tcW w:w="436" w:type="pct"/>
            <w:tcBorders>
              <w:top w:val="nil"/>
              <w:left w:val="nil"/>
              <w:bottom w:val="single" w:sz="4" w:space="0" w:color="auto"/>
              <w:right w:val="nil"/>
            </w:tcBorders>
            <w:shd w:val="clear" w:color="auto" w:fill="auto"/>
            <w:vAlign w:val="center"/>
          </w:tcPr>
          <w:p w14:paraId="267B98FD" w14:textId="3B94007B"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 xml:space="preserve"> -</w:t>
            </w:r>
          </w:p>
        </w:tc>
        <w:tc>
          <w:tcPr>
            <w:tcW w:w="580" w:type="pct"/>
            <w:tcBorders>
              <w:top w:val="nil"/>
              <w:left w:val="nil"/>
              <w:bottom w:val="single" w:sz="4" w:space="0" w:color="auto"/>
              <w:right w:val="nil"/>
            </w:tcBorders>
            <w:shd w:val="clear" w:color="auto" w:fill="auto"/>
            <w:vAlign w:val="center"/>
          </w:tcPr>
          <w:p w14:paraId="6EA8F05C" w14:textId="242B9C52"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w:t>
            </w:r>
          </w:p>
        </w:tc>
        <w:tc>
          <w:tcPr>
            <w:tcW w:w="671" w:type="pct"/>
            <w:tcBorders>
              <w:top w:val="nil"/>
              <w:left w:val="nil"/>
              <w:bottom w:val="single" w:sz="4" w:space="0" w:color="auto"/>
              <w:right w:val="nil"/>
            </w:tcBorders>
            <w:shd w:val="clear" w:color="auto" w:fill="auto"/>
            <w:vAlign w:val="center"/>
          </w:tcPr>
          <w:p w14:paraId="6219DA14" w14:textId="28868052" w:rsidR="0049245C" w:rsidRPr="001D0C22" w:rsidRDefault="0049245C" w:rsidP="0049245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9.090.071,18</w:t>
            </w:r>
          </w:p>
        </w:tc>
      </w:tr>
      <w:tr w:rsidR="0049245C" w:rsidRPr="001D0C22" w14:paraId="2883C6D4" w14:textId="77777777" w:rsidTr="003207C0">
        <w:trPr>
          <w:trHeight w:val="283"/>
        </w:trPr>
        <w:tc>
          <w:tcPr>
            <w:tcW w:w="1532" w:type="pct"/>
            <w:tcBorders>
              <w:top w:val="nil"/>
              <w:left w:val="nil"/>
              <w:bottom w:val="single" w:sz="4" w:space="0" w:color="auto"/>
              <w:right w:val="nil"/>
            </w:tcBorders>
            <w:shd w:val="clear" w:color="auto" w:fill="auto"/>
            <w:vAlign w:val="center"/>
            <w:hideMark/>
          </w:tcPr>
          <w:p w14:paraId="0E1E4746" w14:textId="77777777" w:rsidR="0049245C" w:rsidRPr="001D0C22" w:rsidRDefault="0049245C" w:rsidP="0049245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sz w:val="16"/>
                <w:szCs w:val="16"/>
                <w:bdr w:val="none" w:sz="0" w:space="0" w:color="auto"/>
                <w:lang w:eastAsia="es-ES"/>
              </w:rPr>
            </w:pPr>
            <w:r w:rsidRPr="001D0C22">
              <w:rPr>
                <w:rFonts w:eastAsia="Times New Roman"/>
                <w:b/>
                <w:sz w:val="16"/>
                <w:szCs w:val="16"/>
                <w:bdr w:val="none" w:sz="0" w:space="0" w:color="auto"/>
                <w:lang w:eastAsia="es-ES"/>
              </w:rPr>
              <w:t>Total</w:t>
            </w:r>
          </w:p>
        </w:tc>
        <w:tc>
          <w:tcPr>
            <w:tcW w:w="668" w:type="pct"/>
            <w:tcBorders>
              <w:top w:val="nil"/>
              <w:left w:val="nil"/>
              <w:bottom w:val="single" w:sz="4" w:space="0" w:color="auto"/>
              <w:right w:val="nil"/>
            </w:tcBorders>
            <w:shd w:val="clear" w:color="auto" w:fill="auto"/>
            <w:vAlign w:val="center"/>
          </w:tcPr>
          <w:p w14:paraId="3AA10A24" w14:textId="49F8472A" w:rsidR="0049245C" w:rsidRPr="001D0C22" w:rsidRDefault="0049245C" w:rsidP="0049245C">
            <w:pPr>
              <w:jc w:val="right"/>
              <w:rPr>
                <w:b/>
                <w:bCs/>
                <w:sz w:val="16"/>
                <w:szCs w:val="16"/>
              </w:rPr>
            </w:pPr>
            <w:r w:rsidRPr="001D0C22">
              <w:rPr>
                <w:b/>
                <w:bCs/>
                <w:sz w:val="16"/>
                <w:szCs w:val="16"/>
              </w:rPr>
              <w:t>9.084.681,78</w:t>
            </w:r>
          </w:p>
        </w:tc>
        <w:tc>
          <w:tcPr>
            <w:tcW w:w="299" w:type="pct"/>
            <w:tcBorders>
              <w:top w:val="nil"/>
              <w:left w:val="nil"/>
              <w:bottom w:val="single" w:sz="4" w:space="0" w:color="auto"/>
              <w:right w:val="nil"/>
            </w:tcBorders>
            <w:shd w:val="clear" w:color="auto" w:fill="auto"/>
            <w:vAlign w:val="center"/>
            <w:hideMark/>
          </w:tcPr>
          <w:p w14:paraId="4F0EEC61" w14:textId="215986B4" w:rsidR="0049245C" w:rsidRPr="001D0C22" w:rsidRDefault="0049245C" w:rsidP="0049245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5.768,00</w:t>
            </w:r>
          </w:p>
        </w:tc>
        <w:tc>
          <w:tcPr>
            <w:tcW w:w="460" w:type="pct"/>
            <w:tcBorders>
              <w:top w:val="nil"/>
              <w:left w:val="nil"/>
              <w:bottom w:val="single" w:sz="4" w:space="0" w:color="auto"/>
              <w:right w:val="nil"/>
            </w:tcBorders>
            <w:shd w:val="clear" w:color="auto" w:fill="auto"/>
            <w:vAlign w:val="center"/>
            <w:hideMark/>
          </w:tcPr>
          <w:p w14:paraId="0A8F3542" w14:textId="22B00AC3" w:rsidR="0049245C" w:rsidRPr="001D0C22" w:rsidRDefault="0049245C" w:rsidP="0049245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 xml:space="preserve"> -</w:t>
            </w:r>
          </w:p>
        </w:tc>
        <w:tc>
          <w:tcPr>
            <w:tcW w:w="354" w:type="pct"/>
            <w:tcBorders>
              <w:top w:val="nil"/>
              <w:left w:val="nil"/>
              <w:bottom w:val="single" w:sz="4" w:space="0" w:color="auto"/>
              <w:right w:val="nil"/>
            </w:tcBorders>
            <w:shd w:val="clear" w:color="auto" w:fill="auto"/>
            <w:vAlign w:val="center"/>
            <w:hideMark/>
          </w:tcPr>
          <w:p w14:paraId="32FAEDA8" w14:textId="60E0A974" w:rsidR="0049245C" w:rsidRPr="001D0C22" w:rsidRDefault="0049245C" w:rsidP="0049245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 xml:space="preserve"> -</w:t>
            </w:r>
          </w:p>
        </w:tc>
        <w:tc>
          <w:tcPr>
            <w:tcW w:w="436" w:type="pct"/>
            <w:tcBorders>
              <w:top w:val="nil"/>
              <w:left w:val="nil"/>
              <w:bottom w:val="single" w:sz="4" w:space="0" w:color="auto"/>
              <w:right w:val="nil"/>
            </w:tcBorders>
            <w:shd w:val="clear" w:color="auto" w:fill="auto"/>
            <w:vAlign w:val="center"/>
            <w:hideMark/>
          </w:tcPr>
          <w:p w14:paraId="5F7C2736" w14:textId="7A21806D" w:rsidR="0049245C" w:rsidRPr="001D0C22" w:rsidRDefault="0049245C" w:rsidP="0049245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 xml:space="preserve"> -</w:t>
            </w:r>
          </w:p>
        </w:tc>
        <w:tc>
          <w:tcPr>
            <w:tcW w:w="580" w:type="pct"/>
            <w:tcBorders>
              <w:top w:val="nil"/>
              <w:left w:val="nil"/>
              <w:bottom w:val="single" w:sz="4" w:space="0" w:color="auto"/>
              <w:right w:val="nil"/>
            </w:tcBorders>
            <w:shd w:val="clear" w:color="auto" w:fill="auto"/>
            <w:vAlign w:val="center"/>
            <w:hideMark/>
          </w:tcPr>
          <w:p w14:paraId="38F93303" w14:textId="6BEEF14B" w:rsidR="0049245C" w:rsidRPr="001D0C22" w:rsidRDefault="0049245C" w:rsidP="0049245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 xml:space="preserve"> -</w:t>
            </w:r>
          </w:p>
        </w:tc>
        <w:tc>
          <w:tcPr>
            <w:tcW w:w="671" w:type="pct"/>
            <w:tcBorders>
              <w:top w:val="nil"/>
              <w:left w:val="nil"/>
              <w:bottom w:val="single" w:sz="4" w:space="0" w:color="auto"/>
              <w:right w:val="nil"/>
            </w:tcBorders>
            <w:shd w:val="clear" w:color="auto" w:fill="auto"/>
            <w:vAlign w:val="center"/>
          </w:tcPr>
          <w:p w14:paraId="4B26BF40" w14:textId="7FAB04BB" w:rsidR="0049245C" w:rsidRPr="001D0C22" w:rsidRDefault="0049245C" w:rsidP="0049245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9.090.449,78</w:t>
            </w:r>
          </w:p>
        </w:tc>
      </w:tr>
    </w:tbl>
    <w:p w14:paraId="524D698C" w14:textId="2B6E995F" w:rsidR="000715CB" w:rsidRPr="001D0C22" w:rsidRDefault="006220A2" w:rsidP="001B5A15">
      <w:pPr>
        <w:keepNext/>
        <w:keepLines/>
        <w:widowControl w:val="0"/>
        <w:spacing w:before="240" w:after="120" w:line="260" w:lineRule="exact"/>
        <w:jc w:val="both"/>
        <w:outlineLvl w:val="9"/>
        <w:rPr>
          <w:snapToGrid w:val="0"/>
          <w:sz w:val="20"/>
          <w:szCs w:val="22"/>
        </w:rPr>
      </w:pPr>
      <w:r w:rsidRPr="001D0C22">
        <w:rPr>
          <w:snapToGrid w:val="0"/>
          <w:sz w:val="20"/>
          <w:szCs w:val="22"/>
        </w:rPr>
        <w:t>Los importes de los instrumentos financieros de pasivo al cierre de 20</w:t>
      </w:r>
      <w:r w:rsidR="004F02E4" w:rsidRPr="001D0C22">
        <w:rPr>
          <w:snapToGrid w:val="0"/>
          <w:sz w:val="20"/>
          <w:szCs w:val="22"/>
        </w:rPr>
        <w:t>2</w:t>
      </w:r>
      <w:r w:rsidR="00EE4E08" w:rsidRPr="001D0C22">
        <w:rPr>
          <w:snapToGrid w:val="0"/>
          <w:sz w:val="20"/>
          <w:szCs w:val="22"/>
        </w:rPr>
        <w:t>2</w:t>
      </w:r>
      <w:r w:rsidRPr="001D0C22">
        <w:rPr>
          <w:snapToGrid w:val="0"/>
          <w:sz w:val="20"/>
          <w:szCs w:val="22"/>
        </w:rPr>
        <w:t xml:space="preserve"> son los siguientes:</w:t>
      </w:r>
    </w:p>
    <w:tbl>
      <w:tblPr>
        <w:tblW w:w="5000" w:type="pct"/>
        <w:tblCellMar>
          <w:left w:w="70" w:type="dxa"/>
          <w:right w:w="70" w:type="dxa"/>
        </w:tblCellMar>
        <w:tblLook w:val="04A0" w:firstRow="1" w:lastRow="0" w:firstColumn="1" w:lastColumn="0" w:noHBand="0" w:noVBand="1"/>
      </w:tblPr>
      <w:tblGrid>
        <w:gridCol w:w="2690"/>
        <w:gridCol w:w="1173"/>
        <w:gridCol w:w="525"/>
        <w:gridCol w:w="808"/>
        <w:gridCol w:w="622"/>
        <w:gridCol w:w="766"/>
        <w:gridCol w:w="1019"/>
        <w:gridCol w:w="1178"/>
      </w:tblGrid>
      <w:tr w:rsidR="000715CB" w:rsidRPr="001D0C22" w14:paraId="176A02E2" w14:textId="77777777" w:rsidTr="001B5A15">
        <w:trPr>
          <w:trHeight w:val="227"/>
        </w:trPr>
        <w:tc>
          <w:tcPr>
            <w:tcW w:w="5000" w:type="pct"/>
            <w:gridSpan w:val="8"/>
            <w:tcBorders>
              <w:top w:val="single" w:sz="4" w:space="0" w:color="auto"/>
              <w:left w:val="nil"/>
              <w:bottom w:val="single" w:sz="4" w:space="0" w:color="auto"/>
              <w:right w:val="nil"/>
            </w:tcBorders>
            <w:shd w:val="clear" w:color="auto" w:fill="auto"/>
            <w:vAlign w:val="center"/>
            <w:hideMark/>
          </w:tcPr>
          <w:p w14:paraId="7ED6F460" w14:textId="77777777" w:rsidR="000715CB" w:rsidRPr="001D0C22" w:rsidRDefault="000715CB"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PASIVOS FINANCIEROS</w:t>
            </w:r>
          </w:p>
        </w:tc>
      </w:tr>
      <w:tr w:rsidR="00EE4E08" w:rsidRPr="001D0C22" w14:paraId="3EC8A866" w14:textId="77777777" w:rsidTr="001B5A15">
        <w:trPr>
          <w:trHeight w:val="283"/>
        </w:trPr>
        <w:tc>
          <w:tcPr>
            <w:tcW w:w="1532" w:type="pct"/>
            <w:tcBorders>
              <w:top w:val="nil"/>
              <w:left w:val="nil"/>
              <w:bottom w:val="single" w:sz="4" w:space="0" w:color="auto"/>
              <w:right w:val="nil"/>
            </w:tcBorders>
            <w:shd w:val="clear" w:color="auto" w:fill="auto"/>
            <w:vAlign w:val="center"/>
            <w:hideMark/>
          </w:tcPr>
          <w:p w14:paraId="58FD6341" w14:textId="77777777"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p>
        </w:tc>
        <w:tc>
          <w:tcPr>
            <w:tcW w:w="668" w:type="pct"/>
            <w:tcBorders>
              <w:top w:val="nil"/>
              <w:left w:val="nil"/>
              <w:bottom w:val="single" w:sz="4" w:space="0" w:color="auto"/>
              <w:right w:val="nil"/>
            </w:tcBorders>
            <w:shd w:val="clear" w:color="auto" w:fill="auto"/>
            <w:vAlign w:val="center"/>
            <w:hideMark/>
          </w:tcPr>
          <w:p w14:paraId="0BD59593" w14:textId="3E7BFC10"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2023</w:t>
            </w:r>
          </w:p>
        </w:tc>
        <w:tc>
          <w:tcPr>
            <w:tcW w:w="299" w:type="pct"/>
            <w:tcBorders>
              <w:top w:val="nil"/>
              <w:left w:val="nil"/>
              <w:bottom w:val="single" w:sz="4" w:space="0" w:color="auto"/>
              <w:right w:val="nil"/>
            </w:tcBorders>
            <w:shd w:val="clear" w:color="auto" w:fill="auto"/>
            <w:vAlign w:val="center"/>
            <w:hideMark/>
          </w:tcPr>
          <w:p w14:paraId="1BD7DD87" w14:textId="4D944CAE"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2024</w:t>
            </w:r>
          </w:p>
        </w:tc>
        <w:tc>
          <w:tcPr>
            <w:tcW w:w="460" w:type="pct"/>
            <w:tcBorders>
              <w:top w:val="nil"/>
              <w:left w:val="nil"/>
              <w:bottom w:val="single" w:sz="4" w:space="0" w:color="auto"/>
              <w:right w:val="nil"/>
            </w:tcBorders>
            <w:shd w:val="clear" w:color="auto" w:fill="auto"/>
            <w:vAlign w:val="center"/>
            <w:hideMark/>
          </w:tcPr>
          <w:p w14:paraId="435A5591" w14:textId="5745FC68"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2025</w:t>
            </w:r>
          </w:p>
        </w:tc>
        <w:tc>
          <w:tcPr>
            <w:tcW w:w="354" w:type="pct"/>
            <w:tcBorders>
              <w:top w:val="nil"/>
              <w:left w:val="nil"/>
              <w:bottom w:val="single" w:sz="4" w:space="0" w:color="auto"/>
              <w:right w:val="nil"/>
            </w:tcBorders>
            <w:shd w:val="clear" w:color="auto" w:fill="auto"/>
            <w:vAlign w:val="center"/>
            <w:hideMark/>
          </w:tcPr>
          <w:p w14:paraId="7B916720" w14:textId="60AD030C"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2026</w:t>
            </w:r>
          </w:p>
        </w:tc>
        <w:tc>
          <w:tcPr>
            <w:tcW w:w="436" w:type="pct"/>
            <w:tcBorders>
              <w:top w:val="nil"/>
              <w:left w:val="nil"/>
              <w:bottom w:val="single" w:sz="4" w:space="0" w:color="auto"/>
              <w:right w:val="nil"/>
            </w:tcBorders>
            <w:shd w:val="clear" w:color="auto" w:fill="auto"/>
            <w:vAlign w:val="center"/>
            <w:hideMark/>
          </w:tcPr>
          <w:p w14:paraId="142E3375" w14:textId="7CD3F6CA"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2027</w:t>
            </w:r>
          </w:p>
        </w:tc>
        <w:tc>
          <w:tcPr>
            <w:tcW w:w="580" w:type="pct"/>
            <w:tcBorders>
              <w:top w:val="nil"/>
              <w:left w:val="nil"/>
              <w:bottom w:val="single" w:sz="4" w:space="0" w:color="auto"/>
              <w:right w:val="nil"/>
            </w:tcBorders>
            <w:shd w:val="clear" w:color="auto" w:fill="auto"/>
            <w:vAlign w:val="center"/>
            <w:hideMark/>
          </w:tcPr>
          <w:p w14:paraId="4B78DAA8" w14:textId="77777777"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+5 años</w:t>
            </w:r>
          </w:p>
        </w:tc>
        <w:tc>
          <w:tcPr>
            <w:tcW w:w="671" w:type="pct"/>
            <w:tcBorders>
              <w:top w:val="nil"/>
              <w:left w:val="nil"/>
              <w:bottom w:val="single" w:sz="4" w:space="0" w:color="auto"/>
              <w:right w:val="nil"/>
            </w:tcBorders>
            <w:shd w:val="clear" w:color="auto" w:fill="auto"/>
            <w:vAlign w:val="center"/>
            <w:hideMark/>
          </w:tcPr>
          <w:p w14:paraId="76693FFC" w14:textId="77777777" w:rsidR="00EE4E08" w:rsidRPr="001D0C22" w:rsidRDefault="00EE4E08" w:rsidP="001B5A1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Total</w:t>
            </w:r>
          </w:p>
        </w:tc>
      </w:tr>
      <w:tr w:rsidR="00D3744D" w:rsidRPr="001D0C22" w14:paraId="78558DAE" w14:textId="77777777" w:rsidTr="00EE4E08">
        <w:trPr>
          <w:trHeight w:val="283"/>
        </w:trPr>
        <w:tc>
          <w:tcPr>
            <w:tcW w:w="1532" w:type="pct"/>
            <w:tcBorders>
              <w:top w:val="nil"/>
              <w:left w:val="nil"/>
              <w:bottom w:val="single" w:sz="4" w:space="0" w:color="auto"/>
              <w:right w:val="nil"/>
            </w:tcBorders>
            <w:shd w:val="clear" w:color="auto" w:fill="auto"/>
            <w:vAlign w:val="center"/>
          </w:tcPr>
          <w:p w14:paraId="3BB47002" w14:textId="7BCF33A7"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Deudas con entidades de crédito (Nota 8.3.a)</w:t>
            </w:r>
          </w:p>
        </w:tc>
        <w:tc>
          <w:tcPr>
            <w:tcW w:w="668" w:type="pct"/>
            <w:tcBorders>
              <w:top w:val="nil"/>
              <w:left w:val="nil"/>
              <w:bottom w:val="single" w:sz="4" w:space="0" w:color="auto"/>
              <w:right w:val="nil"/>
            </w:tcBorders>
            <w:shd w:val="clear" w:color="auto" w:fill="auto"/>
            <w:vAlign w:val="center"/>
          </w:tcPr>
          <w:p w14:paraId="1439CB7B" w14:textId="79CD2F57"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sz w:val="16"/>
                <w:szCs w:val="16"/>
              </w:rPr>
              <w:t>1.141,82</w:t>
            </w:r>
          </w:p>
        </w:tc>
        <w:tc>
          <w:tcPr>
            <w:tcW w:w="299" w:type="pct"/>
            <w:tcBorders>
              <w:top w:val="nil"/>
              <w:left w:val="nil"/>
              <w:bottom w:val="single" w:sz="4" w:space="0" w:color="auto"/>
              <w:right w:val="nil"/>
            </w:tcBorders>
            <w:shd w:val="clear" w:color="auto" w:fill="auto"/>
            <w:vAlign w:val="center"/>
          </w:tcPr>
          <w:p w14:paraId="083FDD7E" w14:textId="1DC388EE"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460" w:type="pct"/>
            <w:tcBorders>
              <w:top w:val="nil"/>
              <w:left w:val="nil"/>
              <w:bottom w:val="single" w:sz="4" w:space="0" w:color="auto"/>
              <w:right w:val="nil"/>
            </w:tcBorders>
            <w:shd w:val="clear" w:color="auto" w:fill="auto"/>
            <w:vAlign w:val="center"/>
          </w:tcPr>
          <w:p w14:paraId="1520D9E8" w14:textId="7168E1A8"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354" w:type="pct"/>
            <w:tcBorders>
              <w:top w:val="nil"/>
              <w:left w:val="nil"/>
              <w:bottom w:val="single" w:sz="4" w:space="0" w:color="auto"/>
              <w:right w:val="nil"/>
            </w:tcBorders>
            <w:shd w:val="clear" w:color="auto" w:fill="auto"/>
            <w:vAlign w:val="center"/>
          </w:tcPr>
          <w:p w14:paraId="2854566D" w14:textId="5FA5EA02"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436" w:type="pct"/>
            <w:tcBorders>
              <w:top w:val="nil"/>
              <w:left w:val="nil"/>
              <w:bottom w:val="single" w:sz="4" w:space="0" w:color="auto"/>
              <w:right w:val="nil"/>
            </w:tcBorders>
            <w:shd w:val="clear" w:color="auto" w:fill="auto"/>
            <w:vAlign w:val="center"/>
          </w:tcPr>
          <w:p w14:paraId="46844F77" w14:textId="7B0F31DA"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580" w:type="pct"/>
            <w:tcBorders>
              <w:top w:val="nil"/>
              <w:left w:val="nil"/>
              <w:bottom w:val="single" w:sz="4" w:space="0" w:color="auto"/>
              <w:right w:val="nil"/>
            </w:tcBorders>
            <w:shd w:val="clear" w:color="auto" w:fill="auto"/>
            <w:vAlign w:val="center"/>
          </w:tcPr>
          <w:p w14:paraId="5CE96717" w14:textId="10F88450"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671" w:type="pct"/>
            <w:tcBorders>
              <w:top w:val="nil"/>
              <w:left w:val="nil"/>
              <w:bottom w:val="single" w:sz="4" w:space="0" w:color="auto"/>
              <w:right w:val="nil"/>
            </w:tcBorders>
            <w:shd w:val="clear" w:color="auto" w:fill="auto"/>
            <w:vAlign w:val="center"/>
          </w:tcPr>
          <w:p w14:paraId="0124B58D" w14:textId="4F460966" w:rsidR="00D3744D" w:rsidRPr="001D0C22" w:rsidRDefault="00D3744D"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1.141,82</w:t>
            </w:r>
          </w:p>
        </w:tc>
      </w:tr>
      <w:tr w:rsidR="00263EE8" w:rsidRPr="001D0C22" w14:paraId="22934B9C" w14:textId="77777777" w:rsidTr="00EE4E08">
        <w:trPr>
          <w:trHeight w:val="283"/>
        </w:trPr>
        <w:tc>
          <w:tcPr>
            <w:tcW w:w="1532" w:type="pct"/>
            <w:tcBorders>
              <w:top w:val="nil"/>
              <w:left w:val="nil"/>
              <w:bottom w:val="single" w:sz="4" w:space="0" w:color="auto"/>
              <w:right w:val="nil"/>
            </w:tcBorders>
            <w:shd w:val="clear" w:color="auto" w:fill="auto"/>
            <w:vAlign w:val="bottom"/>
          </w:tcPr>
          <w:p w14:paraId="21E947F7" w14:textId="77777777" w:rsidR="00D67C6B"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 xml:space="preserve">Pasivos financieros a coste amortizado a otras empresas </w:t>
            </w:r>
          </w:p>
          <w:p w14:paraId="4CFEA888" w14:textId="7E0506F8"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(Nota 8.3.a)</w:t>
            </w:r>
          </w:p>
        </w:tc>
        <w:tc>
          <w:tcPr>
            <w:tcW w:w="668" w:type="pct"/>
            <w:tcBorders>
              <w:top w:val="nil"/>
              <w:left w:val="nil"/>
              <w:bottom w:val="single" w:sz="4" w:space="0" w:color="auto"/>
              <w:right w:val="nil"/>
            </w:tcBorders>
            <w:shd w:val="clear" w:color="auto" w:fill="auto"/>
            <w:vAlign w:val="center"/>
          </w:tcPr>
          <w:p w14:paraId="6094360E" w14:textId="01391DE9"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sz w:val="16"/>
                <w:szCs w:val="16"/>
              </w:rPr>
              <w:t>13.984.856,45</w:t>
            </w:r>
          </w:p>
        </w:tc>
        <w:tc>
          <w:tcPr>
            <w:tcW w:w="299" w:type="pct"/>
            <w:tcBorders>
              <w:top w:val="nil"/>
              <w:left w:val="nil"/>
              <w:bottom w:val="single" w:sz="4" w:space="0" w:color="auto"/>
              <w:right w:val="nil"/>
            </w:tcBorders>
            <w:shd w:val="clear" w:color="auto" w:fill="auto"/>
            <w:vAlign w:val="center"/>
          </w:tcPr>
          <w:p w14:paraId="30EAB052" w14:textId="11128EBB"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460" w:type="pct"/>
            <w:tcBorders>
              <w:top w:val="nil"/>
              <w:left w:val="nil"/>
              <w:bottom w:val="single" w:sz="4" w:space="0" w:color="auto"/>
              <w:right w:val="nil"/>
            </w:tcBorders>
            <w:shd w:val="clear" w:color="auto" w:fill="auto"/>
            <w:vAlign w:val="center"/>
          </w:tcPr>
          <w:p w14:paraId="367B0F95" w14:textId="74BAFB18"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8.418,00</w:t>
            </w:r>
          </w:p>
        </w:tc>
        <w:tc>
          <w:tcPr>
            <w:tcW w:w="354" w:type="pct"/>
            <w:tcBorders>
              <w:top w:val="nil"/>
              <w:left w:val="nil"/>
              <w:bottom w:val="single" w:sz="4" w:space="0" w:color="auto"/>
              <w:right w:val="nil"/>
            </w:tcBorders>
            <w:shd w:val="clear" w:color="auto" w:fill="auto"/>
            <w:vAlign w:val="center"/>
          </w:tcPr>
          <w:p w14:paraId="2A11A025" w14:textId="0FFA667E"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436" w:type="pct"/>
            <w:tcBorders>
              <w:top w:val="nil"/>
              <w:left w:val="nil"/>
              <w:bottom w:val="single" w:sz="4" w:space="0" w:color="auto"/>
              <w:right w:val="nil"/>
            </w:tcBorders>
            <w:shd w:val="clear" w:color="auto" w:fill="auto"/>
            <w:vAlign w:val="center"/>
          </w:tcPr>
          <w:p w14:paraId="01397D31" w14:textId="143A98FD"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580" w:type="pct"/>
            <w:tcBorders>
              <w:top w:val="nil"/>
              <w:left w:val="nil"/>
              <w:bottom w:val="single" w:sz="4" w:space="0" w:color="auto"/>
              <w:right w:val="nil"/>
            </w:tcBorders>
            <w:shd w:val="clear" w:color="auto" w:fill="auto"/>
            <w:vAlign w:val="center"/>
          </w:tcPr>
          <w:p w14:paraId="15847ACC" w14:textId="270BD1A4"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rFonts w:eastAsia="Times New Roman"/>
                <w:sz w:val="16"/>
                <w:szCs w:val="16"/>
                <w:bdr w:val="none" w:sz="0" w:space="0" w:color="auto"/>
                <w:lang w:eastAsia="es-ES"/>
              </w:rPr>
              <w:t>-</w:t>
            </w:r>
          </w:p>
        </w:tc>
        <w:tc>
          <w:tcPr>
            <w:tcW w:w="671" w:type="pct"/>
            <w:tcBorders>
              <w:top w:val="nil"/>
              <w:left w:val="nil"/>
              <w:bottom w:val="single" w:sz="4" w:space="0" w:color="auto"/>
              <w:right w:val="nil"/>
            </w:tcBorders>
            <w:shd w:val="clear" w:color="auto" w:fill="auto"/>
            <w:vAlign w:val="center"/>
          </w:tcPr>
          <w:p w14:paraId="1667AE38" w14:textId="25492757" w:rsidR="00263EE8" w:rsidRPr="001D0C22" w:rsidRDefault="00263EE8" w:rsidP="00263EE8">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1D0C22">
              <w:rPr>
                <w:sz w:val="16"/>
                <w:szCs w:val="16"/>
              </w:rPr>
              <w:t>13.993.274,45</w:t>
            </w:r>
          </w:p>
        </w:tc>
      </w:tr>
      <w:tr w:rsidR="00263EE8" w:rsidRPr="001D0C22" w14:paraId="7996F39F" w14:textId="77777777" w:rsidTr="00EE4E08">
        <w:trPr>
          <w:trHeight w:val="283"/>
        </w:trPr>
        <w:tc>
          <w:tcPr>
            <w:tcW w:w="1532" w:type="pct"/>
            <w:tcBorders>
              <w:top w:val="nil"/>
              <w:left w:val="nil"/>
              <w:bottom w:val="single" w:sz="4" w:space="0" w:color="auto"/>
              <w:right w:val="nil"/>
            </w:tcBorders>
            <w:shd w:val="clear" w:color="auto" w:fill="auto"/>
            <w:vAlign w:val="center"/>
            <w:hideMark/>
          </w:tcPr>
          <w:p w14:paraId="267DEDF5" w14:textId="754071CB" w:rsidR="00263EE8" w:rsidRPr="001D0C22" w:rsidRDefault="00263EE8" w:rsidP="00263EE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sz w:val="16"/>
                <w:szCs w:val="16"/>
                <w:bdr w:val="none" w:sz="0" w:space="0" w:color="auto"/>
                <w:lang w:eastAsia="es-ES"/>
              </w:rPr>
            </w:pPr>
            <w:r w:rsidRPr="001D0C22">
              <w:rPr>
                <w:rFonts w:eastAsia="Times New Roman"/>
                <w:b/>
                <w:sz w:val="16"/>
                <w:szCs w:val="16"/>
                <w:bdr w:val="none" w:sz="0" w:space="0" w:color="auto"/>
                <w:lang w:eastAsia="es-ES"/>
              </w:rPr>
              <w:t>Total</w:t>
            </w:r>
          </w:p>
        </w:tc>
        <w:tc>
          <w:tcPr>
            <w:tcW w:w="668" w:type="pct"/>
            <w:tcBorders>
              <w:top w:val="nil"/>
              <w:left w:val="nil"/>
              <w:bottom w:val="single" w:sz="4" w:space="0" w:color="auto"/>
              <w:right w:val="nil"/>
            </w:tcBorders>
            <w:shd w:val="clear" w:color="auto" w:fill="auto"/>
            <w:vAlign w:val="center"/>
          </w:tcPr>
          <w:p w14:paraId="481E86B4" w14:textId="4DF91A1E" w:rsidR="00263EE8" w:rsidRPr="001D0C22" w:rsidRDefault="00263EE8" w:rsidP="00263EE8">
            <w:pPr>
              <w:jc w:val="right"/>
              <w:rPr>
                <w:b/>
                <w:bCs/>
                <w:sz w:val="16"/>
                <w:szCs w:val="16"/>
              </w:rPr>
            </w:pPr>
            <w:r w:rsidRPr="001D0C22">
              <w:rPr>
                <w:b/>
                <w:bCs/>
                <w:sz w:val="16"/>
                <w:szCs w:val="16"/>
              </w:rPr>
              <w:t>13.985.998,27</w:t>
            </w:r>
          </w:p>
        </w:tc>
        <w:tc>
          <w:tcPr>
            <w:tcW w:w="299" w:type="pct"/>
            <w:tcBorders>
              <w:top w:val="nil"/>
              <w:left w:val="nil"/>
              <w:bottom w:val="single" w:sz="4" w:space="0" w:color="auto"/>
              <w:right w:val="nil"/>
            </w:tcBorders>
            <w:shd w:val="clear" w:color="auto" w:fill="auto"/>
            <w:vAlign w:val="center"/>
            <w:hideMark/>
          </w:tcPr>
          <w:p w14:paraId="562271CB" w14:textId="77777777" w:rsidR="00263EE8" w:rsidRPr="001D0C22" w:rsidRDefault="00263EE8" w:rsidP="00263EE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 xml:space="preserve"> -</w:t>
            </w:r>
          </w:p>
        </w:tc>
        <w:tc>
          <w:tcPr>
            <w:tcW w:w="460" w:type="pct"/>
            <w:tcBorders>
              <w:top w:val="nil"/>
              <w:left w:val="nil"/>
              <w:bottom w:val="single" w:sz="4" w:space="0" w:color="auto"/>
              <w:right w:val="nil"/>
            </w:tcBorders>
            <w:shd w:val="clear" w:color="auto" w:fill="auto"/>
            <w:vAlign w:val="center"/>
            <w:hideMark/>
          </w:tcPr>
          <w:p w14:paraId="027460C0" w14:textId="5BC3530D" w:rsidR="00263EE8" w:rsidRPr="001D0C22" w:rsidRDefault="00263EE8" w:rsidP="00263EE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8.418,00</w:t>
            </w:r>
          </w:p>
        </w:tc>
        <w:tc>
          <w:tcPr>
            <w:tcW w:w="354" w:type="pct"/>
            <w:tcBorders>
              <w:top w:val="nil"/>
              <w:left w:val="nil"/>
              <w:bottom w:val="single" w:sz="4" w:space="0" w:color="auto"/>
              <w:right w:val="nil"/>
            </w:tcBorders>
            <w:shd w:val="clear" w:color="auto" w:fill="auto"/>
            <w:vAlign w:val="center"/>
            <w:hideMark/>
          </w:tcPr>
          <w:p w14:paraId="45B05DB9" w14:textId="77777777" w:rsidR="00263EE8" w:rsidRPr="001D0C22" w:rsidRDefault="00263EE8" w:rsidP="00263EE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 xml:space="preserve"> -</w:t>
            </w:r>
          </w:p>
        </w:tc>
        <w:tc>
          <w:tcPr>
            <w:tcW w:w="436" w:type="pct"/>
            <w:tcBorders>
              <w:top w:val="nil"/>
              <w:left w:val="nil"/>
              <w:bottom w:val="single" w:sz="4" w:space="0" w:color="auto"/>
              <w:right w:val="nil"/>
            </w:tcBorders>
            <w:shd w:val="clear" w:color="auto" w:fill="auto"/>
            <w:vAlign w:val="center"/>
            <w:hideMark/>
          </w:tcPr>
          <w:p w14:paraId="1A084FFD" w14:textId="77777777" w:rsidR="00263EE8" w:rsidRPr="001D0C22" w:rsidRDefault="00263EE8" w:rsidP="00263EE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 xml:space="preserve"> -</w:t>
            </w:r>
          </w:p>
        </w:tc>
        <w:tc>
          <w:tcPr>
            <w:tcW w:w="580" w:type="pct"/>
            <w:tcBorders>
              <w:top w:val="nil"/>
              <w:left w:val="nil"/>
              <w:bottom w:val="single" w:sz="4" w:space="0" w:color="auto"/>
              <w:right w:val="nil"/>
            </w:tcBorders>
            <w:shd w:val="clear" w:color="auto" w:fill="auto"/>
            <w:vAlign w:val="center"/>
            <w:hideMark/>
          </w:tcPr>
          <w:p w14:paraId="4BF155DB" w14:textId="77777777" w:rsidR="00263EE8" w:rsidRPr="001D0C22" w:rsidRDefault="00263EE8" w:rsidP="00263EE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rFonts w:eastAsia="Times New Roman"/>
                <w:b/>
                <w:bCs/>
                <w:sz w:val="16"/>
                <w:szCs w:val="16"/>
                <w:bdr w:val="none" w:sz="0" w:space="0" w:color="auto"/>
                <w:lang w:eastAsia="es-ES"/>
              </w:rPr>
              <w:t xml:space="preserve"> -</w:t>
            </w:r>
          </w:p>
        </w:tc>
        <w:tc>
          <w:tcPr>
            <w:tcW w:w="671" w:type="pct"/>
            <w:tcBorders>
              <w:top w:val="nil"/>
              <w:left w:val="nil"/>
              <w:bottom w:val="single" w:sz="4" w:space="0" w:color="auto"/>
              <w:right w:val="nil"/>
            </w:tcBorders>
            <w:shd w:val="clear" w:color="auto" w:fill="auto"/>
            <w:vAlign w:val="center"/>
          </w:tcPr>
          <w:p w14:paraId="04778E33" w14:textId="2744D8B5" w:rsidR="00263EE8" w:rsidRPr="001D0C22" w:rsidRDefault="00263EE8" w:rsidP="00263EE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D0C22">
              <w:rPr>
                <w:b/>
                <w:bCs/>
                <w:sz w:val="16"/>
                <w:szCs w:val="16"/>
              </w:rPr>
              <w:t>13.994.416,27</w:t>
            </w:r>
          </w:p>
        </w:tc>
      </w:tr>
    </w:tbl>
    <w:p w14:paraId="2E14444C" w14:textId="68986D19" w:rsidR="00767602" w:rsidRPr="001D0C22" w:rsidRDefault="00767602">
      <w:pPr>
        <w:keepNext/>
        <w:keepLines/>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40" w:after="120" w:line="260" w:lineRule="exact"/>
        <w:ind w:left="0" w:firstLine="0"/>
        <w:jc w:val="both"/>
        <w:outlineLvl w:val="9"/>
        <w:rPr>
          <w:i/>
          <w:snapToGrid w:val="0"/>
          <w:sz w:val="20"/>
          <w:szCs w:val="22"/>
          <w:u w:val="single"/>
        </w:rPr>
      </w:pPr>
      <w:r w:rsidRPr="001D0C22">
        <w:rPr>
          <w:i/>
          <w:sz w:val="20"/>
          <w:szCs w:val="22"/>
          <w:u w:val="single"/>
        </w:rPr>
        <w:t xml:space="preserve">Periodificaciones a </w:t>
      </w:r>
      <w:r w:rsidR="00E50CFD" w:rsidRPr="001D0C22">
        <w:rPr>
          <w:i/>
          <w:sz w:val="20"/>
          <w:szCs w:val="22"/>
          <w:u w:val="single"/>
        </w:rPr>
        <w:t>largo y cort</w:t>
      </w:r>
      <w:r w:rsidR="00085996" w:rsidRPr="001D0C22">
        <w:rPr>
          <w:i/>
          <w:sz w:val="20"/>
          <w:szCs w:val="22"/>
          <w:u w:val="single"/>
        </w:rPr>
        <w:t>o</w:t>
      </w:r>
      <w:r w:rsidRPr="001D0C22">
        <w:rPr>
          <w:i/>
          <w:sz w:val="20"/>
          <w:szCs w:val="22"/>
          <w:u w:val="single"/>
        </w:rPr>
        <w:t xml:space="preserve"> plazo</w:t>
      </w:r>
    </w:p>
    <w:p w14:paraId="2A8E1AD8" w14:textId="1A1B15AB" w:rsidR="001D6767" w:rsidRPr="00D64516" w:rsidRDefault="001D6767" w:rsidP="00D67C6B">
      <w:pPr>
        <w:widowControl w:val="0"/>
        <w:spacing w:before="120" w:after="120" w:line="260" w:lineRule="exact"/>
        <w:jc w:val="both"/>
        <w:outlineLvl w:val="9"/>
        <w:rPr>
          <w:snapToGrid w:val="0"/>
          <w:sz w:val="20"/>
          <w:szCs w:val="22"/>
        </w:rPr>
      </w:pPr>
      <w:r w:rsidRPr="00D64516">
        <w:rPr>
          <w:snapToGrid w:val="0"/>
          <w:sz w:val="20"/>
          <w:szCs w:val="22"/>
        </w:rPr>
        <w:t>Los importes de las periodificaciones a largo y corto plazo a 31 de diciembre de 20</w:t>
      </w:r>
      <w:r w:rsidR="00D9270E">
        <w:rPr>
          <w:snapToGrid w:val="0"/>
          <w:sz w:val="20"/>
          <w:szCs w:val="22"/>
        </w:rPr>
        <w:t>23</w:t>
      </w:r>
      <w:r w:rsidRPr="00D64516">
        <w:rPr>
          <w:snapToGrid w:val="0"/>
          <w:sz w:val="20"/>
          <w:szCs w:val="22"/>
        </w:rPr>
        <w:t xml:space="preserve"> </w:t>
      </w:r>
      <w:r w:rsidR="00B9729C" w:rsidRPr="00D64516">
        <w:rPr>
          <w:snapToGrid w:val="0"/>
          <w:sz w:val="20"/>
          <w:szCs w:val="22"/>
        </w:rPr>
        <w:t>y 202</w:t>
      </w:r>
      <w:r w:rsidR="00D9270E">
        <w:rPr>
          <w:snapToGrid w:val="0"/>
          <w:sz w:val="20"/>
          <w:szCs w:val="22"/>
        </w:rPr>
        <w:t>2</w:t>
      </w:r>
      <w:r w:rsidR="00B9729C" w:rsidRPr="00D64516">
        <w:rPr>
          <w:snapToGrid w:val="0"/>
          <w:sz w:val="20"/>
          <w:szCs w:val="22"/>
        </w:rPr>
        <w:t xml:space="preserve"> </w:t>
      </w:r>
      <w:r w:rsidRPr="00D64516">
        <w:rPr>
          <w:snapToGrid w:val="0"/>
          <w:sz w:val="20"/>
          <w:szCs w:val="22"/>
        </w:rPr>
        <w:t>son los siguientes:</w:t>
      </w:r>
    </w:p>
    <w:tbl>
      <w:tblPr>
        <w:tblW w:w="5000" w:type="pct"/>
        <w:tblCellMar>
          <w:left w:w="70" w:type="dxa"/>
          <w:right w:w="70" w:type="dxa"/>
        </w:tblCellMar>
        <w:tblLook w:val="04A0" w:firstRow="1" w:lastRow="0" w:firstColumn="1" w:lastColumn="0" w:noHBand="0" w:noVBand="1"/>
      </w:tblPr>
      <w:tblGrid>
        <w:gridCol w:w="5104"/>
        <w:gridCol w:w="1842"/>
        <w:gridCol w:w="1835"/>
      </w:tblGrid>
      <w:tr w:rsidR="00CD7884" w:rsidRPr="003E5A51" w14:paraId="449FC9EE" w14:textId="77777777" w:rsidTr="001B5A15">
        <w:trPr>
          <w:trHeight w:val="240"/>
        </w:trPr>
        <w:tc>
          <w:tcPr>
            <w:tcW w:w="2906" w:type="pct"/>
            <w:tcBorders>
              <w:top w:val="single" w:sz="4" w:space="0" w:color="auto"/>
              <w:left w:val="nil"/>
              <w:bottom w:val="nil"/>
              <w:right w:val="nil"/>
            </w:tcBorders>
            <w:shd w:val="clear" w:color="auto" w:fill="auto"/>
            <w:noWrap/>
            <w:vAlign w:val="center"/>
            <w:hideMark/>
          </w:tcPr>
          <w:p w14:paraId="2BEF2792" w14:textId="77777777" w:rsidR="00CD7884" w:rsidRPr="003E5A51" w:rsidRDefault="00CD7884" w:rsidP="00176BA0">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3E5A51">
              <w:rPr>
                <w:rFonts w:eastAsia="Times New Roman"/>
                <w:sz w:val="18"/>
                <w:szCs w:val="18"/>
                <w:bdr w:val="none" w:sz="0" w:space="0" w:color="auto"/>
                <w:lang w:eastAsia="es-ES"/>
              </w:rPr>
              <w:t> </w:t>
            </w:r>
          </w:p>
        </w:tc>
        <w:tc>
          <w:tcPr>
            <w:tcW w:w="2094" w:type="pct"/>
            <w:gridSpan w:val="2"/>
            <w:tcBorders>
              <w:top w:val="single" w:sz="4" w:space="0" w:color="auto"/>
              <w:left w:val="nil"/>
              <w:bottom w:val="single" w:sz="4" w:space="0" w:color="auto"/>
              <w:right w:val="nil"/>
            </w:tcBorders>
            <w:shd w:val="clear" w:color="auto" w:fill="auto"/>
            <w:noWrap/>
            <w:vAlign w:val="bottom"/>
            <w:hideMark/>
          </w:tcPr>
          <w:p w14:paraId="10CDDCE4" w14:textId="77777777" w:rsidR="00CD7884" w:rsidRPr="003E5A51" w:rsidRDefault="00CD7884" w:rsidP="00CD788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E5A51">
              <w:rPr>
                <w:rFonts w:eastAsia="Times New Roman"/>
                <w:b/>
                <w:bCs/>
                <w:sz w:val="18"/>
                <w:szCs w:val="18"/>
                <w:bdr w:val="none" w:sz="0" w:space="0" w:color="auto"/>
                <w:lang w:eastAsia="es-ES"/>
              </w:rPr>
              <w:t>Euros</w:t>
            </w:r>
          </w:p>
        </w:tc>
      </w:tr>
      <w:tr w:rsidR="00D3744D" w:rsidRPr="003E5A51" w14:paraId="10C9A59C" w14:textId="77777777" w:rsidTr="001B5A15">
        <w:trPr>
          <w:trHeight w:val="283"/>
        </w:trPr>
        <w:tc>
          <w:tcPr>
            <w:tcW w:w="2906" w:type="pct"/>
            <w:tcBorders>
              <w:top w:val="nil"/>
              <w:left w:val="nil"/>
              <w:bottom w:val="single" w:sz="4" w:space="0" w:color="auto"/>
              <w:right w:val="nil"/>
            </w:tcBorders>
            <w:shd w:val="clear" w:color="auto" w:fill="auto"/>
            <w:noWrap/>
            <w:vAlign w:val="center"/>
            <w:hideMark/>
          </w:tcPr>
          <w:p w14:paraId="411284A8" w14:textId="77777777" w:rsidR="00D3744D" w:rsidRPr="003E5A51" w:rsidRDefault="00D3744D" w:rsidP="00D3744D">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3E5A51">
              <w:rPr>
                <w:rFonts w:eastAsia="Times New Roman"/>
                <w:sz w:val="18"/>
                <w:szCs w:val="18"/>
                <w:bdr w:val="none" w:sz="0" w:space="0" w:color="auto"/>
                <w:lang w:eastAsia="es-ES"/>
              </w:rPr>
              <w:t> </w:t>
            </w:r>
          </w:p>
        </w:tc>
        <w:tc>
          <w:tcPr>
            <w:tcW w:w="1049" w:type="pct"/>
            <w:tcBorders>
              <w:top w:val="nil"/>
              <w:left w:val="nil"/>
              <w:bottom w:val="single" w:sz="4" w:space="0" w:color="auto"/>
              <w:right w:val="nil"/>
            </w:tcBorders>
            <w:shd w:val="clear" w:color="auto" w:fill="auto"/>
            <w:noWrap/>
            <w:vAlign w:val="bottom"/>
            <w:hideMark/>
          </w:tcPr>
          <w:p w14:paraId="7E77E8A9" w14:textId="530C2D66" w:rsidR="00D3744D" w:rsidRPr="003E5A51" w:rsidRDefault="00D3744D" w:rsidP="00D374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E5A51">
              <w:rPr>
                <w:rFonts w:eastAsia="Times New Roman"/>
                <w:b/>
                <w:bCs/>
                <w:sz w:val="18"/>
                <w:szCs w:val="18"/>
                <w:bdr w:val="none" w:sz="0" w:space="0" w:color="auto"/>
                <w:lang w:eastAsia="es-ES"/>
              </w:rPr>
              <w:t>31/12/202</w:t>
            </w:r>
            <w:r w:rsidR="00D9270E" w:rsidRPr="003E5A51">
              <w:rPr>
                <w:rFonts w:eastAsia="Times New Roman"/>
                <w:b/>
                <w:bCs/>
                <w:sz w:val="18"/>
                <w:szCs w:val="18"/>
                <w:bdr w:val="none" w:sz="0" w:space="0" w:color="auto"/>
                <w:lang w:eastAsia="es-ES"/>
              </w:rPr>
              <w:t>3</w:t>
            </w:r>
          </w:p>
        </w:tc>
        <w:tc>
          <w:tcPr>
            <w:tcW w:w="1045" w:type="pct"/>
            <w:tcBorders>
              <w:top w:val="nil"/>
              <w:left w:val="nil"/>
              <w:bottom w:val="single" w:sz="4" w:space="0" w:color="auto"/>
              <w:right w:val="nil"/>
            </w:tcBorders>
            <w:shd w:val="clear" w:color="auto" w:fill="auto"/>
            <w:noWrap/>
            <w:vAlign w:val="bottom"/>
            <w:hideMark/>
          </w:tcPr>
          <w:p w14:paraId="59258E1C" w14:textId="65477CDB" w:rsidR="00D3744D" w:rsidRPr="003E5A51" w:rsidRDefault="00D3744D" w:rsidP="00D3744D">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3E5A51">
              <w:rPr>
                <w:rFonts w:eastAsia="Times New Roman"/>
                <w:b/>
                <w:bCs/>
                <w:sz w:val="18"/>
                <w:szCs w:val="18"/>
                <w:bdr w:val="none" w:sz="0" w:space="0" w:color="auto"/>
                <w:lang w:eastAsia="es-ES"/>
              </w:rPr>
              <w:t>31/12/202</w:t>
            </w:r>
            <w:r w:rsidR="00D9270E" w:rsidRPr="003E5A51">
              <w:rPr>
                <w:rFonts w:eastAsia="Times New Roman"/>
                <w:b/>
                <w:bCs/>
                <w:sz w:val="18"/>
                <w:szCs w:val="18"/>
                <w:bdr w:val="none" w:sz="0" w:space="0" w:color="auto"/>
                <w:lang w:eastAsia="es-ES"/>
              </w:rPr>
              <w:t>2</w:t>
            </w:r>
          </w:p>
        </w:tc>
      </w:tr>
      <w:tr w:rsidR="0056595F" w:rsidRPr="003E5A51" w14:paraId="4264DC28" w14:textId="77777777" w:rsidTr="001B5A15">
        <w:trPr>
          <w:trHeight w:val="283"/>
        </w:trPr>
        <w:tc>
          <w:tcPr>
            <w:tcW w:w="2906" w:type="pct"/>
            <w:tcBorders>
              <w:top w:val="nil"/>
              <w:left w:val="nil"/>
              <w:bottom w:val="nil"/>
              <w:right w:val="nil"/>
            </w:tcBorders>
            <w:shd w:val="clear" w:color="auto" w:fill="auto"/>
            <w:noWrap/>
            <w:vAlign w:val="center"/>
            <w:hideMark/>
          </w:tcPr>
          <w:p w14:paraId="58893A42" w14:textId="77777777"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3E5A51">
              <w:rPr>
                <w:rFonts w:eastAsia="Times New Roman"/>
                <w:b/>
                <w:bCs/>
                <w:sz w:val="18"/>
                <w:szCs w:val="18"/>
                <w:bdr w:val="none" w:sz="0" w:space="0" w:color="auto"/>
                <w:lang w:eastAsia="es-ES"/>
              </w:rPr>
              <w:t xml:space="preserve">Periodificaciones a </w:t>
            </w:r>
            <w:proofErr w:type="spellStart"/>
            <w:r w:rsidRPr="003E5A51">
              <w:rPr>
                <w:rFonts w:eastAsia="Times New Roman"/>
                <w:b/>
                <w:bCs/>
                <w:sz w:val="18"/>
                <w:szCs w:val="18"/>
                <w:bdr w:val="none" w:sz="0" w:space="0" w:color="auto"/>
                <w:lang w:eastAsia="es-ES"/>
              </w:rPr>
              <w:t>cp</w:t>
            </w:r>
            <w:proofErr w:type="spellEnd"/>
            <w:r w:rsidRPr="003E5A51">
              <w:rPr>
                <w:rFonts w:eastAsia="Times New Roman"/>
                <w:b/>
                <w:bCs/>
                <w:sz w:val="18"/>
                <w:szCs w:val="18"/>
                <w:bdr w:val="none" w:sz="0" w:space="0" w:color="auto"/>
                <w:lang w:eastAsia="es-ES"/>
              </w:rPr>
              <w:t>:</w:t>
            </w:r>
          </w:p>
        </w:tc>
        <w:tc>
          <w:tcPr>
            <w:tcW w:w="1049" w:type="pct"/>
            <w:tcBorders>
              <w:top w:val="nil"/>
              <w:left w:val="nil"/>
              <w:bottom w:val="nil"/>
              <w:right w:val="nil"/>
            </w:tcBorders>
            <w:shd w:val="clear" w:color="auto" w:fill="auto"/>
            <w:noWrap/>
            <w:vAlign w:val="center"/>
            <w:hideMark/>
          </w:tcPr>
          <w:p w14:paraId="238CEA6B" w14:textId="76C75D3A"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E5A51">
              <w:rPr>
                <w:b/>
                <w:bCs/>
                <w:sz w:val="18"/>
                <w:szCs w:val="18"/>
              </w:rPr>
              <w:t>38.696.982,76</w:t>
            </w:r>
          </w:p>
        </w:tc>
        <w:tc>
          <w:tcPr>
            <w:tcW w:w="1045" w:type="pct"/>
            <w:tcBorders>
              <w:top w:val="nil"/>
              <w:left w:val="nil"/>
              <w:bottom w:val="nil"/>
              <w:right w:val="nil"/>
            </w:tcBorders>
            <w:shd w:val="clear" w:color="auto" w:fill="auto"/>
            <w:noWrap/>
            <w:vAlign w:val="center"/>
            <w:hideMark/>
          </w:tcPr>
          <w:p w14:paraId="7009C8AF" w14:textId="3FE75FA1"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E5A51">
              <w:rPr>
                <w:b/>
                <w:bCs/>
                <w:sz w:val="18"/>
                <w:szCs w:val="18"/>
              </w:rPr>
              <w:t>17.155.827,11</w:t>
            </w:r>
          </w:p>
        </w:tc>
      </w:tr>
      <w:tr w:rsidR="0056595F" w:rsidRPr="003E5A51" w14:paraId="3EC89A90" w14:textId="77777777" w:rsidTr="001B5A15">
        <w:trPr>
          <w:trHeight w:val="283"/>
        </w:trPr>
        <w:tc>
          <w:tcPr>
            <w:tcW w:w="2906" w:type="pct"/>
            <w:tcBorders>
              <w:top w:val="nil"/>
              <w:left w:val="nil"/>
              <w:bottom w:val="nil"/>
              <w:right w:val="nil"/>
            </w:tcBorders>
            <w:shd w:val="clear" w:color="auto" w:fill="auto"/>
            <w:noWrap/>
            <w:vAlign w:val="center"/>
            <w:hideMark/>
          </w:tcPr>
          <w:p w14:paraId="325ECAAA" w14:textId="43480D5A"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3E5A51">
              <w:rPr>
                <w:rFonts w:eastAsia="Times New Roman"/>
                <w:sz w:val="18"/>
                <w:szCs w:val="18"/>
                <w:bdr w:val="none" w:sz="0" w:space="0" w:color="auto"/>
                <w:lang w:eastAsia="es-ES"/>
              </w:rPr>
              <w:t>Subvenciones de explotación prorrogadas (Nota 15.2)</w:t>
            </w:r>
          </w:p>
        </w:tc>
        <w:tc>
          <w:tcPr>
            <w:tcW w:w="1049" w:type="pct"/>
            <w:tcBorders>
              <w:top w:val="nil"/>
              <w:left w:val="nil"/>
              <w:bottom w:val="nil"/>
              <w:right w:val="nil"/>
            </w:tcBorders>
            <w:shd w:val="clear" w:color="auto" w:fill="auto"/>
            <w:noWrap/>
            <w:vAlign w:val="center"/>
            <w:hideMark/>
          </w:tcPr>
          <w:p w14:paraId="7991B751" w14:textId="7FEE1B7C"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E5A51">
              <w:rPr>
                <w:sz w:val="18"/>
                <w:szCs w:val="18"/>
              </w:rPr>
              <w:t>38.596.048,12</w:t>
            </w:r>
          </w:p>
        </w:tc>
        <w:tc>
          <w:tcPr>
            <w:tcW w:w="1045" w:type="pct"/>
            <w:tcBorders>
              <w:top w:val="nil"/>
              <w:left w:val="nil"/>
              <w:bottom w:val="nil"/>
              <w:right w:val="nil"/>
            </w:tcBorders>
            <w:shd w:val="clear" w:color="auto" w:fill="auto"/>
            <w:noWrap/>
            <w:vAlign w:val="center"/>
            <w:hideMark/>
          </w:tcPr>
          <w:p w14:paraId="66329D47" w14:textId="50ECEE28"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E5A51">
              <w:rPr>
                <w:sz w:val="18"/>
                <w:szCs w:val="18"/>
              </w:rPr>
              <w:t>17.084.799,03</w:t>
            </w:r>
          </w:p>
        </w:tc>
      </w:tr>
      <w:tr w:rsidR="0056595F" w:rsidRPr="003E5A51" w14:paraId="48952F1C" w14:textId="77777777" w:rsidTr="001B5A15">
        <w:trPr>
          <w:trHeight w:val="283"/>
        </w:trPr>
        <w:tc>
          <w:tcPr>
            <w:tcW w:w="2906" w:type="pct"/>
            <w:tcBorders>
              <w:top w:val="nil"/>
              <w:left w:val="nil"/>
              <w:bottom w:val="nil"/>
              <w:right w:val="nil"/>
            </w:tcBorders>
            <w:shd w:val="clear" w:color="auto" w:fill="auto"/>
            <w:noWrap/>
            <w:vAlign w:val="center"/>
            <w:hideMark/>
          </w:tcPr>
          <w:p w14:paraId="30DE6420" w14:textId="77777777"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3E5A51">
              <w:rPr>
                <w:rFonts w:eastAsia="Times New Roman"/>
                <w:sz w:val="18"/>
                <w:szCs w:val="18"/>
                <w:bdr w:val="none" w:sz="0" w:space="0" w:color="auto"/>
                <w:lang w:eastAsia="es-ES"/>
              </w:rPr>
              <w:t>Otros ingresos anticipados</w:t>
            </w:r>
          </w:p>
        </w:tc>
        <w:tc>
          <w:tcPr>
            <w:tcW w:w="1049" w:type="pct"/>
            <w:tcBorders>
              <w:top w:val="nil"/>
              <w:left w:val="nil"/>
              <w:bottom w:val="nil"/>
              <w:right w:val="nil"/>
            </w:tcBorders>
            <w:shd w:val="clear" w:color="auto" w:fill="auto"/>
            <w:noWrap/>
            <w:vAlign w:val="center"/>
            <w:hideMark/>
          </w:tcPr>
          <w:p w14:paraId="5EB3E2FC" w14:textId="035C81EF"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E5A51">
              <w:rPr>
                <w:sz w:val="18"/>
                <w:szCs w:val="18"/>
              </w:rPr>
              <w:t>100.934,64</w:t>
            </w:r>
          </w:p>
        </w:tc>
        <w:tc>
          <w:tcPr>
            <w:tcW w:w="1045" w:type="pct"/>
            <w:tcBorders>
              <w:top w:val="nil"/>
              <w:left w:val="nil"/>
              <w:bottom w:val="nil"/>
              <w:right w:val="nil"/>
            </w:tcBorders>
            <w:shd w:val="clear" w:color="auto" w:fill="auto"/>
            <w:noWrap/>
            <w:vAlign w:val="center"/>
            <w:hideMark/>
          </w:tcPr>
          <w:p w14:paraId="3617C2B3" w14:textId="450B20D2"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E5A51">
              <w:rPr>
                <w:sz w:val="18"/>
                <w:szCs w:val="18"/>
              </w:rPr>
              <w:t>71.028,08</w:t>
            </w:r>
          </w:p>
        </w:tc>
      </w:tr>
      <w:tr w:rsidR="0056595F" w:rsidRPr="00176BA0" w14:paraId="5898E687" w14:textId="77777777" w:rsidTr="001B5A15">
        <w:trPr>
          <w:trHeight w:val="283"/>
        </w:trPr>
        <w:tc>
          <w:tcPr>
            <w:tcW w:w="2906" w:type="pct"/>
            <w:tcBorders>
              <w:top w:val="single" w:sz="4" w:space="0" w:color="auto"/>
              <w:left w:val="nil"/>
              <w:bottom w:val="single" w:sz="4" w:space="0" w:color="auto"/>
              <w:right w:val="nil"/>
            </w:tcBorders>
            <w:shd w:val="clear" w:color="auto" w:fill="auto"/>
            <w:noWrap/>
            <w:vAlign w:val="center"/>
            <w:hideMark/>
          </w:tcPr>
          <w:p w14:paraId="1E3D1619" w14:textId="77777777"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b/>
                <w:bCs/>
                <w:sz w:val="18"/>
                <w:szCs w:val="18"/>
                <w:bdr w:val="none" w:sz="0" w:space="0" w:color="auto"/>
                <w:lang w:eastAsia="es-ES"/>
              </w:rPr>
            </w:pPr>
            <w:r w:rsidRPr="003E5A51">
              <w:rPr>
                <w:rFonts w:eastAsia="Times New Roman"/>
                <w:b/>
                <w:bCs/>
                <w:sz w:val="18"/>
                <w:szCs w:val="18"/>
                <w:bdr w:val="none" w:sz="0" w:space="0" w:color="auto"/>
                <w:lang w:eastAsia="es-ES"/>
              </w:rPr>
              <w:t>Total</w:t>
            </w:r>
          </w:p>
        </w:tc>
        <w:tc>
          <w:tcPr>
            <w:tcW w:w="1049" w:type="pct"/>
            <w:tcBorders>
              <w:top w:val="single" w:sz="4" w:space="0" w:color="auto"/>
              <w:left w:val="nil"/>
              <w:bottom w:val="single" w:sz="4" w:space="0" w:color="auto"/>
              <w:right w:val="nil"/>
            </w:tcBorders>
            <w:shd w:val="clear" w:color="auto" w:fill="auto"/>
            <w:noWrap/>
            <w:vAlign w:val="center"/>
            <w:hideMark/>
          </w:tcPr>
          <w:p w14:paraId="28857727" w14:textId="5D009AB6" w:rsidR="0056595F" w:rsidRPr="003E5A51"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E5A51">
              <w:rPr>
                <w:b/>
                <w:bCs/>
                <w:sz w:val="18"/>
                <w:szCs w:val="18"/>
              </w:rPr>
              <w:t>38.696.982,76</w:t>
            </w:r>
          </w:p>
        </w:tc>
        <w:tc>
          <w:tcPr>
            <w:tcW w:w="1045" w:type="pct"/>
            <w:tcBorders>
              <w:top w:val="single" w:sz="4" w:space="0" w:color="auto"/>
              <w:left w:val="nil"/>
              <w:bottom w:val="single" w:sz="4" w:space="0" w:color="auto"/>
              <w:right w:val="nil"/>
            </w:tcBorders>
            <w:shd w:val="clear" w:color="auto" w:fill="auto"/>
            <w:noWrap/>
            <w:vAlign w:val="center"/>
            <w:hideMark/>
          </w:tcPr>
          <w:p w14:paraId="2338E43E" w14:textId="5BD320BA" w:rsidR="0056595F" w:rsidRPr="00176BA0" w:rsidRDefault="0056595F" w:rsidP="0056595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3E5A51">
              <w:rPr>
                <w:b/>
                <w:bCs/>
                <w:sz w:val="18"/>
                <w:szCs w:val="18"/>
              </w:rPr>
              <w:t>17.155.827,11</w:t>
            </w:r>
          </w:p>
        </w:tc>
      </w:tr>
    </w:tbl>
    <w:p w14:paraId="5A8CE0E3" w14:textId="20F017A0" w:rsidR="00767602" w:rsidRPr="003E5A51" w:rsidRDefault="00767602" w:rsidP="001B5A15">
      <w:pPr>
        <w:keepNext/>
        <w:keepLines/>
        <w:widowControl w:val="0"/>
        <w:spacing w:before="240" w:after="120" w:line="260" w:lineRule="exact"/>
        <w:jc w:val="both"/>
        <w:outlineLvl w:val="9"/>
        <w:rPr>
          <w:snapToGrid w:val="0"/>
          <w:sz w:val="20"/>
          <w:szCs w:val="22"/>
        </w:rPr>
      </w:pPr>
      <w:r w:rsidRPr="003E5A51">
        <w:rPr>
          <w:snapToGrid w:val="0"/>
          <w:sz w:val="20"/>
          <w:szCs w:val="22"/>
        </w:rPr>
        <w:t>A 31 de diciembre de 202</w:t>
      </w:r>
      <w:r w:rsidR="003E5A51" w:rsidRPr="003E5A51">
        <w:rPr>
          <w:snapToGrid w:val="0"/>
          <w:sz w:val="20"/>
          <w:szCs w:val="22"/>
        </w:rPr>
        <w:t>3</w:t>
      </w:r>
      <w:r w:rsidRPr="003E5A51">
        <w:rPr>
          <w:snapToGrid w:val="0"/>
          <w:sz w:val="20"/>
          <w:szCs w:val="22"/>
        </w:rPr>
        <w:t xml:space="preserve"> los ajustes por periodificación de pasivos </w:t>
      </w:r>
      <w:r w:rsidR="00E50CFD" w:rsidRPr="003E5A51">
        <w:rPr>
          <w:snapToGrid w:val="0"/>
          <w:sz w:val="20"/>
          <w:szCs w:val="22"/>
        </w:rPr>
        <w:t xml:space="preserve">a </w:t>
      </w:r>
      <w:r w:rsidR="001D6767" w:rsidRPr="003E5A51">
        <w:rPr>
          <w:snapToGrid w:val="0"/>
          <w:sz w:val="20"/>
          <w:szCs w:val="22"/>
        </w:rPr>
        <w:t xml:space="preserve">corto plazo por importe de </w:t>
      </w:r>
      <w:r w:rsidR="003E5A51" w:rsidRPr="003E5A51">
        <w:rPr>
          <w:snapToGrid w:val="0"/>
          <w:sz w:val="20"/>
          <w:szCs w:val="22"/>
        </w:rPr>
        <w:t>38.596.048,12</w:t>
      </w:r>
      <w:r w:rsidR="001D6767" w:rsidRPr="003E5A51">
        <w:rPr>
          <w:snapToGrid w:val="0"/>
          <w:sz w:val="20"/>
          <w:szCs w:val="22"/>
        </w:rPr>
        <w:t xml:space="preserve"> euros </w:t>
      </w:r>
      <w:r w:rsidRPr="003E5A51">
        <w:rPr>
          <w:snapToGrid w:val="0"/>
          <w:sz w:val="20"/>
          <w:szCs w:val="22"/>
        </w:rPr>
        <w:t xml:space="preserve">corresponden </w:t>
      </w:r>
      <w:r w:rsidR="00960471" w:rsidRPr="003E5A51">
        <w:rPr>
          <w:snapToGrid w:val="0"/>
          <w:sz w:val="20"/>
          <w:szCs w:val="22"/>
        </w:rPr>
        <w:t>a</w:t>
      </w:r>
      <w:r w:rsidRPr="003E5A51">
        <w:rPr>
          <w:snapToGrid w:val="0"/>
          <w:sz w:val="20"/>
          <w:szCs w:val="22"/>
        </w:rPr>
        <w:t xml:space="preserve"> las subvenciones de explotación concedidas por el Socio Único en el ejercicio que serán ejecutadas durante el ejercicio 202</w:t>
      </w:r>
      <w:r w:rsidR="003E5A51" w:rsidRPr="003E5A51">
        <w:rPr>
          <w:snapToGrid w:val="0"/>
          <w:sz w:val="20"/>
          <w:szCs w:val="22"/>
        </w:rPr>
        <w:t>4</w:t>
      </w:r>
      <w:r w:rsidRPr="003E5A51">
        <w:rPr>
          <w:snapToGrid w:val="0"/>
          <w:sz w:val="20"/>
          <w:szCs w:val="22"/>
        </w:rPr>
        <w:t xml:space="preserve"> (Nota 1</w:t>
      </w:r>
      <w:r w:rsidR="000778A8" w:rsidRPr="003E5A51">
        <w:rPr>
          <w:snapToGrid w:val="0"/>
          <w:sz w:val="20"/>
          <w:szCs w:val="22"/>
        </w:rPr>
        <w:t>5.2</w:t>
      </w:r>
      <w:r w:rsidRPr="003E5A51">
        <w:rPr>
          <w:snapToGrid w:val="0"/>
          <w:sz w:val="20"/>
          <w:szCs w:val="22"/>
        </w:rPr>
        <w:t>).</w:t>
      </w:r>
    </w:p>
    <w:p w14:paraId="727C17D0" w14:textId="2CEF852E" w:rsidR="003E5A51" w:rsidRPr="003E5A51" w:rsidRDefault="003E5A51" w:rsidP="003E5A51">
      <w:pPr>
        <w:widowControl w:val="0"/>
        <w:spacing w:before="120" w:after="120" w:line="260" w:lineRule="exact"/>
        <w:jc w:val="both"/>
        <w:outlineLvl w:val="9"/>
        <w:rPr>
          <w:snapToGrid w:val="0"/>
          <w:sz w:val="20"/>
          <w:szCs w:val="22"/>
        </w:rPr>
      </w:pPr>
      <w:r w:rsidRPr="003E5A51">
        <w:rPr>
          <w:snapToGrid w:val="0"/>
          <w:sz w:val="20"/>
          <w:szCs w:val="22"/>
        </w:rPr>
        <w:t>A 31 de diciembre de 2022 los ajustes por periodificación de pasivos a corto plazo por importe de 17.084.799,03 euros correspond</w:t>
      </w:r>
      <w:r>
        <w:rPr>
          <w:snapToGrid w:val="0"/>
          <w:sz w:val="20"/>
          <w:szCs w:val="22"/>
        </w:rPr>
        <w:t>ían</w:t>
      </w:r>
      <w:r w:rsidRPr="003E5A51">
        <w:rPr>
          <w:snapToGrid w:val="0"/>
          <w:sz w:val="20"/>
          <w:szCs w:val="22"/>
        </w:rPr>
        <w:t xml:space="preserve"> a las subvenciones de explotación concedidas por el Socio Único en el ejercicio que ser</w:t>
      </w:r>
      <w:r>
        <w:rPr>
          <w:snapToGrid w:val="0"/>
          <w:sz w:val="20"/>
          <w:szCs w:val="22"/>
        </w:rPr>
        <w:t>ía</w:t>
      </w:r>
      <w:r w:rsidRPr="003E5A51">
        <w:rPr>
          <w:snapToGrid w:val="0"/>
          <w:sz w:val="20"/>
          <w:szCs w:val="22"/>
        </w:rPr>
        <w:t>n ejecutadas durante el ejercicio 2023 (Nota 15.2).</w:t>
      </w:r>
    </w:p>
    <w:p w14:paraId="0708C87E" w14:textId="77777777" w:rsidR="00B9729C" w:rsidRDefault="00B9729C">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699C5707" w14:textId="58A7FAFC" w:rsidR="006220A2" w:rsidRPr="0083433F" w:rsidRDefault="00176BA0">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00" w:after="120" w:line="260" w:lineRule="exact"/>
        <w:ind w:left="284" w:hanging="284"/>
        <w:outlineLvl w:val="9"/>
        <w:rPr>
          <w:b/>
          <w:sz w:val="20"/>
          <w:szCs w:val="22"/>
        </w:rPr>
      </w:pPr>
      <w:r>
        <w:rPr>
          <w:b/>
          <w:sz w:val="20"/>
          <w:szCs w:val="22"/>
        </w:rPr>
        <w:lastRenderedPageBreak/>
        <w:t xml:space="preserve"> </w:t>
      </w:r>
      <w:r w:rsidR="006220A2" w:rsidRPr="0083433F">
        <w:rPr>
          <w:b/>
          <w:sz w:val="20"/>
          <w:szCs w:val="22"/>
        </w:rPr>
        <w:t>Fondos Propios</w:t>
      </w:r>
    </w:p>
    <w:p w14:paraId="2DC39D55" w14:textId="77777777" w:rsidR="006220A2" w:rsidRPr="0083433F" w:rsidRDefault="006220A2">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Capital Social</w:t>
      </w:r>
    </w:p>
    <w:p w14:paraId="44778E09" w14:textId="26FF9702" w:rsidR="006220A2" w:rsidRPr="0083433F" w:rsidRDefault="006220A2" w:rsidP="00D67C6B">
      <w:pPr>
        <w:widowControl w:val="0"/>
        <w:spacing w:before="120" w:after="120" w:line="260" w:lineRule="exact"/>
        <w:jc w:val="both"/>
        <w:outlineLvl w:val="9"/>
        <w:rPr>
          <w:snapToGrid w:val="0"/>
          <w:sz w:val="20"/>
          <w:szCs w:val="22"/>
        </w:rPr>
      </w:pPr>
      <w:r w:rsidRPr="0083433F">
        <w:rPr>
          <w:snapToGrid w:val="0"/>
          <w:sz w:val="20"/>
          <w:szCs w:val="22"/>
        </w:rPr>
        <w:t xml:space="preserve">El capital social está representado por 102 acciones clase “A” nominativas, de 3.000,00 euros nominales cada una, y 98 acciones clase “B” nominativas, de 3.000,00 euros nominales cada una. Todas las acciones gozan de iguales derechos políticos y económicos. El Capital </w:t>
      </w:r>
      <w:r w:rsidR="005644E5">
        <w:rPr>
          <w:snapToGrid w:val="0"/>
          <w:sz w:val="20"/>
          <w:szCs w:val="22"/>
        </w:rPr>
        <w:t>esta</w:t>
      </w:r>
      <w:r w:rsidRPr="0083433F">
        <w:rPr>
          <w:snapToGrid w:val="0"/>
          <w:sz w:val="20"/>
          <w:szCs w:val="22"/>
        </w:rPr>
        <w:t xml:space="preserve"> íntegramente desembolsado.</w:t>
      </w:r>
    </w:p>
    <w:tbl>
      <w:tblPr>
        <w:tblW w:w="5000" w:type="pct"/>
        <w:jc w:val="center"/>
        <w:tblCellMar>
          <w:left w:w="70" w:type="dxa"/>
          <w:right w:w="70" w:type="dxa"/>
        </w:tblCellMar>
        <w:tblLook w:val="04A0" w:firstRow="1" w:lastRow="0" w:firstColumn="1" w:lastColumn="0" w:noHBand="0" w:noVBand="1"/>
      </w:tblPr>
      <w:tblGrid>
        <w:gridCol w:w="4050"/>
        <w:gridCol w:w="2265"/>
        <w:gridCol w:w="2466"/>
      </w:tblGrid>
      <w:tr w:rsidR="006220A2" w:rsidRPr="00176BA0" w14:paraId="5B992A57" w14:textId="77777777" w:rsidTr="00176BA0">
        <w:trPr>
          <w:trHeight w:val="283"/>
          <w:jc w:val="center"/>
        </w:trPr>
        <w:tc>
          <w:tcPr>
            <w:tcW w:w="2306" w:type="pct"/>
            <w:tcBorders>
              <w:top w:val="single" w:sz="4" w:space="0" w:color="auto"/>
              <w:left w:val="nil"/>
              <w:bottom w:val="nil"/>
              <w:right w:val="nil"/>
            </w:tcBorders>
            <w:shd w:val="clear" w:color="auto" w:fill="auto"/>
            <w:vAlign w:val="bottom"/>
            <w:hideMark/>
          </w:tcPr>
          <w:p w14:paraId="3990C60A" w14:textId="77777777" w:rsidR="006220A2" w:rsidRPr="00176BA0" w:rsidRDefault="006220A2" w:rsidP="00176BA0">
            <w:pPr>
              <w:ind w:left="217"/>
              <w:jc w:val="center"/>
              <w:rPr>
                <w:rFonts w:eastAsia="Times New Roman"/>
                <w:sz w:val="18"/>
                <w:szCs w:val="18"/>
              </w:rPr>
            </w:pPr>
          </w:p>
        </w:tc>
        <w:tc>
          <w:tcPr>
            <w:tcW w:w="2694" w:type="pct"/>
            <w:gridSpan w:val="2"/>
            <w:tcBorders>
              <w:top w:val="single" w:sz="4" w:space="0" w:color="auto"/>
              <w:left w:val="nil"/>
              <w:bottom w:val="single" w:sz="4" w:space="0" w:color="auto"/>
              <w:right w:val="nil"/>
            </w:tcBorders>
            <w:shd w:val="clear" w:color="auto" w:fill="auto"/>
            <w:vAlign w:val="bottom"/>
            <w:hideMark/>
          </w:tcPr>
          <w:p w14:paraId="020A2E26" w14:textId="77777777" w:rsidR="006220A2" w:rsidRPr="00176BA0" w:rsidRDefault="006220A2" w:rsidP="005D3D49">
            <w:pPr>
              <w:jc w:val="center"/>
              <w:rPr>
                <w:rFonts w:eastAsia="Times New Roman"/>
                <w:b/>
                <w:bCs/>
                <w:sz w:val="18"/>
                <w:szCs w:val="18"/>
              </w:rPr>
            </w:pPr>
            <w:r w:rsidRPr="00176BA0">
              <w:rPr>
                <w:rFonts w:eastAsia="Times New Roman"/>
                <w:b/>
                <w:bCs/>
                <w:snapToGrid w:val="0"/>
                <w:sz w:val="18"/>
                <w:szCs w:val="18"/>
              </w:rPr>
              <w:t>Euros</w:t>
            </w:r>
          </w:p>
        </w:tc>
      </w:tr>
      <w:tr w:rsidR="000C2595" w:rsidRPr="00176BA0" w14:paraId="4207A215" w14:textId="77777777" w:rsidTr="000C2595">
        <w:trPr>
          <w:trHeight w:val="283"/>
          <w:jc w:val="center"/>
        </w:trPr>
        <w:tc>
          <w:tcPr>
            <w:tcW w:w="2306" w:type="pct"/>
            <w:tcBorders>
              <w:top w:val="nil"/>
              <w:left w:val="nil"/>
              <w:bottom w:val="single" w:sz="4" w:space="0" w:color="auto"/>
              <w:right w:val="nil"/>
            </w:tcBorders>
            <w:shd w:val="clear" w:color="auto" w:fill="auto"/>
            <w:vAlign w:val="bottom"/>
            <w:hideMark/>
          </w:tcPr>
          <w:p w14:paraId="1DFA30D7" w14:textId="77777777" w:rsidR="000C2595" w:rsidRPr="00176BA0" w:rsidRDefault="000C2595" w:rsidP="000C2595">
            <w:pPr>
              <w:ind w:left="217" w:firstLineChars="200" w:firstLine="360"/>
              <w:jc w:val="center"/>
              <w:rPr>
                <w:rFonts w:eastAsia="Times New Roman"/>
                <w:sz w:val="18"/>
                <w:szCs w:val="18"/>
              </w:rPr>
            </w:pPr>
          </w:p>
        </w:tc>
        <w:tc>
          <w:tcPr>
            <w:tcW w:w="1290" w:type="pct"/>
            <w:tcBorders>
              <w:top w:val="nil"/>
              <w:left w:val="nil"/>
              <w:bottom w:val="single" w:sz="4" w:space="0" w:color="auto"/>
              <w:right w:val="nil"/>
            </w:tcBorders>
            <w:shd w:val="clear" w:color="auto" w:fill="auto"/>
            <w:vAlign w:val="bottom"/>
            <w:hideMark/>
          </w:tcPr>
          <w:p w14:paraId="22305B6F" w14:textId="4AD90E42" w:rsidR="000C2595" w:rsidRPr="00176BA0" w:rsidRDefault="000C2595" w:rsidP="000C2595">
            <w:pPr>
              <w:keepNext/>
              <w:keepLines/>
              <w:jc w:val="center"/>
              <w:rPr>
                <w:rFonts w:eastAsia="Times New Roman"/>
                <w:b/>
                <w:bCs/>
                <w:sz w:val="18"/>
                <w:szCs w:val="18"/>
              </w:rPr>
            </w:pPr>
            <w:r w:rsidRPr="00176BA0">
              <w:rPr>
                <w:rFonts w:eastAsia="Times New Roman"/>
                <w:b/>
                <w:bCs/>
                <w:sz w:val="18"/>
                <w:szCs w:val="18"/>
              </w:rPr>
              <w:t>31/12/202</w:t>
            </w:r>
            <w:r w:rsidR="009C5B93">
              <w:rPr>
                <w:rFonts w:eastAsia="Times New Roman"/>
                <w:b/>
                <w:bCs/>
                <w:sz w:val="18"/>
                <w:szCs w:val="18"/>
              </w:rPr>
              <w:t>3</w:t>
            </w:r>
          </w:p>
        </w:tc>
        <w:tc>
          <w:tcPr>
            <w:tcW w:w="1404" w:type="pct"/>
            <w:tcBorders>
              <w:top w:val="nil"/>
              <w:left w:val="nil"/>
              <w:bottom w:val="single" w:sz="4" w:space="0" w:color="auto"/>
              <w:right w:val="nil"/>
            </w:tcBorders>
            <w:shd w:val="clear" w:color="auto" w:fill="auto"/>
            <w:vAlign w:val="bottom"/>
            <w:hideMark/>
          </w:tcPr>
          <w:p w14:paraId="3430750F" w14:textId="4824EBC3" w:rsidR="000C2595" w:rsidRPr="00176BA0" w:rsidRDefault="000C2595" w:rsidP="000C2595">
            <w:pPr>
              <w:keepNext/>
              <w:keepLines/>
              <w:jc w:val="center"/>
              <w:rPr>
                <w:rFonts w:eastAsia="Times New Roman"/>
                <w:b/>
                <w:bCs/>
                <w:sz w:val="18"/>
                <w:szCs w:val="18"/>
              </w:rPr>
            </w:pPr>
            <w:r w:rsidRPr="00176BA0">
              <w:rPr>
                <w:rFonts w:eastAsia="Times New Roman"/>
                <w:b/>
                <w:bCs/>
                <w:sz w:val="18"/>
                <w:szCs w:val="18"/>
              </w:rPr>
              <w:t>31/12/202</w:t>
            </w:r>
            <w:r w:rsidR="009C5B93">
              <w:rPr>
                <w:rFonts w:eastAsia="Times New Roman"/>
                <w:b/>
                <w:bCs/>
                <w:sz w:val="18"/>
                <w:szCs w:val="18"/>
              </w:rPr>
              <w:t>2</w:t>
            </w:r>
          </w:p>
        </w:tc>
      </w:tr>
      <w:tr w:rsidR="000C2595" w:rsidRPr="00176BA0" w14:paraId="2734897D" w14:textId="77777777" w:rsidTr="000C2595">
        <w:trPr>
          <w:trHeight w:val="283"/>
          <w:jc w:val="center"/>
        </w:trPr>
        <w:tc>
          <w:tcPr>
            <w:tcW w:w="2306" w:type="pct"/>
            <w:tcBorders>
              <w:top w:val="nil"/>
              <w:left w:val="nil"/>
              <w:bottom w:val="single" w:sz="4" w:space="0" w:color="auto"/>
              <w:right w:val="nil"/>
            </w:tcBorders>
            <w:shd w:val="clear" w:color="auto" w:fill="auto"/>
            <w:vAlign w:val="center"/>
            <w:hideMark/>
          </w:tcPr>
          <w:p w14:paraId="39E1CD1B" w14:textId="77777777" w:rsidR="000C2595" w:rsidRPr="00176BA0" w:rsidRDefault="000C2595" w:rsidP="000C2595">
            <w:pPr>
              <w:ind w:left="217"/>
              <w:rPr>
                <w:rFonts w:eastAsia="Times New Roman"/>
                <w:sz w:val="18"/>
                <w:szCs w:val="18"/>
              </w:rPr>
            </w:pPr>
            <w:r w:rsidRPr="00176BA0">
              <w:rPr>
                <w:rFonts w:eastAsia="Times New Roman"/>
                <w:snapToGrid w:val="0"/>
                <w:sz w:val="18"/>
                <w:szCs w:val="18"/>
              </w:rPr>
              <w:t xml:space="preserve">Capital escriturado </w:t>
            </w:r>
          </w:p>
        </w:tc>
        <w:tc>
          <w:tcPr>
            <w:tcW w:w="1290" w:type="pct"/>
            <w:tcBorders>
              <w:top w:val="nil"/>
              <w:left w:val="nil"/>
              <w:bottom w:val="single" w:sz="4" w:space="0" w:color="auto"/>
              <w:right w:val="nil"/>
            </w:tcBorders>
            <w:shd w:val="clear" w:color="auto" w:fill="auto"/>
            <w:vAlign w:val="center"/>
          </w:tcPr>
          <w:p w14:paraId="2686579B" w14:textId="77777777" w:rsidR="000C2595" w:rsidRPr="00176BA0" w:rsidRDefault="000C2595" w:rsidP="000C2595">
            <w:pPr>
              <w:ind w:right="354" w:firstLineChars="200" w:firstLine="360"/>
              <w:jc w:val="right"/>
              <w:rPr>
                <w:rFonts w:eastAsia="Times New Roman"/>
                <w:sz w:val="18"/>
                <w:szCs w:val="18"/>
              </w:rPr>
            </w:pPr>
            <w:r w:rsidRPr="00176BA0">
              <w:rPr>
                <w:rFonts w:eastAsia="Times New Roman"/>
                <w:snapToGrid w:val="0"/>
                <w:sz w:val="18"/>
                <w:szCs w:val="18"/>
              </w:rPr>
              <w:t>600.000,00</w:t>
            </w:r>
          </w:p>
        </w:tc>
        <w:tc>
          <w:tcPr>
            <w:tcW w:w="1404" w:type="pct"/>
            <w:tcBorders>
              <w:top w:val="nil"/>
              <w:left w:val="nil"/>
              <w:bottom w:val="single" w:sz="4" w:space="0" w:color="auto"/>
              <w:right w:val="nil"/>
            </w:tcBorders>
            <w:shd w:val="clear" w:color="auto" w:fill="auto"/>
            <w:vAlign w:val="center"/>
            <w:hideMark/>
          </w:tcPr>
          <w:p w14:paraId="0ADBA423" w14:textId="7B6FFAA1" w:rsidR="000C2595" w:rsidRPr="00176BA0" w:rsidRDefault="000C2595" w:rsidP="000C2595">
            <w:pPr>
              <w:ind w:right="354" w:firstLineChars="200" w:firstLine="360"/>
              <w:jc w:val="right"/>
              <w:rPr>
                <w:rFonts w:eastAsia="Times New Roman"/>
                <w:sz w:val="18"/>
                <w:szCs w:val="18"/>
              </w:rPr>
            </w:pPr>
            <w:r w:rsidRPr="00176BA0">
              <w:rPr>
                <w:rFonts w:eastAsia="Times New Roman"/>
                <w:snapToGrid w:val="0"/>
                <w:sz w:val="18"/>
                <w:szCs w:val="18"/>
              </w:rPr>
              <w:t>600.000,00</w:t>
            </w:r>
          </w:p>
        </w:tc>
      </w:tr>
      <w:tr w:rsidR="000C2595" w:rsidRPr="00176BA0" w14:paraId="5E7897F0" w14:textId="77777777" w:rsidTr="000C2595">
        <w:trPr>
          <w:trHeight w:val="283"/>
          <w:jc w:val="center"/>
        </w:trPr>
        <w:tc>
          <w:tcPr>
            <w:tcW w:w="2306" w:type="pct"/>
            <w:tcBorders>
              <w:top w:val="nil"/>
              <w:left w:val="nil"/>
              <w:bottom w:val="single" w:sz="4" w:space="0" w:color="auto"/>
              <w:right w:val="nil"/>
            </w:tcBorders>
            <w:shd w:val="clear" w:color="auto" w:fill="auto"/>
            <w:vAlign w:val="center"/>
            <w:hideMark/>
          </w:tcPr>
          <w:p w14:paraId="258B51C9" w14:textId="77777777" w:rsidR="000C2595" w:rsidRPr="00176BA0" w:rsidRDefault="000C2595" w:rsidP="000C2595">
            <w:pPr>
              <w:ind w:left="217" w:firstLineChars="200" w:firstLine="360"/>
              <w:rPr>
                <w:rFonts w:eastAsia="Times New Roman"/>
                <w:sz w:val="18"/>
                <w:szCs w:val="18"/>
              </w:rPr>
            </w:pPr>
            <w:r w:rsidRPr="00176BA0">
              <w:rPr>
                <w:rFonts w:eastAsia="Times New Roman"/>
                <w:snapToGrid w:val="0"/>
                <w:sz w:val="18"/>
                <w:szCs w:val="18"/>
              </w:rPr>
              <w:t> </w:t>
            </w:r>
          </w:p>
        </w:tc>
        <w:tc>
          <w:tcPr>
            <w:tcW w:w="1290" w:type="pct"/>
            <w:tcBorders>
              <w:top w:val="nil"/>
              <w:left w:val="nil"/>
              <w:bottom w:val="single" w:sz="4" w:space="0" w:color="auto"/>
              <w:right w:val="nil"/>
            </w:tcBorders>
            <w:shd w:val="clear" w:color="auto" w:fill="auto"/>
            <w:vAlign w:val="center"/>
          </w:tcPr>
          <w:p w14:paraId="6CCD4989" w14:textId="77777777" w:rsidR="000C2595" w:rsidRPr="00176BA0" w:rsidRDefault="000C2595" w:rsidP="000C2595">
            <w:pPr>
              <w:ind w:right="354" w:firstLineChars="200" w:firstLine="361"/>
              <w:jc w:val="right"/>
              <w:rPr>
                <w:rFonts w:eastAsia="Times New Roman"/>
                <w:b/>
                <w:bCs/>
                <w:sz w:val="18"/>
                <w:szCs w:val="18"/>
              </w:rPr>
            </w:pPr>
            <w:r w:rsidRPr="00176BA0">
              <w:rPr>
                <w:rFonts w:eastAsia="Times New Roman"/>
                <w:b/>
                <w:bCs/>
                <w:snapToGrid w:val="0"/>
                <w:sz w:val="18"/>
                <w:szCs w:val="18"/>
              </w:rPr>
              <w:t>600.000,00</w:t>
            </w:r>
          </w:p>
        </w:tc>
        <w:tc>
          <w:tcPr>
            <w:tcW w:w="1404" w:type="pct"/>
            <w:tcBorders>
              <w:top w:val="nil"/>
              <w:left w:val="nil"/>
              <w:bottom w:val="single" w:sz="4" w:space="0" w:color="auto"/>
              <w:right w:val="nil"/>
            </w:tcBorders>
            <w:shd w:val="clear" w:color="auto" w:fill="auto"/>
            <w:vAlign w:val="center"/>
            <w:hideMark/>
          </w:tcPr>
          <w:p w14:paraId="1A8AEB7B" w14:textId="183A3288" w:rsidR="000C2595" w:rsidRPr="00176BA0" w:rsidRDefault="000C2595" w:rsidP="000C2595">
            <w:pPr>
              <w:ind w:right="354" w:firstLineChars="200" w:firstLine="361"/>
              <w:jc w:val="right"/>
              <w:rPr>
                <w:rFonts w:eastAsia="Times New Roman"/>
                <w:b/>
                <w:bCs/>
                <w:sz w:val="18"/>
                <w:szCs w:val="18"/>
              </w:rPr>
            </w:pPr>
            <w:r w:rsidRPr="00176BA0">
              <w:rPr>
                <w:rFonts w:eastAsia="Times New Roman"/>
                <w:b/>
                <w:bCs/>
                <w:snapToGrid w:val="0"/>
                <w:sz w:val="18"/>
                <w:szCs w:val="18"/>
              </w:rPr>
              <w:t>600.000,00</w:t>
            </w:r>
          </w:p>
        </w:tc>
      </w:tr>
    </w:tbl>
    <w:p w14:paraId="5369AC40" w14:textId="77777777" w:rsidR="006220A2" w:rsidRPr="0083433F" w:rsidRDefault="006220A2" w:rsidP="001B5A15">
      <w:pPr>
        <w:widowControl w:val="0"/>
        <w:spacing w:before="240" w:after="120" w:line="260" w:lineRule="exact"/>
        <w:jc w:val="both"/>
        <w:outlineLvl w:val="9"/>
        <w:rPr>
          <w:snapToGrid w:val="0"/>
          <w:sz w:val="20"/>
          <w:szCs w:val="22"/>
        </w:rPr>
      </w:pPr>
      <w:r w:rsidRPr="0083433F">
        <w:rPr>
          <w:snapToGrid w:val="0"/>
          <w:sz w:val="20"/>
          <w:szCs w:val="22"/>
        </w:rPr>
        <w:t xml:space="preserve">El único accionista de la Sociedad es </w:t>
      </w:r>
      <w:smartTag w:uri="urn:schemas-microsoft-com:office:smarttags" w:element="PersonName">
        <w:smartTagPr>
          <w:attr w:name="ProductID" w:val="la Administraci￳n P￺blica"/>
        </w:smartTagPr>
        <w:r w:rsidRPr="0083433F">
          <w:rPr>
            <w:snapToGrid w:val="0"/>
            <w:sz w:val="20"/>
            <w:szCs w:val="22"/>
          </w:rPr>
          <w:t>la Administración Pública</w:t>
        </w:r>
      </w:smartTag>
      <w:r w:rsidRPr="0083433F">
        <w:rPr>
          <w:snapToGrid w:val="0"/>
          <w:sz w:val="20"/>
          <w:szCs w:val="22"/>
        </w:rPr>
        <w:t xml:space="preserve">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aunque se prevé que las acciones de </w:t>
      </w:r>
      <w:smartTag w:uri="urn:schemas-microsoft-com:office:smarttags" w:element="PersonName">
        <w:smartTagPr>
          <w:attr w:name="ProductID" w:val="la Serie B"/>
        </w:smartTagPr>
        <w:r w:rsidRPr="0083433F">
          <w:rPr>
            <w:snapToGrid w:val="0"/>
            <w:sz w:val="20"/>
            <w:szCs w:val="22"/>
          </w:rPr>
          <w:t>la Serie B</w:t>
        </w:r>
      </w:smartTag>
      <w:r w:rsidRPr="0083433F">
        <w:rPr>
          <w:snapToGrid w:val="0"/>
          <w:sz w:val="20"/>
          <w:szCs w:val="22"/>
        </w:rPr>
        <w:t xml:space="preserve"> sean adquiridas por las Entidades de </w:t>
      </w:r>
      <w:smartTag w:uri="urn:schemas-microsoft-com:office:smarttags" w:element="PersonName">
        <w:r w:rsidRPr="0083433F">
          <w:rPr>
            <w:snapToGrid w:val="0"/>
            <w:sz w:val="20"/>
            <w:szCs w:val="22"/>
          </w:rPr>
          <w:t>Promoción</w:t>
        </w:r>
      </w:smartTag>
      <w:r w:rsidRPr="0083433F">
        <w:rPr>
          <w:snapToGrid w:val="0"/>
          <w:sz w:val="20"/>
          <w:szCs w:val="22"/>
        </w:rPr>
        <w:t xml:space="preserve"> Turística Insular constituidas por los Cabildos Insulares, o en su defecto, por los propios Cabildos Insulares.</w:t>
      </w:r>
    </w:p>
    <w:p w14:paraId="1801F9D4" w14:textId="77777777" w:rsidR="006220A2" w:rsidRPr="0083433F" w:rsidRDefault="006220A2" w:rsidP="00D67C6B">
      <w:pPr>
        <w:widowControl w:val="0"/>
        <w:spacing w:before="120" w:after="120" w:line="260" w:lineRule="exact"/>
        <w:jc w:val="both"/>
        <w:outlineLvl w:val="9"/>
        <w:rPr>
          <w:snapToGrid w:val="0"/>
          <w:sz w:val="20"/>
          <w:szCs w:val="22"/>
        </w:rPr>
      </w:pPr>
      <w:r w:rsidRPr="0083433F">
        <w:rPr>
          <w:snapToGrid w:val="0"/>
          <w:sz w:val="20"/>
          <w:szCs w:val="22"/>
        </w:rPr>
        <w:t xml:space="preserve">Adicionalmente, la Sociedad recibe con carácter general y, de acuerdo con los Presupuestos Generales de </w:t>
      </w:r>
      <w:smartTag w:uri="urn:schemas-microsoft-com:office:smarttags" w:element="PersonName">
        <w:smartTagPr>
          <w:attr w:name="ProductID" w:val="la Comunidad Aut￳noma"/>
        </w:smartTagPr>
        <w:r w:rsidRPr="0083433F">
          <w:rPr>
            <w:snapToGrid w:val="0"/>
            <w:sz w:val="20"/>
            <w:szCs w:val="22"/>
          </w:rPr>
          <w:t>la Comunidad Autónoma</w:t>
        </w:r>
      </w:smartTag>
      <w:r w:rsidRPr="0083433F">
        <w:rPr>
          <w:snapToGrid w:val="0"/>
          <w:sz w:val="20"/>
          <w:szCs w:val="22"/>
        </w:rPr>
        <w:t xml:space="preserve"> de Canarias de cada año, determinadas subvenciones y/o transferencias destinadas a garantizar su actividad habitual.</w:t>
      </w:r>
    </w:p>
    <w:p w14:paraId="1EDA070B" w14:textId="77777777" w:rsidR="006220A2" w:rsidRPr="0083433F" w:rsidRDefault="006220A2">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line="276" w:lineRule="auto"/>
        <w:ind w:left="0" w:firstLine="0"/>
        <w:outlineLvl w:val="9"/>
        <w:rPr>
          <w:i/>
          <w:sz w:val="20"/>
          <w:szCs w:val="22"/>
          <w:u w:val="single"/>
        </w:rPr>
      </w:pPr>
      <w:r w:rsidRPr="0083433F">
        <w:rPr>
          <w:i/>
          <w:sz w:val="20"/>
          <w:szCs w:val="22"/>
          <w:u w:val="single"/>
        </w:rPr>
        <w:t>Reserva legal</w:t>
      </w:r>
    </w:p>
    <w:p w14:paraId="2D4D0059" w14:textId="77777777" w:rsidR="006220A2" w:rsidRPr="0083433F" w:rsidRDefault="006220A2" w:rsidP="00D67C6B">
      <w:pPr>
        <w:keepNext/>
        <w:keepLines/>
        <w:widowControl w:val="0"/>
        <w:spacing w:before="120" w:after="120" w:line="260" w:lineRule="exact"/>
        <w:jc w:val="both"/>
        <w:outlineLvl w:val="9"/>
        <w:rPr>
          <w:snapToGrid w:val="0"/>
          <w:sz w:val="20"/>
          <w:szCs w:val="22"/>
        </w:rPr>
      </w:pPr>
      <w:r w:rsidRPr="0083433F">
        <w:rPr>
          <w:snapToGrid w:val="0"/>
          <w:sz w:val="20"/>
          <w:szCs w:val="22"/>
        </w:rPr>
        <w:t>De acuerdo con la Ley de Sociedades de Capital, debe destinarse una cifra igual al 10% del beneficio del ejercicio a la reserva legal hasta que ésta alcance, al menos, el 20% del capital social.</w:t>
      </w:r>
    </w:p>
    <w:p w14:paraId="7E131784" w14:textId="77777777" w:rsidR="006220A2" w:rsidRPr="0083433F" w:rsidRDefault="006220A2" w:rsidP="00D67C6B">
      <w:pPr>
        <w:keepNext/>
        <w:keepLines/>
        <w:widowControl w:val="0"/>
        <w:spacing w:before="120" w:after="120" w:line="260" w:lineRule="exact"/>
        <w:jc w:val="both"/>
        <w:outlineLvl w:val="9"/>
        <w:rPr>
          <w:snapToGrid w:val="0"/>
          <w:sz w:val="20"/>
          <w:szCs w:val="22"/>
        </w:rPr>
      </w:pPr>
      <w:r w:rsidRPr="0083433F">
        <w:rPr>
          <w:snapToGrid w:val="0"/>
          <w:sz w:val="20"/>
          <w:szCs w:val="22"/>
        </w:rPr>
        <w:t>La reserva legal podrá utilizarse para aumentar el capital social en la parte de su saldo que exceda del 10% del capital ya aumentado.</w:t>
      </w:r>
    </w:p>
    <w:p w14:paraId="3D7A2434" w14:textId="77777777" w:rsidR="006220A2" w:rsidRPr="0083433F" w:rsidRDefault="006220A2" w:rsidP="00D67C6B">
      <w:pPr>
        <w:widowControl w:val="0"/>
        <w:spacing w:before="120" w:after="120" w:line="260" w:lineRule="exact"/>
        <w:jc w:val="both"/>
        <w:outlineLvl w:val="9"/>
        <w:rPr>
          <w:snapToGrid w:val="0"/>
          <w:sz w:val="20"/>
          <w:szCs w:val="22"/>
        </w:rPr>
      </w:pPr>
      <w:r w:rsidRPr="0083433F">
        <w:rPr>
          <w:snapToGrid w:val="0"/>
          <w:sz w:val="20"/>
          <w:szCs w:val="22"/>
        </w:rPr>
        <w:t>Salvo para la finalidad mencionada anteriormente, y mientras no supere el 20% del capital social, esta reserva sólo podrá destinarse a la compensación de pérdidas y siempre que no existan otras reservas disponibles suficientes para este fin.</w:t>
      </w:r>
    </w:p>
    <w:p w14:paraId="11CBC578" w14:textId="7354D4DB" w:rsidR="006220A2" w:rsidRPr="0083433F" w:rsidRDefault="006220A2" w:rsidP="00D67C6B">
      <w:pPr>
        <w:widowControl w:val="0"/>
        <w:spacing w:before="120" w:after="120" w:line="260" w:lineRule="exact"/>
        <w:jc w:val="both"/>
        <w:outlineLvl w:val="9"/>
        <w:rPr>
          <w:snapToGrid w:val="0"/>
          <w:sz w:val="20"/>
          <w:szCs w:val="22"/>
        </w:rPr>
      </w:pPr>
      <w:r w:rsidRPr="0083433F">
        <w:rPr>
          <w:snapToGrid w:val="0"/>
          <w:sz w:val="20"/>
          <w:szCs w:val="22"/>
        </w:rPr>
        <w:t xml:space="preserve">La Sociedad no ha destinado importe alguno a reserva legal debido a que no ha obtenido beneficios en los ejercicios fiscales cerrados hasta el 31 de diciembre de </w:t>
      </w:r>
      <w:r w:rsidR="004261D1" w:rsidRPr="0083433F">
        <w:rPr>
          <w:snapToGrid w:val="0"/>
          <w:sz w:val="20"/>
          <w:szCs w:val="22"/>
        </w:rPr>
        <w:t>20</w:t>
      </w:r>
      <w:r w:rsidR="000322A4">
        <w:rPr>
          <w:snapToGrid w:val="0"/>
          <w:sz w:val="20"/>
          <w:szCs w:val="22"/>
        </w:rPr>
        <w:t>2</w:t>
      </w:r>
      <w:r w:rsidR="009C5B93">
        <w:rPr>
          <w:snapToGrid w:val="0"/>
          <w:sz w:val="20"/>
          <w:szCs w:val="22"/>
        </w:rPr>
        <w:t>3</w:t>
      </w:r>
      <w:r w:rsidRPr="0083433F">
        <w:rPr>
          <w:snapToGrid w:val="0"/>
          <w:sz w:val="20"/>
          <w:szCs w:val="22"/>
        </w:rPr>
        <w:t>.</w:t>
      </w:r>
    </w:p>
    <w:p w14:paraId="70AD103E" w14:textId="77777777" w:rsidR="006220A2" w:rsidRPr="0083433F" w:rsidRDefault="006220A2">
      <w:pPr>
        <w:keepNex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before="200"/>
        <w:ind w:left="0" w:firstLine="0"/>
        <w:outlineLvl w:val="9"/>
        <w:rPr>
          <w:i/>
          <w:sz w:val="20"/>
          <w:szCs w:val="22"/>
          <w:u w:val="single"/>
        </w:rPr>
      </w:pPr>
      <w:r w:rsidRPr="0083433F">
        <w:rPr>
          <w:i/>
          <w:sz w:val="20"/>
          <w:szCs w:val="22"/>
          <w:u w:val="single"/>
        </w:rPr>
        <w:t>Otras aportaciones de socios</w:t>
      </w:r>
    </w:p>
    <w:p w14:paraId="3A54FD0E" w14:textId="0DC611AF" w:rsidR="006220A2" w:rsidRPr="0083433F" w:rsidRDefault="006220A2" w:rsidP="00D67C6B">
      <w:pPr>
        <w:widowControl w:val="0"/>
        <w:spacing w:before="120" w:after="120" w:line="260" w:lineRule="exact"/>
        <w:jc w:val="both"/>
        <w:outlineLvl w:val="9"/>
        <w:rPr>
          <w:snapToGrid w:val="0"/>
          <w:sz w:val="20"/>
          <w:szCs w:val="22"/>
        </w:rPr>
      </w:pPr>
      <w:r w:rsidRPr="0083433F">
        <w:rPr>
          <w:snapToGrid w:val="0"/>
          <w:sz w:val="20"/>
          <w:szCs w:val="22"/>
        </w:rPr>
        <w:t>El importe contabilizado en este epígrafe se corresponde con la transferencia concedida y dev</w:t>
      </w:r>
      <w:r w:rsidR="004261D1" w:rsidRPr="0083433F">
        <w:rPr>
          <w:snapToGrid w:val="0"/>
          <w:sz w:val="20"/>
          <w:szCs w:val="22"/>
        </w:rPr>
        <w:t>engada a 31 de diciembre de 20</w:t>
      </w:r>
      <w:r w:rsidR="000322A4">
        <w:rPr>
          <w:snapToGrid w:val="0"/>
          <w:sz w:val="20"/>
          <w:szCs w:val="22"/>
        </w:rPr>
        <w:t>2</w:t>
      </w:r>
      <w:r w:rsidR="009C5B93">
        <w:rPr>
          <w:snapToGrid w:val="0"/>
          <w:sz w:val="20"/>
          <w:szCs w:val="22"/>
        </w:rPr>
        <w:t>3</w:t>
      </w:r>
      <w:r w:rsidRPr="0083433F">
        <w:rPr>
          <w:snapToGrid w:val="0"/>
          <w:sz w:val="20"/>
          <w:szCs w:val="22"/>
        </w:rPr>
        <w:t xml:space="preserve">, por parte de la Consejería de </w:t>
      </w:r>
      <w:r w:rsidRPr="00274EE1">
        <w:rPr>
          <w:snapToGrid w:val="0"/>
          <w:sz w:val="20"/>
          <w:szCs w:val="22"/>
        </w:rPr>
        <w:t>Turismo</w:t>
      </w:r>
      <w:r w:rsidR="00814E7A">
        <w:rPr>
          <w:snapToGrid w:val="0"/>
          <w:sz w:val="20"/>
          <w:szCs w:val="22"/>
        </w:rPr>
        <w:t xml:space="preserve"> y Empleo</w:t>
      </w:r>
      <w:r w:rsidRPr="0083433F">
        <w:rPr>
          <w:snapToGrid w:val="0"/>
          <w:sz w:val="20"/>
          <w:szCs w:val="22"/>
        </w:rPr>
        <w:t xml:space="preserve"> para financiar déficits de explotación o gastos generales de funcionamiento de la empresa, a </w:t>
      </w:r>
      <w:r w:rsidR="004E7CD6" w:rsidRPr="0083433F">
        <w:rPr>
          <w:snapToGrid w:val="0"/>
          <w:sz w:val="20"/>
          <w:szCs w:val="22"/>
        </w:rPr>
        <w:t>continuación,</w:t>
      </w:r>
      <w:r w:rsidRPr="0083433F">
        <w:rPr>
          <w:snapToGrid w:val="0"/>
          <w:sz w:val="20"/>
          <w:szCs w:val="22"/>
        </w:rPr>
        <w:t xml:space="preserve"> se detalla la misma:</w:t>
      </w:r>
    </w:p>
    <w:tbl>
      <w:tblPr>
        <w:tblW w:w="5000" w:type="pct"/>
        <w:jc w:val="center"/>
        <w:tblCellMar>
          <w:left w:w="70" w:type="dxa"/>
          <w:right w:w="70" w:type="dxa"/>
        </w:tblCellMar>
        <w:tblLook w:val="04A0" w:firstRow="1" w:lastRow="0" w:firstColumn="1" w:lastColumn="0" w:noHBand="0" w:noVBand="1"/>
      </w:tblPr>
      <w:tblGrid>
        <w:gridCol w:w="4682"/>
        <w:gridCol w:w="699"/>
        <w:gridCol w:w="1820"/>
        <w:gridCol w:w="1580"/>
      </w:tblGrid>
      <w:tr w:rsidR="000322A4" w:rsidRPr="00176BA0" w14:paraId="644F20B4" w14:textId="77777777" w:rsidTr="00176BA0">
        <w:trPr>
          <w:trHeight w:val="283"/>
          <w:jc w:val="center"/>
        </w:trPr>
        <w:tc>
          <w:tcPr>
            <w:tcW w:w="2700" w:type="pct"/>
            <w:tcBorders>
              <w:top w:val="single" w:sz="4" w:space="0" w:color="auto"/>
              <w:left w:val="nil"/>
              <w:bottom w:val="nil"/>
              <w:right w:val="nil"/>
            </w:tcBorders>
            <w:shd w:val="clear" w:color="auto" w:fill="auto"/>
            <w:vAlign w:val="center"/>
            <w:hideMark/>
          </w:tcPr>
          <w:p w14:paraId="697CD687" w14:textId="77777777" w:rsidR="000322A4" w:rsidRPr="00176BA0" w:rsidRDefault="000322A4" w:rsidP="00176BA0">
            <w:pPr>
              <w:pBdr>
                <w:top w:val="none" w:sz="0" w:space="0" w:color="auto"/>
                <w:left w:val="none" w:sz="0" w:space="0" w:color="auto"/>
                <w:bottom w:val="none" w:sz="0" w:space="0" w:color="auto"/>
                <w:right w:val="none" w:sz="0" w:space="0" w:color="auto"/>
                <w:between w:val="none" w:sz="0" w:space="0" w:color="auto"/>
                <w:bar w:val="none" w:sz="0" w:color="auto"/>
              </w:pBdr>
              <w:ind w:left="217"/>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432" w:type="pct"/>
            <w:tcBorders>
              <w:top w:val="single" w:sz="4" w:space="0" w:color="auto"/>
              <w:left w:val="nil"/>
              <w:bottom w:val="nil"/>
              <w:right w:val="nil"/>
            </w:tcBorders>
            <w:shd w:val="clear" w:color="auto" w:fill="auto"/>
            <w:vAlign w:val="center"/>
            <w:hideMark/>
          </w:tcPr>
          <w:p w14:paraId="753EEE14" w14:textId="77777777" w:rsidR="000322A4" w:rsidRPr="00176BA0" w:rsidRDefault="000322A4" w:rsidP="000322A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1868" w:type="pct"/>
            <w:gridSpan w:val="2"/>
            <w:tcBorders>
              <w:top w:val="single" w:sz="4" w:space="0" w:color="auto"/>
              <w:left w:val="nil"/>
              <w:bottom w:val="single" w:sz="4" w:space="0" w:color="auto"/>
              <w:right w:val="nil"/>
            </w:tcBorders>
            <w:shd w:val="clear" w:color="auto" w:fill="auto"/>
            <w:vAlign w:val="bottom"/>
            <w:hideMark/>
          </w:tcPr>
          <w:p w14:paraId="0A406AD5" w14:textId="77777777" w:rsidR="000322A4" w:rsidRPr="00176BA0" w:rsidRDefault="000322A4" w:rsidP="00DA79F6">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BE57E2" w:rsidRPr="00176BA0" w14:paraId="35D16DC1" w14:textId="77777777" w:rsidTr="00176BA0">
        <w:trPr>
          <w:trHeight w:val="283"/>
          <w:jc w:val="center"/>
        </w:trPr>
        <w:tc>
          <w:tcPr>
            <w:tcW w:w="2700" w:type="pct"/>
            <w:tcBorders>
              <w:top w:val="nil"/>
              <w:left w:val="nil"/>
              <w:bottom w:val="single" w:sz="4" w:space="0" w:color="auto"/>
              <w:right w:val="nil"/>
            </w:tcBorders>
            <w:shd w:val="clear" w:color="auto" w:fill="auto"/>
            <w:vAlign w:val="center"/>
            <w:hideMark/>
          </w:tcPr>
          <w:p w14:paraId="4AA6837D" w14:textId="77777777" w:rsidR="00BE57E2" w:rsidRPr="00176BA0" w:rsidRDefault="00BE57E2" w:rsidP="00BE57E2">
            <w:pPr>
              <w:pBdr>
                <w:top w:val="none" w:sz="0" w:space="0" w:color="auto"/>
                <w:left w:val="none" w:sz="0" w:space="0" w:color="auto"/>
                <w:bottom w:val="none" w:sz="0" w:space="0" w:color="auto"/>
                <w:right w:val="none" w:sz="0" w:space="0" w:color="auto"/>
                <w:between w:val="none" w:sz="0" w:space="0" w:color="auto"/>
                <w:bar w:val="none" w:sz="0" w:color="auto"/>
              </w:pBdr>
              <w:ind w:left="217"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432" w:type="pct"/>
            <w:tcBorders>
              <w:top w:val="nil"/>
              <w:left w:val="nil"/>
              <w:bottom w:val="single" w:sz="4" w:space="0" w:color="auto"/>
              <w:right w:val="nil"/>
            </w:tcBorders>
            <w:shd w:val="clear" w:color="auto" w:fill="auto"/>
            <w:vAlign w:val="center"/>
            <w:hideMark/>
          </w:tcPr>
          <w:p w14:paraId="710F340A" w14:textId="77777777" w:rsidR="00BE57E2" w:rsidRPr="00176BA0" w:rsidRDefault="00BE57E2" w:rsidP="00BE57E2">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934" w:type="pct"/>
            <w:tcBorders>
              <w:top w:val="nil"/>
              <w:left w:val="nil"/>
              <w:bottom w:val="single" w:sz="4" w:space="0" w:color="auto"/>
              <w:right w:val="nil"/>
            </w:tcBorders>
            <w:shd w:val="clear" w:color="auto" w:fill="auto"/>
            <w:vAlign w:val="bottom"/>
            <w:hideMark/>
          </w:tcPr>
          <w:p w14:paraId="6F4C5778" w14:textId="4632CC06" w:rsidR="00BE57E2" w:rsidRPr="00176BA0" w:rsidRDefault="00B9729C" w:rsidP="00BE57E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b/>
                <w:bCs/>
                <w:sz w:val="18"/>
                <w:szCs w:val="18"/>
              </w:rPr>
              <w:t>31/12/</w:t>
            </w:r>
            <w:r w:rsidR="00BE57E2" w:rsidRPr="00176BA0">
              <w:rPr>
                <w:b/>
                <w:bCs/>
                <w:sz w:val="18"/>
                <w:szCs w:val="18"/>
              </w:rPr>
              <w:t>202</w:t>
            </w:r>
            <w:r w:rsidR="009C5B93">
              <w:rPr>
                <w:b/>
                <w:bCs/>
                <w:sz w:val="18"/>
                <w:szCs w:val="18"/>
              </w:rPr>
              <w:t>3</w:t>
            </w:r>
          </w:p>
        </w:tc>
        <w:tc>
          <w:tcPr>
            <w:tcW w:w="934" w:type="pct"/>
            <w:tcBorders>
              <w:top w:val="nil"/>
              <w:left w:val="nil"/>
              <w:bottom w:val="single" w:sz="4" w:space="0" w:color="auto"/>
              <w:right w:val="nil"/>
            </w:tcBorders>
            <w:shd w:val="clear" w:color="auto" w:fill="auto"/>
            <w:vAlign w:val="bottom"/>
            <w:hideMark/>
          </w:tcPr>
          <w:p w14:paraId="5EC48FE7" w14:textId="4C80582F" w:rsidR="00BE57E2" w:rsidRPr="00176BA0" w:rsidRDefault="00B9729C" w:rsidP="00BE57E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b/>
                <w:bCs/>
                <w:sz w:val="18"/>
                <w:szCs w:val="18"/>
              </w:rPr>
              <w:t>31/12/</w:t>
            </w:r>
            <w:r w:rsidR="00BE57E2" w:rsidRPr="00176BA0">
              <w:rPr>
                <w:b/>
                <w:bCs/>
                <w:sz w:val="18"/>
                <w:szCs w:val="18"/>
              </w:rPr>
              <w:t>202</w:t>
            </w:r>
            <w:r w:rsidR="009C5B93">
              <w:rPr>
                <w:b/>
                <w:bCs/>
                <w:sz w:val="18"/>
                <w:szCs w:val="18"/>
              </w:rPr>
              <w:t>2</w:t>
            </w:r>
          </w:p>
        </w:tc>
      </w:tr>
      <w:tr w:rsidR="00BE57E2" w:rsidRPr="00176BA0" w14:paraId="1C78B6DE" w14:textId="77777777" w:rsidTr="00176BA0">
        <w:trPr>
          <w:trHeight w:val="283"/>
          <w:jc w:val="center"/>
        </w:trPr>
        <w:tc>
          <w:tcPr>
            <w:tcW w:w="2700" w:type="pct"/>
            <w:tcBorders>
              <w:top w:val="nil"/>
              <w:left w:val="nil"/>
              <w:bottom w:val="single" w:sz="4" w:space="0" w:color="auto"/>
              <w:right w:val="nil"/>
            </w:tcBorders>
            <w:shd w:val="clear" w:color="auto" w:fill="auto"/>
            <w:vAlign w:val="center"/>
            <w:hideMark/>
          </w:tcPr>
          <w:p w14:paraId="3E6C60FA" w14:textId="77777777" w:rsidR="00BE57E2" w:rsidRPr="00176BA0" w:rsidRDefault="00BE57E2" w:rsidP="00BE57E2">
            <w:pPr>
              <w:pBdr>
                <w:top w:val="none" w:sz="0" w:space="0" w:color="auto"/>
                <w:left w:val="none" w:sz="0" w:space="0" w:color="auto"/>
                <w:bottom w:val="none" w:sz="0" w:space="0" w:color="auto"/>
                <w:right w:val="none" w:sz="0" w:space="0" w:color="auto"/>
                <w:between w:val="none" w:sz="0" w:space="0" w:color="auto"/>
                <w:bar w:val="none" w:sz="0" w:color="auto"/>
              </w:pBdr>
              <w:ind w:left="217"/>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Transferencia para gastos de explotación</w:t>
            </w:r>
          </w:p>
        </w:tc>
        <w:tc>
          <w:tcPr>
            <w:tcW w:w="432" w:type="pct"/>
            <w:tcBorders>
              <w:top w:val="nil"/>
              <w:left w:val="nil"/>
              <w:bottom w:val="single" w:sz="4" w:space="0" w:color="auto"/>
              <w:right w:val="nil"/>
            </w:tcBorders>
            <w:shd w:val="clear" w:color="auto" w:fill="auto"/>
            <w:vAlign w:val="center"/>
            <w:hideMark/>
          </w:tcPr>
          <w:p w14:paraId="5ED124D2" w14:textId="77777777" w:rsidR="00BE57E2" w:rsidRPr="00176BA0" w:rsidRDefault="00BE57E2" w:rsidP="00BE57E2">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934" w:type="pct"/>
            <w:tcBorders>
              <w:top w:val="nil"/>
              <w:left w:val="nil"/>
              <w:bottom w:val="single" w:sz="4" w:space="0" w:color="auto"/>
              <w:right w:val="nil"/>
            </w:tcBorders>
            <w:shd w:val="clear" w:color="auto" w:fill="auto"/>
            <w:vAlign w:val="center"/>
            <w:hideMark/>
          </w:tcPr>
          <w:p w14:paraId="187E6981" w14:textId="504F1049" w:rsidR="00BE57E2" w:rsidRPr="009C5B93" w:rsidRDefault="009C5B93" w:rsidP="008C1BB7">
            <w:pPr>
              <w:pBdr>
                <w:top w:val="none" w:sz="0" w:space="0" w:color="auto"/>
                <w:left w:val="none" w:sz="0" w:space="0" w:color="auto"/>
                <w:bottom w:val="none" w:sz="0" w:space="0" w:color="auto"/>
                <w:right w:val="none" w:sz="0" w:space="0" w:color="auto"/>
                <w:between w:val="none" w:sz="0" w:space="0" w:color="auto"/>
                <w:bar w:val="none" w:sz="0" w:color="auto"/>
              </w:pBdr>
              <w:ind w:right="268" w:firstLineChars="200" w:firstLine="360"/>
              <w:jc w:val="center"/>
              <w:outlineLvl w:val="9"/>
              <w:rPr>
                <w:rFonts w:eastAsia="Times New Roman"/>
                <w:sz w:val="18"/>
                <w:szCs w:val="18"/>
                <w:bdr w:val="none" w:sz="0" w:space="0" w:color="auto"/>
                <w:lang w:eastAsia="es-ES"/>
              </w:rPr>
            </w:pPr>
            <w:r>
              <w:rPr>
                <w:sz w:val="18"/>
                <w:szCs w:val="18"/>
              </w:rPr>
              <w:t>3.577.139,00</w:t>
            </w:r>
          </w:p>
        </w:tc>
        <w:tc>
          <w:tcPr>
            <w:tcW w:w="934" w:type="pct"/>
            <w:tcBorders>
              <w:top w:val="nil"/>
              <w:left w:val="nil"/>
              <w:bottom w:val="single" w:sz="4" w:space="0" w:color="auto"/>
              <w:right w:val="nil"/>
            </w:tcBorders>
            <w:shd w:val="clear" w:color="auto" w:fill="auto"/>
            <w:vAlign w:val="center"/>
            <w:hideMark/>
          </w:tcPr>
          <w:p w14:paraId="44A22BD7" w14:textId="3C896FFC" w:rsidR="00BE57E2" w:rsidRPr="00176BA0" w:rsidRDefault="009C5B93" w:rsidP="00BE57E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sz w:val="18"/>
                <w:szCs w:val="18"/>
              </w:rPr>
              <w:t>2.327.888,00</w:t>
            </w:r>
          </w:p>
        </w:tc>
      </w:tr>
      <w:tr w:rsidR="00BE57E2" w:rsidRPr="00176BA0" w14:paraId="691422A6" w14:textId="77777777" w:rsidTr="00176BA0">
        <w:trPr>
          <w:trHeight w:val="283"/>
          <w:jc w:val="center"/>
        </w:trPr>
        <w:tc>
          <w:tcPr>
            <w:tcW w:w="2700" w:type="pct"/>
            <w:tcBorders>
              <w:top w:val="nil"/>
              <w:left w:val="nil"/>
              <w:bottom w:val="single" w:sz="4" w:space="0" w:color="auto"/>
              <w:right w:val="nil"/>
            </w:tcBorders>
            <w:shd w:val="clear" w:color="auto" w:fill="auto"/>
            <w:vAlign w:val="center"/>
            <w:hideMark/>
          </w:tcPr>
          <w:p w14:paraId="5E0C1B5E" w14:textId="77777777" w:rsidR="00BE57E2" w:rsidRPr="00176BA0" w:rsidRDefault="00BE57E2" w:rsidP="00BE57E2">
            <w:pPr>
              <w:pBdr>
                <w:top w:val="none" w:sz="0" w:space="0" w:color="auto"/>
                <w:left w:val="none" w:sz="0" w:space="0" w:color="auto"/>
                <w:bottom w:val="none" w:sz="0" w:space="0" w:color="auto"/>
                <w:right w:val="none" w:sz="0" w:space="0" w:color="auto"/>
                <w:between w:val="none" w:sz="0" w:space="0" w:color="auto"/>
                <w:bar w:val="none" w:sz="0" w:color="auto"/>
              </w:pBdr>
              <w:ind w:left="217"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432" w:type="pct"/>
            <w:tcBorders>
              <w:top w:val="nil"/>
              <w:left w:val="nil"/>
              <w:bottom w:val="single" w:sz="4" w:space="0" w:color="auto"/>
              <w:right w:val="nil"/>
            </w:tcBorders>
            <w:shd w:val="clear" w:color="auto" w:fill="auto"/>
            <w:vAlign w:val="center"/>
            <w:hideMark/>
          </w:tcPr>
          <w:p w14:paraId="1182D23F" w14:textId="77777777" w:rsidR="00BE57E2" w:rsidRPr="00176BA0" w:rsidRDefault="00BE57E2" w:rsidP="00BE57E2">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360"/>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934" w:type="pct"/>
            <w:tcBorders>
              <w:top w:val="nil"/>
              <w:left w:val="nil"/>
              <w:bottom w:val="single" w:sz="4" w:space="0" w:color="auto"/>
              <w:right w:val="nil"/>
            </w:tcBorders>
            <w:shd w:val="clear" w:color="auto" w:fill="auto"/>
            <w:vAlign w:val="center"/>
            <w:hideMark/>
          </w:tcPr>
          <w:p w14:paraId="62C88058" w14:textId="182FB5D2" w:rsidR="00BE57E2" w:rsidRPr="009C5B93" w:rsidRDefault="009C5B93" w:rsidP="008C1BB7">
            <w:pPr>
              <w:pBdr>
                <w:top w:val="none" w:sz="0" w:space="0" w:color="auto"/>
                <w:left w:val="none" w:sz="0" w:space="0" w:color="auto"/>
                <w:bottom w:val="none" w:sz="0" w:space="0" w:color="auto"/>
                <w:right w:val="none" w:sz="0" w:space="0" w:color="auto"/>
                <w:between w:val="none" w:sz="0" w:space="0" w:color="auto"/>
                <w:bar w:val="none" w:sz="0" w:color="auto"/>
              </w:pBdr>
              <w:ind w:right="268" w:firstLineChars="200" w:firstLine="361"/>
              <w:jc w:val="center"/>
              <w:outlineLvl w:val="9"/>
              <w:rPr>
                <w:rFonts w:eastAsia="Times New Roman"/>
                <w:b/>
                <w:bCs/>
                <w:sz w:val="18"/>
                <w:szCs w:val="18"/>
                <w:bdr w:val="none" w:sz="0" w:space="0" w:color="auto"/>
                <w:lang w:eastAsia="es-ES"/>
              </w:rPr>
            </w:pPr>
            <w:r w:rsidRPr="009C5B93">
              <w:rPr>
                <w:b/>
                <w:bCs/>
                <w:sz w:val="18"/>
                <w:szCs w:val="18"/>
              </w:rPr>
              <w:t>3.577.139,00</w:t>
            </w:r>
          </w:p>
        </w:tc>
        <w:tc>
          <w:tcPr>
            <w:tcW w:w="934" w:type="pct"/>
            <w:tcBorders>
              <w:top w:val="nil"/>
              <w:left w:val="nil"/>
              <w:bottom w:val="single" w:sz="4" w:space="0" w:color="auto"/>
              <w:right w:val="nil"/>
            </w:tcBorders>
            <w:shd w:val="clear" w:color="auto" w:fill="auto"/>
            <w:vAlign w:val="center"/>
            <w:hideMark/>
          </w:tcPr>
          <w:p w14:paraId="40F0986B" w14:textId="3AD68598" w:rsidR="00BE57E2" w:rsidRPr="009C5B93" w:rsidRDefault="009C5B93" w:rsidP="00BE57E2">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C5B93">
              <w:rPr>
                <w:b/>
                <w:bCs/>
                <w:sz w:val="18"/>
                <w:szCs w:val="18"/>
              </w:rPr>
              <w:t>2.327.888,00</w:t>
            </w:r>
          </w:p>
        </w:tc>
      </w:tr>
    </w:tbl>
    <w:p w14:paraId="44823C15" w14:textId="5C778403" w:rsidR="00176BA0" w:rsidRDefault="00176BA0" w:rsidP="006220A2">
      <w:pPr>
        <w:widowControl w:val="0"/>
        <w:tabs>
          <w:tab w:val="num" w:pos="644"/>
        </w:tabs>
        <w:rPr>
          <w:b/>
          <w:sz w:val="22"/>
          <w:szCs w:val="22"/>
        </w:rPr>
      </w:pPr>
    </w:p>
    <w:p w14:paraId="7010524F" w14:textId="77777777" w:rsidR="00176BA0" w:rsidRDefault="00176BA0">
      <w:pPr>
        <w:pBdr>
          <w:top w:val="none" w:sz="0" w:space="0" w:color="auto"/>
          <w:left w:val="none" w:sz="0" w:space="0" w:color="auto"/>
          <w:bottom w:val="none" w:sz="0" w:space="0" w:color="auto"/>
          <w:right w:val="none" w:sz="0" w:space="0" w:color="auto"/>
          <w:between w:val="none" w:sz="0" w:space="0" w:color="auto"/>
          <w:bar w:val="none" w:sz="0" w:color="auto"/>
        </w:pBdr>
        <w:outlineLvl w:val="9"/>
        <w:rPr>
          <w:b/>
          <w:sz w:val="22"/>
          <w:szCs w:val="22"/>
        </w:rPr>
      </w:pPr>
      <w:r>
        <w:rPr>
          <w:b/>
          <w:sz w:val="22"/>
          <w:szCs w:val="22"/>
        </w:rPr>
        <w:br w:type="page"/>
      </w:r>
    </w:p>
    <w:p w14:paraId="020B26A7" w14:textId="145920A6" w:rsidR="006220A2" w:rsidRPr="0083433F" w:rsidRDefault="003E75F6"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83433F">
        <w:rPr>
          <w:b/>
          <w:snapToGrid w:val="0"/>
          <w:sz w:val="22"/>
          <w:szCs w:val="22"/>
        </w:rPr>
        <w:t>Gestión del riesgo financiero</w:t>
      </w:r>
    </w:p>
    <w:p w14:paraId="00D68467" w14:textId="77777777" w:rsidR="006220A2" w:rsidRPr="0083433F" w:rsidRDefault="006220A2" w:rsidP="00322988">
      <w:pPr>
        <w:keepNext/>
        <w:keepLines/>
        <w:widowControl w:val="0"/>
        <w:spacing w:before="200"/>
        <w:rPr>
          <w:b/>
          <w:sz w:val="20"/>
          <w:u w:val="single"/>
        </w:rPr>
      </w:pPr>
      <w:r w:rsidRPr="0083433F">
        <w:rPr>
          <w:b/>
          <w:sz w:val="20"/>
        </w:rPr>
        <w:t>9.1 Factores de riesgo financiero</w:t>
      </w:r>
    </w:p>
    <w:p w14:paraId="40A20B95" w14:textId="77777777" w:rsidR="006220A2" w:rsidRPr="00176BA0" w:rsidRDefault="006220A2" w:rsidP="00D67C6B">
      <w:pPr>
        <w:widowControl w:val="0"/>
        <w:spacing w:before="120" w:after="120" w:line="260" w:lineRule="exact"/>
        <w:jc w:val="both"/>
        <w:outlineLvl w:val="9"/>
        <w:rPr>
          <w:snapToGrid w:val="0"/>
          <w:sz w:val="20"/>
          <w:szCs w:val="22"/>
        </w:rPr>
      </w:pPr>
      <w:r w:rsidRPr="00176BA0">
        <w:rPr>
          <w:snapToGrid w:val="0"/>
          <w:sz w:val="20"/>
          <w:szCs w:val="22"/>
        </w:rPr>
        <w:t xml:space="preserve">Las actividades de la Sociedad están expuestas a riesgo de mercado. El programa de gestión del riesgo global de la Sociedad se centra en la incertidumbre de los mercados financieros y trata de minimizar los efectos potenciales adversos sobre su rentabilidad financiera. </w:t>
      </w:r>
    </w:p>
    <w:p w14:paraId="23A32B64" w14:textId="77777777" w:rsidR="006220A2" w:rsidRPr="00176BA0" w:rsidRDefault="006220A2" w:rsidP="00D67C6B">
      <w:pPr>
        <w:widowControl w:val="0"/>
        <w:spacing w:before="120" w:after="120" w:line="260" w:lineRule="exact"/>
        <w:jc w:val="both"/>
        <w:outlineLvl w:val="9"/>
        <w:rPr>
          <w:snapToGrid w:val="0"/>
          <w:sz w:val="20"/>
          <w:szCs w:val="22"/>
        </w:rPr>
      </w:pPr>
      <w:r w:rsidRPr="00176BA0">
        <w:rPr>
          <w:snapToGrid w:val="0"/>
          <w:sz w:val="20"/>
          <w:szCs w:val="22"/>
        </w:rPr>
        <w:t xml:space="preserve">La gestión del riesgo está controlada por la Dirección Financiera de la </w:t>
      </w:r>
      <w:r w:rsidR="00716A99" w:rsidRPr="00176BA0">
        <w:rPr>
          <w:snapToGrid w:val="0"/>
          <w:sz w:val="20"/>
          <w:szCs w:val="22"/>
        </w:rPr>
        <w:t>Sociedad que</w:t>
      </w:r>
      <w:r w:rsidRPr="00176BA0">
        <w:rPr>
          <w:snapToGrid w:val="0"/>
          <w:sz w:val="20"/>
          <w:szCs w:val="22"/>
        </w:rPr>
        <w:t xml:space="preserve"> identifica, evalúa y cubre los riesgos financieros con arreglo a las políticas aprobadas por el Consejo de Administración. El Consejo proporciona políticas para la gestión del riesgo global.</w:t>
      </w:r>
    </w:p>
    <w:p w14:paraId="45C46103" w14:textId="77777777" w:rsidR="006220A2" w:rsidRPr="0083433F" w:rsidRDefault="006220A2" w:rsidP="006220A2">
      <w:pPr>
        <w:widowControl w:val="0"/>
        <w:spacing w:before="200"/>
        <w:rPr>
          <w:sz w:val="20"/>
        </w:rPr>
      </w:pPr>
      <w:r w:rsidRPr="0083433F">
        <w:rPr>
          <w:b/>
          <w:sz w:val="20"/>
        </w:rPr>
        <w:t>9.2 Riesgo de mercado</w:t>
      </w:r>
    </w:p>
    <w:p w14:paraId="19CA8716" w14:textId="77777777" w:rsidR="006220A2" w:rsidRPr="00176BA0" w:rsidRDefault="006220A2" w:rsidP="00D67C6B">
      <w:pPr>
        <w:widowControl w:val="0"/>
        <w:spacing w:before="120" w:after="120" w:line="260" w:lineRule="exact"/>
        <w:jc w:val="both"/>
        <w:outlineLvl w:val="9"/>
        <w:rPr>
          <w:snapToGrid w:val="0"/>
          <w:sz w:val="20"/>
          <w:szCs w:val="22"/>
        </w:rPr>
      </w:pPr>
      <w:r w:rsidRPr="00176BA0">
        <w:rPr>
          <w:snapToGrid w:val="0"/>
          <w:sz w:val="20"/>
          <w:szCs w:val="22"/>
        </w:rPr>
        <w:t xml:space="preserve">Riesgo de tipo de cambio: las operaciones en moneda extranjera de </w:t>
      </w:r>
      <w:smartTag w:uri="urn:schemas-microsoft-com:office:smarttags" w:element="PersonName">
        <w:smartTagPr>
          <w:attr w:name="ProductID" w:val="la Sociedad"/>
        </w:smartTagPr>
        <w:r w:rsidRPr="00176BA0">
          <w:rPr>
            <w:snapToGrid w:val="0"/>
            <w:sz w:val="20"/>
            <w:szCs w:val="22"/>
          </w:rPr>
          <w:t>la Sociedad</w:t>
        </w:r>
      </w:smartTag>
      <w:r w:rsidRPr="00176BA0">
        <w:rPr>
          <w:snapToGrid w:val="0"/>
          <w:sz w:val="20"/>
          <w:szCs w:val="22"/>
        </w:rPr>
        <w:t xml:space="preserve"> tienen un volumen poco significativo.</w:t>
      </w:r>
    </w:p>
    <w:p w14:paraId="09AD060D" w14:textId="77777777" w:rsidR="006220A2" w:rsidRPr="0083433F" w:rsidRDefault="006220A2" w:rsidP="00D34C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rPr>
          <w:snapToGrid w:val="0"/>
          <w:sz w:val="22"/>
          <w:szCs w:val="22"/>
        </w:rPr>
      </w:pPr>
    </w:p>
    <w:p w14:paraId="4DCDD6E5" w14:textId="111E5BC4" w:rsidR="006220A2" w:rsidRPr="005B2CA4"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5B2CA4">
        <w:rPr>
          <w:b/>
          <w:snapToGrid w:val="0"/>
          <w:sz w:val="22"/>
          <w:szCs w:val="22"/>
        </w:rPr>
        <w:t xml:space="preserve"> Moneda Extranjera</w:t>
      </w:r>
    </w:p>
    <w:p w14:paraId="6CB9F58B" w14:textId="77777777" w:rsidR="006220A2" w:rsidRPr="005B2CA4" w:rsidRDefault="006220A2">
      <w:pPr>
        <w:keepNext/>
        <w:keepLines/>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120" w:after="120"/>
        <w:ind w:left="284" w:hanging="284"/>
        <w:outlineLvl w:val="9"/>
        <w:rPr>
          <w:i/>
          <w:sz w:val="20"/>
          <w:szCs w:val="22"/>
          <w:u w:val="single"/>
        </w:rPr>
      </w:pPr>
      <w:r w:rsidRPr="005B2CA4">
        <w:rPr>
          <w:i/>
          <w:sz w:val="20"/>
          <w:szCs w:val="22"/>
          <w:u w:val="single"/>
        </w:rPr>
        <w:t>Transacciones en moneda extranjera</w:t>
      </w:r>
    </w:p>
    <w:p w14:paraId="350DB3FB" w14:textId="388B8A97" w:rsidR="006220A2" w:rsidRPr="00176BA0" w:rsidRDefault="006220A2" w:rsidP="00D67C6B">
      <w:pPr>
        <w:widowControl w:val="0"/>
        <w:spacing w:before="120" w:after="120" w:line="260" w:lineRule="exact"/>
        <w:jc w:val="both"/>
        <w:outlineLvl w:val="9"/>
        <w:rPr>
          <w:snapToGrid w:val="0"/>
          <w:sz w:val="20"/>
          <w:szCs w:val="22"/>
        </w:rPr>
      </w:pPr>
      <w:r w:rsidRPr="00176BA0">
        <w:rPr>
          <w:snapToGrid w:val="0"/>
          <w:sz w:val="20"/>
          <w:szCs w:val="22"/>
        </w:rPr>
        <w:t>Las transacciones que se ha</w:t>
      </w:r>
      <w:r w:rsidR="003E1A27" w:rsidRPr="00176BA0">
        <w:rPr>
          <w:snapToGrid w:val="0"/>
          <w:sz w:val="20"/>
          <w:szCs w:val="22"/>
        </w:rPr>
        <w:t>n realizado en el ejercicio 20</w:t>
      </w:r>
      <w:r w:rsidR="00B6701C" w:rsidRPr="00176BA0">
        <w:rPr>
          <w:snapToGrid w:val="0"/>
          <w:sz w:val="20"/>
          <w:szCs w:val="22"/>
        </w:rPr>
        <w:t>2</w:t>
      </w:r>
      <w:r w:rsidR="009C5B93">
        <w:rPr>
          <w:snapToGrid w:val="0"/>
          <w:sz w:val="20"/>
          <w:szCs w:val="22"/>
        </w:rPr>
        <w:t>3</w:t>
      </w:r>
      <w:r w:rsidR="003E1A27" w:rsidRPr="00176BA0">
        <w:rPr>
          <w:snapToGrid w:val="0"/>
          <w:sz w:val="20"/>
          <w:szCs w:val="22"/>
        </w:rPr>
        <w:t xml:space="preserve"> y 20</w:t>
      </w:r>
      <w:r w:rsidR="00431587" w:rsidRPr="00176BA0">
        <w:rPr>
          <w:snapToGrid w:val="0"/>
          <w:sz w:val="20"/>
          <w:szCs w:val="22"/>
        </w:rPr>
        <w:t>2</w:t>
      </w:r>
      <w:r w:rsidR="009C5B93">
        <w:rPr>
          <w:snapToGrid w:val="0"/>
          <w:sz w:val="20"/>
          <w:szCs w:val="22"/>
        </w:rPr>
        <w:t>2</w:t>
      </w:r>
      <w:r w:rsidRPr="00176BA0">
        <w:rPr>
          <w:snapToGrid w:val="0"/>
          <w:sz w:val="20"/>
          <w:szCs w:val="22"/>
        </w:rPr>
        <w:t xml:space="preserve"> en moneda extranjera, distinguiendo por moneda son las siguientes (los datos están en euros):</w:t>
      </w:r>
    </w:p>
    <w:tbl>
      <w:tblPr>
        <w:tblW w:w="5000" w:type="pct"/>
        <w:jc w:val="center"/>
        <w:tblCellMar>
          <w:left w:w="70" w:type="dxa"/>
          <w:right w:w="70" w:type="dxa"/>
        </w:tblCellMar>
        <w:tblLook w:val="04A0" w:firstRow="1" w:lastRow="0" w:firstColumn="1" w:lastColumn="0" w:noHBand="0" w:noVBand="1"/>
      </w:tblPr>
      <w:tblGrid>
        <w:gridCol w:w="4011"/>
        <w:gridCol w:w="2385"/>
        <w:gridCol w:w="2385"/>
      </w:tblGrid>
      <w:tr w:rsidR="00F92D2C" w:rsidRPr="00176BA0" w14:paraId="5710AEBE" w14:textId="77777777" w:rsidTr="00176BA0">
        <w:trPr>
          <w:trHeight w:val="283"/>
          <w:jc w:val="center"/>
        </w:trPr>
        <w:tc>
          <w:tcPr>
            <w:tcW w:w="2284" w:type="pct"/>
            <w:tcBorders>
              <w:top w:val="single" w:sz="4" w:space="0" w:color="auto"/>
              <w:left w:val="nil"/>
              <w:bottom w:val="nil"/>
              <w:right w:val="nil"/>
            </w:tcBorders>
            <w:shd w:val="clear" w:color="auto" w:fill="auto"/>
            <w:noWrap/>
            <w:vAlign w:val="bottom"/>
            <w:hideMark/>
          </w:tcPr>
          <w:p w14:paraId="69BE7FF8" w14:textId="77777777" w:rsidR="00F92D2C" w:rsidRPr="00176BA0" w:rsidRDefault="00F92D2C" w:rsidP="00176BA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bookmarkStart w:id="6" w:name="_Hlk128585966"/>
            <w:r w:rsidRPr="00176BA0">
              <w:rPr>
                <w:rFonts w:eastAsia="Times New Roman"/>
                <w:sz w:val="18"/>
                <w:szCs w:val="18"/>
                <w:bdr w:val="none" w:sz="0" w:space="0" w:color="auto"/>
                <w:lang w:eastAsia="es-ES"/>
              </w:rPr>
              <w:t> </w:t>
            </w:r>
          </w:p>
        </w:tc>
        <w:tc>
          <w:tcPr>
            <w:tcW w:w="2716" w:type="pct"/>
            <w:gridSpan w:val="2"/>
            <w:tcBorders>
              <w:top w:val="single" w:sz="4" w:space="0" w:color="auto"/>
              <w:left w:val="nil"/>
              <w:bottom w:val="single" w:sz="4" w:space="0" w:color="auto"/>
              <w:right w:val="nil"/>
            </w:tcBorders>
            <w:shd w:val="clear" w:color="auto" w:fill="auto"/>
            <w:noWrap/>
            <w:vAlign w:val="bottom"/>
            <w:hideMark/>
          </w:tcPr>
          <w:p w14:paraId="4C403A7D" w14:textId="77777777" w:rsidR="00F92D2C" w:rsidRPr="00176BA0" w:rsidRDefault="00F92D2C" w:rsidP="00E204E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FF478C" w:rsidRPr="00176BA0" w14:paraId="070BBADA" w14:textId="77777777" w:rsidTr="00176BA0">
        <w:trPr>
          <w:trHeight w:val="283"/>
          <w:jc w:val="center"/>
        </w:trPr>
        <w:tc>
          <w:tcPr>
            <w:tcW w:w="2284" w:type="pct"/>
            <w:tcBorders>
              <w:top w:val="nil"/>
              <w:left w:val="nil"/>
              <w:bottom w:val="single" w:sz="4" w:space="0" w:color="auto"/>
              <w:right w:val="nil"/>
            </w:tcBorders>
            <w:shd w:val="clear" w:color="auto" w:fill="auto"/>
            <w:noWrap/>
            <w:vAlign w:val="bottom"/>
            <w:hideMark/>
          </w:tcPr>
          <w:p w14:paraId="360C86FD" w14:textId="77777777" w:rsidR="00FF478C" w:rsidRPr="00176BA0" w:rsidRDefault="00FF478C" w:rsidP="00FF47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1358" w:type="pct"/>
            <w:tcBorders>
              <w:top w:val="nil"/>
              <w:left w:val="nil"/>
              <w:bottom w:val="single" w:sz="4" w:space="0" w:color="auto"/>
              <w:right w:val="nil"/>
            </w:tcBorders>
            <w:shd w:val="clear" w:color="auto" w:fill="auto"/>
            <w:noWrap/>
            <w:vAlign w:val="bottom"/>
            <w:hideMark/>
          </w:tcPr>
          <w:p w14:paraId="19A37B31" w14:textId="2F607EE2" w:rsidR="00FF478C" w:rsidRPr="00BC0EAA" w:rsidRDefault="00FF478C" w:rsidP="00FF47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BC0EAA">
              <w:rPr>
                <w:rFonts w:eastAsia="Times New Roman"/>
                <w:b/>
                <w:bCs/>
                <w:sz w:val="18"/>
                <w:szCs w:val="18"/>
                <w:bdr w:val="none" w:sz="0" w:space="0" w:color="auto"/>
                <w:lang w:eastAsia="es-ES"/>
              </w:rPr>
              <w:t>202</w:t>
            </w:r>
            <w:r w:rsidR="009C5B93">
              <w:rPr>
                <w:rFonts w:eastAsia="Times New Roman"/>
                <w:b/>
                <w:bCs/>
                <w:sz w:val="18"/>
                <w:szCs w:val="18"/>
                <w:bdr w:val="none" w:sz="0" w:space="0" w:color="auto"/>
                <w:lang w:eastAsia="es-ES"/>
              </w:rPr>
              <w:t>3</w:t>
            </w:r>
          </w:p>
        </w:tc>
        <w:tc>
          <w:tcPr>
            <w:tcW w:w="1358" w:type="pct"/>
            <w:tcBorders>
              <w:top w:val="nil"/>
              <w:left w:val="nil"/>
              <w:bottom w:val="single" w:sz="4" w:space="0" w:color="auto"/>
              <w:right w:val="nil"/>
            </w:tcBorders>
            <w:shd w:val="clear" w:color="auto" w:fill="auto"/>
            <w:noWrap/>
            <w:vAlign w:val="bottom"/>
            <w:hideMark/>
          </w:tcPr>
          <w:p w14:paraId="2FB9D421" w14:textId="27107AC8" w:rsidR="00FF478C" w:rsidRPr="00176BA0" w:rsidRDefault="00FF478C" w:rsidP="00FF47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202</w:t>
            </w:r>
            <w:r w:rsidR="009C5B93">
              <w:rPr>
                <w:rFonts w:eastAsia="Times New Roman"/>
                <w:b/>
                <w:bCs/>
                <w:sz w:val="18"/>
                <w:szCs w:val="18"/>
                <w:bdr w:val="none" w:sz="0" w:space="0" w:color="auto"/>
                <w:lang w:eastAsia="es-ES"/>
              </w:rPr>
              <w:t>2</w:t>
            </w:r>
          </w:p>
        </w:tc>
      </w:tr>
      <w:tr w:rsidR="009C5B93" w:rsidRPr="00176BA0" w14:paraId="262BB776" w14:textId="77777777" w:rsidTr="00176BA0">
        <w:trPr>
          <w:trHeight w:val="283"/>
          <w:jc w:val="center"/>
        </w:trPr>
        <w:tc>
          <w:tcPr>
            <w:tcW w:w="2284" w:type="pct"/>
            <w:tcBorders>
              <w:top w:val="nil"/>
              <w:left w:val="nil"/>
              <w:bottom w:val="nil"/>
              <w:right w:val="nil"/>
            </w:tcBorders>
            <w:shd w:val="clear" w:color="auto" w:fill="auto"/>
            <w:noWrap/>
            <w:vAlign w:val="center"/>
            <w:hideMark/>
          </w:tcPr>
          <w:p w14:paraId="680BEDE6" w14:textId="77777777"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REINO UNIDO</w:t>
            </w:r>
          </w:p>
        </w:tc>
        <w:tc>
          <w:tcPr>
            <w:tcW w:w="1358" w:type="pct"/>
            <w:tcBorders>
              <w:top w:val="nil"/>
              <w:left w:val="nil"/>
              <w:bottom w:val="nil"/>
              <w:right w:val="nil"/>
            </w:tcBorders>
            <w:shd w:val="clear" w:color="auto" w:fill="auto"/>
            <w:vAlign w:val="center"/>
          </w:tcPr>
          <w:p w14:paraId="2CB26CF1" w14:textId="56CE80EB" w:rsidR="009C5B93" w:rsidRPr="00BC0EAA" w:rsidRDefault="00501020"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462.462,70</w:t>
            </w:r>
          </w:p>
        </w:tc>
        <w:tc>
          <w:tcPr>
            <w:tcW w:w="1358" w:type="pct"/>
            <w:tcBorders>
              <w:top w:val="nil"/>
              <w:left w:val="nil"/>
              <w:bottom w:val="nil"/>
              <w:right w:val="nil"/>
            </w:tcBorders>
            <w:shd w:val="clear" w:color="auto" w:fill="auto"/>
            <w:vAlign w:val="center"/>
            <w:hideMark/>
          </w:tcPr>
          <w:p w14:paraId="540A31F7" w14:textId="0F04FC97"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C0EAA">
              <w:rPr>
                <w:sz w:val="18"/>
                <w:szCs w:val="18"/>
              </w:rPr>
              <w:t>436.125,21</w:t>
            </w:r>
          </w:p>
        </w:tc>
      </w:tr>
      <w:tr w:rsidR="009C5B93" w:rsidRPr="00176BA0" w14:paraId="68FEE260" w14:textId="77777777" w:rsidTr="00176BA0">
        <w:trPr>
          <w:trHeight w:val="283"/>
          <w:jc w:val="center"/>
        </w:trPr>
        <w:tc>
          <w:tcPr>
            <w:tcW w:w="2284" w:type="pct"/>
            <w:tcBorders>
              <w:top w:val="nil"/>
              <w:left w:val="nil"/>
              <w:bottom w:val="nil"/>
              <w:right w:val="nil"/>
            </w:tcBorders>
            <w:shd w:val="clear" w:color="auto" w:fill="auto"/>
            <w:noWrap/>
            <w:vAlign w:val="center"/>
            <w:hideMark/>
          </w:tcPr>
          <w:p w14:paraId="594373F7" w14:textId="77777777"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ESTADOS UNIDOS</w:t>
            </w:r>
          </w:p>
        </w:tc>
        <w:tc>
          <w:tcPr>
            <w:tcW w:w="1358" w:type="pct"/>
            <w:tcBorders>
              <w:top w:val="nil"/>
              <w:left w:val="nil"/>
              <w:bottom w:val="nil"/>
              <w:right w:val="nil"/>
            </w:tcBorders>
            <w:shd w:val="clear" w:color="auto" w:fill="auto"/>
            <w:vAlign w:val="center"/>
          </w:tcPr>
          <w:p w14:paraId="0BC4BB47" w14:textId="5B7744A7" w:rsidR="009C5B93" w:rsidRPr="00BC0EAA" w:rsidRDefault="00501020"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1.827,07</w:t>
            </w:r>
          </w:p>
        </w:tc>
        <w:tc>
          <w:tcPr>
            <w:tcW w:w="1358" w:type="pct"/>
            <w:tcBorders>
              <w:top w:val="nil"/>
              <w:left w:val="nil"/>
              <w:bottom w:val="nil"/>
              <w:right w:val="nil"/>
            </w:tcBorders>
            <w:shd w:val="clear" w:color="auto" w:fill="auto"/>
            <w:vAlign w:val="center"/>
            <w:hideMark/>
          </w:tcPr>
          <w:p w14:paraId="15513F87" w14:textId="350ECF83"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C0EAA">
              <w:rPr>
                <w:sz w:val="18"/>
                <w:szCs w:val="18"/>
              </w:rPr>
              <w:t>4.708,40</w:t>
            </w:r>
          </w:p>
        </w:tc>
      </w:tr>
      <w:tr w:rsidR="009C5B93" w:rsidRPr="00176BA0" w14:paraId="52F7D095" w14:textId="77777777" w:rsidTr="00176BA0">
        <w:trPr>
          <w:trHeight w:val="283"/>
          <w:jc w:val="center"/>
        </w:trPr>
        <w:tc>
          <w:tcPr>
            <w:tcW w:w="2284" w:type="pct"/>
            <w:tcBorders>
              <w:top w:val="nil"/>
              <w:left w:val="nil"/>
              <w:bottom w:val="nil"/>
              <w:right w:val="nil"/>
            </w:tcBorders>
            <w:shd w:val="clear" w:color="auto" w:fill="auto"/>
            <w:noWrap/>
            <w:vAlign w:val="center"/>
            <w:hideMark/>
          </w:tcPr>
          <w:p w14:paraId="02686716" w14:textId="5DCF7143"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Pr>
                <w:sz w:val="18"/>
                <w:szCs w:val="18"/>
              </w:rPr>
              <w:t>NORUEGA</w:t>
            </w:r>
          </w:p>
        </w:tc>
        <w:tc>
          <w:tcPr>
            <w:tcW w:w="1358" w:type="pct"/>
            <w:tcBorders>
              <w:top w:val="nil"/>
              <w:left w:val="nil"/>
              <w:bottom w:val="nil"/>
              <w:right w:val="nil"/>
            </w:tcBorders>
            <w:shd w:val="clear" w:color="auto" w:fill="auto"/>
            <w:vAlign w:val="center"/>
          </w:tcPr>
          <w:p w14:paraId="7A4770FC" w14:textId="038E9424" w:rsidR="009C5B93" w:rsidRPr="00BC0EAA" w:rsidRDefault="00501020"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w:t>
            </w:r>
          </w:p>
        </w:tc>
        <w:tc>
          <w:tcPr>
            <w:tcW w:w="1358" w:type="pct"/>
            <w:tcBorders>
              <w:top w:val="nil"/>
              <w:left w:val="nil"/>
              <w:bottom w:val="nil"/>
              <w:right w:val="nil"/>
            </w:tcBorders>
            <w:shd w:val="clear" w:color="auto" w:fill="auto"/>
            <w:vAlign w:val="center"/>
            <w:hideMark/>
          </w:tcPr>
          <w:p w14:paraId="21C66405" w14:textId="51D035EC"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C0EAA">
              <w:rPr>
                <w:sz w:val="18"/>
                <w:szCs w:val="18"/>
              </w:rPr>
              <w:t>38,19</w:t>
            </w:r>
          </w:p>
        </w:tc>
      </w:tr>
      <w:tr w:rsidR="009C5B93" w:rsidRPr="00176BA0" w14:paraId="36B43BEA" w14:textId="77777777" w:rsidTr="00176BA0">
        <w:trPr>
          <w:trHeight w:val="283"/>
          <w:jc w:val="center"/>
        </w:trPr>
        <w:tc>
          <w:tcPr>
            <w:tcW w:w="2284" w:type="pct"/>
            <w:tcBorders>
              <w:top w:val="nil"/>
              <w:left w:val="nil"/>
              <w:bottom w:val="nil"/>
              <w:right w:val="nil"/>
            </w:tcBorders>
            <w:shd w:val="clear" w:color="auto" w:fill="auto"/>
            <w:noWrap/>
            <w:vAlign w:val="center"/>
          </w:tcPr>
          <w:p w14:paraId="4BBD4FBA" w14:textId="700E2843"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Pr>
                <w:sz w:val="18"/>
                <w:szCs w:val="18"/>
              </w:rPr>
              <w:t>EG</w:t>
            </w:r>
            <w:r w:rsidR="00396EF8">
              <w:rPr>
                <w:sz w:val="18"/>
                <w:szCs w:val="18"/>
              </w:rPr>
              <w:t>I</w:t>
            </w:r>
            <w:r>
              <w:rPr>
                <w:sz w:val="18"/>
                <w:szCs w:val="18"/>
              </w:rPr>
              <w:t>PTO</w:t>
            </w:r>
          </w:p>
        </w:tc>
        <w:tc>
          <w:tcPr>
            <w:tcW w:w="1358" w:type="pct"/>
            <w:tcBorders>
              <w:top w:val="nil"/>
              <w:left w:val="nil"/>
              <w:bottom w:val="nil"/>
              <w:right w:val="nil"/>
            </w:tcBorders>
            <w:shd w:val="clear" w:color="auto" w:fill="auto"/>
            <w:vAlign w:val="center"/>
          </w:tcPr>
          <w:p w14:paraId="38A877A6" w14:textId="37977B3F" w:rsidR="00501020" w:rsidRPr="00501020" w:rsidRDefault="00501020" w:rsidP="00501020">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w:t>
            </w:r>
          </w:p>
        </w:tc>
        <w:tc>
          <w:tcPr>
            <w:tcW w:w="1358" w:type="pct"/>
            <w:tcBorders>
              <w:top w:val="nil"/>
              <w:left w:val="nil"/>
              <w:bottom w:val="nil"/>
              <w:right w:val="nil"/>
            </w:tcBorders>
            <w:shd w:val="clear" w:color="auto" w:fill="auto"/>
            <w:vAlign w:val="center"/>
          </w:tcPr>
          <w:p w14:paraId="3202F66B" w14:textId="25E0C93E"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C0EAA">
              <w:rPr>
                <w:sz w:val="18"/>
                <w:szCs w:val="18"/>
              </w:rPr>
              <w:t>19,14</w:t>
            </w:r>
          </w:p>
        </w:tc>
      </w:tr>
      <w:tr w:rsidR="009C5B93" w:rsidRPr="00176BA0" w14:paraId="33C66B55" w14:textId="77777777" w:rsidTr="00176BA0">
        <w:trPr>
          <w:trHeight w:val="283"/>
          <w:jc w:val="center"/>
        </w:trPr>
        <w:tc>
          <w:tcPr>
            <w:tcW w:w="2284" w:type="pct"/>
            <w:tcBorders>
              <w:top w:val="nil"/>
              <w:left w:val="nil"/>
              <w:bottom w:val="nil"/>
              <w:right w:val="nil"/>
            </w:tcBorders>
            <w:shd w:val="clear" w:color="auto" w:fill="auto"/>
            <w:noWrap/>
            <w:vAlign w:val="center"/>
          </w:tcPr>
          <w:p w14:paraId="291085AB" w14:textId="76219C87"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rFonts w:eastAsia="Times New Roman"/>
                <w:sz w:val="18"/>
                <w:szCs w:val="18"/>
                <w:bdr w:val="none" w:sz="0" w:space="0" w:color="auto"/>
                <w:lang w:eastAsia="es-ES"/>
              </w:rPr>
            </w:pPr>
            <w:r>
              <w:rPr>
                <w:sz w:val="18"/>
                <w:szCs w:val="18"/>
              </w:rPr>
              <w:t>SUECIA</w:t>
            </w:r>
          </w:p>
        </w:tc>
        <w:tc>
          <w:tcPr>
            <w:tcW w:w="1358" w:type="pct"/>
            <w:tcBorders>
              <w:top w:val="nil"/>
              <w:left w:val="nil"/>
              <w:bottom w:val="nil"/>
              <w:right w:val="nil"/>
            </w:tcBorders>
            <w:shd w:val="clear" w:color="auto" w:fill="auto"/>
            <w:vAlign w:val="center"/>
          </w:tcPr>
          <w:p w14:paraId="79E4CB7B" w14:textId="7ED1F306" w:rsidR="009C5B93" w:rsidRPr="00BC0EAA" w:rsidRDefault="00501020"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3.570,78</w:t>
            </w:r>
          </w:p>
        </w:tc>
        <w:tc>
          <w:tcPr>
            <w:tcW w:w="1358" w:type="pct"/>
            <w:tcBorders>
              <w:top w:val="nil"/>
              <w:left w:val="nil"/>
              <w:bottom w:val="nil"/>
              <w:right w:val="nil"/>
            </w:tcBorders>
            <w:shd w:val="clear" w:color="auto" w:fill="auto"/>
            <w:vAlign w:val="center"/>
          </w:tcPr>
          <w:p w14:paraId="595F3022" w14:textId="63D0ECEC"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BC0EAA">
              <w:rPr>
                <w:sz w:val="18"/>
                <w:szCs w:val="18"/>
              </w:rPr>
              <w:t>3.411,32</w:t>
            </w:r>
          </w:p>
        </w:tc>
      </w:tr>
      <w:tr w:rsidR="00501020" w:rsidRPr="00176BA0" w14:paraId="3F84BA86" w14:textId="77777777" w:rsidTr="00176BA0">
        <w:trPr>
          <w:trHeight w:val="283"/>
          <w:jc w:val="center"/>
        </w:trPr>
        <w:tc>
          <w:tcPr>
            <w:tcW w:w="2284" w:type="pct"/>
            <w:tcBorders>
              <w:top w:val="nil"/>
              <w:left w:val="nil"/>
              <w:bottom w:val="nil"/>
              <w:right w:val="nil"/>
            </w:tcBorders>
            <w:shd w:val="clear" w:color="auto" w:fill="auto"/>
            <w:noWrap/>
            <w:vAlign w:val="center"/>
          </w:tcPr>
          <w:p w14:paraId="6A70CF72" w14:textId="4BEF6DA8" w:rsidR="00501020" w:rsidRDefault="00501020"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outlineLvl w:val="9"/>
              <w:rPr>
                <w:sz w:val="18"/>
                <w:szCs w:val="18"/>
              </w:rPr>
            </w:pPr>
            <w:r>
              <w:rPr>
                <w:sz w:val="18"/>
                <w:szCs w:val="18"/>
              </w:rPr>
              <w:t>EMIRATOS ARABES</w:t>
            </w:r>
          </w:p>
        </w:tc>
        <w:tc>
          <w:tcPr>
            <w:tcW w:w="1358" w:type="pct"/>
            <w:tcBorders>
              <w:top w:val="nil"/>
              <w:left w:val="nil"/>
              <w:bottom w:val="nil"/>
              <w:right w:val="nil"/>
            </w:tcBorders>
            <w:shd w:val="clear" w:color="auto" w:fill="auto"/>
            <w:vAlign w:val="center"/>
          </w:tcPr>
          <w:p w14:paraId="04D32960" w14:textId="74D15D50" w:rsidR="00501020" w:rsidRDefault="00501020"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119,95</w:t>
            </w:r>
          </w:p>
        </w:tc>
        <w:tc>
          <w:tcPr>
            <w:tcW w:w="1358" w:type="pct"/>
            <w:tcBorders>
              <w:top w:val="nil"/>
              <w:left w:val="nil"/>
              <w:bottom w:val="nil"/>
              <w:right w:val="nil"/>
            </w:tcBorders>
            <w:shd w:val="clear" w:color="auto" w:fill="auto"/>
            <w:vAlign w:val="center"/>
          </w:tcPr>
          <w:p w14:paraId="33E6FD00" w14:textId="1EF5B1BD" w:rsidR="00501020" w:rsidRPr="00BC0EAA" w:rsidRDefault="00501020"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w:t>
            </w:r>
          </w:p>
        </w:tc>
      </w:tr>
      <w:tr w:rsidR="009C5B93" w:rsidRPr="00176BA0" w14:paraId="5A9581AF" w14:textId="77777777" w:rsidTr="00176BA0">
        <w:trPr>
          <w:trHeight w:val="283"/>
          <w:jc w:val="center"/>
        </w:trPr>
        <w:tc>
          <w:tcPr>
            <w:tcW w:w="2284" w:type="pct"/>
            <w:tcBorders>
              <w:top w:val="single" w:sz="4" w:space="0" w:color="auto"/>
              <w:left w:val="nil"/>
              <w:bottom w:val="single" w:sz="4" w:space="0" w:color="auto"/>
              <w:right w:val="nil"/>
            </w:tcBorders>
            <w:shd w:val="clear" w:color="auto" w:fill="auto"/>
            <w:noWrap/>
            <w:vAlign w:val="center"/>
            <w:hideMark/>
          </w:tcPr>
          <w:p w14:paraId="0809C9E3" w14:textId="77777777"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359"/>
              <w:jc w:val="both"/>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Total</w:t>
            </w:r>
          </w:p>
        </w:tc>
        <w:tc>
          <w:tcPr>
            <w:tcW w:w="1358" w:type="pct"/>
            <w:tcBorders>
              <w:top w:val="single" w:sz="4" w:space="0" w:color="auto"/>
              <w:left w:val="nil"/>
              <w:bottom w:val="single" w:sz="4" w:space="0" w:color="auto"/>
              <w:right w:val="nil"/>
            </w:tcBorders>
            <w:shd w:val="clear" w:color="auto" w:fill="auto"/>
            <w:vAlign w:val="center"/>
          </w:tcPr>
          <w:p w14:paraId="7A92B033" w14:textId="31FC23DB" w:rsidR="009C5B93" w:rsidRPr="00BC0EAA" w:rsidRDefault="00501020" w:rsidP="009C5B9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467.980,50</w:t>
            </w:r>
          </w:p>
        </w:tc>
        <w:tc>
          <w:tcPr>
            <w:tcW w:w="1358" w:type="pct"/>
            <w:tcBorders>
              <w:top w:val="single" w:sz="4" w:space="0" w:color="auto"/>
              <w:left w:val="nil"/>
              <w:bottom w:val="single" w:sz="4" w:space="0" w:color="auto"/>
              <w:right w:val="nil"/>
            </w:tcBorders>
            <w:shd w:val="clear" w:color="auto" w:fill="auto"/>
            <w:vAlign w:val="center"/>
            <w:hideMark/>
          </w:tcPr>
          <w:p w14:paraId="687E9135" w14:textId="57270847" w:rsidR="009C5B93" w:rsidRPr="00176BA0" w:rsidRDefault="009C5B93" w:rsidP="009C5B9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444.302,26</w:t>
            </w:r>
          </w:p>
        </w:tc>
      </w:tr>
      <w:bookmarkEnd w:id="6"/>
    </w:tbl>
    <w:p w14:paraId="349CF1D7" w14:textId="2AACF3C9" w:rsidR="006220A2" w:rsidRDefault="006220A2" w:rsidP="008E57E1">
      <w:pPr>
        <w:keepNext/>
        <w:keepLines/>
        <w:widowControl w:val="0"/>
        <w:jc w:val="both"/>
        <w:rPr>
          <w:snapToGrid w:val="0"/>
          <w:sz w:val="22"/>
          <w:szCs w:val="22"/>
        </w:rPr>
      </w:pPr>
    </w:p>
    <w:p w14:paraId="48113452" w14:textId="77777777" w:rsidR="00D67C6B" w:rsidRDefault="00D67C6B" w:rsidP="008E57E1">
      <w:pPr>
        <w:keepNext/>
        <w:keepLines/>
        <w:widowControl w:val="0"/>
        <w:jc w:val="both"/>
        <w:rPr>
          <w:snapToGrid w:val="0"/>
          <w:sz w:val="22"/>
          <w:szCs w:val="22"/>
        </w:rPr>
      </w:pPr>
    </w:p>
    <w:p w14:paraId="22DB6E06" w14:textId="76AC584A" w:rsidR="003E75F6" w:rsidRPr="008343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DE1DD6">
        <w:rPr>
          <w:b/>
          <w:snapToGrid w:val="0"/>
          <w:sz w:val="22"/>
          <w:szCs w:val="22"/>
        </w:rPr>
        <w:t xml:space="preserve"> Administraciones Públicas</w:t>
      </w:r>
    </w:p>
    <w:p w14:paraId="5718B186" w14:textId="77777777" w:rsidR="006220A2" w:rsidRPr="0083433F" w:rsidRDefault="006220A2" w:rsidP="006220A2">
      <w:pPr>
        <w:keepNext/>
        <w:keepLines/>
        <w:widowControl w:val="0"/>
        <w:spacing w:before="200"/>
        <w:rPr>
          <w:b/>
          <w:sz w:val="20"/>
          <w:szCs w:val="22"/>
        </w:rPr>
      </w:pPr>
      <w:r w:rsidRPr="0083433F">
        <w:rPr>
          <w:b/>
          <w:sz w:val="20"/>
          <w:szCs w:val="22"/>
        </w:rPr>
        <w:t>11.1. Saldos con Administraciones Públicas</w:t>
      </w:r>
    </w:p>
    <w:p w14:paraId="695F373F" w14:textId="1E7A1CAC" w:rsidR="006220A2" w:rsidRDefault="006220A2" w:rsidP="00D67C6B">
      <w:pPr>
        <w:widowControl w:val="0"/>
        <w:spacing w:before="120" w:after="120" w:line="260" w:lineRule="exact"/>
        <w:jc w:val="both"/>
        <w:outlineLvl w:val="9"/>
        <w:rPr>
          <w:snapToGrid w:val="0"/>
          <w:sz w:val="20"/>
          <w:szCs w:val="22"/>
        </w:rPr>
      </w:pPr>
      <w:r w:rsidRPr="0083433F">
        <w:rPr>
          <w:snapToGrid w:val="0"/>
          <w:sz w:val="20"/>
          <w:szCs w:val="22"/>
        </w:rPr>
        <w:t xml:space="preserve">Los saldos </w:t>
      </w:r>
      <w:r w:rsidR="001476DB">
        <w:rPr>
          <w:snapToGrid w:val="0"/>
          <w:sz w:val="20"/>
          <w:szCs w:val="22"/>
        </w:rPr>
        <w:t xml:space="preserve">a corto plazo </w:t>
      </w:r>
      <w:r w:rsidRPr="0083433F">
        <w:rPr>
          <w:snapToGrid w:val="0"/>
          <w:sz w:val="20"/>
          <w:szCs w:val="22"/>
        </w:rPr>
        <w:t>con la Administración Pública al 31 de diciembre de 20</w:t>
      </w:r>
      <w:r w:rsidR="00B6701C">
        <w:rPr>
          <w:snapToGrid w:val="0"/>
          <w:sz w:val="20"/>
          <w:szCs w:val="22"/>
        </w:rPr>
        <w:t>2</w:t>
      </w:r>
      <w:r w:rsidR="00781AB7">
        <w:rPr>
          <w:snapToGrid w:val="0"/>
          <w:sz w:val="20"/>
          <w:szCs w:val="22"/>
        </w:rPr>
        <w:t>3</w:t>
      </w:r>
      <w:r w:rsidR="00C67F6F" w:rsidRPr="0083433F">
        <w:rPr>
          <w:snapToGrid w:val="0"/>
          <w:sz w:val="20"/>
          <w:szCs w:val="22"/>
        </w:rPr>
        <w:t xml:space="preserve"> y 20</w:t>
      </w:r>
      <w:r w:rsidR="001F49F8">
        <w:rPr>
          <w:snapToGrid w:val="0"/>
          <w:sz w:val="20"/>
          <w:szCs w:val="22"/>
        </w:rPr>
        <w:t>2</w:t>
      </w:r>
      <w:r w:rsidR="00781AB7">
        <w:rPr>
          <w:snapToGrid w:val="0"/>
          <w:sz w:val="20"/>
          <w:szCs w:val="22"/>
        </w:rPr>
        <w:t>2</w:t>
      </w:r>
      <w:r w:rsidRPr="0083433F">
        <w:rPr>
          <w:snapToGrid w:val="0"/>
          <w:sz w:val="20"/>
          <w:szCs w:val="22"/>
        </w:rPr>
        <w:t>, se distribuyen de la siguiente manera:</w:t>
      </w:r>
    </w:p>
    <w:tbl>
      <w:tblPr>
        <w:tblW w:w="5000" w:type="pct"/>
        <w:tblCellMar>
          <w:left w:w="70" w:type="dxa"/>
          <w:right w:w="70" w:type="dxa"/>
        </w:tblCellMar>
        <w:tblLook w:val="04A0" w:firstRow="1" w:lastRow="0" w:firstColumn="1" w:lastColumn="0" w:noHBand="0" w:noVBand="1"/>
      </w:tblPr>
      <w:tblGrid>
        <w:gridCol w:w="3575"/>
        <w:gridCol w:w="1293"/>
        <w:gridCol w:w="1310"/>
        <w:gridCol w:w="1293"/>
        <w:gridCol w:w="1310"/>
      </w:tblGrid>
      <w:tr w:rsidR="008459B8" w:rsidRPr="00176BA0" w14:paraId="5A2A71A4" w14:textId="77777777" w:rsidTr="009C498D">
        <w:trPr>
          <w:trHeight w:val="227"/>
        </w:trPr>
        <w:tc>
          <w:tcPr>
            <w:tcW w:w="2036" w:type="pct"/>
            <w:tcBorders>
              <w:top w:val="single" w:sz="4" w:space="0" w:color="auto"/>
              <w:left w:val="nil"/>
              <w:bottom w:val="nil"/>
              <w:right w:val="nil"/>
            </w:tcBorders>
            <w:shd w:val="clear" w:color="auto" w:fill="auto"/>
            <w:vAlign w:val="bottom"/>
            <w:hideMark/>
          </w:tcPr>
          <w:p w14:paraId="04D7565D"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
        </w:tc>
        <w:tc>
          <w:tcPr>
            <w:tcW w:w="2964" w:type="pct"/>
            <w:gridSpan w:val="4"/>
            <w:tcBorders>
              <w:top w:val="single" w:sz="4" w:space="0" w:color="auto"/>
              <w:left w:val="nil"/>
              <w:bottom w:val="single" w:sz="4" w:space="0" w:color="auto"/>
              <w:right w:val="nil"/>
            </w:tcBorders>
            <w:shd w:val="clear" w:color="auto" w:fill="auto"/>
            <w:vAlign w:val="bottom"/>
            <w:hideMark/>
          </w:tcPr>
          <w:p w14:paraId="5418E588"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8459B8" w:rsidRPr="00176BA0" w14:paraId="3B2099B3" w14:textId="77777777" w:rsidTr="009C498D">
        <w:trPr>
          <w:trHeight w:val="227"/>
        </w:trPr>
        <w:tc>
          <w:tcPr>
            <w:tcW w:w="2036" w:type="pct"/>
            <w:tcBorders>
              <w:top w:val="nil"/>
              <w:left w:val="nil"/>
              <w:bottom w:val="nil"/>
              <w:right w:val="nil"/>
            </w:tcBorders>
            <w:shd w:val="clear" w:color="auto" w:fill="auto"/>
            <w:vAlign w:val="bottom"/>
            <w:hideMark/>
          </w:tcPr>
          <w:p w14:paraId="29567540"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
        </w:tc>
        <w:tc>
          <w:tcPr>
            <w:tcW w:w="1482" w:type="pct"/>
            <w:gridSpan w:val="2"/>
            <w:tcBorders>
              <w:top w:val="nil"/>
              <w:left w:val="nil"/>
              <w:bottom w:val="single" w:sz="4" w:space="0" w:color="auto"/>
              <w:right w:val="nil"/>
            </w:tcBorders>
            <w:shd w:val="clear" w:color="auto" w:fill="auto"/>
            <w:vAlign w:val="bottom"/>
            <w:hideMark/>
          </w:tcPr>
          <w:p w14:paraId="74DCD577" w14:textId="2B67C998"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w:t>
            </w:r>
            <w:r w:rsidR="00781AB7">
              <w:rPr>
                <w:rFonts w:eastAsia="Times New Roman"/>
                <w:b/>
                <w:bCs/>
                <w:sz w:val="18"/>
                <w:szCs w:val="18"/>
                <w:bdr w:val="none" w:sz="0" w:space="0" w:color="auto"/>
                <w:lang w:eastAsia="es-ES"/>
              </w:rPr>
              <w:t>3</w:t>
            </w:r>
          </w:p>
        </w:tc>
        <w:tc>
          <w:tcPr>
            <w:tcW w:w="1482" w:type="pct"/>
            <w:gridSpan w:val="2"/>
            <w:tcBorders>
              <w:top w:val="nil"/>
              <w:left w:val="nil"/>
              <w:bottom w:val="single" w:sz="4" w:space="0" w:color="auto"/>
              <w:right w:val="nil"/>
            </w:tcBorders>
            <w:shd w:val="clear" w:color="auto" w:fill="auto"/>
            <w:vAlign w:val="bottom"/>
            <w:hideMark/>
          </w:tcPr>
          <w:p w14:paraId="56F61F6E" w14:textId="6A6C8EC4"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w:t>
            </w:r>
            <w:r w:rsidR="001F49F8" w:rsidRPr="00176BA0">
              <w:rPr>
                <w:rFonts w:eastAsia="Times New Roman"/>
                <w:b/>
                <w:bCs/>
                <w:sz w:val="18"/>
                <w:szCs w:val="18"/>
                <w:bdr w:val="none" w:sz="0" w:space="0" w:color="auto"/>
                <w:lang w:eastAsia="es-ES"/>
              </w:rPr>
              <w:t>2</w:t>
            </w:r>
            <w:r w:rsidR="00781AB7">
              <w:rPr>
                <w:rFonts w:eastAsia="Times New Roman"/>
                <w:b/>
                <w:bCs/>
                <w:sz w:val="18"/>
                <w:szCs w:val="18"/>
                <w:bdr w:val="none" w:sz="0" w:space="0" w:color="auto"/>
                <w:lang w:eastAsia="es-ES"/>
              </w:rPr>
              <w:t>2</w:t>
            </w:r>
          </w:p>
        </w:tc>
      </w:tr>
      <w:tr w:rsidR="00856EA0" w:rsidRPr="00176BA0" w14:paraId="76A81278" w14:textId="77777777" w:rsidTr="009C498D">
        <w:trPr>
          <w:trHeight w:val="227"/>
        </w:trPr>
        <w:tc>
          <w:tcPr>
            <w:tcW w:w="2036" w:type="pct"/>
            <w:tcBorders>
              <w:top w:val="nil"/>
              <w:left w:val="nil"/>
              <w:bottom w:val="single" w:sz="4" w:space="0" w:color="auto"/>
              <w:right w:val="nil"/>
            </w:tcBorders>
            <w:shd w:val="clear" w:color="auto" w:fill="auto"/>
            <w:vAlign w:val="bottom"/>
            <w:hideMark/>
          </w:tcPr>
          <w:p w14:paraId="6CB54097"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736" w:type="pct"/>
            <w:tcBorders>
              <w:top w:val="nil"/>
              <w:left w:val="nil"/>
              <w:bottom w:val="single" w:sz="4" w:space="0" w:color="auto"/>
              <w:right w:val="nil"/>
            </w:tcBorders>
            <w:shd w:val="clear" w:color="auto" w:fill="auto"/>
            <w:vAlign w:val="bottom"/>
            <w:hideMark/>
          </w:tcPr>
          <w:p w14:paraId="007BD586"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Deudor</w:t>
            </w:r>
          </w:p>
        </w:tc>
        <w:tc>
          <w:tcPr>
            <w:tcW w:w="746" w:type="pct"/>
            <w:tcBorders>
              <w:top w:val="nil"/>
              <w:left w:val="nil"/>
              <w:bottom w:val="single" w:sz="4" w:space="0" w:color="auto"/>
              <w:right w:val="nil"/>
            </w:tcBorders>
            <w:shd w:val="clear" w:color="auto" w:fill="auto"/>
            <w:vAlign w:val="bottom"/>
            <w:hideMark/>
          </w:tcPr>
          <w:p w14:paraId="29BB221D"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Acreedor</w:t>
            </w:r>
          </w:p>
        </w:tc>
        <w:tc>
          <w:tcPr>
            <w:tcW w:w="736" w:type="pct"/>
            <w:tcBorders>
              <w:top w:val="nil"/>
              <w:left w:val="nil"/>
              <w:bottom w:val="single" w:sz="4" w:space="0" w:color="auto"/>
              <w:right w:val="nil"/>
            </w:tcBorders>
            <w:shd w:val="clear" w:color="auto" w:fill="auto"/>
            <w:vAlign w:val="bottom"/>
            <w:hideMark/>
          </w:tcPr>
          <w:p w14:paraId="0B18815D"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Deudor</w:t>
            </w:r>
          </w:p>
        </w:tc>
        <w:tc>
          <w:tcPr>
            <w:tcW w:w="746" w:type="pct"/>
            <w:tcBorders>
              <w:top w:val="nil"/>
              <w:left w:val="nil"/>
              <w:bottom w:val="single" w:sz="4" w:space="0" w:color="auto"/>
              <w:right w:val="nil"/>
            </w:tcBorders>
            <w:shd w:val="clear" w:color="auto" w:fill="auto"/>
            <w:vAlign w:val="bottom"/>
            <w:hideMark/>
          </w:tcPr>
          <w:p w14:paraId="46278F0F"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Acreedor</w:t>
            </w:r>
          </w:p>
        </w:tc>
      </w:tr>
      <w:tr w:rsidR="00856EA0" w:rsidRPr="00176BA0" w14:paraId="39E8D580" w14:textId="77777777" w:rsidTr="009C498D">
        <w:trPr>
          <w:trHeight w:val="283"/>
        </w:trPr>
        <w:tc>
          <w:tcPr>
            <w:tcW w:w="2036" w:type="pct"/>
            <w:tcBorders>
              <w:top w:val="nil"/>
              <w:left w:val="nil"/>
              <w:bottom w:val="nil"/>
              <w:right w:val="nil"/>
            </w:tcBorders>
            <w:shd w:val="clear" w:color="auto" w:fill="auto"/>
            <w:vAlign w:val="center"/>
            <w:hideMark/>
          </w:tcPr>
          <w:p w14:paraId="28D969D9"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Administraciones Públicas</w:t>
            </w:r>
          </w:p>
        </w:tc>
        <w:tc>
          <w:tcPr>
            <w:tcW w:w="736" w:type="pct"/>
            <w:tcBorders>
              <w:top w:val="nil"/>
              <w:left w:val="nil"/>
              <w:bottom w:val="nil"/>
              <w:right w:val="nil"/>
            </w:tcBorders>
            <w:shd w:val="clear" w:color="auto" w:fill="auto"/>
            <w:vAlign w:val="center"/>
            <w:hideMark/>
          </w:tcPr>
          <w:p w14:paraId="37BE852C"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p>
        </w:tc>
        <w:tc>
          <w:tcPr>
            <w:tcW w:w="746" w:type="pct"/>
            <w:tcBorders>
              <w:top w:val="nil"/>
              <w:left w:val="nil"/>
              <w:bottom w:val="nil"/>
              <w:right w:val="nil"/>
            </w:tcBorders>
            <w:shd w:val="clear" w:color="auto" w:fill="auto"/>
            <w:vAlign w:val="center"/>
            <w:hideMark/>
          </w:tcPr>
          <w:p w14:paraId="2307AC92"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736" w:type="pct"/>
            <w:tcBorders>
              <w:top w:val="nil"/>
              <w:left w:val="nil"/>
              <w:bottom w:val="nil"/>
              <w:right w:val="nil"/>
            </w:tcBorders>
            <w:shd w:val="clear" w:color="auto" w:fill="auto"/>
            <w:vAlign w:val="center"/>
            <w:hideMark/>
          </w:tcPr>
          <w:p w14:paraId="787430BB"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c>
          <w:tcPr>
            <w:tcW w:w="746" w:type="pct"/>
            <w:tcBorders>
              <w:top w:val="nil"/>
              <w:left w:val="nil"/>
              <w:bottom w:val="nil"/>
              <w:right w:val="nil"/>
            </w:tcBorders>
            <w:shd w:val="clear" w:color="auto" w:fill="auto"/>
            <w:vAlign w:val="center"/>
            <w:hideMark/>
          </w:tcPr>
          <w:p w14:paraId="1C7E7204" w14:textId="77777777" w:rsidR="008459B8" w:rsidRPr="00176BA0" w:rsidRDefault="008459B8" w:rsidP="008459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p>
        </w:tc>
      </w:tr>
      <w:tr w:rsidR="00D84E7D" w:rsidRPr="00176BA0" w14:paraId="42E96461" w14:textId="77777777" w:rsidTr="009C498D">
        <w:trPr>
          <w:trHeight w:val="283"/>
        </w:trPr>
        <w:tc>
          <w:tcPr>
            <w:tcW w:w="2036" w:type="pct"/>
            <w:tcBorders>
              <w:top w:val="nil"/>
              <w:left w:val="nil"/>
              <w:bottom w:val="nil"/>
              <w:right w:val="nil"/>
            </w:tcBorders>
            <w:shd w:val="clear" w:color="auto" w:fill="auto"/>
            <w:vAlign w:val="center"/>
            <w:hideMark/>
          </w:tcPr>
          <w:p w14:paraId="3453655E" w14:textId="77777777" w:rsidR="00D84E7D" w:rsidRPr="00176BA0" w:rsidRDefault="00D84E7D" w:rsidP="00D84E7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H.P. deudora por diversos conceptos</w:t>
            </w:r>
          </w:p>
        </w:tc>
        <w:tc>
          <w:tcPr>
            <w:tcW w:w="736" w:type="pct"/>
            <w:tcBorders>
              <w:top w:val="nil"/>
              <w:left w:val="nil"/>
              <w:bottom w:val="nil"/>
              <w:right w:val="nil"/>
            </w:tcBorders>
            <w:shd w:val="clear" w:color="auto" w:fill="auto"/>
            <w:vAlign w:val="center"/>
          </w:tcPr>
          <w:p w14:paraId="7E64A721" w14:textId="17EF3E6C" w:rsidR="00D84E7D" w:rsidRPr="00176BA0" w:rsidRDefault="00781AB7" w:rsidP="00D84E7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36.945.519,55</w:t>
            </w:r>
          </w:p>
        </w:tc>
        <w:tc>
          <w:tcPr>
            <w:tcW w:w="746" w:type="pct"/>
            <w:tcBorders>
              <w:top w:val="nil"/>
              <w:left w:val="nil"/>
              <w:bottom w:val="nil"/>
              <w:right w:val="nil"/>
            </w:tcBorders>
            <w:shd w:val="clear" w:color="auto" w:fill="auto"/>
            <w:vAlign w:val="center"/>
          </w:tcPr>
          <w:p w14:paraId="766C90F9" w14:textId="3A28A89A" w:rsidR="00D84E7D" w:rsidRPr="00176BA0" w:rsidRDefault="00D84E7D" w:rsidP="00D84E7D">
            <w:pPr>
              <w:jc w:val="right"/>
              <w:rPr>
                <w:sz w:val="18"/>
                <w:szCs w:val="18"/>
              </w:rPr>
            </w:pPr>
            <w:r>
              <w:rPr>
                <w:sz w:val="18"/>
                <w:szCs w:val="18"/>
              </w:rPr>
              <w:t xml:space="preserve">-     </w:t>
            </w:r>
          </w:p>
        </w:tc>
        <w:tc>
          <w:tcPr>
            <w:tcW w:w="736" w:type="pct"/>
            <w:tcBorders>
              <w:top w:val="nil"/>
              <w:left w:val="nil"/>
              <w:bottom w:val="nil"/>
              <w:right w:val="nil"/>
            </w:tcBorders>
            <w:shd w:val="clear" w:color="auto" w:fill="auto"/>
            <w:vAlign w:val="center"/>
            <w:hideMark/>
          </w:tcPr>
          <w:p w14:paraId="3E02A78E" w14:textId="37A5645E" w:rsidR="00D84E7D" w:rsidRPr="00176BA0" w:rsidRDefault="00781AB7" w:rsidP="00D84E7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12.636.593,12</w:t>
            </w:r>
          </w:p>
        </w:tc>
        <w:tc>
          <w:tcPr>
            <w:tcW w:w="746" w:type="pct"/>
            <w:tcBorders>
              <w:top w:val="nil"/>
              <w:left w:val="nil"/>
              <w:bottom w:val="nil"/>
              <w:right w:val="nil"/>
            </w:tcBorders>
            <w:shd w:val="clear" w:color="auto" w:fill="auto"/>
            <w:vAlign w:val="center"/>
            <w:hideMark/>
          </w:tcPr>
          <w:p w14:paraId="06E2B93F" w14:textId="2A5FD83C" w:rsidR="00D84E7D" w:rsidRPr="00176BA0" w:rsidRDefault="00D84E7D" w:rsidP="00D84E7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r>
      <w:tr w:rsidR="00D84E7D" w:rsidRPr="00176BA0" w14:paraId="458829CB" w14:textId="77777777" w:rsidTr="009C498D">
        <w:trPr>
          <w:trHeight w:val="283"/>
        </w:trPr>
        <w:tc>
          <w:tcPr>
            <w:tcW w:w="2036" w:type="pct"/>
            <w:tcBorders>
              <w:top w:val="nil"/>
              <w:left w:val="nil"/>
              <w:bottom w:val="nil"/>
              <w:right w:val="nil"/>
            </w:tcBorders>
            <w:shd w:val="clear" w:color="auto" w:fill="auto"/>
            <w:vAlign w:val="center"/>
          </w:tcPr>
          <w:p w14:paraId="786CCBA9" w14:textId="5B052C87" w:rsidR="00D84E7D" w:rsidRPr="009C498D" w:rsidRDefault="00D84E7D" w:rsidP="00D84E7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9C498D">
              <w:rPr>
                <w:rFonts w:eastAsia="Times New Roman"/>
                <w:sz w:val="18"/>
                <w:szCs w:val="18"/>
                <w:bdr w:val="none" w:sz="0" w:space="0" w:color="auto"/>
                <w:lang w:eastAsia="es-ES"/>
              </w:rPr>
              <w:t>H.P. por subvenciones a reintegrar</w:t>
            </w:r>
          </w:p>
        </w:tc>
        <w:tc>
          <w:tcPr>
            <w:tcW w:w="736" w:type="pct"/>
            <w:tcBorders>
              <w:top w:val="nil"/>
              <w:left w:val="nil"/>
              <w:bottom w:val="nil"/>
              <w:right w:val="nil"/>
            </w:tcBorders>
            <w:shd w:val="clear" w:color="auto" w:fill="auto"/>
            <w:vAlign w:val="center"/>
          </w:tcPr>
          <w:p w14:paraId="00CE1A18" w14:textId="326611F1" w:rsidR="00D84E7D" w:rsidRPr="00176BA0" w:rsidRDefault="00D84E7D" w:rsidP="00D84E7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     </w:t>
            </w:r>
          </w:p>
        </w:tc>
        <w:tc>
          <w:tcPr>
            <w:tcW w:w="746" w:type="pct"/>
            <w:tcBorders>
              <w:top w:val="nil"/>
              <w:left w:val="nil"/>
              <w:bottom w:val="nil"/>
              <w:right w:val="nil"/>
            </w:tcBorders>
            <w:shd w:val="clear" w:color="auto" w:fill="auto"/>
            <w:vAlign w:val="center"/>
          </w:tcPr>
          <w:p w14:paraId="7DCBBC65" w14:textId="0BC01DAD" w:rsidR="00D84E7D" w:rsidRPr="00176BA0" w:rsidRDefault="00781AB7" w:rsidP="00D84E7D">
            <w:pPr>
              <w:jc w:val="right"/>
              <w:rPr>
                <w:sz w:val="18"/>
                <w:szCs w:val="18"/>
              </w:rPr>
            </w:pPr>
            <w:r>
              <w:rPr>
                <w:sz w:val="18"/>
                <w:szCs w:val="18"/>
              </w:rPr>
              <w:t>3.542.531,75</w:t>
            </w:r>
          </w:p>
        </w:tc>
        <w:tc>
          <w:tcPr>
            <w:tcW w:w="736" w:type="pct"/>
            <w:tcBorders>
              <w:top w:val="nil"/>
              <w:left w:val="nil"/>
              <w:bottom w:val="nil"/>
              <w:right w:val="nil"/>
            </w:tcBorders>
            <w:shd w:val="clear" w:color="auto" w:fill="auto"/>
            <w:vAlign w:val="center"/>
          </w:tcPr>
          <w:p w14:paraId="0C0758F2" w14:textId="77777777" w:rsidR="00D84E7D" w:rsidRPr="00176BA0" w:rsidRDefault="00D84E7D" w:rsidP="00D84E7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p>
        </w:tc>
        <w:tc>
          <w:tcPr>
            <w:tcW w:w="746" w:type="pct"/>
            <w:tcBorders>
              <w:top w:val="nil"/>
              <w:left w:val="nil"/>
              <w:bottom w:val="nil"/>
              <w:right w:val="nil"/>
            </w:tcBorders>
            <w:shd w:val="clear" w:color="auto" w:fill="auto"/>
            <w:vAlign w:val="center"/>
          </w:tcPr>
          <w:p w14:paraId="10EBEA4C" w14:textId="4363AD49" w:rsidR="00D84E7D" w:rsidRPr="00176BA0" w:rsidRDefault="00781AB7" w:rsidP="00D84E7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3.240.340,87</w:t>
            </w:r>
          </w:p>
        </w:tc>
      </w:tr>
      <w:tr w:rsidR="00FF478C" w:rsidRPr="00176BA0" w14:paraId="71BA12EC" w14:textId="77777777" w:rsidTr="009C498D">
        <w:trPr>
          <w:trHeight w:val="283"/>
        </w:trPr>
        <w:tc>
          <w:tcPr>
            <w:tcW w:w="2036" w:type="pct"/>
            <w:tcBorders>
              <w:top w:val="nil"/>
              <w:left w:val="nil"/>
              <w:bottom w:val="nil"/>
              <w:right w:val="nil"/>
            </w:tcBorders>
            <w:shd w:val="clear" w:color="auto" w:fill="auto"/>
            <w:vAlign w:val="center"/>
            <w:hideMark/>
          </w:tcPr>
          <w:p w14:paraId="0EBCA373" w14:textId="269BE905" w:rsidR="00FF478C" w:rsidRPr="009C498D" w:rsidRDefault="009C498D" w:rsidP="00FF47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8"/>
                <w:szCs w:val="18"/>
                <w:bdr w:val="none" w:sz="0" w:space="0" w:color="auto"/>
                <w:lang w:eastAsia="es-ES"/>
              </w:rPr>
            </w:pPr>
            <w:r w:rsidRPr="009C498D">
              <w:rPr>
                <w:sz w:val="18"/>
                <w:szCs w:val="18"/>
              </w:rPr>
              <w:t>HP, deudora por devolución de impuestos</w:t>
            </w:r>
          </w:p>
        </w:tc>
        <w:tc>
          <w:tcPr>
            <w:tcW w:w="736" w:type="pct"/>
            <w:tcBorders>
              <w:top w:val="nil"/>
              <w:left w:val="nil"/>
              <w:bottom w:val="nil"/>
              <w:right w:val="nil"/>
            </w:tcBorders>
            <w:shd w:val="clear" w:color="auto" w:fill="auto"/>
            <w:vAlign w:val="center"/>
          </w:tcPr>
          <w:p w14:paraId="75D72DD1" w14:textId="2965729C" w:rsidR="00FF478C" w:rsidRPr="00176BA0" w:rsidRDefault="00781AB7" w:rsidP="00B60403">
            <w:pPr>
              <w:jc w:val="right"/>
              <w:rPr>
                <w:sz w:val="18"/>
                <w:szCs w:val="18"/>
              </w:rPr>
            </w:pPr>
            <w:r>
              <w:rPr>
                <w:sz w:val="18"/>
                <w:szCs w:val="18"/>
              </w:rPr>
              <w:t>3.623,07</w:t>
            </w:r>
          </w:p>
        </w:tc>
        <w:tc>
          <w:tcPr>
            <w:tcW w:w="746" w:type="pct"/>
            <w:tcBorders>
              <w:top w:val="nil"/>
              <w:left w:val="nil"/>
              <w:bottom w:val="nil"/>
              <w:right w:val="nil"/>
            </w:tcBorders>
            <w:shd w:val="clear" w:color="auto" w:fill="auto"/>
            <w:vAlign w:val="center"/>
          </w:tcPr>
          <w:p w14:paraId="5B05B039" w14:textId="457CE0E8" w:rsidR="00FF478C" w:rsidRPr="00176BA0" w:rsidRDefault="00FF478C" w:rsidP="00B60403">
            <w:pPr>
              <w:jc w:val="right"/>
              <w:rPr>
                <w:sz w:val="18"/>
                <w:szCs w:val="18"/>
              </w:rPr>
            </w:pPr>
            <w:r w:rsidRPr="00176BA0">
              <w:rPr>
                <w:sz w:val="18"/>
                <w:szCs w:val="18"/>
              </w:rPr>
              <w:t>-</w:t>
            </w:r>
          </w:p>
        </w:tc>
        <w:tc>
          <w:tcPr>
            <w:tcW w:w="736" w:type="pct"/>
            <w:tcBorders>
              <w:top w:val="nil"/>
              <w:left w:val="nil"/>
              <w:bottom w:val="nil"/>
              <w:right w:val="nil"/>
            </w:tcBorders>
            <w:shd w:val="clear" w:color="auto" w:fill="auto"/>
            <w:vAlign w:val="center"/>
            <w:hideMark/>
          </w:tcPr>
          <w:p w14:paraId="044659F2" w14:textId="4FCD37B8" w:rsidR="00FF478C" w:rsidRPr="00176BA0" w:rsidRDefault="00FF478C" w:rsidP="00FF47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c>
          <w:tcPr>
            <w:tcW w:w="746" w:type="pct"/>
            <w:tcBorders>
              <w:top w:val="nil"/>
              <w:left w:val="nil"/>
              <w:bottom w:val="nil"/>
              <w:right w:val="nil"/>
            </w:tcBorders>
            <w:shd w:val="clear" w:color="auto" w:fill="auto"/>
            <w:vAlign w:val="center"/>
            <w:hideMark/>
          </w:tcPr>
          <w:p w14:paraId="19F54739" w14:textId="2C48CE5C" w:rsidR="00FF478C" w:rsidRPr="00176BA0" w:rsidRDefault="00FF478C" w:rsidP="00FF47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r>
      <w:tr w:rsidR="00B60403" w:rsidRPr="00176BA0" w14:paraId="2868B1EB" w14:textId="77777777" w:rsidTr="009C498D">
        <w:trPr>
          <w:trHeight w:val="283"/>
        </w:trPr>
        <w:tc>
          <w:tcPr>
            <w:tcW w:w="2036" w:type="pct"/>
            <w:tcBorders>
              <w:top w:val="nil"/>
              <w:left w:val="nil"/>
              <w:bottom w:val="nil"/>
              <w:right w:val="nil"/>
            </w:tcBorders>
            <w:shd w:val="clear" w:color="auto" w:fill="auto"/>
            <w:vAlign w:val="center"/>
            <w:hideMark/>
          </w:tcPr>
          <w:p w14:paraId="0A74D0F0" w14:textId="77777777" w:rsidR="00B60403" w:rsidRPr="00176BA0" w:rsidRDefault="00B60403" w:rsidP="00B60403">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H.P. acreedora por conceptos fiscales</w:t>
            </w:r>
          </w:p>
        </w:tc>
        <w:tc>
          <w:tcPr>
            <w:tcW w:w="736" w:type="pct"/>
            <w:tcBorders>
              <w:top w:val="nil"/>
              <w:left w:val="nil"/>
              <w:bottom w:val="nil"/>
              <w:right w:val="nil"/>
            </w:tcBorders>
            <w:shd w:val="clear" w:color="auto" w:fill="auto"/>
            <w:vAlign w:val="center"/>
          </w:tcPr>
          <w:p w14:paraId="3E803B90" w14:textId="1E7CA842" w:rsidR="00B60403" w:rsidRPr="00176BA0" w:rsidRDefault="00B60403" w:rsidP="00B60403">
            <w:pPr>
              <w:jc w:val="right"/>
              <w:rPr>
                <w:sz w:val="18"/>
                <w:szCs w:val="18"/>
              </w:rPr>
            </w:pPr>
            <w:r>
              <w:rPr>
                <w:sz w:val="18"/>
                <w:szCs w:val="18"/>
              </w:rPr>
              <w:t xml:space="preserve">-     </w:t>
            </w:r>
          </w:p>
        </w:tc>
        <w:tc>
          <w:tcPr>
            <w:tcW w:w="746" w:type="pct"/>
            <w:tcBorders>
              <w:top w:val="nil"/>
              <w:left w:val="nil"/>
              <w:bottom w:val="nil"/>
              <w:right w:val="nil"/>
            </w:tcBorders>
            <w:shd w:val="clear" w:color="auto" w:fill="auto"/>
            <w:vAlign w:val="center"/>
          </w:tcPr>
          <w:p w14:paraId="5879DBE0" w14:textId="0388DA2F" w:rsidR="00B60403" w:rsidRPr="00176BA0" w:rsidRDefault="00781AB7" w:rsidP="00B60403">
            <w:pPr>
              <w:jc w:val="right"/>
              <w:rPr>
                <w:sz w:val="18"/>
                <w:szCs w:val="18"/>
              </w:rPr>
            </w:pPr>
            <w:r>
              <w:rPr>
                <w:sz w:val="18"/>
                <w:szCs w:val="18"/>
              </w:rPr>
              <w:t>1.492.532,96</w:t>
            </w:r>
          </w:p>
        </w:tc>
        <w:tc>
          <w:tcPr>
            <w:tcW w:w="736" w:type="pct"/>
            <w:tcBorders>
              <w:top w:val="nil"/>
              <w:left w:val="nil"/>
              <w:bottom w:val="nil"/>
              <w:right w:val="nil"/>
            </w:tcBorders>
            <w:shd w:val="clear" w:color="auto" w:fill="auto"/>
            <w:vAlign w:val="center"/>
            <w:hideMark/>
          </w:tcPr>
          <w:p w14:paraId="55F5150A" w14:textId="1BF71664" w:rsidR="00B60403" w:rsidRPr="00176BA0" w:rsidRDefault="00B60403" w:rsidP="00B6040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176BA0">
              <w:rPr>
                <w:sz w:val="18"/>
                <w:szCs w:val="18"/>
              </w:rPr>
              <w:t>-</w:t>
            </w:r>
          </w:p>
        </w:tc>
        <w:tc>
          <w:tcPr>
            <w:tcW w:w="746" w:type="pct"/>
            <w:tcBorders>
              <w:top w:val="nil"/>
              <w:left w:val="nil"/>
              <w:bottom w:val="nil"/>
              <w:right w:val="nil"/>
            </w:tcBorders>
            <w:shd w:val="clear" w:color="auto" w:fill="auto"/>
            <w:vAlign w:val="center"/>
            <w:hideMark/>
          </w:tcPr>
          <w:p w14:paraId="3634F35B" w14:textId="61889149" w:rsidR="00B60403" w:rsidRPr="00176BA0" w:rsidRDefault="00781AB7" w:rsidP="00B60403">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807.728,91</w:t>
            </w:r>
          </w:p>
        </w:tc>
      </w:tr>
      <w:tr w:rsidR="00D97ABB" w:rsidRPr="00176BA0" w14:paraId="6842E4A2" w14:textId="77777777" w:rsidTr="009C498D">
        <w:trPr>
          <w:trHeight w:val="283"/>
        </w:trPr>
        <w:tc>
          <w:tcPr>
            <w:tcW w:w="2036" w:type="pct"/>
            <w:tcBorders>
              <w:top w:val="nil"/>
              <w:left w:val="nil"/>
              <w:bottom w:val="nil"/>
              <w:right w:val="nil"/>
            </w:tcBorders>
            <w:shd w:val="clear" w:color="auto" w:fill="auto"/>
            <w:vAlign w:val="center"/>
            <w:hideMark/>
          </w:tcPr>
          <w:p w14:paraId="537E3F44" w14:textId="77777777" w:rsidR="00D97ABB" w:rsidRPr="00176BA0" w:rsidRDefault="00D97ABB" w:rsidP="00D97ABB">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proofErr w:type="spellStart"/>
            <w:r w:rsidRPr="00176BA0">
              <w:rPr>
                <w:rFonts w:eastAsia="Times New Roman"/>
                <w:sz w:val="18"/>
                <w:szCs w:val="18"/>
                <w:bdr w:val="none" w:sz="0" w:space="0" w:color="auto"/>
                <w:lang w:eastAsia="es-ES"/>
              </w:rPr>
              <w:t>Org</w:t>
            </w:r>
            <w:proofErr w:type="spellEnd"/>
            <w:r w:rsidRPr="00176BA0">
              <w:rPr>
                <w:rFonts w:eastAsia="Times New Roman"/>
                <w:sz w:val="18"/>
                <w:szCs w:val="18"/>
                <w:bdr w:val="none" w:sz="0" w:space="0" w:color="auto"/>
                <w:lang w:eastAsia="es-ES"/>
              </w:rPr>
              <w:t>. de la Seguridad Social, acreedores</w:t>
            </w:r>
          </w:p>
        </w:tc>
        <w:tc>
          <w:tcPr>
            <w:tcW w:w="736" w:type="pct"/>
            <w:tcBorders>
              <w:top w:val="nil"/>
              <w:left w:val="nil"/>
              <w:bottom w:val="nil"/>
              <w:right w:val="nil"/>
            </w:tcBorders>
            <w:shd w:val="clear" w:color="auto" w:fill="auto"/>
            <w:vAlign w:val="center"/>
          </w:tcPr>
          <w:p w14:paraId="2D4DE4B4" w14:textId="69E4FCFD" w:rsidR="00D97ABB" w:rsidRPr="00176BA0" w:rsidRDefault="00D97ABB" w:rsidP="00D97ABB">
            <w:pPr>
              <w:jc w:val="right"/>
              <w:rPr>
                <w:sz w:val="18"/>
                <w:szCs w:val="18"/>
              </w:rPr>
            </w:pPr>
            <w:r>
              <w:rPr>
                <w:sz w:val="18"/>
                <w:szCs w:val="18"/>
              </w:rPr>
              <w:t xml:space="preserve">-     </w:t>
            </w:r>
          </w:p>
        </w:tc>
        <w:tc>
          <w:tcPr>
            <w:tcW w:w="746" w:type="pct"/>
            <w:tcBorders>
              <w:top w:val="nil"/>
              <w:left w:val="nil"/>
              <w:bottom w:val="nil"/>
              <w:right w:val="nil"/>
            </w:tcBorders>
            <w:shd w:val="clear" w:color="auto" w:fill="auto"/>
            <w:vAlign w:val="center"/>
          </w:tcPr>
          <w:p w14:paraId="204B8E6E" w14:textId="3A34FBC1" w:rsidR="00D97ABB" w:rsidRPr="00176BA0" w:rsidRDefault="00781AB7" w:rsidP="00D97ABB">
            <w:pPr>
              <w:jc w:val="right"/>
              <w:rPr>
                <w:sz w:val="18"/>
                <w:szCs w:val="18"/>
              </w:rPr>
            </w:pPr>
            <w:r>
              <w:rPr>
                <w:sz w:val="18"/>
                <w:szCs w:val="18"/>
              </w:rPr>
              <w:t>84.135,95</w:t>
            </w:r>
          </w:p>
        </w:tc>
        <w:tc>
          <w:tcPr>
            <w:tcW w:w="736" w:type="pct"/>
            <w:tcBorders>
              <w:top w:val="nil"/>
              <w:left w:val="nil"/>
              <w:bottom w:val="nil"/>
              <w:right w:val="nil"/>
            </w:tcBorders>
            <w:shd w:val="clear" w:color="auto" w:fill="auto"/>
            <w:vAlign w:val="center"/>
            <w:hideMark/>
          </w:tcPr>
          <w:p w14:paraId="0DA3DEEA" w14:textId="1CB567FB" w:rsidR="00D97ABB" w:rsidRPr="00176BA0" w:rsidRDefault="00781AB7" w:rsidP="00D97AB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w:t>
            </w:r>
          </w:p>
        </w:tc>
        <w:tc>
          <w:tcPr>
            <w:tcW w:w="746" w:type="pct"/>
            <w:tcBorders>
              <w:top w:val="nil"/>
              <w:left w:val="nil"/>
              <w:bottom w:val="nil"/>
              <w:right w:val="nil"/>
            </w:tcBorders>
            <w:shd w:val="clear" w:color="auto" w:fill="auto"/>
            <w:vAlign w:val="center"/>
            <w:hideMark/>
          </w:tcPr>
          <w:p w14:paraId="62AB7F63" w14:textId="70CE2E8B" w:rsidR="00D97ABB" w:rsidRPr="00176BA0" w:rsidRDefault="00781AB7" w:rsidP="00D97AB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150.107,64</w:t>
            </w:r>
          </w:p>
        </w:tc>
      </w:tr>
      <w:tr w:rsidR="009C498D" w:rsidRPr="00176BA0" w14:paraId="3FF1A320" w14:textId="77777777" w:rsidTr="009C498D">
        <w:trPr>
          <w:trHeight w:val="283"/>
        </w:trPr>
        <w:tc>
          <w:tcPr>
            <w:tcW w:w="2036" w:type="pct"/>
            <w:tcBorders>
              <w:top w:val="single" w:sz="4" w:space="0" w:color="auto"/>
              <w:left w:val="nil"/>
              <w:bottom w:val="single" w:sz="4" w:space="0" w:color="auto"/>
              <w:right w:val="nil"/>
            </w:tcBorders>
            <w:shd w:val="clear" w:color="auto" w:fill="auto"/>
            <w:vAlign w:val="center"/>
            <w:hideMark/>
          </w:tcPr>
          <w:p w14:paraId="694A1BBA" w14:textId="77777777" w:rsidR="009C498D" w:rsidRPr="00176BA0" w:rsidRDefault="009C498D" w:rsidP="009C498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Total</w:t>
            </w:r>
          </w:p>
        </w:tc>
        <w:tc>
          <w:tcPr>
            <w:tcW w:w="736" w:type="pct"/>
            <w:tcBorders>
              <w:top w:val="single" w:sz="4" w:space="0" w:color="auto"/>
              <w:left w:val="nil"/>
              <w:bottom w:val="single" w:sz="4" w:space="0" w:color="auto"/>
              <w:right w:val="nil"/>
            </w:tcBorders>
            <w:shd w:val="clear" w:color="auto" w:fill="auto"/>
            <w:vAlign w:val="center"/>
          </w:tcPr>
          <w:p w14:paraId="5B169898" w14:textId="3865F63E" w:rsidR="009C498D" w:rsidRPr="00176BA0" w:rsidRDefault="009C498D" w:rsidP="009C498D">
            <w:pPr>
              <w:jc w:val="right"/>
              <w:rPr>
                <w:b/>
                <w:bCs/>
                <w:sz w:val="18"/>
                <w:szCs w:val="18"/>
              </w:rPr>
            </w:pPr>
            <w:r>
              <w:rPr>
                <w:b/>
                <w:bCs/>
                <w:sz w:val="18"/>
                <w:szCs w:val="18"/>
              </w:rPr>
              <w:t>36.949.142,62</w:t>
            </w:r>
          </w:p>
        </w:tc>
        <w:tc>
          <w:tcPr>
            <w:tcW w:w="746" w:type="pct"/>
            <w:tcBorders>
              <w:top w:val="single" w:sz="4" w:space="0" w:color="auto"/>
              <w:left w:val="nil"/>
              <w:bottom w:val="single" w:sz="4" w:space="0" w:color="auto"/>
              <w:right w:val="nil"/>
            </w:tcBorders>
            <w:shd w:val="clear" w:color="auto" w:fill="auto"/>
            <w:vAlign w:val="center"/>
          </w:tcPr>
          <w:p w14:paraId="0CE8D9E3" w14:textId="52FF08E8" w:rsidR="009C498D" w:rsidRPr="00176BA0" w:rsidRDefault="009C498D" w:rsidP="009C498D">
            <w:pPr>
              <w:jc w:val="right"/>
              <w:rPr>
                <w:b/>
                <w:bCs/>
                <w:sz w:val="18"/>
                <w:szCs w:val="18"/>
              </w:rPr>
            </w:pPr>
            <w:r>
              <w:rPr>
                <w:b/>
                <w:bCs/>
                <w:sz w:val="18"/>
                <w:szCs w:val="18"/>
              </w:rPr>
              <w:t>5.119.200,66</w:t>
            </w:r>
          </w:p>
        </w:tc>
        <w:tc>
          <w:tcPr>
            <w:tcW w:w="736" w:type="pct"/>
            <w:tcBorders>
              <w:top w:val="single" w:sz="4" w:space="0" w:color="auto"/>
              <w:left w:val="nil"/>
              <w:bottom w:val="single" w:sz="4" w:space="0" w:color="auto"/>
              <w:right w:val="nil"/>
            </w:tcBorders>
            <w:shd w:val="clear" w:color="auto" w:fill="auto"/>
            <w:vAlign w:val="center"/>
            <w:hideMark/>
          </w:tcPr>
          <w:p w14:paraId="5BFB84B2" w14:textId="78E2DA53" w:rsidR="009C498D" w:rsidRPr="00176BA0" w:rsidRDefault="009C498D" w:rsidP="009C49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12.636.593,12</w:t>
            </w:r>
          </w:p>
        </w:tc>
        <w:tc>
          <w:tcPr>
            <w:tcW w:w="746" w:type="pct"/>
            <w:tcBorders>
              <w:top w:val="single" w:sz="4" w:space="0" w:color="auto"/>
              <w:left w:val="nil"/>
              <w:bottom w:val="single" w:sz="4" w:space="0" w:color="auto"/>
              <w:right w:val="nil"/>
            </w:tcBorders>
            <w:shd w:val="clear" w:color="auto" w:fill="auto"/>
            <w:vAlign w:val="center"/>
            <w:hideMark/>
          </w:tcPr>
          <w:p w14:paraId="5B1E9972" w14:textId="460FC2E8" w:rsidR="009C498D" w:rsidRPr="00176BA0" w:rsidRDefault="009C498D" w:rsidP="009C498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4.198.177,42</w:t>
            </w:r>
          </w:p>
        </w:tc>
      </w:tr>
    </w:tbl>
    <w:p w14:paraId="340BCE01" w14:textId="77777777" w:rsidR="006220A2" w:rsidRPr="0083433F" w:rsidRDefault="006220A2" w:rsidP="00D67C6B">
      <w:pPr>
        <w:keepNext/>
        <w:keepLines/>
        <w:widowControl w:val="0"/>
        <w:tabs>
          <w:tab w:val="left" w:pos="284"/>
        </w:tabs>
        <w:spacing w:before="200"/>
        <w:rPr>
          <w:i/>
          <w:color w:val="auto"/>
          <w:sz w:val="20"/>
          <w:szCs w:val="22"/>
        </w:rPr>
      </w:pPr>
      <w:r w:rsidRPr="0083433F">
        <w:rPr>
          <w:i/>
          <w:color w:val="auto"/>
          <w:sz w:val="20"/>
          <w:szCs w:val="22"/>
        </w:rPr>
        <w:lastRenderedPageBreak/>
        <w:t>a)</w:t>
      </w:r>
      <w:r w:rsidRPr="0083433F">
        <w:rPr>
          <w:i/>
          <w:color w:val="auto"/>
          <w:sz w:val="20"/>
          <w:szCs w:val="22"/>
        </w:rPr>
        <w:tab/>
      </w:r>
      <w:r w:rsidRPr="0083433F">
        <w:rPr>
          <w:i/>
          <w:color w:val="auto"/>
          <w:sz w:val="20"/>
          <w:szCs w:val="22"/>
          <w:u w:val="single"/>
        </w:rPr>
        <w:t>Administraciones Públicas deudoras</w:t>
      </w:r>
    </w:p>
    <w:p w14:paraId="43EACBDD" w14:textId="0035F0FC" w:rsidR="008459B8" w:rsidRPr="00176BA0" w:rsidRDefault="006220A2" w:rsidP="00D67C6B">
      <w:pPr>
        <w:keepNext/>
        <w:keepLines/>
        <w:widowControl w:val="0"/>
        <w:spacing w:before="120" w:after="120" w:line="260" w:lineRule="exact"/>
        <w:jc w:val="both"/>
        <w:outlineLvl w:val="9"/>
        <w:rPr>
          <w:snapToGrid w:val="0"/>
          <w:sz w:val="20"/>
          <w:szCs w:val="22"/>
        </w:rPr>
      </w:pPr>
      <w:r w:rsidRPr="00176BA0">
        <w:rPr>
          <w:snapToGrid w:val="0"/>
          <w:sz w:val="20"/>
          <w:szCs w:val="22"/>
        </w:rPr>
        <w:t>El importe bajo el epígrafe de “Hacienda Pública, deudora por diversos conceptos” recoge el importe de las subvenciones concedidas y no cobrada</w:t>
      </w:r>
      <w:r w:rsidR="003E75F6" w:rsidRPr="00176BA0">
        <w:rPr>
          <w:snapToGrid w:val="0"/>
          <w:sz w:val="20"/>
          <w:szCs w:val="22"/>
        </w:rPr>
        <w:t xml:space="preserve"> </w:t>
      </w:r>
      <w:r w:rsidR="00856EA0" w:rsidRPr="00176BA0">
        <w:rPr>
          <w:snapToGrid w:val="0"/>
          <w:sz w:val="20"/>
          <w:szCs w:val="22"/>
        </w:rPr>
        <w:t xml:space="preserve">a 31 de </w:t>
      </w:r>
      <w:r w:rsidR="00856EA0" w:rsidRPr="00396EF8">
        <w:rPr>
          <w:snapToGrid w:val="0"/>
          <w:sz w:val="20"/>
          <w:szCs w:val="22"/>
        </w:rPr>
        <w:t>diciembre de 202</w:t>
      </w:r>
      <w:r w:rsidR="00781AB7" w:rsidRPr="00396EF8">
        <w:rPr>
          <w:snapToGrid w:val="0"/>
          <w:sz w:val="20"/>
          <w:szCs w:val="22"/>
        </w:rPr>
        <w:t>3</w:t>
      </w:r>
      <w:r w:rsidR="00856EA0" w:rsidRPr="00396EF8">
        <w:rPr>
          <w:snapToGrid w:val="0"/>
          <w:sz w:val="20"/>
          <w:szCs w:val="22"/>
        </w:rPr>
        <w:t xml:space="preserve">. </w:t>
      </w:r>
      <w:r w:rsidR="009E2F2D" w:rsidRPr="00396EF8">
        <w:rPr>
          <w:snapToGrid w:val="0"/>
          <w:sz w:val="20"/>
          <w:szCs w:val="22"/>
        </w:rPr>
        <w:t xml:space="preserve">A fecha de formulación de estas cuentas anuales se han cobrado </w:t>
      </w:r>
      <w:r w:rsidR="00396EF8" w:rsidRPr="00396EF8">
        <w:rPr>
          <w:snapToGrid w:val="0"/>
          <w:sz w:val="20"/>
          <w:szCs w:val="22"/>
        </w:rPr>
        <w:t>17.461.560,50</w:t>
      </w:r>
      <w:r w:rsidR="009E2F2D" w:rsidRPr="00396EF8">
        <w:rPr>
          <w:snapToGrid w:val="0"/>
          <w:sz w:val="20"/>
          <w:szCs w:val="22"/>
        </w:rPr>
        <w:t xml:space="preserve"> euros en 202</w:t>
      </w:r>
      <w:r w:rsidR="009C5A83" w:rsidRPr="00396EF8">
        <w:rPr>
          <w:snapToGrid w:val="0"/>
          <w:sz w:val="20"/>
          <w:szCs w:val="22"/>
        </w:rPr>
        <w:t>4</w:t>
      </w:r>
      <w:r w:rsidR="00236065" w:rsidRPr="00396EF8">
        <w:rPr>
          <w:snapToGrid w:val="0"/>
          <w:sz w:val="20"/>
          <w:szCs w:val="22"/>
        </w:rPr>
        <w:t>.</w:t>
      </w:r>
    </w:p>
    <w:p w14:paraId="219BAC69" w14:textId="77777777" w:rsidR="006220A2" w:rsidRPr="0083433F" w:rsidRDefault="006220A2" w:rsidP="006220A2">
      <w:pPr>
        <w:widowControl w:val="0"/>
        <w:tabs>
          <w:tab w:val="left" w:pos="284"/>
        </w:tabs>
        <w:spacing w:before="200"/>
        <w:rPr>
          <w:i/>
          <w:sz w:val="20"/>
          <w:szCs w:val="22"/>
        </w:rPr>
      </w:pPr>
      <w:r w:rsidRPr="0083433F">
        <w:rPr>
          <w:i/>
          <w:sz w:val="20"/>
          <w:szCs w:val="22"/>
        </w:rPr>
        <w:t>b)</w:t>
      </w:r>
      <w:r w:rsidRPr="0083433F">
        <w:rPr>
          <w:i/>
          <w:sz w:val="22"/>
          <w:szCs w:val="22"/>
        </w:rPr>
        <w:tab/>
      </w:r>
      <w:r w:rsidRPr="0083433F">
        <w:rPr>
          <w:i/>
          <w:sz w:val="20"/>
          <w:szCs w:val="22"/>
          <w:u w:val="single"/>
        </w:rPr>
        <w:t>Administraciones Públicas acreedoras</w:t>
      </w:r>
    </w:p>
    <w:p w14:paraId="6C320ACA" w14:textId="77777777" w:rsidR="006220A2" w:rsidRDefault="006220A2" w:rsidP="00D67C6B">
      <w:pPr>
        <w:widowControl w:val="0"/>
        <w:spacing w:before="120" w:after="120" w:line="260" w:lineRule="exact"/>
        <w:jc w:val="both"/>
        <w:outlineLvl w:val="9"/>
        <w:rPr>
          <w:snapToGrid w:val="0"/>
          <w:sz w:val="20"/>
          <w:szCs w:val="22"/>
        </w:rPr>
      </w:pPr>
      <w:r w:rsidRPr="0083433F">
        <w:rPr>
          <w:snapToGrid w:val="0"/>
          <w:sz w:val="20"/>
          <w:szCs w:val="22"/>
        </w:rPr>
        <w:t>El epígrafe de Hacienda Pública, acreedora por conceptos fiscales recoge:</w:t>
      </w:r>
    </w:p>
    <w:tbl>
      <w:tblPr>
        <w:tblW w:w="5000" w:type="pct"/>
        <w:tblCellMar>
          <w:left w:w="70" w:type="dxa"/>
          <w:right w:w="70" w:type="dxa"/>
        </w:tblCellMar>
        <w:tblLook w:val="04A0" w:firstRow="1" w:lastRow="0" w:firstColumn="1" w:lastColumn="0" w:noHBand="0" w:noVBand="1"/>
      </w:tblPr>
      <w:tblGrid>
        <w:gridCol w:w="5007"/>
        <w:gridCol w:w="1886"/>
        <w:gridCol w:w="1888"/>
      </w:tblGrid>
      <w:tr w:rsidR="007D680E" w:rsidRPr="00176BA0" w14:paraId="775021CB" w14:textId="77777777" w:rsidTr="00176BA0">
        <w:trPr>
          <w:trHeight w:val="227"/>
        </w:trPr>
        <w:tc>
          <w:tcPr>
            <w:tcW w:w="2851" w:type="pct"/>
            <w:tcBorders>
              <w:top w:val="single" w:sz="4" w:space="0" w:color="auto"/>
              <w:left w:val="nil"/>
              <w:bottom w:val="nil"/>
              <w:right w:val="nil"/>
            </w:tcBorders>
            <w:shd w:val="clear" w:color="auto" w:fill="auto"/>
            <w:vAlign w:val="bottom"/>
            <w:hideMark/>
          </w:tcPr>
          <w:p w14:paraId="56D4CEA2" w14:textId="77777777" w:rsidR="003E75F6" w:rsidRPr="00176BA0"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p>
        </w:tc>
        <w:tc>
          <w:tcPr>
            <w:tcW w:w="2149" w:type="pct"/>
            <w:gridSpan w:val="2"/>
            <w:tcBorders>
              <w:top w:val="single" w:sz="4" w:space="0" w:color="auto"/>
              <w:left w:val="nil"/>
              <w:bottom w:val="single" w:sz="4" w:space="0" w:color="auto"/>
              <w:right w:val="nil"/>
            </w:tcBorders>
            <w:shd w:val="clear" w:color="auto" w:fill="auto"/>
            <w:vAlign w:val="bottom"/>
            <w:hideMark/>
          </w:tcPr>
          <w:p w14:paraId="3D080261" w14:textId="77777777" w:rsidR="003E75F6" w:rsidRPr="00176BA0" w:rsidRDefault="003E75F6" w:rsidP="00EA53D1">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Euros</w:t>
            </w:r>
          </w:p>
        </w:tc>
      </w:tr>
      <w:tr w:rsidR="007D680E" w:rsidRPr="00176BA0" w14:paraId="60CA8229" w14:textId="77777777" w:rsidTr="00176BA0">
        <w:trPr>
          <w:trHeight w:val="227"/>
        </w:trPr>
        <w:tc>
          <w:tcPr>
            <w:tcW w:w="2851" w:type="pct"/>
            <w:tcBorders>
              <w:top w:val="nil"/>
              <w:left w:val="nil"/>
              <w:bottom w:val="single" w:sz="4" w:space="0" w:color="auto"/>
              <w:right w:val="nil"/>
            </w:tcBorders>
            <w:shd w:val="clear" w:color="auto" w:fill="auto"/>
            <w:vAlign w:val="bottom"/>
            <w:hideMark/>
          </w:tcPr>
          <w:p w14:paraId="582D71CA" w14:textId="77777777" w:rsidR="00074A4F" w:rsidRPr="00176BA0" w:rsidRDefault="00074A4F" w:rsidP="00074A4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 </w:t>
            </w:r>
          </w:p>
        </w:tc>
        <w:tc>
          <w:tcPr>
            <w:tcW w:w="1074" w:type="pct"/>
            <w:tcBorders>
              <w:top w:val="nil"/>
              <w:left w:val="nil"/>
              <w:bottom w:val="single" w:sz="4" w:space="0" w:color="auto"/>
              <w:right w:val="nil"/>
            </w:tcBorders>
            <w:shd w:val="clear" w:color="auto" w:fill="auto"/>
            <w:vAlign w:val="bottom"/>
            <w:hideMark/>
          </w:tcPr>
          <w:p w14:paraId="627334C3" w14:textId="4E89467D" w:rsidR="00074A4F" w:rsidRPr="00176BA0" w:rsidRDefault="00074A4F" w:rsidP="00074A4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w:t>
            </w:r>
            <w:r w:rsidR="00FE1E8C">
              <w:rPr>
                <w:rFonts w:eastAsia="Times New Roman"/>
                <w:b/>
                <w:bCs/>
                <w:sz w:val="18"/>
                <w:szCs w:val="18"/>
                <w:bdr w:val="none" w:sz="0" w:space="0" w:color="auto"/>
                <w:lang w:eastAsia="es-ES"/>
              </w:rPr>
              <w:t>3</w:t>
            </w:r>
          </w:p>
        </w:tc>
        <w:tc>
          <w:tcPr>
            <w:tcW w:w="1075" w:type="pct"/>
            <w:tcBorders>
              <w:top w:val="nil"/>
              <w:left w:val="nil"/>
              <w:bottom w:val="single" w:sz="4" w:space="0" w:color="auto"/>
              <w:right w:val="nil"/>
            </w:tcBorders>
            <w:shd w:val="clear" w:color="auto" w:fill="auto"/>
            <w:vAlign w:val="bottom"/>
            <w:hideMark/>
          </w:tcPr>
          <w:p w14:paraId="78BC09A2" w14:textId="0FCEECFF" w:rsidR="00074A4F" w:rsidRPr="00176BA0" w:rsidRDefault="00074A4F" w:rsidP="00074A4F">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31/12/202</w:t>
            </w:r>
            <w:r w:rsidR="00FE1E8C">
              <w:rPr>
                <w:rFonts w:eastAsia="Times New Roman"/>
                <w:b/>
                <w:bCs/>
                <w:sz w:val="18"/>
                <w:szCs w:val="18"/>
                <w:bdr w:val="none" w:sz="0" w:space="0" w:color="auto"/>
                <w:lang w:eastAsia="es-ES"/>
              </w:rPr>
              <w:t>2</w:t>
            </w:r>
          </w:p>
        </w:tc>
      </w:tr>
      <w:tr w:rsidR="007D680E" w:rsidRPr="00176BA0" w14:paraId="15278BA0" w14:textId="77777777" w:rsidTr="00176BA0">
        <w:trPr>
          <w:trHeight w:val="283"/>
        </w:trPr>
        <w:tc>
          <w:tcPr>
            <w:tcW w:w="2851" w:type="pct"/>
            <w:tcBorders>
              <w:top w:val="nil"/>
              <w:left w:val="nil"/>
              <w:bottom w:val="nil"/>
              <w:right w:val="nil"/>
            </w:tcBorders>
            <w:shd w:val="clear" w:color="auto" w:fill="auto"/>
            <w:vAlign w:val="center"/>
            <w:hideMark/>
          </w:tcPr>
          <w:p w14:paraId="53F057E7" w14:textId="77777777" w:rsidR="00074A4F" w:rsidRPr="00176BA0" w:rsidRDefault="00074A4F" w:rsidP="00074A4F">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8"/>
                <w:szCs w:val="18"/>
                <w:bdr w:val="none" w:sz="0" w:space="0" w:color="auto"/>
                <w:lang w:eastAsia="es-ES"/>
              </w:rPr>
            </w:pPr>
            <w:r w:rsidRPr="00176BA0">
              <w:rPr>
                <w:rFonts w:eastAsia="Times New Roman"/>
                <w:b/>
                <w:bCs/>
                <w:sz w:val="18"/>
                <w:szCs w:val="18"/>
                <w:bdr w:val="none" w:sz="0" w:space="0" w:color="auto"/>
                <w:lang w:eastAsia="es-ES"/>
              </w:rPr>
              <w:t>Administraciones Públicas acreedoras</w:t>
            </w:r>
          </w:p>
        </w:tc>
        <w:tc>
          <w:tcPr>
            <w:tcW w:w="1074" w:type="pct"/>
            <w:tcBorders>
              <w:top w:val="nil"/>
              <w:left w:val="nil"/>
              <w:bottom w:val="nil"/>
              <w:right w:val="nil"/>
            </w:tcBorders>
            <w:shd w:val="clear" w:color="auto" w:fill="auto"/>
            <w:noWrap/>
            <w:vAlign w:val="center"/>
            <w:hideMark/>
          </w:tcPr>
          <w:p w14:paraId="4669202B" w14:textId="77777777" w:rsidR="00074A4F" w:rsidRPr="00176BA0" w:rsidRDefault="00074A4F" w:rsidP="00074A4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1075" w:type="pct"/>
            <w:tcBorders>
              <w:top w:val="nil"/>
              <w:left w:val="nil"/>
              <w:bottom w:val="nil"/>
              <w:right w:val="nil"/>
            </w:tcBorders>
            <w:shd w:val="clear" w:color="auto" w:fill="auto"/>
            <w:vAlign w:val="center"/>
            <w:hideMark/>
          </w:tcPr>
          <w:p w14:paraId="4A03F700" w14:textId="77777777" w:rsidR="00074A4F" w:rsidRPr="00176BA0" w:rsidRDefault="00074A4F" w:rsidP="00074A4F">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p>
        </w:tc>
      </w:tr>
      <w:tr w:rsidR="00FE1E8C" w:rsidRPr="00176BA0" w14:paraId="519FD8EA" w14:textId="77777777" w:rsidTr="00176BA0">
        <w:trPr>
          <w:trHeight w:val="283"/>
        </w:trPr>
        <w:tc>
          <w:tcPr>
            <w:tcW w:w="2851" w:type="pct"/>
            <w:tcBorders>
              <w:top w:val="nil"/>
              <w:left w:val="nil"/>
              <w:bottom w:val="nil"/>
              <w:right w:val="nil"/>
            </w:tcBorders>
            <w:shd w:val="clear" w:color="auto" w:fill="auto"/>
            <w:vAlign w:val="center"/>
            <w:hideMark/>
          </w:tcPr>
          <w:p w14:paraId="29243DB0" w14:textId="77777777"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Hacienda Pública acreedora por IGIC</w:t>
            </w:r>
          </w:p>
        </w:tc>
        <w:tc>
          <w:tcPr>
            <w:tcW w:w="1074" w:type="pct"/>
            <w:tcBorders>
              <w:top w:val="nil"/>
              <w:left w:val="nil"/>
              <w:bottom w:val="nil"/>
              <w:right w:val="nil"/>
            </w:tcBorders>
            <w:shd w:val="clear" w:color="auto" w:fill="auto"/>
            <w:noWrap/>
            <w:vAlign w:val="center"/>
          </w:tcPr>
          <w:p w14:paraId="6E5F4421" w14:textId="2A68C87A"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1.348.252,80</w:t>
            </w:r>
          </w:p>
        </w:tc>
        <w:tc>
          <w:tcPr>
            <w:tcW w:w="1075" w:type="pct"/>
            <w:tcBorders>
              <w:top w:val="nil"/>
              <w:left w:val="nil"/>
              <w:bottom w:val="nil"/>
              <w:right w:val="nil"/>
            </w:tcBorders>
            <w:shd w:val="clear" w:color="auto" w:fill="auto"/>
            <w:vAlign w:val="center"/>
            <w:hideMark/>
          </w:tcPr>
          <w:p w14:paraId="57C592DC" w14:textId="6EDBFBF0"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698.604,48   </w:t>
            </w:r>
          </w:p>
        </w:tc>
      </w:tr>
      <w:tr w:rsidR="00FE1E8C" w:rsidRPr="00176BA0" w14:paraId="3B4515BF" w14:textId="77777777" w:rsidTr="00176BA0">
        <w:trPr>
          <w:trHeight w:val="283"/>
        </w:trPr>
        <w:tc>
          <w:tcPr>
            <w:tcW w:w="2851" w:type="pct"/>
            <w:tcBorders>
              <w:top w:val="nil"/>
              <w:left w:val="nil"/>
              <w:bottom w:val="nil"/>
              <w:right w:val="nil"/>
            </w:tcBorders>
            <w:shd w:val="clear" w:color="auto" w:fill="auto"/>
            <w:vAlign w:val="center"/>
            <w:hideMark/>
          </w:tcPr>
          <w:p w14:paraId="7C515E6C" w14:textId="77777777"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Subvenciones a reintegrar</w:t>
            </w:r>
          </w:p>
        </w:tc>
        <w:tc>
          <w:tcPr>
            <w:tcW w:w="1074" w:type="pct"/>
            <w:tcBorders>
              <w:top w:val="nil"/>
              <w:left w:val="nil"/>
              <w:bottom w:val="nil"/>
              <w:right w:val="nil"/>
            </w:tcBorders>
            <w:shd w:val="clear" w:color="auto" w:fill="auto"/>
            <w:noWrap/>
            <w:vAlign w:val="center"/>
          </w:tcPr>
          <w:p w14:paraId="58A05822" w14:textId="7CC32CE6"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3.542.531,75</w:t>
            </w:r>
          </w:p>
        </w:tc>
        <w:tc>
          <w:tcPr>
            <w:tcW w:w="1075" w:type="pct"/>
            <w:tcBorders>
              <w:top w:val="nil"/>
              <w:left w:val="nil"/>
              <w:bottom w:val="nil"/>
              <w:right w:val="nil"/>
            </w:tcBorders>
            <w:shd w:val="clear" w:color="auto" w:fill="auto"/>
            <w:vAlign w:val="center"/>
            <w:hideMark/>
          </w:tcPr>
          <w:p w14:paraId="1A61F6C8" w14:textId="7917F62D"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3.240.340,87   </w:t>
            </w:r>
          </w:p>
        </w:tc>
      </w:tr>
      <w:tr w:rsidR="00FE1E8C" w:rsidRPr="00176BA0" w14:paraId="5913F68B" w14:textId="77777777" w:rsidTr="00176BA0">
        <w:trPr>
          <w:trHeight w:val="283"/>
        </w:trPr>
        <w:tc>
          <w:tcPr>
            <w:tcW w:w="2851" w:type="pct"/>
            <w:tcBorders>
              <w:top w:val="nil"/>
              <w:left w:val="nil"/>
              <w:bottom w:val="nil"/>
              <w:right w:val="nil"/>
            </w:tcBorders>
            <w:shd w:val="clear" w:color="auto" w:fill="auto"/>
            <w:vAlign w:val="center"/>
            <w:hideMark/>
          </w:tcPr>
          <w:p w14:paraId="4ABDD0FB" w14:textId="77777777"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IRPF Personal</w:t>
            </w:r>
          </w:p>
        </w:tc>
        <w:tc>
          <w:tcPr>
            <w:tcW w:w="1074" w:type="pct"/>
            <w:tcBorders>
              <w:top w:val="nil"/>
              <w:left w:val="nil"/>
              <w:bottom w:val="nil"/>
              <w:right w:val="nil"/>
            </w:tcBorders>
            <w:shd w:val="clear" w:color="auto" w:fill="auto"/>
            <w:noWrap/>
            <w:vAlign w:val="center"/>
          </w:tcPr>
          <w:p w14:paraId="6F06FD81" w14:textId="1C196F87"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131.568,61</w:t>
            </w:r>
          </w:p>
        </w:tc>
        <w:tc>
          <w:tcPr>
            <w:tcW w:w="1075" w:type="pct"/>
            <w:tcBorders>
              <w:top w:val="nil"/>
              <w:left w:val="nil"/>
              <w:bottom w:val="nil"/>
              <w:right w:val="nil"/>
            </w:tcBorders>
            <w:shd w:val="clear" w:color="auto" w:fill="auto"/>
            <w:vAlign w:val="center"/>
            <w:hideMark/>
          </w:tcPr>
          <w:p w14:paraId="7A383346" w14:textId="2ED334D4"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100.063,69   </w:t>
            </w:r>
          </w:p>
        </w:tc>
      </w:tr>
      <w:tr w:rsidR="00FE1E8C" w:rsidRPr="00176BA0" w14:paraId="21FD2B88" w14:textId="77777777" w:rsidTr="00176BA0">
        <w:trPr>
          <w:trHeight w:val="283"/>
        </w:trPr>
        <w:tc>
          <w:tcPr>
            <w:tcW w:w="2851" w:type="pct"/>
            <w:tcBorders>
              <w:top w:val="nil"/>
              <w:left w:val="nil"/>
              <w:right w:val="nil"/>
            </w:tcBorders>
            <w:shd w:val="clear" w:color="auto" w:fill="auto"/>
            <w:vAlign w:val="center"/>
            <w:hideMark/>
          </w:tcPr>
          <w:p w14:paraId="6DE624E9" w14:textId="77777777"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IRPF Profesionales</w:t>
            </w:r>
          </w:p>
        </w:tc>
        <w:tc>
          <w:tcPr>
            <w:tcW w:w="1074" w:type="pct"/>
            <w:tcBorders>
              <w:top w:val="nil"/>
              <w:left w:val="nil"/>
              <w:right w:val="nil"/>
            </w:tcBorders>
            <w:shd w:val="clear" w:color="auto" w:fill="auto"/>
            <w:noWrap/>
            <w:vAlign w:val="center"/>
          </w:tcPr>
          <w:p w14:paraId="3122E67F" w14:textId="30EB2EB4"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9.503,08</w:t>
            </w:r>
          </w:p>
        </w:tc>
        <w:tc>
          <w:tcPr>
            <w:tcW w:w="1075" w:type="pct"/>
            <w:tcBorders>
              <w:top w:val="nil"/>
              <w:left w:val="nil"/>
              <w:right w:val="nil"/>
            </w:tcBorders>
            <w:shd w:val="clear" w:color="auto" w:fill="auto"/>
            <w:vAlign w:val="center"/>
            <w:hideMark/>
          </w:tcPr>
          <w:p w14:paraId="22F166B0" w14:textId="16488628"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5.898,17   </w:t>
            </w:r>
          </w:p>
        </w:tc>
      </w:tr>
      <w:tr w:rsidR="00FE1E8C" w:rsidRPr="00176BA0" w14:paraId="097FCF0E" w14:textId="77777777" w:rsidTr="00176BA0">
        <w:trPr>
          <w:trHeight w:val="283"/>
        </w:trPr>
        <w:tc>
          <w:tcPr>
            <w:tcW w:w="2851" w:type="pct"/>
            <w:tcBorders>
              <w:top w:val="nil"/>
              <w:left w:val="nil"/>
              <w:right w:val="nil"/>
            </w:tcBorders>
            <w:shd w:val="clear" w:color="auto" w:fill="auto"/>
            <w:vAlign w:val="center"/>
            <w:hideMark/>
          </w:tcPr>
          <w:p w14:paraId="087BBFB9" w14:textId="77777777"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176BA0">
              <w:rPr>
                <w:rFonts w:eastAsia="Times New Roman"/>
                <w:sz w:val="18"/>
                <w:szCs w:val="18"/>
                <w:bdr w:val="none" w:sz="0" w:space="0" w:color="auto"/>
                <w:lang w:eastAsia="es-ES"/>
              </w:rPr>
              <w:t>Retenciones alquiler</w:t>
            </w:r>
          </w:p>
        </w:tc>
        <w:tc>
          <w:tcPr>
            <w:tcW w:w="1074" w:type="pct"/>
            <w:tcBorders>
              <w:top w:val="nil"/>
              <w:left w:val="nil"/>
              <w:right w:val="nil"/>
            </w:tcBorders>
            <w:shd w:val="clear" w:color="auto" w:fill="auto"/>
            <w:noWrap/>
            <w:vAlign w:val="center"/>
          </w:tcPr>
          <w:p w14:paraId="0E76E258" w14:textId="64FA7004"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3.208,47</w:t>
            </w:r>
          </w:p>
        </w:tc>
        <w:tc>
          <w:tcPr>
            <w:tcW w:w="1075" w:type="pct"/>
            <w:tcBorders>
              <w:top w:val="nil"/>
              <w:left w:val="nil"/>
              <w:right w:val="nil"/>
            </w:tcBorders>
            <w:shd w:val="clear" w:color="auto" w:fill="auto"/>
            <w:vAlign w:val="center"/>
            <w:hideMark/>
          </w:tcPr>
          <w:p w14:paraId="01D5FE0C" w14:textId="3D7323C2"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 xml:space="preserve"> 3.162,57   </w:t>
            </w:r>
          </w:p>
        </w:tc>
      </w:tr>
      <w:tr w:rsidR="00FE1E8C" w:rsidRPr="00176BA0" w14:paraId="5FED9600" w14:textId="77777777" w:rsidTr="007D680E">
        <w:trPr>
          <w:trHeight w:val="283"/>
        </w:trPr>
        <w:tc>
          <w:tcPr>
            <w:tcW w:w="2851" w:type="pct"/>
            <w:tcBorders>
              <w:left w:val="nil"/>
              <w:bottom w:val="single" w:sz="4" w:space="0" w:color="auto"/>
              <w:right w:val="nil"/>
            </w:tcBorders>
            <w:shd w:val="clear" w:color="auto" w:fill="auto"/>
            <w:vAlign w:val="center"/>
          </w:tcPr>
          <w:p w14:paraId="07370483" w14:textId="017B753F" w:rsidR="00FE1E8C" w:rsidRPr="00176BA0" w:rsidRDefault="00FE1E8C" w:rsidP="00FE1E8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7D680E">
              <w:rPr>
                <w:sz w:val="18"/>
                <w:szCs w:val="18"/>
              </w:rPr>
              <w:t>Seguros sociales</w:t>
            </w:r>
          </w:p>
        </w:tc>
        <w:tc>
          <w:tcPr>
            <w:tcW w:w="1074" w:type="pct"/>
            <w:tcBorders>
              <w:left w:val="nil"/>
              <w:bottom w:val="nil"/>
              <w:right w:val="nil"/>
            </w:tcBorders>
            <w:shd w:val="clear" w:color="auto" w:fill="auto"/>
            <w:noWrap/>
            <w:vAlign w:val="center"/>
          </w:tcPr>
          <w:p w14:paraId="64B4D771" w14:textId="131922A0" w:rsidR="00FE1E8C" w:rsidRPr="00176BA0" w:rsidRDefault="00FE1E8C" w:rsidP="00FE1E8C">
            <w:pPr>
              <w:jc w:val="right"/>
              <w:rPr>
                <w:sz w:val="18"/>
                <w:szCs w:val="18"/>
              </w:rPr>
            </w:pPr>
            <w:r>
              <w:rPr>
                <w:sz w:val="18"/>
                <w:szCs w:val="18"/>
              </w:rPr>
              <w:t>84.135,95</w:t>
            </w:r>
          </w:p>
        </w:tc>
        <w:tc>
          <w:tcPr>
            <w:tcW w:w="1075" w:type="pct"/>
            <w:tcBorders>
              <w:left w:val="nil"/>
              <w:bottom w:val="nil"/>
              <w:right w:val="nil"/>
            </w:tcBorders>
            <w:shd w:val="clear" w:color="auto" w:fill="auto"/>
            <w:vAlign w:val="center"/>
          </w:tcPr>
          <w:p w14:paraId="08B9EE09" w14:textId="0ECA356A" w:rsidR="00FE1E8C" w:rsidRPr="00176BA0" w:rsidRDefault="00FE1E8C" w:rsidP="00FE1E8C">
            <w:pPr>
              <w:jc w:val="right"/>
              <w:rPr>
                <w:sz w:val="18"/>
                <w:szCs w:val="18"/>
              </w:rPr>
            </w:pPr>
            <w:r>
              <w:rPr>
                <w:sz w:val="18"/>
                <w:szCs w:val="18"/>
              </w:rPr>
              <w:t xml:space="preserve">150.107,64   </w:t>
            </w:r>
          </w:p>
        </w:tc>
      </w:tr>
      <w:tr w:rsidR="00FE1E8C" w:rsidRPr="00176BA0" w14:paraId="47AF1B8A" w14:textId="77777777" w:rsidTr="00176BA0">
        <w:trPr>
          <w:trHeight w:val="283"/>
        </w:trPr>
        <w:tc>
          <w:tcPr>
            <w:tcW w:w="2851" w:type="pct"/>
            <w:tcBorders>
              <w:top w:val="nil"/>
              <w:left w:val="nil"/>
              <w:bottom w:val="single" w:sz="4" w:space="0" w:color="auto"/>
              <w:right w:val="nil"/>
            </w:tcBorders>
            <w:shd w:val="clear" w:color="auto" w:fill="auto"/>
            <w:vAlign w:val="center"/>
            <w:hideMark/>
          </w:tcPr>
          <w:p w14:paraId="38A069D3" w14:textId="77777777" w:rsidR="00FE1E8C" w:rsidRPr="00176BA0" w:rsidRDefault="00FE1E8C" w:rsidP="00FE1E8C">
            <w:pPr>
              <w:rPr>
                <w:b/>
                <w:bCs/>
                <w:sz w:val="18"/>
                <w:szCs w:val="18"/>
              </w:rPr>
            </w:pPr>
            <w:r w:rsidRPr="00176BA0">
              <w:rPr>
                <w:b/>
                <w:bCs/>
                <w:sz w:val="18"/>
                <w:szCs w:val="18"/>
              </w:rPr>
              <w:t>Total</w:t>
            </w:r>
          </w:p>
        </w:tc>
        <w:tc>
          <w:tcPr>
            <w:tcW w:w="1074" w:type="pct"/>
            <w:tcBorders>
              <w:top w:val="single" w:sz="4" w:space="0" w:color="auto"/>
              <w:left w:val="nil"/>
              <w:bottom w:val="single" w:sz="4" w:space="0" w:color="auto"/>
              <w:right w:val="nil"/>
            </w:tcBorders>
            <w:shd w:val="clear" w:color="auto" w:fill="auto"/>
            <w:vAlign w:val="center"/>
          </w:tcPr>
          <w:p w14:paraId="7D0885BC" w14:textId="2B913854" w:rsidR="00FE1E8C" w:rsidRPr="00176BA0" w:rsidRDefault="00FE1E8C" w:rsidP="00FE1E8C">
            <w:pPr>
              <w:jc w:val="right"/>
              <w:rPr>
                <w:b/>
                <w:bCs/>
                <w:sz w:val="18"/>
                <w:szCs w:val="18"/>
              </w:rPr>
            </w:pPr>
            <w:r>
              <w:rPr>
                <w:b/>
                <w:bCs/>
                <w:sz w:val="18"/>
                <w:szCs w:val="18"/>
              </w:rPr>
              <w:t>5.119.200,66</w:t>
            </w:r>
          </w:p>
        </w:tc>
        <w:tc>
          <w:tcPr>
            <w:tcW w:w="1075" w:type="pct"/>
            <w:tcBorders>
              <w:top w:val="single" w:sz="4" w:space="0" w:color="auto"/>
              <w:left w:val="nil"/>
              <w:bottom w:val="single" w:sz="4" w:space="0" w:color="auto"/>
              <w:right w:val="nil"/>
            </w:tcBorders>
            <w:shd w:val="clear" w:color="auto" w:fill="auto"/>
            <w:vAlign w:val="center"/>
            <w:hideMark/>
          </w:tcPr>
          <w:p w14:paraId="4AFF8571" w14:textId="21FF2596" w:rsidR="00FE1E8C" w:rsidRPr="00176BA0" w:rsidRDefault="00FE1E8C" w:rsidP="00FE1E8C">
            <w:pPr>
              <w:jc w:val="right"/>
              <w:rPr>
                <w:b/>
                <w:bCs/>
                <w:sz w:val="18"/>
                <w:szCs w:val="18"/>
              </w:rPr>
            </w:pPr>
            <w:r>
              <w:rPr>
                <w:b/>
                <w:bCs/>
                <w:sz w:val="18"/>
                <w:szCs w:val="18"/>
              </w:rPr>
              <w:t>4.198.177,42</w:t>
            </w:r>
          </w:p>
        </w:tc>
      </w:tr>
    </w:tbl>
    <w:p w14:paraId="31106B02" w14:textId="7AC8E688" w:rsidR="00F25A85" w:rsidRDefault="003B5950" w:rsidP="001B5A15">
      <w:pPr>
        <w:widowControl w:val="0"/>
        <w:spacing w:before="240" w:after="120" w:line="260" w:lineRule="exact"/>
        <w:jc w:val="both"/>
        <w:outlineLvl w:val="9"/>
        <w:rPr>
          <w:snapToGrid w:val="0"/>
          <w:sz w:val="20"/>
          <w:szCs w:val="22"/>
        </w:rPr>
      </w:pPr>
      <w:r w:rsidRPr="00F25A85">
        <w:rPr>
          <w:snapToGrid w:val="0"/>
          <w:sz w:val="20"/>
          <w:szCs w:val="22"/>
        </w:rPr>
        <w:t>A 31 de diciembre de 202</w:t>
      </w:r>
      <w:r w:rsidR="00FE1E8C" w:rsidRPr="00F25A85">
        <w:rPr>
          <w:snapToGrid w:val="0"/>
          <w:sz w:val="20"/>
          <w:szCs w:val="22"/>
        </w:rPr>
        <w:t>2</w:t>
      </w:r>
      <w:r w:rsidRPr="00F25A85">
        <w:rPr>
          <w:snapToGrid w:val="0"/>
          <w:sz w:val="20"/>
          <w:szCs w:val="22"/>
        </w:rPr>
        <w:t xml:space="preserve"> la Sociedad registr</w:t>
      </w:r>
      <w:r w:rsidR="00D64516" w:rsidRPr="00F25A85">
        <w:rPr>
          <w:snapToGrid w:val="0"/>
          <w:sz w:val="20"/>
          <w:szCs w:val="22"/>
        </w:rPr>
        <w:t xml:space="preserve">o </w:t>
      </w:r>
      <w:r w:rsidRPr="00F25A85">
        <w:rPr>
          <w:snapToGrid w:val="0"/>
          <w:sz w:val="20"/>
          <w:szCs w:val="22"/>
        </w:rPr>
        <w:t>una provisión por los seguros sociales correspondientes a los salarios minorados en 2010 por importe de 101.407,52 euros (21.941,98 euros en 2021) correspondientes al 5% del salario base, antigüedad y bolsa de vacaciones del ejercicio, con efecto desde el 1 de enero de 2019, reconocida por la Dirección General de Planificación y Presupuestos del Gobierno de Canarias, en base a la Ley 7/2022, de 28 de diciembre, de Presupuestos Generales de la Comunidad Autónoma de Canarias para 2023 (</w:t>
      </w:r>
      <w:r w:rsidR="00C060F2" w:rsidRPr="00F25A85">
        <w:rPr>
          <w:snapToGrid w:val="0"/>
          <w:sz w:val="20"/>
          <w:szCs w:val="22"/>
        </w:rPr>
        <w:t>N</w:t>
      </w:r>
      <w:r w:rsidRPr="00F25A85">
        <w:rPr>
          <w:snapToGrid w:val="0"/>
          <w:sz w:val="20"/>
          <w:szCs w:val="22"/>
        </w:rPr>
        <w:t>ota</w:t>
      </w:r>
      <w:r w:rsidR="00C060F2" w:rsidRPr="00F25A85">
        <w:rPr>
          <w:snapToGrid w:val="0"/>
          <w:sz w:val="20"/>
          <w:szCs w:val="22"/>
        </w:rPr>
        <w:t>s</w:t>
      </w:r>
      <w:r w:rsidRPr="00F25A85">
        <w:rPr>
          <w:snapToGrid w:val="0"/>
          <w:sz w:val="20"/>
          <w:szCs w:val="22"/>
        </w:rPr>
        <w:t xml:space="preserve"> 8.3.a</w:t>
      </w:r>
      <w:r w:rsidR="00D02FCE" w:rsidRPr="00F25A85">
        <w:rPr>
          <w:snapToGrid w:val="0"/>
          <w:sz w:val="20"/>
          <w:szCs w:val="22"/>
        </w:rPr>
        <w:t xml:space="preserve"> y 12.c</w:t>
      </w:r>
      <w:r w:rsidRPr="00F25A85">
        <w:rPr>
          <w:snapToGrid w:val="0"/>
          <w:sz w:val="20"/>
          <w:szCs w:val="22"/>
        </w:rPr>
        <w:t>).</w:t>
      </w:r>
      <w:r w:rsidR="009C5A83">
        <w:rPr>
          <w:snapToGrid w:val="0"/>
          <w:sz w:val="20"/>
          <w:szCs w:val="22"/>
        </w:rPr>
        <w:t xml:space="preserve"> </w:t>
      </w:r>
      <w:r w:rsidR="00F25A85">
        <w:rPr>
          <w:snapToGrid w:val="0"/>
          <w:sz w:val="20"/>
          <w:szCs w:val="22"/>
        </w:rPr>
        <w:t>A 31 de diciembre de 2023 la sociedad ha aplicado dicha provisión.</w:t>
      </w:r>
    </w:p>
    <w:p w14:paraId="23964E7C" w14:textId="649F1726" w:rsidR="006220A2" w:rsidRPr="00274EE1" w:rsidRDefault="006220A2" w:rsidP="00236065">
      <w:pPr>
        <w:keepNext/>
        <w:keepLines/>
        <w:widowControl w:val="0"/>
        <w:spacing w:before="200"/>
        <w:rPr>
          <w:b/>
          <w:sz w:val="20"/>
          <w:szCs w:val="22"/>
          <w:u w:val="single"/>
        </w:rPr>
      </w:pPr>
      <w:r w:rsidRPr="00D67C6B">
        <w:rPr>
          <w:b/>
          <w:sz w:val="20"/>
          <w:szCs w:val="22"/>
        </w:rPr>
        <w:t>11.2.</w:t>
      </w:r>
      <w:r w:rsidR="00841182" w:rsidRPr="00D67C6B">
        <w:rPr>
          <w:b/>
          <w:sz w:val="20"/>
          <w:szCs w:val="22"/>
        </w:rPr>
        <w:t xml:space="preserve"> </w:t>
      </w:r>
      <w:r w:rsidRPr="00D67C6B">
        <w:rPr>
          <w:b/>
          <w:sz w:val="20"/>
          <w:szCs w:val="22"/>
        </w:rPr>
        <w:t>Impuesto sobre beneficios y situación fiscal</w:t>
      </w:r>
    </w:p>
    <w:p w14:paraId="584DC183" w14:textId="77777777" w:rsidR="006220A2" w:rsidRPr="003626BA" w:rsidRDefault="006220A2" w:rsidP="00D67C6B">
      <w:pPr>
        <w:widowControl w:val="0"/>
        <w:spacing w:before="120" w:after="120" w:line="260" w:lineRule="exact"/>
        <w:jc w:val="both"/>
        <w:outlineLvl w:val="9"/>
        <w:rPr>
          <w:snapToGrid w:val="0"/>
          <w:sz w:val="20"/>
          <w:szCs w:val="22"/>
        </w:rPr>
      </w:pPr>
      <w:r w:rsidRPr="003626BA">
        <w:rPr>
          <w:snapToGrid w:val="0"/>
          <w:sz w:val="20"/>
          <w:szCs w:val="22"/>
        </w:rPr>
        <w:t>La conciliación entre el importe neto de ingresos y gastos del ejercicio y la base imponible del impuesto sobre beneficios es la siguiente:</w:t>
      </w:r>
    </w:p>
    <w:tbl>
      <w:tblPr>
        <w:tblW w:w="5000" w:type="pct"/>
        <w:jc w:val="center"/>
        <w:tblCellMar>
          <w:left w:w="70" w:type="dxa"/>
          <w:right w:w="70" w:type="dxa"/>
        </w:tblCellMar>
        <w:tblLook w:val="04A0" w:firstRow="1" w:lastRow="0" w:firstColumn="1" w:lastColumn="0" w:noHBand="0" w:noVBand="1"/>
      </w:tblPr>
      <w:tblGrid>
        <w:gridCol w:w="5298"/>
        <w:gridCol w:w="1758"/>
        <w:gridCol w:w="1725"/>
      </w:tblGrid>
      <w:tr w:rsidR="00236065" w:rsidRPr="003626BA" w14:paraId="283252E9" w14:textId="77777777" w:rsidTr="00723F3F">
        <w:trPr>
          <w:trHeight w:val="227"/>
          <w:jc w:val="center"/>
        </w:trPr>
        <w:tc>
          <w:tcPr>
            <w:tcW w:w="3017" w:type="pct"/>
            <w:tcBorders>
              <w:top w:val="single" w:sz="4" w:space="0" w:color="auto"/>
              <w:left w:val="nil"/>
              <w:bottom w:val="single" w:sz="4" w:space="0" w:color="auto"/>
              <w:right w:val="nil"/>
            </w:tcBorders>
            <w:shd w:val="clear" w:color="auto" w:fill="auto"/>
            <w:vAlign w:val="bottom"/>
            <w:hideMark/>
          </w:tcPr>
          <w:p w14:paraId="3A05AFF5" w14:textId="77777777" w:rsidR="00236065" w:rsidRPr="003626BA" w:rsidRDefault="00236065" w:rsidP="00852114">
            <w:pPr>
              <w:jc w:val="center"/>
              <w:rPr>
                <w:rFonts w:eastAsia="Times New Roman" w:cs="Times"/>
                <w:sz w:val="18"/>
                <w:szCs w:val="18"/>
              </w:rPr>
            </w:pPr>
          </w:p>
        </w:tc>
        <w:tc>
          <w:tcPr>
            <w:tcW w:w="1983" w:type="pct"/>
            <w:gridSpan w:val="2"/>
            <w:tcBorders>
              <w:top w:val="single" w:sz="4" w:space="0" w:color="auto"/>
              <w:left w:val="nil"/>
              <w:bottom w:val="single" w:sz="4" w:space="0" w:color="auto"/>
              <w:right w:val="nil"/>
            </w:tcBorders>
            <w:shd w:val="clear" w:color="auto" w:fill="auto"/>
            <w:vAlign w:val="bottom"/>
            <w:hideMark/>
          </w:tcPr>
          <w:p w14:paraId="073C1D07" w14:textId="77777777" w:rsidR="00236065" w:rsidRPr="003626BA" w:rsidRDefault="00236065" w:rsidP="00852114">
            <w:pPr>
              <w:jc w:val="center"/>
              <w:rPr>
                <w:rFonts w:eastAsia="Times New Roman"/>
                <w:b/>
                <w:bCs/>
                <w:sz w:val="18"/>
                <w:szCs w:val="18"/>
              </w:rPr>
            </w:pPr>
            <w:r w:rsidRPr="003626BA">
              <w:rPr>
                <w:rFonts w:eastAsia="Times New Roman"/>
                <w:b/>
                <w:bCs/>
                <w:sz w:val="18"/>
                <w:szCs w:val="18"/>
              </w:rPr>
              <w:t>Euros</w:t>
            </w:r>
          </w:p>
        </w:tc>
      </w:tr>
      <w:tr w:rsidR="003B4D48" w:rsidRPr="003626BA" w14:paraId="32D1FB7D" w14:textId="77777777" w:rsidTr="00723F3F">
        <w:trPr>
          <w:trHeight w:val="227"/>
          <w:jc w:val="center"/>
        </w:trPr>
        <w:tc>
          <w:tcPr>
            <w:tcW w:w="3017" w:type="pct"/>
            <w:tcBorders>
              <w:top w:val="single" w:sz="4" w:space="0" w:color="auto"/>
              <w:left w:val="nil"/>
              <w:bottom w:val="single" w:sz="4" w:space="0" w:color="auto"/>
              <w:right w:val="nil"/>
            </w:tcBorders>
            <w:shd w:val="clear" w:color="auto" w:fill="auto"/>
            <w:vAlign w:val="bottom"/>
          </w:tcPr>
          <w:p w14:paraId="2DA3856B" w14:textId="77777777" w:rsidR="003B4D48" w:rsidRPr="003626BA" w:rsidRDefault="003B4D48" w:rsidP="003B4D48">
            <w:pPr>
              <w:jc w:val="center"/>
              <w:rPr>
                <w:rFonts w:eastAsia="Times New Roman" w:cs="Times"/>
                <w:sz w:val="18"/>
                <w:szCs w:val="18"/>
              </w:rPr>
            </w:pPr>
          </w:p>
        </w:tc>
        <w:tc>
          <w:tcPr>
            <w:tcW w:w="1001" w:type="pct"/>
            <w:tcBorders>
              <w:top w:val="single" w:sz="4" w:space="0" w:color="auto"/>
              <w:left w:val="nil"/>
              <w:bottom w:val="single" w:sz="4" w:space="0" w:color="auto"/>
              <w:right w:val="nil"/>
            </w:tcBorders>
            <w:shd w:val="clear" w:color="auto" w:fill="auto"/>
            <w:vAlign w:val="bottom"/>
          </w:tcPr>
          <w:p w14:paraId="75422C5D" w14:textId="444556C3" w:rsidR="003B4D48" w:rsidRPr="003626BA" w:rsidRDefault="003B4D48" w:rsidP="003B4D48">
            <w:pPr>
              <w:jc w:val="center"/>
              <w:rPr>
                <w:rFonts w:eastAsia="Times New Roman"/>
                <w:b/>
                <w:bCs/>
                <w:sz w:val="18"/>
                <w:szCs w:val="18"/>
              </w:rPr>
            </w:pPr>
            <w:r w:rsidRPr="003626BA">
              <w:rPr>
                <w:rFonts w:eastAsia="Times New Roman"/>
                <w:b/>
                <w:bCs/>
                <w:sz w:val="18"/>
                <w:szCs w:val="18"/>
              </w:rPr>
              <w:t>202</w:t>
            </w:r>
            <w:r w:rsidR="003626BA" w:rsidRPr="003626BA">
              <w:rPr>
                <w:rFonts w:eastAsia="Times New Roman"/>
                <w:b/>
                <w:bCs/>
                <w:sz w:val="18"/>
                <w:szCs w:val="18"/>
              </w:rPr>
              <w:t>3</w:t>
            </w:r>
          </w:p>
        </w:tc>
        <w:tc>
          <w:tcPr>
            <w:tcW w:w="982" w:type="pct"/>
            <w:tcBorders>
              <w:top w:val="single" w:sz="4" w:space="0" w:color="auto"/>
              <w:left w:val="nil"/>
              <w:bottom w:val="single" w:sz="4" w:space="0" w:color="auto"/>
              <w:right w:val="nil"/>
            </w:tcBorders>
            <w:vAlign w:val="bottom"/>
          </w:tcPr>
          <w:p w14:paraId="06ACEB77" w14:textId="43EBB59A" w:rsidR="003B4D48" w:rsidRPr="003626BA" w:rsidRDefault="003626BA" w:rsidP="003B4D48">
            <w:pPr>
              <w:jc w:val="center"/>
              <w:rPr>
                <w:rFonts w:eastAsia="Times New Roman"/>
                <w:b/>
                <w:bCs/>
                <w:sz w:val="18"/>
                <w:szCs w:val="18"/>
              </w:rPr>
            </w:pPr>
            <w:r w:rsidRPr="003626BA">
              <w:rPr>
                <w:rFonts w:eastAsia="Times New Roman"/>
                <w:b/>
                <w:bCs/>
                <w:sz w:val="18"/>
                <w:szCs w:val="18"/>
              </w:rPr>
              <w:t>2022</w:t>
            </w:r>
          </w:p>
        </w:tc>
      </w:tr>
      <w:tr w:rsidR="003626BA" w:rsidRPr="003626BA" w14:paraId="30EA65E2" w14:textId="77777777" w:rsidTr="00176BA0">
        <w:trPr>
          <w:trHeight w:val="283"/>
          <w:jc w:val="center"/>
        </w:trPr>
        <w:tc>
          <w:tcPr>
            <w:tcW w:w="3017" w:type="pct"/>
            <w:tcBorders>
              <w:top w:val="nil"/>
              <w:left w:val="nil"/>
              <w:bottom w:val="single" w:sz="4" w:space="0" w:color="auto"/>
              <w:right w:val="nil"/>
            </w:tcBorders>
            <w:shd w:val="clear" w:color="auto" w:fill="auto"/>
            <w:vAlign w:val="center"/>
            <w:hideMark/>
          </w:tcPr>
          <w:p w14:paraId="3CA9BA49" w14:textId="77777777" w:rsidR="003626BA" w:rsidRPr="003626BA" w:rsidRDefault="003626BA" w:rsidP="003626BA">
            <w:pPr>
              <w:jc w:val="both"/>
              <w:rPr>
                <w:rFonts w:eastAsia="Times New Roman"/>
                <w:b/>
                <w:bCs/>
                <w:sz w:val="18"/>
                <w:szCs w:val="18"/>
              </w:rPr>
            </w:pPr>
            <w:r w:rsidRPr="003626BA">
              <w:rPr>
                <w:rFonts w:eastAsia="Times New Roman"/>
                <w:b/>
                <w:bCs/>
                <w:sz w:val="18"/>
                <w:szCs w:val="18"/>
              </w:rPr>
              <w:t>RESULTADO CONTABLE</w:t>
            </w:r>
          </w:p>
        </w:tc>
        <w:tc>
          <w:tcPr>
            <w:tcW w:w="1001" w:type="pct"/>
            <w:tcBorders>
              <w:top w:val="nil"/>
              <w:left w:val="nil"/>
              <w:bottom w:val="single" w:sz="4" w:space="0" w:color="auto"/>
              <w:right w:val="nil"/>
            </w:tcBorders>
            <w:shd w:val="clear" w:color="auto" w:fill="auto"/>
            <w:vAlign w:val="center"/>
          </w:tcPr>
          <w:p w14:paraId="565C4E1F" w14:textId="1DA9E058" w:rsidR="003626BA" w:rsidRPr="003626BA" w:rsidRDefault="003626BA" w:rsidP="003626B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3626BA">
              <w:rPr>
                <w:sz w:val="18"/>
                <w:szCs w:val="18"/>
              </w:rPr>
              <w:t>(3.577.139,00)</w:t>
            </w:r>
          </w:p>
        </w:tc>
        <w:tc>
          <w:tcPr>
            <w:tcW w:w="982" w:type="pct"/>
            <w:tcBorders>
              <w:top w:val="nil"/>
              <w:left w:val="nil"/>
              <w:bottom w:val="single" w:sz="4" w:space="0" w:color="auto"/>
              <w:right w:val="nil"/>
            </w:tcBorders>
            <w:vAlign w:val="center"/>
          </w:tcPr>
          <w:p w14:paraId="2E2DDFAB" w14:textId="3A88DB60" w:rsidR="003626BA" w:rsidRPr="003626BA" w:rsidRDefault="003626BA" w:rsidP="003626BA">
            <w:pPr>
              <w:jc w:val="right"/>
              <w:rPr>
                <w:sz w:val="18"/>
                <w:szCs w:val="18"/>
              </w:rPr>
            </w:pPr>
            <w:r w:rsidRPr="003626BA">
              <w:rPr>
                <w:sz w:val="18"/>
                <w:szCs w:val="18"/>
              </w:rPr>
              <w:t>(2.327.888,00)</w:t>
            </w:r>
          </w:p>
        </w:tc>
      </w:tr>
      <w:tr w:rsidR="003626BA" w:rsidRPr="003626BA" w14:paraId="18482FE3" w14:textId="77777777" w:rsidTr="00176BA0">
        <w:trPr>
          <w:trHeight w:val="283"/>
          <w:jc w:val="center"/>
        </w:trPr>
        <w:tc>
          <w:tcPr>
            <w:tcW w:w="3017" w:type="pct"/>
            <w:tcBorders>
              <w:top w:val="nil"/>
              <w:left w:val="nil"/>
              <w:bottom w:val="nil"/>
              <w:right w:val="nil"/>
            </w:tcBorders>
            <w:shd w:val="clear" w:color="auto" w:fill="auto"/>
            <w:vAlign w:val="center"/>
            <w:hideMark/>
          </w:tcPr>
          <w:p w14:paraId="2B5362DF" w14:textId="77777777" w:rsidR="003626BA" w:rsidRPr="003626BA" w:rsidRDefault="003626BA" w:rsidP="003626BA">
            <w:pPr>
              <w:jc w:val="both"/>
              <w:rPr>
                <w:rFonts w:eastAsia="Times New Roman"/>
                <w:sz w:val="18"/>
                <w:szCs w:val="18"/>
              </w:rPr>
            </w:pPr>
            <w:r w:rsidRPr="003626BA">
              <w:rPr>
                <w:rFonts w:eastAsia="Times New Roman"/>
                <w:sz w:val="18"/>
                <w:szCs w:val="18"/>
              </w:rPr>
              <w:t xml:space="preserve">Diferencias permanentes: </w:t>
            </w:r>
          </w:p>
        </w:tc>
        <w:tc>
          <w:tcPr>
            <w:tcW w:w="1001" w:type="pct"/>
            <w:tcBorders>
              <w:top w:val="nil"/>
              <w:left w:val="nil"/>
              <w:bottom w:val="nil"/>
              <w:right w:val="nil"/>
            </w:tcBorders>
            <w:shd w:val="clear" w:color="auto" w:fill="auto"/>
            <w:noWrap/>
            <w:vAlign w:val="center"/>
          </w:tcPr>
          <w:p w14:paraId="3904E1B3" w14:textId="77777777" w:rsidR="003626BA" w:rsidRPr="003626BA" w:rsidRDefault="003626BA" w:rsidP="003626BA">
            <w:pPr>
              <w:jc w:val="right"/>
              <w:rPr>
                <w:sz w:val="18"/>
                <w:szCs w:val="18"/>
              </w:rPr>
            </w:pPr>
          </w:p>
        </w:tc>
        <w:tc>
          <w:tcPr>
            <w:tcW w:w="982" w:type="pct"/>
            <w:tcBorders>
              <w:top w:val="nil"/>
              <w:left w:val="nil"/>
              <w:bottom w:val="nil"/>
              <w:right w:val="nil"/>
            </w:tcBorders>
            <w:vAlign w:val="center"/>
          </w:tcPr>
          <w:p w14:paraId="0B535DF5" w14:textId="77777777" w:rsidR="003626BA" w:rsidRPr="003626BA" w:rsidRDefault="003626BA" w:rsidP="003626BA">
            <w:pPr>
              <w:jc w:val="right"/>
              <w:rPr>
                <w:sz w:val="18"/>
                <w:szCs w:val="18"/>
              </w:rPr>
            </w:pPr>
          </w:p>
        </w:tc>
      </w:tr>
      <w:tr w:rsidR="003626BA" w:rsidRPr="003626BA" w14:paraId="76B47167" w14:textId="77777777" w:rsidTr="00176BA0">
        <w:trPr>
          <w:trHeight w:val="283"/>
          <w:jc w:val="center"/>
        </w:trPr>
        <w:tc>
          <w:tcPr>
            <w:tcW w:w="3017" w:type="pct"/>
            <w:tcBorders>
              <w:top w:val="nil"/>
              <w:left w:val="nil"/>
              <w:bottom w:val="nil"/>
              <w:right w:val="nil"/>
            </w:tcBorders>
            <w:shd w:val="clear" w:color="auto" w:fill="auto"/>
            <w:vAlign w:val="center"/>
            <w:hideMark/>
          </w:tcPr>
          <w:p w14:paraId="2461CD91" w14:textId="77777777" w:rsidR="003626BA" w:rsidRPr="003626BA" w:rsidRDefault="003626BA" w:rsidP="003626BA">
            <w:pPr>
              <w:jc w:val="both"/>
              <w:rPr>
                <w:rFonts w:eastAsia="Times New Roman"/>
                <w:sz w:val="18"/>
                <w:szCs w:val="18"/>
              </w:rPr>
            </w:pPr>
            <w:r w:rsidRPr="003626BA">
              <w:rPr>
                <w:rFonts w:eastAsia="Times New Roman"/>
                <w:sz w:val="18"/>
                <w:szCs w:val="18"/>
              </w:rPr>
              <w:t xml:space="preserve">     Sanciones y recargos</w:t>
            </w:r>
          </w:p>
        </w:tc>
        <w:tc>
          <w:tcPr>
            <w:tcW w:w="1001" w:type="pct"/>
            <w:tcBorders>
              <w:top w:val="nil"/>
              <w:left w:val="nil"/>
              <w:bottom w:val="nil"/>
              <w:right w:val="nil"/>
            </w:tcBorders>
            <w:shd w:val="clear" w:color="auto" w:fill="auto"/>
            <w:vAlign w:val="center"/>
          </w:tcPr>
          <w:p w14:paraId="5717ECB2" w14:textId="41C45A10" w:rsidR="003626BA" w:rsidRPr="003626BA" w:rsidRDefault="003626BA" w:rsidP="003626BA">
            <w:pPr>
              <w:jc w:val="right"/>
              <w:rPr>
                <w:sz w:val="18"/>
                <w:szCs w:val="18"/>
              </w:rPr>
            </w:pPr>
            <w:r w:rsidRPr="003626BA">
              <w:rPr>
                <w:sz w:val="18"/>
                <w:szCs w:val="18"/>
              </w:rPr>
              <w:t xml:space="preserve"> -</w:t>
            </w:r>
          </w:p>
        </w:tc>
        <w:tc>
          <w:tcPr>
            <w:tcW w:w="982" w:type="pct"/>
            <w:tcBorders>
              <w:top w:val="nil"/>
              <w:left w:val="nil"/>
              <w:bottom w:val="nil"/>
              <w:right w:val="nil"/>
            </w:tcBorders>
            <w:vAlign w:val="center"/>
          </w:tcPr>
          <w:p w14:paraId="4BE04B45" w14:textId="5F6C1E71" w:rsidR="003626BA" w:rsidRPr="003626BA" w:rsidRDefault="003626BA" w:rsidP="003626BA">
            <w:pPr>
              <w:jc w:val="right"/>
              <w:rPr>
                <w:sz w:val="18"/>
                <w:szCs w:val="18"/>
              </w:rPr>
            </w:pPr>
            <w:r w:rsidRPr="003626BA">
              <w:rPr>
                <w:sz w:val="18"/>
                <w:szCs w:val="18"/>
              </w:rPr>
              <w:t xml:space="preserve"> -</w:t>
            </w:r>
          </w:p>
        </w:tc>
      </w:tr>
      <w:tr w:rsidR="003626BA" w:rsidRPr="003626BA" w14:paraId="34C7AA44" w14:textId="77777777" w:rsidTr="00176BA0">
        <w:trPr>
          <w:trHeight w:val="283"/>
          <w:jc w:val="center"/>
        </w:trPr>
        <w:tc>
          <w:tcPr>
            <w:tcW w:w="3017" w:type="pct"/>
            <w:tcBorders>
              <w:top w:val="nil"/>
              <w:left w:val="nil"/>
              <w:bottom w:val="nil"/>
              <w:right w:val="nil"/>
            </w:tcBorders>
            <w:shd w:val="clear" w:color="auto" w:fill="auto"/>
            <w:vAlign w:val="center"/>
            <w:hideMark/>
          </w:tcPr>
          <w:p w14:paraId="036F665F" w14:textId="77777777" w:rsidR="003626BA" w:rsidRPr="003626BA" w:rsidRDefault="003626BA" w:rsidP="003626BA">
            <w:pPr>
              <w:jc w:val="both"/>
              <w:rPr>
                <w:rFonts w:eastAsia="Times New Roman"/>
                <w:sz w:val="18"/>
                <w:szCs w:val="18"/>
              </w:rPr>
            </w:pPr>
            <w:r w:rsidRPr="003626BA">
              <w:rPr>
                <w:rFonts w:eastAsia="Times New Roman"/>
                <w:sz w:val="18"/>
                <w:szCs w:val="18"/>
              </w:rPr>
              <w:t xml:space="preserve">     Programa desarrollo de vuelos</w:t>
            </w:r>
          </w:p>
        </w:tc>
        <w:tc>
          <w:tcPr>
            <w:tcW w:w="1001" w:type="pct"/>
            <w:tcBorders>
              <w:top w:val="nil"/>
              <w:left w:val="nil"/>
              <w:bottom w:val="nil"/>
              <w:right w:val="nil"/>
            </w:tcBorders>
            <w:shd w:val="clear" w:color="auto" w:fill="auto"/>
            <w:vAlign w:val="center"/>
          </w:tcPr>
          <w:p w14:paraId="63B6F7FE" w14:textId="3DFD23B0" w:rsidR="003626BA" w:rsidRPr="003626BA" w:rsidRDefault="003626BA" w:rsidP="003626BA">
            <w:pPr>
              <w:jc w:val="right"/>
              <w:rPr>
                <w:sz w:val="18"/>
                <w:szCs w:val="18"/>
              </w:rPr>
            </w:pPr>
            <w:r w:rsidRPr="003626BA">
              <w:rPr>
                <w:sz w:val="18"/>
                <w:szCs w:val="18"/>
              </w:rPr>
              <w:t xml:space="preserve"> -</w:t>
            </w:r>
          </w:p>
        </w:tc>
        <w:tc>
          <w:tcPr>
            <w:tcW w:w="982" w:type="pct"/>
            <w:tcBorders>
              <w:top w:val="nil"/>
              <w:left w:val="nil"/>
              <w:bottom w:val="nil"/>
              <w:right w:val="nil"/>
            </w:tcBorders>
            <w:vAlign w:val="center"/>
          </w:tcPr>
          <w:p w14:paraId="7D54AEED" w14:textId="05C7B84F" w:rsidR="003626BA" w:rsidRPr="003626BA" w:rsidRDefault="003626BA" w:rsidP="003626BA">
            <w:pPr>
              <w:jc w:val="right"/>
              <w:rPr>
                <w:sz w:val="18"/>
                <w:szCs w:val="18"/>
              </w:rPr>
            </w:pPr>
            <w:r w:rsidRPr="003626BA">
              <w:rPr>
                <w:sz w:val="18"/>
                <w:szCs w:val="18"/>
              </w:rPr>
              <w:t>67.578,00</w:t>
            </w:r>
          </w:p>
        </w:tc>
      </w:tr>
      <w:tr w:rsidR="003626BA" w:rsidRPr="003626BA" w14:paraId="3450A9CD" w14:textId="77777777" w:rsidTr="00176BA0">
        <w:trPr>
          <w:trHeight w:val="283"/>
          <w:jc w:val="center"/>
        </w:trPr>
        <w:tc>
          <w:tcPr>
            <w:tcW w:w="3017" w:type="pct"/>
            <w:tcBorders>
              <w:top w:val="nil"/>
              <w:left w:val="nil"/>
              <w:bottom w:val="nil"/>
              <w:right w:val="nil"/>
            </w:tcBorders>
            <w:shd w:val="clear" w:color="auto" w:fill="auto"/>
            <w:vAlign w:val="center"/>
            <w:hideMark/>
          </w:tcPr>
          <w:p w14:paraId="6ADBC965" w14:textId="77777777" w:rsidR="003626BA" w:rsidRPr="003626BA" w:rsidRDefault="003626BA" w:rsidP="003626BA">
            <w:pPr>
              <w:jc w:val="both"/>
              <w:rPr>
                <w:rFonts w:eastAsia="Times New Roman"/>
                <w:sz w:val="18"/>
                <w:szCs w:val="18"/>
              </w:rPr>
            </w:pPr>
            <w:r w:rsidRPr="003626BA">
              <w:rPr>
                <w:rFonts w:eastAsia="Times New Roman"/>
                <w:sz w:val="18"/>
                <w:szCs w:val="18"/>
              </w:rPr>
              <w:t xml:space="preserve">     Mayor valor de mercado de Operaciones vinculadas</w:t>
            </w:r>
          </w:p>
        </w:tc>
        <w:tc>
          <w:tcPr>
            <w:tcW w:w="1001" w:type="pct"/>
            <w:tcBorders>
              <w:top w:val="nil"/>
              <w:left w:val="nil"/>
              <w:bottom w:val="nil"/>
              <w:right w:val="nil"/>
            </w:tcBorders>
            <w:shd w:val="clear" w:color="auto" w:fill="auto"/>
            <w:vAlign w:val="center"/>
          </w:tcPr>
          <w:p w14:paraId="0CCA079A" w14:textId="7521C35A" w:rsidR="003626BA" w:rsidRPr="003626BA" w:rsidRDefault="003626BA" w:rsidP="003626BA">
            <w:pPr>
              <w:jc w:val="right"/>
              <w:rPr>
                <w:sz w:val="18"/>
                <w:szCs w:val="18"/>
              </w:rPr>
            </w:pPr>
            <w:r w:rsidRPr="003626BA">
              <w:rPr>
                <w:sz w:val="18"/>
                <w:szCs w:val="18"/>
              </w:rPr>
              <w:t>2.337.194,71</w:t>
            </w:r>
          </w:p>
        </w:tc>
        <w:tc>
          <w:tcPr>
            <w:tcW w:w="982" w:type="pct"/>
            <w:tcBorders>
              <w:top w:val="nil"/>
              <w:left w:val="nil"/>
              <w:bottom w:val="nil"/>
              <w:right w:val="nil"/>
            </w:tcBorders>
            <w:vAlign w:val="center"/>
          </w:tcPr>
          <w:p w14:paraId="3D92659A" w14:textId="5A1BC14C" w:rsidR="003626BA" w:rsidRPr="003626BA" w:rsidRDefault="003626BA" w:rsidP="003626BA">
            <w:pPr>
              <w:jc w:val="right"/>
              <w:rPr>
                <w:sz w:val="18"/>
                <w:szCs w:val="18"/>
              </w:rPr>
            </w:pPr>
            <w:r w:rsidRPr="003626BA">
              <w:rPr>
                <w:sz w:val="18"/>
                <w:szCs w:val="18"/>
              </w:rPr>
              <w:t>2.149.921,67</w:t>
            </w:r>
          </w:p>
        </w:tc>
      </w:tr>
      <w:tr w:rsidR="003626BA" w:rsidRPr="003626BA" w14:paraId="2A047B0A" w14:textId="77777777" w:rsidTr="00176BA0">
        <w:trPr>
          <w:trHeight w:val="283"/>
          <w:jc w:val="center"/>
        </w:trPr>
        <w:tc>
          <w:tcPr>
            <w:tcW w:w="3017" w:type="pct"/>
            <w:tcBorders>
              <w:top w:val="single" w:sz="4" w:space="0" w:color="auto"/>
              <w:left w:val="nil"/>
              <w:bottom w:val="single" w:sz="4" w:space="0" w:color="auto"/>
              <w:right w:val="nil"/>
            </w:tcBorders>
            <w:shd w:val="clear" w:color="auto" w:fill="auto"/>
            <w:vAlign w:val="center"/>
            <w:hideMark/>
          </w:tcPr>
          <w:p w14:paraId="158EE3AF" w14:textId="77777777" w:rsidR="003626BA" w:rsidRPr="003626BA" w:rsidRDefault="003626BA" w:rsidP="003626BA">
            <w:pPr>
              <w:jc w:val="both"/>
              <w:rPr>
                <w:rFonts w:eastAsia="Times New Roman"/>
                <w:b/>
                <w:bCs/>
                <w:sz w:val="18"/>
                <w:szCs w:val="18"/>
              </w:rPr>
            </w:pPr>
            <w:r w:rsidRPr="003626BA">
              <w:rPr>
                <w:rFonts w:eastAsia="Times New Roman"/>
                <w:b/>
                <w:bCs/>
                <w:sz w:val="18"/>
                <w:szCs w:val="18"/>
              </w:rPr>
              <w:t>RESULTADO CONTABLE AJUSTADO</w:t>
            </w:r>
          </w:p>
        </w:tc>
        <w:tc>
          <w:tcPr>
            <w:tcW w:w="1001" w:type="pct"/>
            <w:tcBorders>
              <w:top w:val="single" w:sz="4" w:space="0" w:color="auto"/>
              <w:left w:val="nil"/>
              <w:bottom w:val="single" w:sz="4" w:space="0" w:color="auto"/>
              <w:right w:val="nil"/>
            </w:tcBorders>
            <w:shd w:val="clear" w:color="auto" w:fill="auto"/>
            <w:vAlign w:val="center"/>
          </w:tcPr>
          <w:p w14:paraId="25C16B9F" w14:textId="425F1F82" w:rsidR="003626BA" w:rsidRPr="003626BA" w:rsidRDefault="003626BA" w:rsidP="003626BA">
            <w:pPr>
              <w:jc w:val="right"/>
              <w:rPr>
                <w:b/>
                <w:bCs/>
                <w:sz w:val="18"/>
                <w:szCs w:val="18"/>
              </w:rPr>
            </w:pPr>
            <w:r w:rsidRPr="003626BA">
              <w:rPr>
                <w:b/>
                <w:bCs/>
                <w:sz w:val="18"/>
                <w:szCs w:val="18"/>
              </w:rPr>
              <w:t>(1.239.944,29)</w:t>
            </w:r>
          </w:p>
        </w:tc>
        <w:tc>
          <w:tcPr>
            <w:tcW w:w="982" w:type="pct"/>
            <w:tcBorders>
              <w:top w:val="single" w:sz="4" w:space="0" w:color="auto"/>
              <w:left w:val="nil"/>
              <w:bottom w:val="single" w:sz="4" w:space="0" w:color="auto"/>
              <w:right w:val="nil"/>
            </w:tcBorders>
            <w:vAlign w:val="center"/>
          </w:tcPr>
          <w:p w14:paraId="084A6B56" w14:textId="4A1EE9FB" w:rsidR="003626BA" w:rsidRPr="003626BA" w:rsidRDefault="003626BA" w:rsidP="003626BA">
            <w:pPr>
              <w:jc w:val="right"/>
              <w:rPr>
                <w:b/>
                <w:bCs/>
                <w:sz w:val="18"/>
                <w:szCs w:val="18"/>
              </w:rPr>
            </w:pPr>
            <w:r w:rsidRPr="003626BA">
              <w:rPr>
                <w:b/>
                <w:bCs/>
                <w:sz w:val="18"/>
                <w:szCs w:val="18"/>
              </w:rPr>
              <w:t>(110.388,33)</w:t>
            </w:r>
          </w:p>
        </w:tc>
      </w:tr>
      <w:tr w:rsidR="003626BA" w:rsidRPr="003626BA" w14:paraId="62F12D1D" w14:textId="77777777" w:rsidTr="00176BA0">
        <w:trPr>
          <w:trHeight w:val="283"/>
          <w:jc w:val="center"/>
        </w:trPr>
        <w:tc>
          <w:tcPr>
            <w:tcW w:w="3017" w:type="pct"/>
            <w:tcBorders>
              <w:top w:val="nil"/>
              <w:left w:val="nil"/>
              <w:bottom w:val="nil"/>
              <w:right w:val="nil"/>
            </w:tcBorders>
            <w:shd w:val="clear" w:color="auto" w:fill="auto"/>
            <w:vAlign w:val="center"/>
            <w:hideMark/>
          </w:tcPr>
          <w:p w14:paraId="08F0FC56" w14:textId="77777777" w:rsidR="003626BA" w:rsidRPr="003626BA" w:rsidRDefault="003626BA" w:rsidP="003626BA">
            <w:pPr>
              <w:jc w:val="both"/>
              <w:rPr>
                <w:rFonts w:eastAsia="Times New Roman"/>
                <w:sz w:val="18"/>
                <w:szCs w:val="18"/>
              </w:rPr>
            </w:pPr>
            <w:r w:rsidRPr="003626BA">
              <w:rPr>
                <w:rFonts w:eastAsia="Times New Roman"/>
                <w:sz w:val="18"/>
                <w:szCs w:val="18"/>
              </w:rPr>
              <w:t>Base imponible Impuesto sobre Sociedades</w:t>
            </w:r>
          </w:p>
        </w:tc>
        <w:tc>
          <w:tcPr>
            <w:tcW w:w="1001" w:type="pct"/>
            <w:tcBorders>
              <w:top w:val="nil"/>
              <w:left w:val="nil"/>
              <w:bottom w:val="nil"/>
              <w:right w:val="nil"/>
            </w:tcBorders>
            <w:shd w:val="clear" w:color="auto" w:fill="auto"/>
            <w:vAlign w:val="center"/>
          </w:tcPr>
          <w:p w14:paraId="200D3095" w14:textId="3988BB27" w:rsidR="003626BA" w:rsidRPr="003626BA" w:rsidRDefault="003626BA" w:rsidP="003626BA">
            <w:pPr>
              <w:jc w:val="right"/>
              <w:rPr>
                <w:sz w:val="18"/>
                <w:szCs w:val="18"/>
              </w:rPr>
            </w:pPr>
            <w:r w:rsidRPr="003626BA">
              <w:rPr>
                <w:sz w:val="18"/>
                <w:szCs w:val="18"/>
              </w:rPr>
              <w:t>(1.239.944,29)</w:t>
            </w:r>
          </w:p>
        </w:tc>
        <w:tc>
          <w:tcPr>
            <w:tcW w:w="982" w:type="pct"/>
            <w:tcBorders>
              <w:top w:val="nil"/>
              <w:left w:val="nil"/>
              <w:bottom w:val="nil"/>
              <w:right w:val="nil"/>
            </w:tcBorders>
            <w:vAlign w:val="center"/>
          </w:tcPr>
          <w:p w14:paraId="350D8697" w14:textId="563CD981" w:rsidR="003626BA" w:rsidRPr="003626BA" w:rsidRDefault="003626BA" w:rsidP="003626BA">
            <w:pPr>
              <w:jc w:val="right"/>
              <w:rPr>
                <w:sz w:val="18"/>
                <w:szCs w:val="18"/>
              </w:rPr>
            </w:pPr>
            <w:r w:rsidRPr="003626BA">
              <w:rPr>
                <w:sz w:val="18"/>
                <w:szCs w:val="18"/>
              </w:rPr>
              <w:t>(110.388,33)</w:t>
            </w:r>
          </w:p>
        </w:tc>
      </w:tr>
      <w:tr w:rsidR="003626BA" w:rsidRPr="003626BA" w14:paraId="1B7830B1" w14:textId="77777777" w:rsidTr="00176BA0">
        <w:trPr>
          <w:trHeight w:val="283"/>
          <w:jc w:val="center"/>
        </w:trPr>
        <w:tc>
          <w:tcPr>
            <w:tcW w:w="3017" w:type="pct"/>
            <w:tcBorders>
              <w:top w:val="nil"/>
              <w:left w:val="nil"/>
              <w:bottom w:val="nil"/>
              <w:right w:val="nil"/>
            </w:tcBorders>
            <w:shd w:val="clear" w:color="auto" w:fill="auto"/>
            <w:vAlign w:val="center"/>
          </w:tcPr>
          <w:p w14:paraId="195D9E8E" w14:textId="5DCC4F23" w:rsidR="003626BA" w:rsidRPr="003626BA" w:rsidRDefault="003626BA" w:rsidP="003626BA">
            <w:pPr>
              <w:jc w:val="both"/>
              <w:rPr>
                <w:rFonts w:eastAsia="Times New Roman"/>
                <w:sz w:val="18"/>
                <w:szCs w:val="18"/>
              </w:rPr>
            </w:pPr>
            <w:r w:rsidRPr="003626BA">
              <w:rPr>
                <w:rFonts w:eastAsia="Times New Roman"/>
                <w:sz w:val="18"/>
                <w:szCs w:val="18"/>
              </w:rPr>
              <w:t xml:space="preserve">Compensación de </w:t>
            </w:r>
            <w:proofErr w:type="spellStart"/>
            <w:r w:rsidRPr="003626BA">
              <w:rPr>
                <w:rFonts w:eastAsia="Times New Roman"/>
                <w:sz w:val="18"/>
                <w:szCs w:val="18"/>
              </w:rPr>
              <w:t>BINs</w:t>
            </w:r>
            <w:proofErr w:type="spellEnd"/>
          </w:p>
        </w:tc>
        <w:tc>
          <w:tcPr>
            <w:tcW w:w="1001" w:type="pct"/>
            <w:tcBorders>
              <w:top w:val="nil"/>
              <w:left w:val="nil"/>
              <w:bottom w:val="nil"/>
              <w:right w:val="nil"/>
            </w:tcBorders>
            <w:shd w:val="clear" w:color="auto" w:fill="auto"/>
            <w:vAlign w:val="center"/>
          </w:tcPr>
          <w:p w14:paraId="37986243" w14:textId="4F902B0E" w:rsidR="003626BA" w:rsidRPr="003626BA" w:rsidRDefault="003626BA" w:rsidP="003626BA">
            <w:pPr>
              <w:jc w:val="right"/>
              <w:rPr>
                <w:sz w:val="18"/>
                <w:szCs w:val="18"/>
              </w:rPr>
            </w:pPr>
            <w:r w:rsidRPr="003626BA">
              <w:rPr>
                <w:sz w:val="18"/>
                <w:szCs w:val="18"/>
              </w:rPr>
              <w:t>-</w:t>
            </w:r>
          </w:p>
        </w:tc>
        <w:tc>
          <w:tcPr>
            <w:tcW w:w="982" w:type="pct"/>
            <w:tcBorders>
              <w:top w:val="nil"/>
              <w:left w:val="nil"/>
              <w:bottom w:val="nil"/>
              <w:right w:val="nil"/>
            </w:tcBorders>
            <w:vAlign w:val="center"/>
          </w:tcPr>
          <w:p w14:paraId="6BFE726A" w14:textId="47EC87F0" w:rsidR="003626BA" w:rsidRPr="003626BA" w:rsidRDefault="003626BA" w:rsidP="003626BA">
            <w:pPr>
              <w:jc w:val="right"/>
              <w:rPr>
                <w:sz w:val="18"/>
                <w:szCs w:val="18"/>
              </w:rPr>
            </w:pPr>
            <w:r w:rsidRPr="003626BA">
              <w:rPr>
                <w:sz w:val="18"/>
                <w:szCs w:val="18"/>
              </w:rPr>
              <w:t>-</w:t>
            </w:r>
          </w:p>
        </w:tc>
      </w:tr>
      <w:tr w:rsidR="003626BA" w:rsidRPr="003626BA" w14:paraId="14E7C8CB" w14:textId="77777777" w:rsidTr="00176BA0">
        <w:trPr>
          <w:trHeight w:val="283"/>
          <w:jc w:val="center"/>
        </w:trPr>
        <w:tc>
          <w:tcPr>
            <w:tcW w:w="3017" w:type="pct"/>
            <w:tcBorders>
              <w:top w:val="nil"/>
              <w:left w:val="nil"/>
              <w:bottom w:val="nil"/>
              <w:right w:val="nil"/>
            </w:tcBorders>
            <w:shd w:val="clear" w:color="auto" w:fill="auto"/>
            <w:vAlign w:val="center"/>
            <w:hideMark/>
          </w:tcPr>
          <w:p w14:paraId="595C9EB4" w14:textId="4F99C112" w:rsidR="003626BA" w:rsidRPr="003626BA" w:rsidRDefault="003626BA" w:rsidP="003626BA">
            <w:pPr>
              <w:jc w:val="both"/>
              <w:rPr>
                <w:rFonts w:eastAsia="Times New Roman"/>
                <w:sz w:val="18"/>
                <w:szCs w:val="18"/>
              </w:rPr>
            </w:pPr>
            <w:r w:rsidRPr="003626BA">
              <w:rPr>
                <w:rFonts w:eastAsia="Times New Roman"/>
                <w:sz w:val="18"/>
                <w:szCs w:val="18"/>
              </w:rPr>
              <w:t xml:space="preserve">Tipo de gravamen </w:t>
            </w:r>
          </w:p>
        </w:tc>
        <w:tc>
          <w:tcPr>
            <w:tcW w:w="1001" w:type="pct"/>
            <w:tcBorders>
              <w:top w:val="nil"/>
              <w:left w:val="nil"/>
              <w:bottom w:val="nil"/>
              <w:right w:val="nil"/>
            </w:tcBorders>
            <w:shd w:val="clear" w:color="auto" w:fill="auto"/>
            <w:vAlign w:val="center"/>
          </w:tcPr>
          <w:p w14:paraId="5141522E" w14:textId="77777777" w:rsidR="003626BA" w:rsidRPr="003626BA" w:rsidRDefault="003626BA" w:rsidP="003626BA">
            <w:pPr>
              <w:jc w:val="right"/>
              <w:rPr>
                <w:sz w:val="18"/>
                <w:szCs w:val="18"/>
              </w:rPr>
            </w:pPr>
            <w:r w:rsidRPr="003626BA">
              <w:rPr>
                <w:sz w:val="18"/>
                <w:szCs w:val="18"/>
              </w:rPr>
              <w:t xml:space="preserve"> -</w:t>
            </w:r>
          </w:p>
        </w:tc>
        <w:tc>
          <w:tcPr>
            <w:tcW w:w="982" w:type="pct"/>
            <w:tcBorders>
              <w:top w:val="nil"/>
              <w:left w:val="nil"/>
              <w:bottom w:val="nil"/>
              <w:right w:val="nil"/>
            </w:tcBorders>
            <w:vAlign w:val="center"/>
          </w:tcPr>
          <w:p w14:paraId="51FA930A" w14:textId="0DDA3714" w:rsidR="003626BA" w:rsidRPr="003626BA" w:rsidRDefault="003626BA" w:rsidP="003626BA">
            <w:pPr>
              <w:jc w:val="right"/>
              <w:rPr>
                <w:sz w:val="18"/>
                <w:szCs w:val="18"/>
              </w:rPr>
            </w:pPr>
            <w:r w:rsidRPr="003626BA">
              <w:rPr>
                <w:sz w:val="18"/>
                <w:szCs w:val="18"/>
              </w:rPr>
              <w:t xml:space="preserve"> -</w:t>
            </w:r>
          </w:p>
        </w:tc>
      </w:tr>
      <w:tr w:rsidR="003626BA" w:rsidRPr="003626BA" w14:paraId="73568270" w14:textId="77777777" w:rsidTr="00176BA0">
        <w:trPr>
          <w:trHeight w:val="283"/>
          <w:jc w:val="center"/>
        </w:trPr>
        <w:tc>
          <w:tcPr>
            <w:tcW w:w="3017" w:type="pct"/>
            <w:tcBorders>
              <w:top w:val="nil"/>
              <w:left w:val="nil"/>
              <w:bottom w:val="nil"/>
              <w:right w:val="nil"/>
            </w:tcBorders>
            <w:shd w:val="clear" w:color="auto" w:fill="auto"/>
            <w:vAlign w:val="center"/>
            <w:hideMark/>
          </w:tcPr>
          <w:p w14:paraId="1B0EC547" w14:textId="77777777" w:rsidR="003626BA" w:rsidRPr="003626BA" w:rsidRDefault="003626BA" w:rsidP="003626BA">
            <w:pPr>
              <w:jc w:val="both"/>
              <w:rPr>
                <w:rFonts w:eastAsia="Times New Roman"/>
                <w:sz w:val="18"/>
                <w:szCs w:val="18"/>
              </w:rPr>
            </w:pPr>
            <w:r w:rsidRPr="003626BA">
              <w:rPr>
                <w:rFonts w:eastAsia="Times New Roman"/>
                <w:sz w:val="18"/>
                <w:szCs w:val="18"/>
              </w:rPr>
              <w:t>Cuota impositiva</w:t>
            </w:r>
          </w:p>
        </w:tc>
        <w:tc>
          <w:tcPr>
            <w:tcW w:w="1001" w:type="pct"/>
            <w:tcBorders>
              <w:top w:val="nil"/>
              <w:left w:val="nil"/>
              <w:bottom w:val="nil"/>
              <w:right w:val="nil"/>
            </w:tcBorders>
            <w:shd w:val="clear" w:color="auto" w:fill="auto"/>
            <w:vAlign w:val="center"/>
          </w:tcPr>
          <w:p w14:paraId="20B2EABE" w14:textId="77777777" w:rsidR="003626BA" w:rsidRPr="003626BA" w:rsidRDefault="003626BA" w:rsidP="003626BA">
            <w:pPr>
              <w:jc w:val="right"/>
              <w:rPr>
                <w:sz w:val="18"/>
                <w:szCs w:val="18"/>
              </w:rPr>
            </w:pPr>
            <w:r w:rsidRPr="003626BA">
              <w:rPr>
                <w:sz w:val="18"/>
                <w:szCs w:val="18"/>
              </w:rPr>
              <w:t xml:space="preserve"> -</w:t>
            </w:r>
          </w:p>
        </w:tc>
        <w:tc>
          <w:tcPr>
            <w:tcW w:w="982" w:type="pct"/>
            <w:tcBorders>
              <w:top w:val="nil"/>
              <w:left w:val="nil"/>
              <w:bottom w:val="nil"/>
              <w:right w:val="nil"/>
            </w:tcBorders>
            <w:vAlign w:val="center"/>
          </w:tcPr>
          <w:p w14:paraId="0AE44C79" w14:textId="48BD5DBF" w:rsidR="003626BA" w:rsidRPr="003626BA" w:rsidRDefault="003626BA" w:rsidP="003626BA">
            <w:pPr>
              <w:jc w:val="right"/>
              <w:rPr>
                <w:sz w:val="18"/>
                <w:szCs w:val="18"/>
              </w:rPr>
            </w:pPr>
            <w:r w:rsidRPr="003626BA">
              <w:rPr>
                <w:sz w:val="18"/>
                <w:szCs w:val="18"/>
              </w:rPr>
              <w:t xml:space="preserve"> -</w:t>
            </w:r>
          </w:p>
        </w:tc>
      </w:tr>
      <w:tr w:rsidR="003626BA" w:rsidRPr="003626BA" w14:paraId="2DCFF5F9" w14:textId="77777777" w:rsidTr="00176BA0">
        <w:trPr>
          <w:trHeight w:val="283"/>
          <w:jc w:val="center"/>
        </w:trPr>
        <w:tc>
          <w:tcPr>
            <w:tcW w:w="3017" w:type="pct"/>
            <w:tcBorders>
              <w:top w:val="single" w:sz="4" w:space="0" w:color="auto"/>
              <w:left w:val="nil"/>
              <w:bottom w:val="single" w:sz="4" w:space="0" w:color="auto"/>
              <w:right w:val="nil"/>
            </w:tcBorders>
            <w:shd w:val="clear" w:color="auto" w:fill="auto"/>
            <w:vAlign w:val="center"/>
            <w:hideMark/>
          </w:tcPr>
          <w:p w14:paraId="58D703A3" w14:textId="77777777" w:rsidR="003626BA" w:rsidRPr="003626BA" w:rsidRDefault="003626BA" w:rsidP="003626BA">
            <w:pPr>
              <w:jc w:val="both"/>
              <w:rPr>
                <w:rFonts w:eastAsia="Times New Roman"/>
                <w:b/>
                <w:bCs/>
                <w:sz w:val="18"/>
                <w:szCs w:val="18"/>
              </w:rPr>
            </w:pPr>
            <w:r w:rsidRPr="003626BA">
              <w:rPr>
                <w:rFonts w:eastAsia="Times New Roman"/>
                <w:b/>
                <w:bCs/>
                <w:sz w:val="18"/>
                <w:szCs w:val="18"/>
              </w:rPr>
              <w:t>Impuesto sobre Beneficios</w:t>
            </w:r>
          </w:p>
        </w:tc>
        <w:tc>
          <w:tcPr>
            <w:tcW w:w="1001" w:type="pct"/>
            <w:tcBorders>
              <w:top w:val="single" w:sz="4" w:space="0" w:color="auto"/>
              <w:left w:val="nil"/>
              <w:bottom w:val="single" w:sz="4" w:space="0" w:color="auto"/>
              <w:right w:val="nil"/>
            </w:tcBorders>
            <w:shd w:val="clear" w:color="auto" w:fill="auto"/>
            <w:vAlign w:val="center"/>
          </w:tcPr>
          <w:p w14:paraId="4BB37548" w14:textId="77777777" w:rsidR="003626BA" w:rsidRPr="003626BA" w:rsidRDefault="003626BA" w:rsidP="003626BA">
            <w:pPr>
              <w:jc w:val="right"/>
              <w:rPr>
                <w:b/>
                <w:bCs/>
                <w:sz w:val="18"/>
                <w:szCs w:val="18"/>
              </w:rPr>
            </w:pPr>
            <w:r w:rsidRPr="003626BA">
              <w:rPr>
                <w:b/>
                <w:bCs/>
                <w:sz w:val="18"/>
                <w:szCs w:val="18"/>
              </w:rPr>
              <w:t xml:space="preserve"> -</w:t>
            </w:r>
          </w:p>
        </w:tc>
        <w:tc>
          <w:tcPr>
            <w:tcW w:w="982" w:type="pct"/>
            <w:tcBorders>
              <w:top w:val="single" w:sz="4" w:space="0" w:color="auto"/>
              <w:left w:val="nil"/>
              <w:bottom w:val="single" w:sz="4" w:space="0" w:color="auto"/>
              <w:right w:val="nil"/>
            </w:tcBorders>
            <w:vAlign w:val="center"/>
          </w:tcPr>
          <w:p w14:paraId="3EA728AB" w14:textId="6EB879A3" w:rsidR="003626BA" w:rsidRPr="003626BA" w:rsidRDefault="003626BA" w:rsidP="003626BA">
            <w:pPr>
              <w:jc w:val="right"/>
              <w:rPr>
                <w:b/>
                <w:bCs/>
                <w:sz w:val="18"/>
                <w:szCs w:val="18"/>
              </w:rPr>
            </w:pPr>
            <w:r w:rsidRPr="003626BA">
              <w:rPr>
                <w:b/>
                <w:bCs/>
                <w:sz w:val="18"/>
                <w:szCs w:val="18"/>
              </w:rPr>
              <w:t xml:space="preserve"> -</w:t>
            </w:r>
          </w:p>
        </w:tc>
      </w:tr>
      <w:tr w:rsidR="003626BA" w:rsidRPr="003626BA" w14:paraId="5D29477E" w14:textId="77777777" w:rsidTr="00176BA0">
        <w:trPr>
          <w:trHeight w:val="283"/>
          <w:jc w:val="center"/>
        </w:trPr>
        <w:tc>
          <w:tcPr>
            <w:tcW w:w="3017" w:type="pct"/>
            <w:tcBorders>
              <w:top w:val="nil"/>
              <w:left w:val="nil"/>
              <w:bottom w:val="nil"/>
              <w:right w:val="nil"/>
            </w:tcBorders>
            <w:shd w:val="clear" w:color="auto" w:fill="auto"/>
            <w:vAlign w:val="center"/>
            <w:hideMark/>
          </w:tcPr>
          <w:p w14:paraId="1E1C20BC" w14:textId="77777777" w:rsidR="003626BA" w:rsidRPr="003626BA" w:rsidRDefault="003626BA" w:rsidP="003626BA">
            <w:pPr>
              <w:jc w:val="both"/>
              <w:rPr>
                <w:rFonts w:eastAsia="Times New Roman"/>
                <w:sz w:val="18"/>
                <w:szCs w:val="18"/>
              </w:rPr>
            </w:pPr>
            <w:r w:rsidRPr="003626BA">
              <w:rPr>
                <w:rFonts w:eastAsia="Times New Roman"/>
                <w:sz w:val="18"/>
                <w:szCs w:val="18"/>
              </w:rPr>
              <w:t>Pagos Fraccionados</w:t>
            </w:r>
          </w:p>
        </w:tc>
        <w:tc>
          <w:tcPr>
            <w:tcW w:w="1001" w:type="pct"/>
            <w:tcBorders>
              <w:top w:val="nil"/>
              <w:left w:val="nil"/>
              <w:bottom w:val="nil"/>
              <w:right w:val="nil"/>
            </w:tcBorders>
            <w:shd w:val="clear" w:color="auto" w:fill="auto"/>
            <w:vAlign w:val="center"/>
          </w:tcPr>
          <w:p w14:paraId="38208684" w14:textId="77777777" w:rsidR="003626BA" w:rsidRPr="003626BA" w:rsidRDefault="003626BA" w:rsidP="003626BA">
            <w:pPr>
              <w:jc w:val="right"/>
              <w:rPr>
                <w:sz w:val="18"/>
                <w:szCs w:val="18"/>
              </w:rPr>
            </w:pPr>
            <w:r w:rsidRPr="003626BA">
              <w:rPr>
                <w:sz w:val="18"/>
                <w:szCs w:val="18"/>
              </w:rPr>
              <w:t xml:space="preserve"> -</w:t>
            </w:r>
          </w:p>
        </w:tc>
        <w:tc>
          <w:tcPr>
            <w:tcW w:w="982" w:type="pct"/>
            <w:tcBorders>
              <w:top w:val="nil"/>
              <w:left w:val="nil"/>
              <w:bottom w:val="nil"/>
              <w:right w:val="nil"/>
            </w:tcBorders>
            <w:vAlign w:val="center"/>
          </w:tcPr>
          <w:p w14:paraId="52D554F6" w14:textId="69AB5BAC" w:rsidR="003626BA" w:rsidRPr="003626BA" w:rsidRDefault="003626BA" w:rsidP="003626BA">
            <w:pPr>
              <w:jc w:val="right"/>
              <w:rPr>
                <w:sz w:val="18"/>
                <w:szCs w:val="18"/>
              </w:rPr>
            </w:pPr>
            <w:r w:rsidRPr="003626BA">
              <w:rPr>
                <w:sz w:val="18"/>
                <w:szCs w:val="18"/>
              </w:rPr>
              <w:t xml:space="preserve"> -</w:t>
            </w:r>
          </w:p>
        </w:tc>
      </w:tr>
      <w:tr w:rsidR="003626BA" w:rsidRPr="003626BA" w14:paraId="7DF9F07B" w14:textId="77777777" w:rsidTr="00176BA0">
        <w:trPr>
          <w:trHeight w:val="283"/>
          <w:jc w:val="center"/>
        </w:trPr>
        <w:tc>
          <w:tcPr>
            <w:tcW w:w="3017" w:type="pct"/>
            <w:tcBorders>
              <w:top w:val="nil"/>
              <w:left w:val="nil"/>
              <w:bottom w:val="nil"/>
              <w:right w:val="nil"/>
            </w:tcBorders>
            <w:shd w:val="clear" w:color="auto" w:fill="auto"/>
            <w:vAlign w:val="center"/>
            <w:hideMark/>
          </w:tcPr>
          <w:p w14:paraId="13A89CB8" w14:textId="77777777" w:rsidR="003626BA" w:rsidRPr="003626BA" w:rsidRDefault="003626BA" w:rsidP="003626BA">
            <w:pPr>
              <w:jc w:val="both"/>
              <w:rPr>
                <w:rFonts w:eastAsia="Times New Roman"/>
                <w:sz w:val="18"/>
                <w:szCs w:val="18"/>
              </w:rPr>
            </w:pPr>
            <w:r w:rsidRPr="003626BA">
              <w:rPr>
                <w:rFonts w:eastAsia="Times New Roman"/>
                <w:sz w:val="18"/>
                <w:szCs w:val="18"/>
              </w:rPr>
              <w:t xml:space="preserve">Retenciones </w:t>
            </w:r>
          </w:p>
        </w:tc>
        <w:tc>
          <w:tcPr>
            <w:tcW w:w="1001" w:type="pct"/>
            <w:tcBorders>
              <w:top w:val="nil"/>
              <w:left w:val="nil"/>
              <w:bottom w:val="nil"/>
              <w:right w:val="nil"/>
            </w:tcBorders>
            <w:shd w:val="clear" w:color="auto" w:fill="auto"/>
            <w:vAlign w:val="center"/>
          </w:tcPr>
          <w:p w14:paraId="4691008E" w14:textId="162676F4" w:rsidR="003626BA" w:rsidRPr="003626BA" w:rsidRDefault="003626BA" w:rsidP="003626BA">
            <w:pPr>
              <w:jc w:val="right"/>
              <w:rPr>
                <w:sz w:val="18"/>
                <w:szCs w:val="18"/>
              </w:rPr>
            </w:pPr>
            <w:r w:rsidRPr="003626BA">
              <w:rPr>
                <w:sz w:val="18"/>
                <w:szCs w:val="18"/>
              </w:rPr>
              <w:t>3.623,07</w:t>
            </w:r>
          </w:p>
        </w:tc>
        <w:tc>
          <w:tcPr>
            <w:tcW w:w="982" w:type="pct"/>
            <w:tcBorders>
              <w:top w:val="nil"/>
              <w:left w:val="nil"/>
              <w:bottom w:val="nil"/>
              <w:right w:val="nil"/>
            </w:tcBorders>
            <w:vAlign w:val="center"/>
          </w:tcPr>
          <w:p w14:paraId="43CF2CE4" w14:textId="161E8C59" w:rsidR="003626BA" w:rsidRPr="003626BA" w:rsidRDefault="003626BA" w:rsidP="003626BA">
            <w:pPr>
              <w:jc w:val="right"/>
              <w:rPr>
                <w:sz w:val="18"/>
                <w:szCs w:val="18"/>
              </w:rPr>
            </w:pPr>
            <w:r w:rsidRPr="003626BA">
              <w:rPr>
                <w:sz w:val="18"/>
                <w:szCs w:val="18"/>
              </w:rPr>
              <w:t xml:space="preserve"> -</w:t>
            </w:r>
          </w:p>
        </w:tc>
      </w:tr>
      <w:tr w:rsidR="003626BA" w:rsidRPr="003626BA" w14:paraId="476DA341" w14:textId="77777777" w:rsidTr="00176BA0">
        <w:trPr>
          <w:trHeight w:val="283"/>
          <w:jc w:val="center"/>
        </w:trPr>
        <w:tc>
          <w:tcPr>
            <w:tcW w:w="3017" w:type="pct"/>
            <w:tcBorders>
              <w:top w:val="single" w:sz="4" w:space="0" w:color="auto"/>
              <w:left w:val="nil"/>
              <w:bottom w:val="single" w:sz="4" w:space="0" w:color="auto"/>
              <w:right w:val="nil"/>
            </w:tcBorders>
            <w:shd w:val="clear" w:color="auto" w:fill="auto"/>
            <w:vAlign w:val="center"/>
            <w:hideMark/>
          </w:tcPr>
          <w:p w14:paraId="788B8DB9" w14:textId="77777777" w:rsidR="003626BA" w:rsidRPr="003626BA" w:rsidRDefault="003626BA" w:rsidP="003626BA">
            <w:pPr>
              <w:jc w:val="both"/>
              <w:rPr>
                <w:rFonts w:eastAsia="Times New Roman"/>
                <w:b/>
                <w:bCs/>
                <w:sz w:val="18"/>
                <w:szCs w:val="18"/>
              </w:rPr>
            </w:pPr>
            <w:r w:rsidRPr="003626BA">
              <w:rPr>
                <w:rFonts w:eastAsia="Times New Roman"/>
                <w:b/>
                <w:bCs/>
                <w:sz w:val="18"/>
                <w:szCs w:val="18"/>
              </w:rPr>
              <w:t>A DEVOLVER</w:t>
            </w:r>
          </w:p>
        </w:tc>
        <w:tc>
          <w:tcPr>
            <w:tcW w:w="1001" w:type="pct"/>
            <w:tcBorders>
              <w:top w:val="single" w:sz="4" w:space="0" w:color="auto"/>
              <w:left w:val="nil"/>
              <w:bottom w:val="single" w:sz="4" w:space="0" w:color="auto"/>
              <w:right w:val="nil"/>
            </w:tcBorders>
            <w:shd w:val="clear" w:color="auto" w:fill="auto"/>
            <w:vAlign w:val="center"/>
          </w:tcPr>
          <w:p w14:paraId="1CC8F9E8" w14:textId="1FEC843C" w:rsidR="003626BA" w:rsidRPr="003626BA" w:rsidRDefault="003626BA" w:rsidP="003626BA">
            <w:pPr>
              <w:jc w:val="right"/>
              <w:rPr>
                <w:sz w:val="18"/>
                <w:szCs w:val="18"/>
              </w:rPr>
            </w:pPr>
            <w:r w:rsidRPr="003626BA">
              <w:rPr>
                <w:b/>
                <w:bCs/>
                <w:sz w:val="18"/>
                <w:szCs w:val="18"/>
              </w:rPr>
              <w:t>3.623,07</w:t>
            </w:r>
          </w:p>
        </w:tc>
        <w:tc>
          <w:tcPr>
            <w:tcW w:w="982" w:type="pct"/>
            <w:tcBorders>
              <w:top w:val="single" w:sz="4" w:space="0" w:color="auto"/>
              <w:left w:val="nil"/>
              <w:bottom w:val="single" w:sz="4" w:space="0" w:color="auto"/>
              <w:right w:val="nil"/>
            </w:tcBorders>
            <w:vAlign w:val="center"/>
          </w:tcPr>
          <w:p w14:paraId="6527EAF5" w14:textId="326B6F8F" w:rsidR="003626BA" w:rsidRPr="003626BA" w:rsidRDefault="003626BA" w:rsidP="003626BA">
            <w:pPr>
              <w:jc w:val="right"/>
              <w:rPr>
                <w:sz w:val="18"/>
                <w:szCs w:val="18"/>
              </w:rPr>
            </w:pPr>
            <w:r w:rsidRPr="003626BA">
              <w:rPr>
                <w:sz w:val="18"/>
                <w:szCs w:val="18"/>
              </w:rPr>
              <w:t xml:space="preserve"> -</w:t>
            </w:r>
          </w:p>
        </w:tc>
      </w:tr>
    </w:tbl>
    <w:p w14:paraId="541CBDD1" w14:textId="77777777" w:rsidR="006220A2" w:rsidRPr="00912A10" w:rsidRDefault="006220A2" w:rsidP="00343211">
      <w:pPr>
        <w:keepNext/>
        <w:keepLines/>
        <w:widowControl w:val="0"/>
        <w:spacing w:before="120" w:after="120" w:line="260" w:lineRule="exact"/>
        <w:jc w:val="both"/>
        <w:outlineLvl w:val="9"/>
        <w:rPr>
          <w:snapToGrid w:val="0"/>
          <w:sz w:val="20"/>
          <w:szCs w:val="22"/>
        </w:rPr>
      </w:pPr>
      <w:r w:rsidRPr="00D67C6B">
        <w:rPr>
          <w:snapToGrid w:val="0"/>
          <w:sz w:val="20"/>
          <w:szCs w:val="22"/>
        </w:rPr>
        <w:lastRenderedPageBreak/>
        <w:t xml:space="preserve">Quedan pendientes de aplicación deducciones por inversión y formación cuyos importes y plazos son </w:t>
      </w:r>
      <w:r w:rsidRPr="00912A10">
        <w:rPr>
          <w:snapToGrid w:val="0"/>
          <w:sz w:val="20"/>
          <w:szCs w:val="22"/>
        </w:rPr>
        <w:t>los siguientes:</w:t>
      </w:r>
    </w:p>
    <w:tbl>
      <w:tblPr>
        <w:tblW w:w="5000" w:type="pct"/>
        <w:jc w:val="center"/>
        <w:shd w:val="clear" w:color="auto" w:fill="D0CECE"/>
        <w:tblCellMar>
          <w:left w:w="70" w:type="dxa"/>
          <w:right w:w="70" w:type="dxa"/>
        </w:tblCellMar>
        <w:tblLook w:val="04A0" w:firstRow="1" w:lastRow="0" w:firstColumn="1" w:lastColumn="0" w:noHBand="0" w:noVBand="1"/>
      </w:tblPr>
      <w:tblGrid>
        <w:gridCol w:w="1843"/>
        <w:gridCol w:w="3239"/>
        <w:gridCol w:w="1730"/>
        <w:gridCol w:w="1969"/>
      </w:tblGrid>
      <w:tr w:rsidR="006220A2" w:rsidRPr="00912A10" w14:paraId="5014AB0E" w14:textId="77777777" w:rsidTr="00954AA6">
        <w:trPr>
          <w:trHeight w:val="283"/>
          <w:jc w:val="center"/>
        </w:trPr>
        <w:tc>
          <w:tcPr>
            <w:tcW w:w="1049" w:type="pct"/>
            <w:tcBorders>
              <w:top w:val="single" w:sz="4" w:space="0" w:color="auto"/>
              <w:left w:val="nil"/>
              <w:bottom w:val="single" w:sz="4" w:space="0" w:color="auto"/>
              <w:right w:val="nil"/>
            </w:tcBorders>
            <w:shd w:val="clear" w:color="auto" w:fill="auto"/>
            <w:noWrap/>
            <w:vAlign w:val="bottom"/>
            <w:hideMark/>
          </w:tcPr>
          <w:p w14:paraId="6DAAE685" w14:textId="77777777" w:rsidR="006220A2" w:rsidRPr="00912A10" w:rsidRDefault="006220A2" w:rsidP="00343211">
            <w:pPr>
              <w:keepNext/>
              <w:keepLines/>
              <w:widowControl w:val="0"/>
              <w:jc w:val="center"/>
              <w:rPr>
                <w:rFonts w:eastAsia="Times New Roman"/>
                <w:b/>
                <w:bCs/>
                <w:sz w:val="18"/>
                <w:szCs w:val="18"/>
              </w:rPr>
            </w:pPr>
            <w:r w:rsidRPr="00912A10">
              <w:rPr>
                <w:rFonts w:eastAsia="Times New Roman"/>
                <w:b/>
                <w:bCs/>
                <w:sz w:val="18"/>
                <w:szCs w:val="18"/>
                <w:lang w:val="en-US"/>
              </w:rPr>
              <w:t>Año</w:t>
            </w:r>
          </w:p>
        </w:tc>
        <w:tc>
          <w:tcPr>
            <w:tcW w:w="1844" w:type="pct"/>
            <w:tcBorders>
              <w:top w:val="single" w:sz="4" w:space="0" w:color="auto"/>
              <w:left w:val="nil"/>
              <w:bottom w:val="single" w:sz="4" w:space="0" w:color="auto"/>
              <w:right w:val="nil"/>
            </w:tcBorders>
            <w:shd w:val="clear" w:color="auto" w:fill="auto"/>
            <w:noWrap/>
            <w:vAlign w:val="bottom"/>
            <w:hideMark/>
          </w:tcPr>
          <w:p w14:paraId="505A7639" w14:textId="77777777" w:rsidR="006220A2" w:rsidRPr="00912A10" w:rsidRDefault="006220A2" w:rsidP="00343211">
            <w:pPr>
              <w:keepNext/>
              <w:keepLines/>
              <w:widowControl w:val="0"/>
              <w:jc w:val="center"/>
              <w:rPr>
                <w:rFonts w:eastAsia="Times New Roman"/>
                <w:b/>
                <w:bCs/>
                <w:sz w:val="18"/>
                <w:szCs w:val="18"/>
              </w:rPr>
            </w:pPr>
            <w:proofErr w:type="spellStart"/>
            <w:r w:rsidRPr="00912A10">
              <w:rPr>
                <w:rFonts w:eastAsia="Times New Roman"/>
                <w:b/>
                <w:bCs/>
                <w:sz w:val="18"/>
                <w:szCs w:val="18"/>
                <w:lang w:val="en-US"/>
              </w:rPr>
              <w:t>Concepto</w:t>
            </w:r>
            <w:proofErr w:type="spellEnd"/>
          </w:p>
        </w:tc>
        <w:tc>
          <w:tcPr>
            <w:tcW w:w="985" w:type="pct"/>
            <w:tcBorders>
              <w:top w:val="single" w:sz="4" w:space="0" w:color="auto"/>
              <w:left w:val="nil"/>
              <w:bottom w:val="single" w:sz="4" w:space="0" w:color="auto"/>
              <w:right w:val="nil"/>
            </w:tcBorders>
            <w:shd w:val="clear" w:color="auto" w:fill="auto"/>
            <w:noWrap/>
            <w:vAlign w:val="bottom"/>
            <w:hideMark/>
          </w:tcPr>
          <w:p w14:paraId="397656ED" w14:textId="77777777" w:rsidR="006220A2" w:rsidRPr="00912A10" w:rsidRDefault="006220A2" w:rsidP="00343211">
            <w:pPr>
              <w:keepNext/>
              <w:keepLines/>
              <w:widowControl w:val="0"/>
              <w:jc w:val="center"/>
              <w:rPr>
                <w:rFonts w:eastAsia="Times New Roman"/>
                <w:b/>
                <w:bCs/>
                <w:sz w:val="18"/>
                <w:szCs w:val="18"/>
              </w:rPr>
            </w:pPr>
            <w:r w:rsidRPr="00912A10">
              <w:rPr>
                <w:rFonts w:eastAsia="Times New Roman"/>
                <w:b/>
                <w:bCs/>
                <w:sz w:val="18"/>
                <w:szCs w:val="18"/>
                <w:lang w:val="en-US"/>
              </w:rPr>
              <w:t>Euros</w:t>
            </w:r>
          </w:p>
        </w:tc>
        <w:tc>
          <w:tcPr>
            <w:tcW w:w="1121" w:type="pct"/>
            <w:tcBorders>
              <w:top w:val="single" w:sz="4" w:space="0" w:color="auto"/>
              <w:left w:val="nil"/>
              <w:bottom w:val="single" w:sz="4" w:space="0" w:color="auto"/>
              <w:right w:val="nil"/>
            </w:tcBorders>
            <w:shd w:val="clear" w:color="auto" w:fill="auto"/>
            <w:noWrap/>
            <w:vAlign w:val="bottom"/>
            <w:hideMark/>
          </w:tcPr>
          <w:p w14:paraId="0BF1A35C" w14:textId="77777777" w:rsidR="006220A2" w:rsidRPr="00912A10" w:rsidRDefault="006220A2" w:rsidP="00343211">
            <w:pPr>
              <w:keepNext/>
              <w:keepLines/>
              <w:widowControl w:val="0"/>
              <w:jc w:val="center"/>
              <w:rPr>
                <w:rFonts w:eastAsia="Times New Roman"/>
                <w:b/>
                <w:bCs/>
                <w:sz w:val="18"/>
                <w:szCs w:val="18"/>
              </w:rPr>
            </w:pPr>
            <w:r w:rsidRPr="00912A10">
              <w:rPr>
                <w:rFonts w:eastAsia="Times New Roman"/>
                <w:b/>
                <w:bCs/>
                <w:sz w:val="18"/>
                <w:szCs w:val="18"/>
                <w:lang w:val="en-US"/>
              </w:rPr>
              <w:t xml:space="preserve">Último </w:t>
            </w:r>
            <w:proofErr w:type="spellStart"/>
            <w:r w:rsidRPr="00912A10">
              <w:rPr>
                <w:rFonts w:eastAsia="Times New Roman"/>
                <w:b/>
                <w:bCs/>
                <w:sz w:val="18"/>
                <w:szCs w:val="18"/>
                <w:lang w:val="en-US"/>
              </w:rPr>
              <w:t>año</w:t>
            </w:r>
            <w:proofErr w:type="spellEnd"/>
          </w:p>
        </w:tc>
      </w:tr>
      <w:tr w:rsidR="006220A2" w:rsidRPr="00912A10" w14:paraId="01D491FA" w14:textId="77777777" w:rsidTr="00954AA6">
        <w:trPr>
          <w:trHeight w:val="283"/>
          <w:jc w:val="center"/>
        </w:trPr>
        <w:tc>
          <w:tcPr>
            <w:tcW w:w="1049" w:type="pct"/>
            <w:tcBorders>
              <w:top w:val="nil"/>
              <w:left w:val="nil"/>
              <w:right w:val="nil"/>
            </w:tcBorders>
            <w:shd w:val="clear" w:color="auto" w:fill="auto"/>
            <w:noWrap/>
            <w:vAlign w:val="center"/>
            <w:hideMark/>
          </w:tcPr>
          <w:p w14:paraId="43F31F7D" w14:textId="77777777" w:rsidR="006220A2" w:rsidRPr="00912A10" w:rsidRDefault="006220A2" w:rsidP="00343211">
            <w:pPr>
              <w:keepNext/>
              <w:keepLines/>
              <w:widowControl w:val="0"/>
              <w:jc w:val="center"/>
              <w:rPr>
                <w:sz w:val="18"/>
                <w:szCs w:val="18"/>
              </w:rPr>
            </w:pPr>
            <w:r w:rsidRPr="00912A10">
              <w:rPr>
                <w:sz w:val="18"/>
                <w:szCs w:val="18"/>
              </w:rPr>
              <w:t>2008</w:t>
            </w:r>
          </w:p>
        </w:tc>
        <w:tc>
          <w:tcPr>
            <w:tcW w:w="1844" w:type="pct"/>
            <w:tcBorders>
              <w:top w:val="nil"/>
              <w:left w:val="nil"/>
              <w:right w:val="nil"/>
            </w:tcBorders>
            <w:shd w:val="clear" w:color="auto" w:fill="auto"/>
            <w:noWrap/>
            <w:vAlign w:val="center"/>
            <w:hideMark/>
          </w:tcPr>
          <w:p w14:paraId="610BCB5C" w14:textId="77777777" w:rsidR="006220A2" w:rsidRPr="00912A10" w:rsidRDefault="006220A2" w:rsidP="00343211">
            <w:pPr>
              <w:keepNext/>
              <w:keepLines/>
              <w:widowControl w:val="0"/>
              <w:rPr>
                <w:sz w:val="18"/>
                <w:szCs w:val="18"/>
              </w:rPr>
            </w:pPr>
            <w:r w:rsidRPr="00912A10">
              <w:rPr>
                <w:sz w:val="18"/>
                <w:szCs w:val="18"/>
              </w:rPr>
              <w:t>Deducción por formación</w:t>
            </w:r>
          </w:p>
        </w:tc>
        <w:tc>
          <w:tcPr>
            <w:tcW w:w="985" w:type="pct"/>
            <w:tcBorders>
              <w:top w:val="nil"/>
              <w:left w:val="nil"/>
              <w:right w:val="nil"/>
            </w:tcBorders>
            <w:shd w:val="clear" w:color="auto" w:fill="auto"/>
            <w:noWrap/>
            <w:vAlign w:val="center"/>
            <w:hideMark/>
          </w:tcPr>
          <w:p w14:paraId="1C85772B" w14:textId="77777777" w:rsidR="006220A2" w:rsidRPr="00912A10" w:rsidRDefault="006220A2" w:rsidP="00343211">
            <w:pPr>
              <w:keepNext/>
              <w:keepLines/>
              <w:widowControl w:val="0"/>
              <w:jc w:val="right"/>
              <w:rPr>
                <w:sz w:val="18"/>
                <w:szCs w:val="18"/>
              </w:rPr>
            </w:pPr>
            <w:r w:rsidRPr="00912A10">
              <w:rPr>
                <w:sz w:val="18"/>
                <w:szCs w:val="18"/>
              </w:rPr>
              <w:t>1.370,85</w:t>
            </w:r>
          </w:p>
        </w:tc>
        <w:tc>
          <w:tcPr>
            <w:tcW w:w="1121" w:type="pct"/>
            <w:tcBorders>
              <w:top w:val="nil"/>
              <w:left w:val="nil"/>
              <w:right w:val="nil"/>
            </w:tcBorders>
            <w:shd w:val="clear" w:color="auto" w:fill="auto"/>
            <w:noWrap/>
            <w:vAlign w:val="center"/>
            <w:hideMark/>
          </w:tcPr>
          <w:p w14:paraId="473971EE" w14:textId="77777777" w:rsidR="006220A2" w:rsidRPr="00912A10" w:rsidRDefault="006220A2" w:rsidP="00343211">
            <w:pPr>
              <w:keepNext/>
              <w:keepLines/>
              <w:widowControl w:val="0"/>
              <w:jc w:val="center"/>
              <w:rPr>
                <w:rFonts w:eastAsia="Times New Roman"/>
                <w:sz w:val="18"/>
                <w:szCs w:val="18"/>
              </w:rPr>
            </w:pPr>
            <w:r w:rsidRPr="00912A10">
              <w:rPr>
                <w:rFonts w:eastAsia="Times New Roman"/>
                <w:sz w:val="18"/>
                <w:szCs w:val="18"/>
                <w:lang w:val="en-US"/>
              </w:rPr>
              <w:t>2023</w:t>
            </w:r>
          </w:p>
        </w:tc>
      </w:tr>
      <w:tr w:rsidR="006220A2" w:rsidRPr="00912A10" w14:paraId="433A5BF5" w14:textId="77777777" w:rsidTr="00954AA6">
        <w:trPr>
          <w:trHeight w:val="283"/>
          <w:jc w:val="center"/>
        </w:trPr>
        <w:tc>
          <w:tcPr>
            <w:tcW w:w="1049" w:type="pct"/>
            <w:tcBorders>
              <w:top w:val="nil"/>
              <w:left w:val="nil"/>
              <w:right w:val="nil"/>
            </w:tcBorders>
            <w:shd w:val="clear" w:color="auto" w:fill="auto"/>
            <w:noWrap/>
            <w:vAlign w:val="center"/>
            <w:hideMark/>
          </w:tcPr>
          <w:p w14:paraId="52F0E77B" w14:textId="77777777" w:rsidR="006220A2" w:rsidRPr="00912A10" w:rsidRDefault="006220A2" w:rsidP="00343211">
            <w:pPr>
              <w:keepNext/>
              <w:keepLines/>
              <w:widowControl w:val="0"/>
              <w:jc w:val="center"/>
              <w:rPr>
                <w:sz w:val="18"/>
                <w:szCs w:val="18"/>
              </w:rPr>
            </w:pPr>
            <w:r w:rsidRPr="00912A10">
              <w:rPr>
                <w:sz w:val="18"/>
                <w:szCs w:val="18"/>
              </w:rPr>
              <w:t>2016</w:t>
            </w:r>
          </w:p>
        </w:tc>
        <w:tc>
          <w:tcPr>
            <w:tcW w:w="1844" w:type="pct"/>
            <w:tcBorders>
              <w:top w:val="nil"/>
              <w:left w:val="nil"/>
              <w:right w:val="nil"/>
            </w:tcBorders>
            <w:shd w:val="clear" w:color="auto" w:fill="auto"/>
            <w:noWrap/>
            <w:vAlign w:val="center"/>
            <w:hideMark/>
          </w:tcPr>
          <w:p w14:paraId="7EED3458" w14:textId="77777777" w:rsidR="006220A2" w:rsidRPr="00912A10" w:rsidRDefault="006220A2" w:rsidP="00343211">
            <w:pPr>
              <w:keepNext/>
              <w:keepLines/>
              <w:widowControl w:val="0"/>
              <w:rPr>
                <w:sz w:val="18"/>
                <w:szCs w:val="18"/>
              </w:rPr>
            </w:pPr>
            <w:r w:rsidRPr="00912A10">
              <w:rPr>
                <w:sz w:val="18"/>
                <w:szCs w:val="18"/>
              </w:rPr>
              <w:t>Deducción por inversión</w:t>
            </w:r>
          </w:p>
        </w:tc>
        <w:tc>
          <w:tcPr>
            <w:tcW w:w="985" w:type="pct"/>
            <w:tcBorders>
              <w:top w:val="nil"/>
              <w:left w:val="nil"/>
              <w:right w:val="nil"/>
            </w:tcBorders>
            <w:shd w:val="clear" w:color="auto" w:fill="auto"/>
            <w:noWrap/>
            <w:vAlign w:val="center"/>
            <w:hideMark/>
          </w:tcPr>
          <w:p w14:paraId="6CFE22EE" w14:textId="77777777" w:rsidR="006220A2" w:rsidRPr="00912A10" w:rsidRDefault="006220A2" w:rsidP="00343211">
            <w:pPr>
              <w:keepNext/>
              <w:keepLines/>
              <w:widowControl w:val="0"/>
              <w:jc w:val="right"/>
              <w:rPr>
                <w:sz w:val="18"/>
                <w:szCs w:val="18"/>
              </w:rPr>
            </w:pPr>
            <w:r w:rsidRPr="00912A10">
              <w:rPr>
                <w:sz w:val="18"/>
                <w:szCs w:val="18"/>
              </w:rPr>
              <w:t>2.331,13</w:t>
            </w:r>
          </w:p>
        </w:tc>
        <w:tc>
          <w:tcPr>
            <w:tcW w:w="1121" w:type="pct"/>
            <w:tcBorders>
              <w:top w:val="nil"/>
              <w:left w:val="nil"/>
              <w:right w:val="nil"/>
            </w:tcBorders>
            <w:shd w:val="clear" w:color="auto" w:fill="auto"/>
            <w:noWrap/>
            <w:vAlign w:val="center"/>
            <w:hideMark/>
          </w:tcPr>
          <w:p w14:paraId="6C8EF42D" w14:textId="77777777" w:rsidR="006220A2" w:rsidRPr="00912A10" w:rsidRDefault="006220A2" w:rsidP="00343211">
            <w:pPr>
              <w:keepNext/>
              <w:keepLines/>
              <w:widowControl w:val="0"/>
              <w:jc w:val="center"/>
              <w:rPr>
                <w:rFonts w:eastAsia="Times New Roman"/>
                <w:sz w:val="18"/>
                <w:szCs w:val="18"/>
              </w:rPr>
            </w:pPr>
            <w:r w:rsidRPr="00912A10">
              <w:rPr>
                <w:rFonts w:eastAsia="Times New Roman"/>
                <w:sz w:val="18"/>
                <w:szCs w:val="18"/>
                <w:lang w:val="en-US"/>
              </w:rPr>
              <w:t>2031</w:t>
            </w:r>
          </w:p>
        </w:tc>
      </w:tr>
      <w:tr w:rsidR="006220A2" w:rsidRPr="00912A10" w14:paraId="67189524" w14:textId="77777777" w:rsidTr="00954AA6">
        <w:trPr>
          <w:trHeight w:val="283"/>
          <w:jc w:val="center"/>
        </w:trPr>
        <w:tc>
          <w:tcPr>
            <w:tcW w:w="1049" w:type="pct"/>
            <w:tcBorders>
              <w:left w:val="nil"/>
              <w:right w:val="nil"/>
            </w:tcBorders>
            <w:shd w:val="clear" w:color="auto" w:fill="auto"/>
            <w:noWrap/>
            <w:vAlign w:val="center"/>
          </w:tcPr>
          <w:p w14:paraId="30E6985A" w14:textId="77777777" w:rsidR="006220A2" w:rsidRPr="00912A10" w:rsidRDefault="006220A2" w:rsidP="00343211">
            <w:pPr>
              <w:keepNext/>
              <w:keepLines/>
              <w:widowControl w:val="0"/>
              <w:jc w:val="center"/>
              <w:rPr>
                <w:sz w:val="18"/>
                <w:szCs w:val="18"/>
              </w:rPr>
            </w:pPr>
            <w:r w:rsidRPr="00912A10">
              <w:rPr>
                <w:sz w:val="18"/>
                <w:szCs w:val="18"/>
              </w:rPr>
              <w:t>2017</w:t>
            </w:r>
          </w:p>
        </w:tc>
        <w:tc>
          <w:tcPr>
            <w:tcW w:w="1844" w:type="pct"/>
            <w:tcBorders>
              <w:left w:val="nil"/>
              <w:right w:val="nil"/>
            </w:tcBorders>
            <w:shd w:val="clear" w:color="auto" w:fill="auto"/>
            <w:noWrap/>
            <w:vAlign w:val="center"/>
          </w:tcPr>
          <w:p w14:paraId="196F8013" w14:textId="77777777" w:rsidR="006220A2" w:rsidRPr="00912A10" w:rsidRDefault="006220A2" w:rsidP="00343211">
            <w:pPr>
              <w:keepNext/>
              <w:keepLines/>
              <w:widowControl w:val="0"/>
              <w:rPr>
                <w:sz w:val="18"/>
                <w:szCs w:val="18"/>
              </w:rPr>
            </w:pPr>
            <w:r w:rsidRPr="00912A10">
              <w:rPr>
                <w:sz w:val="18"/>
                <w:szCs w:val="18"/>
              </w:rPr>
              <w:t>Deducción por inversión</w:t>
            </w:r>
          </w:p>
        </w:tc>
        <w:tc>
          <w:tcPr>
            <w:tcW w:w="985" w:type="pct"/>
            <w:tcBorders>
              <w:left w:val="nil"/>
              <w:right w:val="nil"/>
            </w:tcBorders>
            <w:shd w:val="clear" w:color="auto" w:fill="auto"/>
            <w:noWrap/>
            <w:vAlign w:val="center"/>
          </w:tcPr>
          <w:p w14:paraId="65912866" w14:textId="77777777" w:rsidR="006220A2" w:rsidRPr="00912A10" w:rsidRDefault="006220A2" w:rsidP="00343211">
            <w:pPr>
              <w:keepNext/>
              <w:keepLines/>
              <w:widowControl w:val="0"/>
              <w:jc w:val="right"/>
              <w:rPr>
                <w:sz w:val="18"/>
                <w:szCs w:val="18"/>
              </w:rPr>
            </w:pPr>
            <w:r w:rsidRPr="00912A10">
              <w:rPr>
                <w:sz w:val="18"/>
                <w:szCs w:val="18"/>
              </w:rPr>
              <w:t>4.501,76</w:t>
            </w:r>
          </w:p>
        </w:tc>
        <w:tc>
          <w:tcPr>
            <w:tcW w:w="1121" w:type="pct"/>
            <w:tcBorders>
              <w:left w:val="nil"/>
              <w:right w:val="nil"/>
            </w:tcBorders>
            <w:shd w:val="clear" w:color="auto" w:fill="auto"/>
            <w:noWrap/>
            <w:vAlign w:val="center"/>
          </w:tcPr>
          <w:p w14:paraId="0CC7C68C" w14:textId="77777777" w:rsidR="006220A2" w:rsidRPr="00912A10" w:rsidRDefault="006220A2" w:rsidP="00343211">
            <w:pPr>
              <w:keepNext/>
              <w:keepLines/>
              <w:widowControl w:val="0"/>
              <w:jc w:val="center"/>
              <w:rPr>
                <w:rFonts w:eastAsia="Times New Roman"/>
                <w:bCs/>
                <w:sz w:val="18"/>
                <w:szCs w:val="18"/>
                <w:lang w:val="en-US"/>
              </w:rPr>
            </w:pPr>
            <w:r w:rsidRPr="00912A10">
              <w:rPr>
                <w:rFonts w:eastAsia="Times New Roman"/>
                <w:bCs/>
                <w:sz w:val="18"/>
                <w:szCs w:val="18"/>
                <w:lang w:val="en-US"/>
              </w:rPr>
              <w:t>2032</w:t>
            </w:r>
          </w:p>
        </w:tc>
      </w:tr>
      <w:tr w:rsidR="003A50C9" w:rsidRPr="00912A10" w14:paraId="540EC19A" w14:textId="77777777" w:rsidTr="00954AA6">
        <w:trPr>
          <w:trHeight w:val="283"/>
          <w:jc w:val="center"/>
        </w:trPr>
        <w:tc>
          <w:tcPr>
            <w:tcW w:w="1049" w:type="pct"/>
            <w:tcBorders>
              <w:top w:val="nil"/>
              <w:left w:val="nil"/>
              <w:bottom w:val="single" w:sz="4" w:space="0" w:color="auto"/>
              <w:right w:val="nil"/>
            </w:tcBorders>
            <w:shd w:val="clear" w:color="auto" w:fill="auto"/>
            <w:noWrap/>
            <w:vAlign w:val="center"/>
          </w:tcPr>
          <w:p w14:paraId="351E6D55" w14:textId="77777777" w:rsidR="003A50C9" w:rsidRPr="00912A10" w:rsidRDefault="003A50C9" w:rsidP="00852114">
            <w:pPr>
              <w:jc w:val="center"/>
              <w:rPr>
                <w:rFonts w:eastAsia="Times New Roman"/>
                <w:bCs/>
                <w:sz w:val="18"/>
                <w:szCs w:val="18"/>
                <w:lang w:val="en-US"/>
              </w:rPr>
            </w:pPr>
            <w:r w:rsidRPr="00912A10">
              <w:rPr>
                <w:rFonts w:eastAsia="Times New Roman"/>
                <w:bCs/>
                <w:sz w:val="18"/>
                <w:szCs w:val="18"/>
                <w:lang w:val="en-US"/>
              </w:rPr>
              <w:t>2018</w:t>
            </w:r>
          </w:p>
        </w:tc>
        <w:tc>
          <w:tcPr>
            <w:tcW w:w="1844" w:type="pct"/>
            <w:tcBorders>
              <w:top w:val="nil"/>
              <w:left w:val="nil"/>
              <w:bottom w:val="single" w:sz="4" w:space="0" w:color="auto"/>
              <w:right w:val="nil"/>
            </w:tcBorders>
            <w:shd w:val="clear" w:color="auto" w:fill="auto"/>
            <w:noWrap/>
            <w:vAlign w:val="center"/>
          </w:tcPr>
          <w:p w14:paraId="6B5514E4" w14:textId="77777777" w:rsidR="003A50C9" w:rsidRPr="00912A10" w:rsidRDefault="003A50C9" w:rsidP="00852114">
            <w:pPr>
              <w:rPr>
                <w:rFonts w:eastAsia="Times New Roman"/>
                <w:bCs/>
                <w:sz w:val="18"/>
                <w:szCs w:val="18"/>
                <w:lang w:val="en-US"/>
              </w:rPr>
            </w:pPr>
            <w:proofErr w:type="spellStart"/>
            <w:r w:rsidRPr="00912A10">
              <w:rPr>
                <w:rFonts w:eastAsia="Times New Roman"/>
                <w:bCs/>
                <w:sz w:val="18"/>
                <w:szCs w:val="18"/>
                <w:lang w:val="en-US"/>
              </w:rPr>
              <w:t>Deducción</w:t>
            </w:r>
            <w:proofErr w:type="spellEnd"/>
            <w:r w:rsidRPr="00912A10">
              <w:rPr>
                <w:rFonts w:eastAsia="Times New Roman"/>
                <w:bCs/>
                <w:sz w:val="18"/>
                <w:szCs w:val="18"/>
                <w:lang w:val="en-US"/>
              </w:rPr>
              <w:t xml:space="preserve"> </w:t>
            </w:r>
            <w:proofErr w:type="spellStart"/>
            <w:r w:rsidRPr="00912A10">
              <w:rPr>
                <w:rFonts w:eastAsia="Times New Roman"/>
                <w:bCs/>
                <w:sz w:val="18"/>
                <w:szCs w:val="18"/>
                <w:lang w:val="en-US"/>
              </w:rPr>
              <w:t>por</w:t>
            </w:r>
            <w:proofErr w:type="spellEnd"/>
            <w:r w:rsidRPr="00912A10">
              <w:rPr>
                <w:rFonts w:eastAsia="Times New Roman"/>
                <w:bCs/>
                <w:sz w:val="18"/>
                <w:szCs w:val="18"/>
                <w:lang w:val="en-US"/>
              </w:rPr>
              <w:t xml:space="preserve"> </w:t>
            </w:r>
            <w:proofErr w:type="spellStart"/>
            <w:r w:rsidRPr="00912A10">
              <w:rPr>
                <w:rFonts w:eastAsia="Times New Roman"/>
                <w:bCs/>
                <w:sz w:val="18"/>
                <w:szCs w:val="18"/>
                <w:lang w:val="en-US"/>
              </w:rPr>
              <w:t>inversión</w:t>
            </w:r>
            <w:proofErr w:type="spellEnd"/>
          </w:p>
        </w:tc>
        <w:tc>
          <w:tcPr>
            <w:tcW w:w="985" w:type="pct"/>
            <w:tcBorders>
              <w:top w:val="nil"/>
              <w:left w:val="nil"/>
              <w:bottom w:val="single" w:sz="4" w:space="0" w:color="auto"/>
              <w:right w:val="nil"/>
            </w:tcBorders>
            <w:shd w:val="clear" w:color="auto" w:fill="auto"/>
            <w:noWrap/>
            <w:vAlign w:val="center"/>
          </w:tcPr>
          <w:p w14:paraId="3A0F65D1" w14:textId="77777777" w:rsidR="003A50C9" w:rsidRPr="00912A10" w:rsidRDefault="003A50C9" w:rsidP="00852114">
            <w:pPr>
              <w:jc w:val="right"/>
              <w:rPr>
                <w:bCs/>
                <w:sz w:val="18"/>
                <w:szCs w:val="18"/>
              </w:rPr>
            </w:pPr>
            <w:r w:rsidRPr="00912A10">
              <w:rPr>
                <w:bCs/>
                <w:sz w:val="18"/>
                <w:szCs w:val="18"/>
              </w:rPr>
              <w:t>6.566,13</w:t>
            </w:r>
          </w:p>
        </w:tc>
        <w:tc>
          <w:tcPr>
            <w:tcW w:w="1121" w:type="pct"/>
            <w:tcBorders>
              <w:top w:val="nil"/>
              <w:left w:val="nil"/>
              <w:bottom w:val="single" w:sz="4" w:space="0" w:color="auto"/>
              <w:right w:val="nil"/>
            </w:tcBorders>
            <w:shd w:val="clear" w:color="auto" w:fill="auto"/>
            <w:noWrap/>
            <w:vAlign w:val="center"/>
          </w:tcPr>
          <w:p w14:paraId="7BC1C77B" w14:textId="77777777" w:rsidR="003A50C9" w:rsidRPr="00912A10" w:rsidRDefault="003A50C9" w:rsidP="00852114">
            <w:pPr>
              <w:jc w:val="center"/>
              <w:rPr>
                <w:rFonts w:eastAsia="Times New Roman"/>
                <w:bCs/>
                <w:sz w:val="18"/>
                <w:szCs w:val="18"/>
                <w:lang w:val="en-US"/>
              </w:rPr>
            </w:pPr>
            <w:r w:rsidRPr="00912A10">
              <w:rPr>
                <w:rFonts w:eastAsia="Times New Roman"/>
                <w:bCs/>
                <w:sz w:val="18"/>
                <w:szCs w:val="18"/>
                <w:lang w:val="en-US"/>
              </w:rPr>
              <w:t>2033</w:t>
            </w:r>
          </w:p>
        </w:tc>
      </w:tr>
      <w:tr w:rsidR="006220A2" w:rsidRPr="00604430" w14:paraId="29315A43" w14:textId="77777777" w:rsidTr="00954AA6">
        <w:trPr>
          <w:trHeight w:val="283"/>
          <w:jc w:val="center"/>
        </w:trPr>
        <w:tc>
          <w:tcPr>
            <w:tcW w:w="1049" w:type="pct"/>
            <w:tcBorders>
              <w:top w:val="nil"/>
              <w:left w:val="nil"/>
              <w:bottom w:val="single" w:sz="4" w:space="0" w:color="auto"/>
              <w:right w:val="nil"/>
            </w:tcBorders>
            <w:shd w:val="clear" w:color="auto" w:fill="auto"/>
            <w:noWrap/>
            <w:vAlign w:val="center"/>
            <w:hideMark/>
          </w:tcPr>
          <w:p w14:paraId="55261DF7" w14:textId="77777777" w:rsidR="006220A2" w:rsidRPr="00912A10" w:rsidRDefault="006220A2" w:rsidP="00852114">
            <w:pPr>
              <w:jc w:val="center"/>
              <w:rPr>
                <w:rFonts w:eastAsia="Times New Roman"/>
                <w:b/>
                <w:bCs/>
                <w:sz w:val="18"/>
                <w:szCs w:val="18"/>
              </w:rPr>
            </w:pPr>
            <w:r w:rsidRPr="00912A10">
              <w:rPr>
                <w:rFonts w:eastAsia="Times New Roman"/>
                <w:b/>
                <w:bCs/>
                <w:sz w:val="18"/>
                <w:szCs w:val="18"/>
                <w:lang w:val="en-US"/>
              </w:rPr>
              <w:t>Total </w:t>
            </w:r>
          </w:p>
        </w:tc>
        <w:tc>
          <w:tcPr>
            <w:tcW w:w="1844" w:type="pct"/>
            <w:tcBorders>
              <w:top w:val="nil"/>
              <w:left w:val="nil"/>
              <w:bottom w:val="single" w:sz="4" w:space="0" w:color="auto"/>
              <w:right w:val="nil"/>
            </w:tcBorders>
            <w:shd w:val="clear" w:color="auto" w:fill="auto"/>
            <w:noWrap/>
            <w:vAlign w:val="center"/>
            <w:hideMark/>
          </w:tcPr>
          <w:p w14:paraId="32587196" w14:textId="77777777" w:rsidR="006220A2" w:rsidRPr="00912A10" w:rsidRDefault="006220A2" w:rsidP="00852114">
            <w:pPr>
              <w:rPr>
                <w:rFonts w:eastAsia="Times New Roman"/>
                <w:b/>
                <w:bCs/>
                <w:sz w:val="18"/>
                <w:szCs w:val="18"/>
              </w:rPr>
            </w:pPr>
            <w:r w:rsidRPr="00912A10">
              <w:rPr>
                <w:rFonts w:eastAsia="Times New Roman"/>
                <w:b/>
                <w:bCs/>
                <w:sz w:val="18"/>
                <w:szCs w:val="18"/>
                <w:lang w:val="en-US"/>
              </w:rPr>
              <w:t> </w:t>
            </w:r>
          </w:p>
        </w:tc>
        <w:tc>
          <w:tcPr>
            <w:tcW w:w="985" w:type="pct"/>
            <w:tcBorders>
              <w:top w:val="nil"/>
              <w:left w:val="nil"/>
              <w:bottom w:val="single" w:sz="4" w:space="0" w:color="auto"/>
              <w:right w:val="nil"/>
            </w:tcBorders>
            <w:shd w:val="clear" w:color="auto" w:fill="auto"/>
            <w:noWrap/>
            <w:vAlign w:val="center"/>
            <w:hideMark/>
          </w:tcPr>
          <w:p w14:paraId="060A4DB4" w14:textId="77777777" w:rsidR="006220A2" w:rsidRPr="00912A10" w:rsidRDefault="003A50C9" w:rsidP="00852114">
            <w:pPr>
              <w:jc w:val="right"/>
              <w:rPr>
                <w:b/>
                <w:bCs/>
                <w:sz w:val="18"/>
                <w:szCs w:val="18"/>
              </w:rPr>
            </w:pPr>
            <w:r w:rsidRPr="00912A10">
              <w:rPr>
                <w:b/>
                <w:bCs/>
                <w:sz w:val="18"/>
                <w:szCs w:val="18"/>
              </w:rPr>
              <w:t>14.769,86</w:t>
            </w:r>
          </w:p>
        </w:tc>
        <w:tc>
          <w:tcPr>
            <w:tcW w:w="1121" w:type="pct"/>
            <w:tcBorders>
              <w:top w:val="nil"/>
              <w:left w:val="nil"/>
              <w:bottom w:val="single" w:sz="4" w:space="0" w:color="auto"/>
              <w:right w:val="nil"/>
            </w:tcBorders>
            <w:shd w:val="clear" w:color="auto" w:fill="auto"/>
            <w:noWrap/>
            <w:vAlign w:val="center"/>
            <w:hideMark/>
          </w:tcPr>
          <w:p w14:paraId="5453AD6F" w14:textId="77777777" w:rsidR="006220A2" w:rsidRPr="00912A10" w:rsidRDefault="006220A2" w:rsidP="00852114">
            <w:pPr>
              <w:jc w:val="center"/>
              <w:rPr>
                <w:rFonts w:eastAsia="Times New Roman"/>
                <w:b/>
                <w:bCs/>
                <w:sz w:val="18"/>
                <w:szCs w:val="18"/>
              </w:rPr>
            </w:pPr>
            <w:r w:rsidRPr="00912A10">
              <w:rPr>
                <w:rFonts w:eastAsia="Times New Roman"/>
                <w:b/>
                <w:bCs/>
                <w:sz w:val="18"/>
                <w:szCs w:val="18"/>
                <w:lang w:val="en-US"/>
              </w:rPr>
              <w:t> </w:t>
            </w:r>
          </w:p>
        </w:tc>
      </w:tr>
    </w:tbl>
    <w:p w14:paraId="65607522" w14:textId="77777777" w:rsidR="006220A2" w:rsidRPr="00D67C6B" w:rsidRDefault="006220A2" w:rsidP="001B5A15">
      <w:pPr>
        <w:widowControl w:val="0"/>
        <w:spacing w:before="240" w:after="120" w:line="260" w:lineRule="exact"/>
        <w:jc w:val="both"/>
        <w:outlineLvl w:val="9"/>
        <w:rPr>
          <w:snapToGrid w:val="0"/>
          <w:sz w:val="20"/>
          <w:szCs w:val="22"/>
        </w:rPr>
      </w:pPr>
      <w:r w:rsidRPr="00D67C6B">
        <w:rPr>
          <w:snapToGrid w:val="0"/>
          <w:sz w:val="20"/>
          <w:szCs w:val="22"/>
        </w:rPr>
        <w:t>Los activos en los que se aplica deducción por inversión en activos fijos materiales nuevos deben permanecer en funcionamiento en la empresa durante 5 años o durante su vida útil conforme a la amortización fiscal si ésta fuera inferior.</w:t>
      </w:r>
    </w:p>
    <w:p w14:paraId="407A8D6A" w14:textId="77777777" w:rsidR="006220A2" w:rsidRPr="00D67C6B" w:rsidRDefault="006220A2" w:rsidP="00D67C6B">
      <w:pPr>
        <w:widowControl w:val="0"/>
        <w:spacing w:before="120" w:after="120" w:line="260" w:lineRule="exact"/>
        <w:jc w:val="both"/>
        <w:outlineLvl w:val="9"/>
        <w:rPr>
          <w:snapToGrid w:val="0"/>
          <w:sz w:val="20"/>
          <w:szCs w:val="22"/>
        </w:rPr>
      </w:pPr>
      <w:r w:rsidRPr="00D67C6B">
        <w:rPr>
          <w:snapToGrid w:val="0"/>
          <w:sz w:val="20"/>
          <w:szCs w:val="22"/>
        </w:rPr>
        <w:t>La Sociedad incurrió en el pasado en pérdidas fiscales, de las cuáles quedan pendientes de compensar las siguientes:</w:t>
      </w:r>
    </w:p>
    <w:tbl>
      <w:tblPr>
        <w:tblW w:w="8781" w:type="dxa"/>
        <w:jc w:val="center"/>
        <w:tblCellMar>
          <w:left w:w="70" w:type="dxa"/>
          <w:right w:w="70" w:type="dxa"/>
        </w:tblCellMar>
        <w:tblLook w:val="04A0" w:firstRow="1" w:lastRow="0" w:firstColumn="1" w:lastColumn="0" w:noHBand="0" w:noVBand="1"/>
      </w:tblPr>
      <w:tblGrid>
        <w:gridCol w:w="2287"/>
        <w:gridCol w:w="1924"/>
        <w:gridCol w:w="1885"/>
        <w:gridCol w:w="1405"/>
        <w:gridCol w:w="1280"/>
      </w:tblGrid>
      <w:tr w:rsidR="003C0451" w:rsidRPr="00912A10" w14:paraId="2F2B83DA" w14:textId="58086BD1" w:rsidTr="00567092">
        <w:trPr>
          <w:trHeight w:val="255"/>
          <w:jc w:val="center"/>
        </w:trPr>
        <w:tc>
          <w:tcPr>
            <w:tcW w:w="2287" w:type="dxa"/>
            <w:tcBorders>
              <w:top w:val="single" w:sz="4" w:space="0" w:color="auto"/>
              <w:left w:val="nil"/>
              <w:bottom w:val="single" w:sz="4" w:space="0" w:color="auto"/>
              <w:right w:val="nil"/>
            </w:tcBorders>
            <w:shd w:val="clear" w:color="auto" w:fill="auto"/>
            <w:noWrap/>
            <w:vAlign w:val="bottom"/>
            <w:hideMark/>
          </w:tcPr>
          <w:p w14:paraId="38900336" w14:textId="77777777" w:rsidR="003C0451" w:rsidRPr="00912A10" w:rsidRDefault="003C0451" w:rsidP="00852114">
            <w:pPr>
              <w:jc w:val="center"/>
              <w:rPr>
                <w:rFonts w:eastAsia="Times New Roman"/>
                <w:b/>
                <w:bCs/>
                <w:sz w:val="16"/>
                <w:szCs w:val="16"/>
              </w:rPr>
            </w:pPr>
            <w:r w:rsidRPr="00912A10">
              <w:rPr>
                <w:rFonts w:eastAsia="Times New Roman"/>
                <w:b/>
                <w:bCs/>
                <w:sz w:val="16"/>
                <w:szCs w:val="16"/>
              </w:rPr>
              <w:t>Año</w:t>
            </w:r>
          </w:p>
        </w:tc>
        <w:tc>
          <w:tcPr>
            <w:tcW w:w="1924" w:type="dxa"/>
            <w:tcBorders>
              <w:top w:val="single" w:sz="4" w:space="0" w:color="auto"/>
              <w:left w:val="nil"/>
              <w:bottom w:val="single" w:sz="4" w:space="0" w:color="auto"/>
              <w:right w:val="nil"/>
            </w:tcBorders>
            <w:shd w:val="clear" w:color="auto" w:fill="auto"/>
            <w:noWrap/>
            <w:vAlign w:val="bottom"/>
            <w:hideMark/>
          </w:tcPr>
          <w:p w14:paraId="07D7F115" w14:textId="77777777" w:rsidR="003C0451" w:rsidRPr="00912A10" w:rsidRDefault="003C0451" w:rsidP="00852114">
            <w:pPr>
              <w:jc w:val="center"/>
              <w:rPr>
                <w:rFonts w:eastAsia="Times New Roman"/>
                <w:b/>
                <w:bCs/>
                <w:sz w:val="16"/>
                <w:szCs w:val="16"/>
              </w:rPr>
            </w:pPr>
            <w:r w:rsidRPr="00912A10">
              <w:rPr>
                <w:rFonts w:eastAsia="Times New Roman"/>
                <w:b/>
                <w:bCs/>
                <w:sz w:val="16"/>
                <w:szCs w:val="16"/>
              </w:rPr>
              <w:t>Concepto</w:t>
            </w:r>
          </w:p>
        </w:tc>
        <w:tc>
          <w:tcPr>
            <w:tcW w:w="1885" w:type="dxa"/>
            <w:tcBorders>
              <w:top w:val="single" w:sz="4" w:space="0" w:color="auto"/>
              <w:left w:val="nil"/>
              <w:bottom w:val="single" w:sz="4" w:space="0" w:color="auto"/>
              <w:right w:val="nil"/>
            </w:tcBorders>
            <w:shd w:val="clear" w:color="auto" w:fill="auto"/>
            <w:noWrap/>
            <w:vAlign w:val="bottom"/>
            <w:hideMark/>
          </w:tcPr>
          <w:p w14:paraId="02486A88" w14:textId="77777777" w:rsidR="003C0451" w:rsidRPr="00912A10" w:rsidRDefault="003C0451" w:rsidP="00852114">
            <w:pPr>
              <w:jc w:val="center"/>
              <w:rPr>
                <w:rFonts w:eastAsia="Times New Roman"/>
                <w:b/>
                <w:bCs/>
                <w:sz w:val="16"/>
                <w:szCs w:val="16"/>
              </w:rPr>
            </w:pPr>
            <w:r w:rsidRPr="00912A10">
              <w:rPr>
                <w:rFonts w:eastAsia="Times New Roman"/>
                <w:b/>
                <w:bCs/>
                <w:sz w:val="16"/>
                <w:szCs w:val="16"/>
              </w:rPr>
              <w:t>Euros</w:t>
            </w:r>
          </w:p>
        </w:tc>
        <w:tc>
          <w:tcPr>
            <w:tcW w:w="1405" w:type="dxa"/>
            <w:tcBorders>
              <w:top w:val="single" w:sz="4" w:space="0" w:color="auto"/>
              <w:left w:val="nil"/>
              <w:bottom w:val="single" w:sz="4" w:space="0" w:color="auto"/>
              <w:right w:val="nil"/>
            </w:tcBorders>
            <w:vAlign w:val="bottom"/>
          </w:tcPr>
          <w:p w14:paraId="03F805A7" w14:textId="266FD213" w:rsidR="003C0451" w:rsidRPr="00912A10" w:rsidRDefault="00567092" w:rsidP="00567092">
            <w:pPr>
              <w:jc w:val="center"/>
              <w:rPr>
                <w:rFonts w:eastAsia="Times New Roman"/>
                <w:b/>
                <w:bCs/>
                <w:sz w:val="16"/>
                <w:szCs w:val="16"/>
              </w:rPr>
            </w:pPr>
            <w:r w:rsidRPr="00912A10">
              <w:rPr>
                <w:rFonts w:eastAsia="Times New Roman"/>
                <w:b/>
                <w:bCs/>
                <w:sz w:val="16"/>
                <w:szCs w:val="16"/>
              </w:rPr>
              <w:t>Aplicado</w:t>
            </w:r>
          </w:p>
        </w:tc>
        <w:tc>
          <w:tcPr>
            <w:tcW w:w="1280" w:type="dxa"/>
            <w:tcBorders>
              <w:top w:val="single" w:sz="4" w:space="0" w:color="auto"/>
              <w:left w:val="nil"/>
              <w:bottom w:val="single" w:sz="4" w:space="0" w:color="auto"/>
              <w:right w:val="nil"/>
            </w:tcBorders>
            <w:vAlign w:val="bottom"/>
          </w:tcPr>
          <w:p w14:paraId="561D08F7" w14:textId="26DE4F7D" w:rsidR="003C0451" w:rsidRPr="00912A10" w:rsidRDefault="00567092" w:rsidP="00567092">
            <w:pPr>
              <w:jc w:val="center"/>
              <w:rPr>
                <w:rFonts w:eastAsia="Times New Roman"/>
                <w:b/>
                <w:bCs/>
                <w:sz w:val="16"/>
                <w:szCs w:val="16"/>
              </w:rPr>
            </w:pPr>
            <w:r w:rsidRPr="00912A10">
              <w:rPr>
                <w:rFonts w:eastAsia="Times New Roman"/>
                <w:b/>
                <w:bCs/>
                <w:sz w:val="16"/>
                <w:szCs w:val="16"/>
              </w:rPr>
              <w:t>Pendiente de aplicar</w:t>
            </w:r>
          </w:p>
        </w:tc>
      </w:tr>
      <w:tr w:rsidR="008F4B4E" w:rsidRPr="00912A10" w14:paraId="54BAB7EA" w14:textId="32EDD5FB" w:rsidTr="002B2E50">
        <w:trPr>
          <w:trHeight w:val="255"/>
          <w:jc w:val="center"/>
        </w:trPr>
        <w:tc>
          <w:tcPr>
            <w:tcW w:w="2287" w:type="dxa"/>
            <w:tcBorders>
              <w:top w:val="nil"/>
              <w:left w:val="nil"/>
              <w:bottom w:val="nil"/>
              <w:right w:val="nil"/>
            </w:tcBorders>
            <w:shd w:val="clear" w:color="auto" w:fill="auto"/>
            <w:noWrap/>
            <w:vAlign w:val="center"/>
            <w:hideMark/>
          </w:tcPr>
          <w:p w14:paraId="336E0EA0" w14:textId="77777777" w:rsidR="008F4B4E" w:rsidRPr="00912A10" w:rsidRDefault="008F4B4E" w:rsidP="008F4B4E">
            <w:pPr>
              <w:jc w:val="center"/>
              <w:rPr>
                <w:rFonts w:eastAsia="Times New Roman"/>
                <w:sz w:val="16"/>
                <w:szCs w:val="16"/>
              </w:rPr>
            </w:pPr>
            <w:r w:rsidRPr="00912A10">
              <w:rPr>
                <w:rFonts w:eastAsia="Times New Roman"/>
                <w:sz w:val="16"/>
                <w:szCs w:val="16"/>
              </w:rPr>
              <w:t>2009</w:t>
            </w:r>
          </w:p>
        </w:tc>
        <w:tc>
          <w:tcPr>
            <w:tcW w:w="1924" w:type="dxa"/>
            <w:tcBorders>
              <w:top w:val="nil"/>
              <w:left w:val="nil"/>
              <w:bottom w:val="nil"/>
              <w:right w:val="nil"/>
            </w:tcBorders>
            <w:shd w:val="clear" w:color="auto" w:fill="auto"/>
            <w:noWrap/>
            <w:vAlign w:val="center"/>
            <w:hideMark/>
          </w:tcPr>
          <w:p w14:paraId="2033E519"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01E8A2D0" w14:textId="25161D88" w:rsidR="008F4B4E" w:rsidRPr="00912A10" w:rsidRDefault="008F4B4E" w:rsidP="002B2E50">
            <w:pPr>
              <w:jc w:val="right"/>
              <w:rPr>
                <w:rFonts w:eastAsia="Times New Roman"/>
                <w:sz w:val="16"/>
                <w:szCs w:val="16"/>
              </w:rPr>
            </w:pPr>
            <w:r w:rsidRPr="00912A10">
              <w:rPr>
                <w:sz w:val="16"/>
                <w:szCs w:val="16"/>
              </w:rPr>
              <w:t>917.470,77</w:t>
            </w:r>
          </w:p>
        </w:tc>
        <w:tc>
          <w:tcPr>
            <w:tcW w:w="1405" w:type="dxa"/>
            <w:tcBorders>
              <w:top w:val="nil"/>
              <w:left w:val="nil"/>
              <w:bottom w:val="nil"/>
              <w:right w:val="nil"/>
            </w:tcBorders>
            <w:vAlign w:val="center"/>
          </w:tcPr>
          <w:p w14:paraId="03B0948F" w14:textId="787A0486"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bottom w:val="nil"/>
              <w:right w:val="nil"/>
            </w:tcBorders>
            <w:vAlign w:val="center"/>
          </w:tcPr>
          <w:p w14:paraId="6936C763" w14:textId="05907303" w:rsidR="008F4B4E" w:rsidRPr="00912A10" w:rsidRDefault="008F4B4E" w:rsidP="002B2E50">
            <w:pPr>
              <w:jc w:val="right"/>
              <w:rPr>
                <w:sz w:val="16"/>
                <w:szCs w:val="16"/>
              </w:rPr>
            </w:pPr>
            <w:r w:rsidRPr="00912A10">
              <w:rPr>
                <w:sz w:val="16"/>
                <w:szCs w:val="16"/>
              </w:rPr>
              <w:t>917.470,77</w:t>
            </w:r>
          </w:p>
        </w:tc>
      </w:tr>
      <w:tr w:rsidR="008F4B4E" w:rsidRPr="00912A10" w14:paraId="5E7CC3C3" w14:textId="758C0C8F" w:rsidTr="002B2E50">
        <w:trPr>
          <w:trHeight w:val="255"/>
          <w:jc w:val="center"/>
        </w:trPr>
        <w:tc>
          <w:tcPr>
            <w:tcW w:w="2287" w:type="dxa"/>
            <w:tcBorders>
              <w:top w:val="nil"/>
              <w:left w:val="nil"/>
              <w:bottom w:val="nil"/>
              <w:right w:val="nil"/>
            </w:tcBorders>
            <w:shd w:val="clear" w:color="auto" w:fill="auto"/>
            <w:noWrap/>
            <w:vAlign w:val="center"/>
            <w:hideMark/>
          </w:tcPr>
          <w:p w14:paraId="1A2E6840" w14:textId="77777777" w:rsidR="008F4B4E" w:rsidRPr="00912A10" w:rsidRDefault="008F4B4E" w:rsidP="008F4B4E">
            <w:pPr>
              <w:jc w:val="center"/>
              <w:rPr>
                <w:rFonts w:eastAsia="Times New Roman"/>
                <w:sz w:val="16"/>
                <w:szCs w:val="16"/>
              </w:rPr>
            </w:pPr>
            <w:r w:rsidRPr="00912A10">
              <w:rPr>
                <w:rFonts w:eastAsia="Times New Roman"/>
                <w:sz w:val="16"/>
                <w:szCs w:val="16"/>
              </w:rPr>
              <w:t>2010</w:t>
            </w:r>
          </w:p>
        </w:tc>
        <w:tc>
          <w:tcPr>
            <w:tcW w:w="1924" w:type="dxa"/>
            <w:tcBorders>
              <w:top w:val="nil"/>
              <w:left w:val="nil"/>
              <w:bottom w:val="nil"/>
              <w:right w:val="nil"/>
            </w:tcBorders>
            <w:shd w:val="clear" w:color="auto" w:fill="auto"/>
            <w:noWrap/>
            <w:vAlign w:val="center"/>
            <w:hideMark/>
          </w:tcPr>
          <w:p w14:paraId="01621A5F"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2B9A6E0D" w14:textId="3151F732" w:rsidR="008F4B4E" w:rsidRPr="00912A10" w:rsidRDefault="008F4B4E" w:rsidP="002B2E50">
            <w:pPr>
              <w:jc w:val="right"/>
              <w:rPr>
                <w:rFonts w:eastAsia="Times New Roman"/>
                <w:sz w:val="16"/>
                <w:szCs w:val="16"/>
              </w:rPr>
            </w:pPr>
            <w:r w:rsidRPr="00912A10">
              <w:rPr>
                <w:sz w:val="16"/>
                <w:szCs w:val="16"/>
              </w:rPr>
              <w:t>2.083.833,07</w:t>
            </w:r>
          </w:p>
        </w:tc>
        <w:tc>
          <w:tcPr>
            <w:tcW w:w="1405" w:type="dxa"/>
            <w:tcBorders>
              <w:top w:val="nil"/>
              <w:left w:val="nil"/>
              <w:bottom w:val="nil"/>
              <w:right w:val="nil"/>
            </w:tcBorders>
            <w:vAlign w:val="center"/>
          </w:tcPr>
          <w:p w14:paraId="37FDA500" w14:textId="7B22EB72"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bottom w:val="nil"/>
              <w:right w:val="nil"/>
            </w:tcBorders>
            <w:vAlign w:val="center"/>
          </w:tcPr>
          <w:p w14:paraId="18CAC3DC" w14:textId="38D44F3B" w:rsidR="008F4B4E" w:rsidRPr="00912A10" w:rsidRDefault="008F4B4E" w:rsidP="002B2E50">
            <w:pPr>
              <w:jc w:val="right"/>
              <w:rPr>
                <w:sz w:val="16"/>
                <w:szCs w:val="16"/>
              </w:rPr>
            </w:pPr>
            <w:r w:rsidRPr="00912A10">
              <w:rPr>
                <w:sz w:val="16"/>
                <w:szCs w:val="16"/>
              </w:rPr>
              <w:t>2.083.833,07</w:t>
            </w:r>
          </w:p>
        </w:tc>
      </w:tr>
      <w:tr w:rsidR="008F4B4E" w:rsidRPr="00912A10" w14:paraId="7DA36E57" w14:textId="35C896C7" w:rsidTr="002B2E50">
        <w:trPr>
          <w:trHeight w:val="255"/>
          <w:jc w:val="center"/>
        </w:trPr>
        <w:tc>
          <w:tcPr>
            <w:tcW w:w="2287" w:type="dxa"/>
            <w:tcBorders>
              <w:top w:val="nil"/>
              <w:left w:val="nil"/>
              <w:bottom w:val="nil"/>
              <w:right w:val="nil"/>
            </w:tcBorders>
            <w:shd w:val="clear" w:color="auto" w:fill="auto"/>
            <w:noWrap/>
            <w:vAlign w:val="center"/>
            <w:hideMark/>
          </w:tcPr>
          <w:p w14:paraId="736EE96A" w14:textId="77777777" w:rsidR="008F4B4E" w:rsidRPr="00912A10" w:rsidRDefault="008F4B4E" w:rsidP="008F4B4E">
            <w:pPr>
              <w:jc w:val="center"/>
              <w:rPr>
                <w:rFonts w:eastAsia="Times New Roman"/>
                <w:sz w:val="16"/>
                <w:szCs w:val="16"/>
              </w:rPr>
            </w:pPr>
            <w:r w:rsidRPr="00912A10">
              <w:rPr>
                <w:rFonts w:eastAsia="Times New Roman"/>
                <w:sz w:val="16"/>
                <w:szCs w:val="16"/>
              </w:rPr>
              <w:t>2011</w:t>
            </w:r>
          </w:p>
        </w:tc>
        <w:tc>
          <w:tcPr>
            <w:tcW w:w="1924" w:type="dxa"/>
            <w:tcBorders>
              <w:top w:val="nil"/>
              <w:left w:val="nil"/>
              <w:bottom w:val="nil"/>
              <w:right w:val="nil"/>
            </w:tcBorders>
            <w:shd w:val="clear" w:color="auto" w:fill="auto"/>
            <w:noWrap/>
            <w:vAlign w:val="center"/>
            <w:hideMark/>
          </w:tcPr>
          <w:p w14:paraId="00FD7A4D"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174999F1" w14:textId="761E9BCD" w:rsidR="008F4B4E" w:rsidRPr="00912A10" w:rsidRDefault="008F4B4E" w:rsidP="002B2E50">
            <w:pPr>
              <w:jc w:val="right"/>
              <w:rPr>
                <w:rFonts w:eastAsia="Times New Roman"/>
                <w:sz w:val="16"/>
                <w:szCs w:val="16"/>
              </w:rPr>
            </w:pPr>
            <w:r w:rsidRPr="00912A10">
              <w:rPr>
                <w:sz w:val="16"/>
                <w:szCs w:val="16"/>
              </w:rPr>
              <w:t>2.530.082,21</w:t>
            </w:r>
          </w:p>
        </w:tc>
        <w:tc>
          <w:tcPr>
            <w:tcW w:w="1405" w:type="dxa"/>
            <w:tcBorders>
              <w:top w:val="nil"/>
              <w:left w:val="nil"/>
              <w:bottom w:val="nil"/>
              <w:right w:val="nil"/>
            </w:tcBorders>
            <w:vAlign w:val="center"/>
          </w:tcPr>
          <w:p w14:paraId="2AEB8CF1" w14:textId="6FF80A63"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bottom w:val="nil"/>
              <w:right w:val="nil"/>
            </w:tcBorders>
            <w:vAlign w:val="center"/>
          </w:tcPr>
          <w:p w14:paraId="6B4D318C" w14:textId="12611A9D" w:rsidR="008F4B4E" w:rsidRPr="00912A10" w:rsidRDefault="008F4B4E" w:rsidP="002B2E50">
            <w:pPr>
              <w:jc w:val="right"/>
              <w:rPr>
                <w:sz w:val="16"/>
                <w:szCs w:val="16"/>
              </w:rPr>
            </w:pPr>
            <w:r w:rsidRPr="00912A10">
              <w:rPr>
                <w:sz w:val="16"/>
                <w:szCs w:val="16"/>
              </w:rPr>
              <w:t>2.530.082,21</w:t>
            </w:r>
          </w:p>
        </w:tc>
      </w:tr>
      <w:tr w:rsidR="008F4B4E" w:rsidRPr="00912A10" w14:paraId="1C909A56" w14:textId="0B72BF39" w:rsidTr="002B2E50">
        <w:trPr>
          <w:trHeight w:val="255"/>
          <w:jc w:val="center"/>
        </w:trPr>
        <w:tc>
          <w:tcPr>
            <w:tcW w:w="2287" w:type="dxa"/>
            <w:tcBorders>
              <w:top w:val="nil"/>
              <w:left w:val="nil"/>
              <w:bottom w:val="nil"/>
              <w:right w:val="nil"/>
            </w:tcBorders>
            <w:shd w:val="clear" w:color="auto" w:fill="auto"/>
            <w:noWrap/>
            <w:vAlign w:val="center"/>
            <w:hideMark/>
          </w:tcPr>
          <w:p w14:paraId="01CD095E" w14:textId="77777777" w:rsidR="008F4B4E" w:rsidRPr="00912A10" w:rsidRDefault="008F4B4E" w:rsidP="008F4B4E">
            <w:pPr>
              <w:jc w:val="center"/>
              <w:rPr>
                <w:rFonts w:eastAsia="Times New Roman"/>
                <w:sz w:val="16"/>
                <w:szCs w:val="16"/>
              </w:rPr>
            </w:pPr>
            <w:r w:rsidRPr="00912A10">
              <w:rPr>
                <w:rFonts w:eastAsia="Times New Roman"/>
                <w:sz w:val="16"/>
                <w:szCs w:val="16"/>
              </w:rPr>
              <w:t>2012</w:t>
            </w:r>
          </w:p>
        </w:tc>
        <w:tc>
          <w:tcPr>
            <w:tcW w:w="1924" w:type="dxa"/>
            <w:tcBorders>
              <w:top w:val="nil"/>
              <w:left w:val="nil"/>
              <w:bottom w:val="nil"/>
              <w:right w:val="nil"/>
            </w:tcBorders>
            <w:shd w:val="clear" w:color="auto" w:fill="auto"/>
            <w:noWrap/>
            <w:vAlign w:val="center"/>
            <w:hideMark/>
          </w:tcPr>
          <w:p w14:paraId="31ECF97F"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6B2C4644" w14:textId="5DB67F5A" w:rsidR="008F4B4E" w:rsidRPr="00912A10" w:rsidRDefault="008F4B4E" w:rsidP="002B2E50">
            <w:pPr>
              <w:jc w:val="right"/>
              <w:rPr>
                <w:rFonts w:eastAsia="Times New Roman"/>
                <w:sz w:val="16"/>
                <w:szCs w:val="16"/>
              </w:rPr>
            </w:pPr>
            <w:r w:rsidRPr="00912A10">
              <w:rPr>
                <w:sz w:val="16"/>
                <w:szCs w:val="16"/>
              </w:rPr>
              <w:t>2.118.377,26</w:t>
            </w:r>
          </w:p>
        </w:tc>
        <w:tc>
          <w:tcPr>
            <w:tcW w:w="1405" w:type="dxa"/>
            <w:tcBorders>
              <w:top w:val="nil"/>
              <w:left w:val="nil"/>
              <w:bottom w:val="nil"/>
              <w:right w:val="nil"/>
            </w:tcBorders>
            <w:vAlign w:val="center"/>
          </w:tcPr>
          <w:p w14:paraId="4D9A57F9" w14:textId="71F87B19"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bottom w:val="nil"/>
              <w:right w:val="nil"/>
            </w:tcBorders>
            <w:vAlign w:val="center"/>
          </w:tcPr>
          <w:p w14:paraId="4C1EAED2" w14:textId="1CA603ED" w:rsidR="008F4B4E" w:rsidRPr="00912A10" w:rsidRDefault="008F4B4E" w:rsidP="002B2E50">
            <w:pPr>
              <w:jc w:val="right"/>
              <w:rPr>
                <w:sz w:val="16"/>
                <w:szCs w:val="16"/>
              </w:rPr>
            </w:pPr>
            <w:r w:rsidRPr="00912A10">
              <w:rPr>
                <w:sz w:val="16"/>
                <w:szCs w:val="16"/>
              </w:rPr>
              <w:t>2.118.377,26</w:t>
            </w:r>
          </w:p>
        </w:tc>
      </w:tr>
      <w:tr w:rsidR="008F4B4E" w:rsidRPr="00912A10" w14:paraId="25A070BF" w14:textId="50258235" w:rsidTr="002B2E50">
        <w:trPr>
          <w:trHeight w:val="255"/>
          <w:jc w:val="center"/>
        </w:trPr>
        <w:tc>
          <w:tcPr>
            <w:tcW w:w="2287" w:type="dxa"/>
            <w:tcBorders>
              <w:top w:val="nil"/>
              <w:left w:val="nil"/>
              <w:bottom w:val="nil"/>
              <w:right w:val="nil"/>
            </w:tcBorders>
            <w:shd w:val="clear" w:color="auto" w:fill="auto"/>
            <w:noWrap/>
            <w:vAlign w:val="center"/>
            <w:hideMark/>
          </w:tcPr>
          <w:p w14:paraId="727DA3FD" w14:textId="77777777" w:rsidR="008F4B4E" w:rsidRPr="00912A10" w:rsidRDefault="008F4B4E" w:rsidP="008F4B4E">
            <w:pPr>
              <w:jc w:val="center"/>
              <w:rPr>
                <w:rFonts w:eastAsia="Times New Roman"/>
                <w:sz w:val="16"/>
                <w:szCs w:val="16"/>
              </w:rPr>
            </w:pPr>
            <w:r w:rsidRPr="00912A10">
              <w:rPr>
                <w:rFonts w:eastAsia="Times New Roman"/>
                <w:sz w:val="16"/>
                <w:szCs w:val="16"/>
              </w:rPr>
              <w:t>2013</w:t>
            </w:r>
          </w:p>
        </w:tc>
        <w:tc>
          <w:tcPr>
            <w:tcW w:w="1924" w:type="dxa"/>
            <w:tcBorders>
              <w:top w:val="nil"/>
              <w:left w:val="nil"/>
              <w:bottom w:val="nil"/>
              <w:right w:val="nil"/>
            </w:tcBorders>
            <w:shd w:val="clear" w:color="auto" w:fill="auto"/>
            <w:noWrap/>
            <w:vAlign w:val="center"/>
            <w:hideMark/>
          </w:tcPr>
          <w:p w14:paraId="59091D71"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4DBB4DB1" w14:textId="728DAA79" w:rsidR="008F4B4E" w:rsidRPr="00912A10" w:rsidRDefault="008F4B4E" w:rsidP="002B2E50">
            <w:pPr>
              <w:jc w:val="right"/>
              <w:rPr>
                <w:rFonts w:eastAsia="Times New Roman"/>
                <w:sz w:val="16"/>
                <w:szCs w:val="16"/>
              </w:rPr>
            </w:pPr>
            <w:r w:rsidRPr="00912A10">
              <w:rPr>
                <w:sz w:val="16"/>
                <w:szCs w:val="16"/>
              </w:rPr>
              <w:t>1.365.508,47</w:t>
            </w:r>
          </w:p>
        </w:tc>
        <w:tc>
          <w:tcPr>
            <w:tcW w:w="1405" w:type="dxa"/>
            <w:tcBorders>
              <w:top w:val="nil"/>
              <w:left w:val="nil"/>
              <w:bottom w:val="nil"/>
              <w:right w:val="nil"/>
            </w:tcBorders>
            <w:vAlign w:val="center"/>
          </w:tcPr>
          <w:p w14:paraId="3A9A47E4" w14:textId="6FCC45DA"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bottom w:val="nil"/>
              <w:right w:val="nil"/>
            </w:tcBorders>
            <w:vAlign w:val="center"/>
          </w:tcPr>
          <w:p w14:paraId="4A0115E0" w14:textId="516B9DC4" w:rsidR="008F4B4E" w:rsidRPr="00912A10" w:rsidRDefault="008F4B4E" w:rsidP="002B2E50">
            <w:pPr>
              <w:jc w:val="right"/>
              <w:rPr>
                <w:sz w:val="16"/>
                <w:szCs w:val="16"/>
              </w:rPr>
            </w:pPr>
            <w:r w:rsidRPr="00912A10">
              <w:rPr>
                <w:sz w:val="16"/>
                <w:szCs w:val="16"/>
              </w:rPr>
              <w:t>1.365.508,47</w:t>
            </w:r>
          </w:p>
        </w:tc>
      </w:tr>
      <w:tr w:rsidR="008F4B4E" w:rsidRPr="00912A10" w14:paraId="1A839253" w14:textId="26B11E6C" w:rsidTr="002B2E50">
        <w:trPr>
          <w:trHeight w:val="255"/>
          <w:jc w:val="center"/>
        </w:trPr>
        <w:tc>
          <w:tcPr>
            <w:tcW w:w="2287" w:type="dxa"/>
            <w:tcBorders>
              <w:top w:val="nil"/>
              <w:left w:val="nil"/>
              <w:bottom w:val="nil"/>
              <w:right w:val="nil"/>
            </w:tcBorders>
            <w:shd w:val="clear" w:color="auto" w:fill="auto"/>
            <w:noWrap/>
            <w:vAlign w:val="center"/>
            <w:hideMark/>
          </w:tcPr>
          <w:p w14:paraId="17120304" w14:textId="77777777" w:rsidR="008F4B4E" w:rsidRPr="00912A10" w:rsidRDefault="008F4B4E" w:rsidP="008F4B4E">
            <w:pPr>
              <w:jc w:val="center"/>
              <w:rPr>
                <w:rFonts w:eastAsia="Times New Roman"/>
                <w:sz w:val="16"/>
                <w:szCs w:val="16"/>
              </w:rPr>
            </w:pPr>
            <w:r w:rsidRPr="00912A10">
              <w:rPr>
                <w:rFonts w:eastAsia="Times New Roman"/>
                <w:sz w:val="16"/>
                <w:szCs w:val="16"/>
              </w:rPr>
              <w:t>2014</w:t>
            </w:r>
          </w:p>
        </w:tc>
        <w:tc>
          <w:tcPr>
            <w:tcW w:w="1924" w:type="dxa"/>
            <w:tcBorders>
              <w:top w:val="nil"/>
              <w:left w:val="nil"/>
              <w:bottom w:val="nil"/>
              <w:right w:val="nil"/>
            </w:tcBorders>
            <w:shd w:val="clear" w:color="auto" w:fill="auto"/>
            <w:noWrap/>
            <w:vAlign w:val="center"/>
            <w:hideMark/>
          </w:tcPr>
          <w:p w14:paraId="290A69B3"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bottom w:val="nil"/>
              <w:right w:val="nil"/>
            </w:tcBorders>
            <w:shd w:val="clear" w:color="auto" w:fill="auto"/>
            <w:noWrap/>
            <w:vAlign w:val="center"/>
            <w:hideMark/>
          </w:tcPr>
          <w:p w14:paraId="0F85C92E" w14:textId="435BF97C" w:rsidR="008F4B4E" w:rsidRPr="00912A10" w:rsidRDefault="008F4B4E" w:rsidP="002B2E50">
            <w:pPr>
              <w:jc w:val="right"/>
              <w:rPr>
                <w:rFonts w:eastAsia="Times New Roman"/>
                <w:sz w:val="16"/>
                <w:szCs w:val="16"/>
              </w:rPr>
            </w:pPr>
            <w:r w:rsidRPr="00912A10">
              <w:rPr>
                <w:sz w:val="16"/>
                <w:szCs w:val="16"/>
              </w:rPr>
              <w:t>1.182.908,09</w:t>
            </w:r>
          </w:p>
        </w:tc>
        <w:tc>
          <w:tcPr>
            <w:tcW w:w="1405" w:type="dxa"/>
            <w:tcBorders>
              <w:top w:val="nil"/>
              <w:left w:val="nil"/>
              <w:bottom w:val="nil"/>
              <w:right w:val="nil"/>
            </w:tcBorders>
            <w:vAlign w:val="center"/>
          </w:tcPr>
          <w:p w14:paraId="56E715BC" w14:textId="3066B3BC"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bottom w:val="nil"/>
              <w:right w:val="nil"/>
            </w:tcBorders>
            <w:vAlign w:val="center"/>
          </w:tcPr>
          <w:p w14:paraId="73E8EC39" w14:textId="6C960CB1" w:rsidR="008F4B4E" w:rsidRPr="00912A10" w:rsidRDefault="008F4B4E" w:rsidP="002B2E50">
            <w:pPr>
              <w:jc w:val="right"/>
              <w:rPr>
                <w:sz w:val="16"/>
                <w:szCs w:val="16"/>
              </w:rPr>
            </w:pPr>
            <w:r w:rsidRPr="00912A10">
              <w:rPr>
                <w:sz w:val="16"/>
                <w:szCs w:val="16"/>
              </w:rPr>
              <w:t>1.182.908,09</w:t>
            </w:r>
          </w:p>
        </w:tc>
      </w:tr>
      <w:tr w:rsidR="008F4B4E" w:rsidRPr="00912A10" w14:paraId="36EBF662" w14:textId="49BB427D" w:rsidTr="002B2E50">
        <w:trPr>
          <w:trHeight w:val="255"/>
          <w:jc w:val="center"/>
        </w:trPr>
        <w:tc>
          <w:tcPr>
            <w:tcW w:w="2287" w:type="dxa"/>
            <w:tcBorders>
              <w:top w:val="nil"/>
              <w:left w:val="nil"/>
              <w:right w:val="nil"/>
            </w:tcBorders>
            <w:shd w:val="clear" w:color="auto" w:fill="auto"/>
            <w:noWrap/>
            <w:vAlign w:val="center"/>
            <w:hideMark/>
          </w:tcPr>
          <w:p w14:paraId="44913EDD" w14:textId="77777777" w:rsidR="008F4B4E" w:rsidRPr="00912A10" w:rsidRDefault="008F4B4E" w:rsidP="008F4B4E">
            <w:pPr>
              <w:jc w:val="center"/>
              <w:rPr>
                <w:rFonts w:eastAsia="Times New Roman"/>
                <w:sz w:val="16"/>
                <w:szCs w:val="16"/>
              </w:rPr>
            </w:pPr>
            <w:r w:rsidRPr="00912A10">
              <w:rPr>
                <w:rFonts w:eastAsia="Times New Roman"/>
                <w:sz w:val="16"/>
                <w:szCs w:val="16"/>
              </w:rPr>
              <w:t>2015</w:t>
            </w:r>
          </w:p>
        </w:tc>
        <w:tc>
          <w:tcPr>
            <w:tcW w:w="1924" w:type="dxa"/>
            <w:tcBorders>
              <w:top w:val="nil"/>
              <w:left w:val="nil"/>
              <w:right w:val="nil"/>
            </w:tcBorders>
            <w:shd w:val="clear" w:color="auto" w:fill="auto"/>
            <w:noWrap/>
            <w:vAlign w:val="center"/>
            <w:hideMark/>
          </w:tcPr>
          <w:p w14:paraId="13256D6B"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right w:val="nil"/>
            </w:tcBorders>
            <w:shd w:val="clear" w:color="auto" w:fill="auto"/>
            <w:noWrap/>
            <w:vAlign w:val="center"/>
            <w:hideMark/>
          </w:tcPr>
          <w:p w14:paraId="1DE36024" w14:textId="4F1D2DE0" w:rsidR="008F4B4E" w:rsidRPr="00912A10" w:rsidRDefault="008F4B4E" w:rsidP="002B2E50">
            <w:pPr>
              <w:jc w:val="right"/>
              <w:rPr>
                <w:rFonts w:eastAsia="Times New Roman"/>
                <w:sz w:val="16"/>
                <w:szCs w:val="16"/>
              </w:rPr>
            </w:pPr>
            <w:r w:rsidRPr="00912A10">
              <w:rPr>
                <w:sz w:val="16"/>
                <w:szCs w:val="16"/>
              </w:rPr>
              <w:t>1.213.335,43</w:t>
            </w:r>
          </w:p>
        </w:tc>
        <w:tc>
          <w:tcPr>
            <w:tcW w:w="1405" w:type="dxa"/>
            <w:tcBorders>
              <w:top w:val="nil"/>
              <w:left w:val="nil"/>
              <w:right w:val="nil"/>
            </w:tcBorders>
            <w:vAlign w:val="center"/>
          </w:tcPr>
          <w:p w14:paraId="1126D761" w14:textId="189F330B"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right w:val="nil"/>
            </w:tcBorders>
            <w:vAlign w:val="center"/>
          </w:tcPr>
          <w:p w14:paraId="2FF291F3" w14:textId="7FA0C08B" w:rsidR="008F4B4E" w:rsidRPr="00912A10" w:rsidRDefault="008F4B4E" w:rsidP="002B2E50">
            <w:pPr>
              <w:jc w:val="right"/>
              <w:rPr>
                <w:sz w:val="16"/>
                <w:szCs w:val="16"/>
              </w:rPr>
            </w:pPr>
            <w:r w:rsidRPr="00912A10">
              <w:rPr>
                <w:sz w:val="16"/>
                <w:szCs w:val="16"/>
              </w:rPr>
              <w:t>1.213.335,43</w:t>
            </w:r>
          </w:p>
        </w:tc>
      </w:tr>
      <w:tr w:rsidR="008F4B4E" w:rsidRPr="00912A10" w14:paraId="5082F6ED" w14:textId="07D5D745" w:rsidTr="002B2E50">
        <w:trPr>
          <w:trHeight w:val="255"/>
          <w:jc w:val="center"/>
        </w:trPr>
        <w:tc>
          <w:tcPr>
            <w:tcW w:w="2287" w:type="dxa"/>
            <w:tcBorders>
              <w:top w:val="nil"/>
              <w:left w:val="nil"/>
              <w:right w:val="nil"/>
            </w:tcBorders>
            <w:shd w:val="clear" w:color="auto" w:fill="auto"/>
            <w:noWrap/>
            <w:vAlign w:val="center"/>
            <w:hideMark/>
          </w:tcPr>
          <w:p w14:paraId="1557D503" w14:textId="77777777" w:rsidR="008F4B4E" w:rsidRPr="00912A10" w:rsidRDefault="008F4B4E" w:rsidP="008F4B4E">
            <w:pPr>
              <w:jc w:val="center"/>
              <w:rPr>
                <w:rFonts w:eastAsia="Times New Roman"/>
                <w:sz w:val="16"/>
                <w:szCs w:val="16"/>
              </w:rPr>
            </w:pPr>
            <w:r w:rsidRPr="00912A10">
              <w:rPr>
                <w:rFonts w:eastAsia="Times New Roman"/>
                <w:sz w:val="16"/>
                <w:szCs w:val="16"/>
              </w:rPr>
              <w:t>2016</w:t>
            </w:r>
          </w:p>
        </w:tc>
        <w:tc>
          <w:tcPr>
            <w:tcW w:w="1924" w:type="dxa"/>
            <w:tcBorders>
              <w:top w:val="nil"/>
              <w:left w:val="nil"/>
              <w:right w:val="nil"/>
            </w:tcBorders>
            <w:shd w:val="clear" w:color="auto" w:fill="auto"/>
            <w:noWrap/>
            <w:vAlign w:val="center"/>
            <w:hideMark/>
          </w:tcPr>
          <w:p w14:paraId="65938B89" w14:textId="77777777" w:rsidR="008F4B4E" w:rsidRPr="00912A10" w:rsidRDefault="008F4B4E" w:rsidP="008F4B4E">
            <w:pPr>
              <w:rPr>
                <w:rFonts w:eastAsia="Times New Roman"/>
                <w:sz w:val="16"/>
                <w:szCs w:val="16"/>
              </w:rPr>
            </w:pPr>
            <w:r w:rsidRPr="00912A10">
              <w:rPr>
                <w:rFonts w:eastAsia="Times New Roman"/>
                <w:sz w:val="16"/>
                <w:szCs w:val="16"/>
              </w:rPr>
              <w:t>Base imponible negativa</w:t>
            </w:r>
          </w:p>
        </w:tc>
        <w:tc>
          <w:tcPr>
            <w:tcW w:w="1885" w:type="dxa"/>
            <w:tcBorders>
              <w:top w:val="nil"/>
              <w:left w:val="nil"/>
              <w:right w:val="nil"/>
            </w:tcBorders>
            <w:shd w:val="clear" w:color="auto" w:fill="auto"/>
            <w:noWrap/>
            <w:vAlign w:val="center"/>
            <w:hideMark/>
          </w:tcPr>
          <w:p w14:paraId="685CF07E" w14:textId="1C53E60F" w:rsidR="008F4B4E" w:rsidRPr="00912A10" w:rsidRDefault="008F4B4E" w:rsidP="002B2E50">
            <w:pPr>
              <w:jc w:val="right"/>
              <w:rPr>
                <w:rFonts w:eastAsia="Times New Roman"/>
                <w:sz w:val="16"/>
                <w:szCs w:val="16"/>
              </w:rPr>
            </w:pPr>
            <w:r w:rsidRPr="00912A10">
              <w:rPr>
                <w:sz w:val="16"/>
                <w:szCs w:val="16"/>
              </w:rPr>
              <w:t>739.569,14</w:t>
            </w:r>
          </w:p>
        </w:tc>
        <w:tc>
          <w:tcPr>
            <w:tcW w:w="1405" w:type="dxa"/>
            <w:tcBorders>
              <w:top w:val="nil"/>
              <w:left w:val="nil"/>
              <w:right w:val="nil"/>
            </w:tcBorders>
            <w:vAlign w:val="center"/>
          </w:tcPr>
          <w:p w14:paraId="0FFA6D72" w14:textId="725CDD11" w:rsidR="008F4B4E" w:rsidRPr="00912A10" w:rsidRDefault="008F4B4E" w:rsidP="002B2E50">
            <w:pPr>
              <w:jc w:val="right"/>
              <w:rPr>
                <w:sz w:val="16"/>
                <w:szCs w:val="16"/>
              </w:rPr>
            </w:pPr>
            <w:r w:rsidRPr="00912A10">
              <w:rPr>
                <w:sz w:val="16"/>
                <w:szCs w:val="16"/>
              </w:rPr>
              <w:t xml:space="preserve"> -</w:t>
            </w:r>
          </w:p>
        </w:tc>
        <w:tc>
          <w:tcPr>
            <w:tcW w:w="1280" w:type="dxa"/>
            <w:tcBorders>
              <w:top w:val="nil"/>
              <w:left w:val="nil"/>
              <w:right w:val="nil"/>
            </w:tcBorders>
            <w:vAlign w:val="center"/>
          </w:tcPr>
          <w:p w14:paraId="31B02A30" w14:textId="7890BEF4" w:rsidR="008F4B4E" w:rsidRPr="00912A10" w:rsidRDefault="008F4B4E" w:rsidP="002B2E50">
            <w:pPr>
              <w:jc w:val="right"/>
              <w:rPr>
                <w:sz w:val="16"/>
                <w:szCs w:val="16"/>
              </w:rPr>
            </w:pPr>
            <w:r w:rsidRPr="00912A10">
              <w:rPr>
                <w:sz w:val="16"/>
                <w:szCs w:val="16"/>
              </w:rPr>
              <w:t>739.569,14</w:t>
            </w:r>
          </w:p>
        </w:tc>
      </w:tr>
      <w:tr w:rsidR="008F4B4E" w:rsidRPr="00912A10" w14:paraId="6B01DD97" w14:textId="4E4F4F26" w:rsidTr="002B2E50">
        <w:trPr>
          <w:trHeight w:val="255"/>
          <w:jc w:val="center"/>
        </w:trPr>
        <w:tc>
          <w:tcPr>
            <w:tcW w:w="2287" w:type="dxa"/>
            <w:tcBorders>
              <w:left w:val="nil"/>
              <w:right w:val="nil"/>
            </w:tcBorders>
            <w:shd w:val="clear" w:color="auto" w:fill="auto"/>
            <w:noWrap/>
            <w:vAlign w:val="center"/>
          </w:tcPr>
          <w:p w14:paraId="4B47C42E" w14:textId="77777777" w:rsidR="008F4B4E" w:rsidRPr="00912A10" w:rsidRDefault="008F4B4E" w:rsidP="008F4B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912A10">
              <w:rPr>
                <w:sz w:val="16"/>
                <w:szCs w:val="16"/>
              </w:rPr>
              <w:t>2017</w:t>
            </w:r>
          </w:p>
        </w:tc>
        <w:tc>
          <w:tcPr>
            <w:tcW w:w="1924" w:type="dxa"/>
            <w:tcBorders>
              <w:left w:val="nil"/>
              <w:right w:val="nil"/>
            </w:tcBorders>
            <w:shd w:val="clear" w:color="auto" w:fill="auto"/>
            <w:noWrap/>
            <w:vAlign w:val="center"/>
          </w:tcPr>
          <w:p w14:paraId="1B3DE9A3" w14:textId="77777777" w:rsidR="008F4B4E" w:rsidRPr="00912A10" w:rsidRDefault="008F4B4E" w:rsidP="008F4B4E">
            <w:pPr>
              <w:rPr>
                <w:sz w:val="16"/>
                <w:szCs w:val="16"/>
              </w:rPr>
            </w:pPr>
            <w:r w:rsidRPr="00912A10">
              <w:rPr>
                <w:sz w:val="16"/>
                <w:szCs w:val="16"/>
              </w:rPr>
              <w:t>Base imponible negativa</w:t>
            </w:r>
          </w:p>
        </w:tc>
        <w:tc>
          <w:tcPr>
            <w:tcW w:w="1885" w:type="dxa"/>
            <w:tcBorders>
              <w:left w:val="nil"/>
              <w:right w:val="nil"/>
            </w:tcBorders>
            <w:shd w:val="clear" w:color="auto" w:fill="auto"/>
            <w:noWrap/>
            <w:vAlign w:val="center"/>
          </w:tcPr>
          <w:p w14:paraId="3138CC49" w14:textId="200F277E" w:rsidR="008F4B4E" w:rsidRPr="00912A10" w:rsidRDefault="008F4B4E" w:rsidP="002B2E50">
            <w:pPr>
              <w:jc w:val="right"/>
              <w:rPr>
                <w:sz w:val="16"/>
                <w:szCs w:val="16"/>
              </w:rPr>
            </w:pPr>
            <w:r w:rsidRPr="00912A10">
              <w:rPr>
                <w:sz w:val="16"/>
                <w:szCs w:val="16"/>
              </w:rPr>
              <w:t>281.073,74</w:t>
            </w:r>
          </w:p>
        </w:tc>
        <w:tc>
          <w:tcPr>
            <w:tcW w:w="1405" w:type="dxa"/>
            <w:tcBorders>
              <w:left w:val="nil"/>
              <w:right w:val="nil"/>
            </w:tcBorders>
            <w:vAlign w:val="center"/>
          </w:tcPr>
          <w:p w14:paraId="1FF1CEB6" w14:textId="1DB9A241" w:rsidR="008F4B4E" w:rsidRPr="00912A10" w:rsidRDefault="008F4B4E" w:rsidP="002B2E50">
            <w:pPr>
              <w:jc w:val="right"/>
              <w:rPr>
                <w:sz w:val="16"/>
                <w:szCs w:val="16"/>
              </w:rPr>
            </w:pPr>
            <w:r w:rsidRPr="00912A10">
              <w:rPr>
                <w:sz w:val="16"/>
                <w:szCs w:val="16"/>
              </w:rPr>
              <w:t xml:space="preserve"> -</w:t>
            </w:r>
          </w:p>
        </w:tc>
        <w:tc>
          <w:tcPr>
            <w:tcW w:w="1280" w:type="dxa"/>
            <w:tcBorders>
              <w:left w:val="nil"/>
              <w:right w:val="nil"/>
            </w:tcBorders>
            <w:vAlign w:val="center"/>
          </w:tcPr>
          <w:p w14:paraId="539C4B3B" w14:textId="0D56B4FB" w:rsidR="008F4B4E" w:rsidRPr="00912A10" w:rsidRDefault="008F4B4E" w:rsidP="002B2E50">
            <w:pPr>
              <w:jc w:val="right"/>
              <w:rPr>
                <w:sz w:val="16"/>
                <w:szCs w:val="16"/>
              </w:rPr>
            </w:pPr>
            <w:r w:rsidRPr="00912A10">
              <w:rPr>
                <w:sz w:val="16"/>
                <w:szCs w:val="16"/>
              </w:rPr>
              <w:t>281.073,74</w:t>
            </w:r>
          </w:p>
        </w:tc>
      </w:tr>
      <w:tr w:rsidR="008F4B4E" w:rsidRPr="00912A10" w14:paraId="40D45F87" w14:textId="2DFEFBE3" w:rsidTr="002B2E50">
        <w:trPr>
          <w:trHeight w:val="255"/>
          <w:jc w:val="center"/>
        </w:trPr>
        <w:tc>
          <w:tcPr>
            <w:tcW w:w="2287" w:type="dxa"/>
            <w:tcBorders>
              <w:left w:val="nil"/>
              <w:right w:val="nil"/>
            </w:tcBorders>
            <w:shd w:val="clear" w:color="auto" w:fill="auto"/>
            <w:noWrap/>
            <w:vAlign w:val="center"/>
          </w:tcPr>
          <w:p w14:paraId="419ED83A" w14:textId="77777777" w:rsidR="008F4B4E" w:rsidRPr="00912A10" w:rsidRDefault="008F4B4E" w:rsidP="008F4B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912A10">
              <w:rPr>
                <w:sz w:val="16"/>
                <w:szCs w:val="16"/>
              </w:rPr>
              <w:t>2018</w:t>
            </w:r>
          </w:p>
        </w:tc>
        <w:tc>
          <w:tcPr>
            <w:tcW w:w="1924" w:type="dxa"/>
            <w:tcBorders>
              <w:left w:val="nil"/>
              <w:right w:val="nil"/>
            </w:tcBorders>
            <w:shd w:val="clear" w:color="auto" w:fill="auto"/>
            <w:noWrap/>
            <w:vAlign w:val="center"/>
          </w:tcPr>
          <w:p w14:paraId="05D9F1FB" w14:textId="77777777" w:rsidR="008F4B4E" w:rsidRPr="00912A10" w:rsidRDefault="008F4B4E" w:rsidP="008F4B4E">
            <w:pPr>
              <w:rPr>
                <w:sz w:val="16"/>
                <w:szCs w:val="16"/>
              </w:rPr>
            </w:pPr>
            <w:r w:rsidRPr="00912A10">
              <w:rPr>
                <w:sz w:val="16"/>
                <w:szCs w:val="16"/>
              </w:rPr>
              <w:t>Base imponible negativa</w:t>
            </w:r>
          </w:p>
        </w:tc>
        <w:tc>
          <w:tcPr>
            <w:tcW w:w="1885" w:type="dxa"/>
            <w:tcBorders>
              <w:left w:val="nil"/>
              <w:right w:val="nil"/>
            </w:tcBorders>
            <w:shd w:val="clear" w:color="auto" w:fill="auto"/>
            <w:noWrap/>
            <w:vAlign w:val="center"/>
          </w:tcPr>
          <w:p w14:paraId="1524D38C" w14:textId="3F8BE34E" w:rsidR="008F4B4E" w:rsidRPr="00912A10" w:rsidRDefault="008F4B4E" w:rsidP="002B2E50">
            <w:pPr>
              <w:jc w:val="right"/>
              <w:rPr>
                <w:sz w:val="16"/>
                <w:szCs w:val="16"/>
              </w:rPr>
            </w:pPr>
            <w:r w:rsidRPr="00912A10">
              <w:rPr>
                <w:sz w:val="16"/>
                <w:szCs w:val="16"/>
              </w:rPr>
              <w:t>615.720,29</w:t>
            </w:r>
          </w:p>
        </w:tc>
        <w:tc>
          <w:tcPr>
            <w:tcW w:w="1405" w:type="dxa"/>
            <w:tcBorders>
              <w:left w:val="nil"/>
              <w:right w:val="nil"/>
            </w:tcBorders>
            <w:vAlign w:val="center"/>
          </w:tcPr>
          <w:p w14:paraId="370AE3CD" w14:textId="1DB8461C" w:rsidR="008F4B4E" w:rsidRPr="00912A10" w:rsidRDefault="008F4B4E" w:rsidP="002B2E50">
            <w:pPr>
              <w:jc w:val="right"/>
              <w:rPr>
                <w:sz w:val="16"/>
                <w:szCs w:val="16"/>
              </w:rPr>
            </w:pPr>
            <w:r w:rsidRPr="00912A10">
              <w:rPr>
                <w:sz w:val="16"/>
                <w:szCs w:val="16"/>
              </w:rPr>
              <w:t xml:space="preserve"> -</w:t>
            </w:r>
          </w:p>
        </w:tc>
        <w:tc>
          <w:tcPr>
            <w:tcW w:w="1280" w:type="dxa"/>
            <w:tcBorders>
              <w:left w:val="nil"/>
              <w:right w:val="nil"/>
            </w:tcBorders>
            <w:vAlign w:val="center"/>
          </w:tcPr>
          <w:p w14:paraId="2A120B0F" w14:textId="1266A225" w:rsidR="008F4B4E" w:rsidRPr="00912A10" w:rsidRDefault="008F4B4E" w:rsidP="002B2E50">
            <w:pPr>
              <w:jc w:val="right"/>
              <w:rPr>
                <w:sz w:val="16"/>
                <w:szCs w:val="16"/>
              </w:rPr>
            </w:pPr>
            <w:r w:rsidRPr="00912A10">
              <w:rPr>
                <w:sz w:val="16"/>
                <w:szCs w:val="16"/>
              </w:rPr>
              <w:t>615.720,29</w:t>
            </w:r>
          </w:p>
        </w:tc>
      </w:tr>
      <w:tr w:rsidR="008F4B4E" w:rsidRPr="00912A10" w14:paraId="6735FE17" w14:textId="113EFEE4" w:rsidTr="002B2E50">
        <w:trPr>
          <w:trHeight w:val="255"/>
          <w:jc w:val="center"/>
        </w:trPr>
        <w:tc>
          <w:tcPr>
            <w:tcW w:w="2287" w:type="dxa"/>
            <w:tcBorders>
              <w:left w:val="nil"/>
              <w:right w:val="nil"/>
            </w:tcBorders>
            <w:shd w:val="clear" w:color="auto" w:fill="auto"/>
            <w:noWrap/>
            <w:vAlign w:val="center"/>
          </w:tcPr>
          <w:p w14:paraId="2E618454" w14:textId="77777777" w:rsidR="008F4B4E" w:rsidRPr="00912A10" w:rsidRDefault="008F4B4E" w:rsidP="008F4B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6"/>
                <w:szCs w:val="16"/>
                <w:bdr w:val="none" w:sz="0" w:space="0" w:color="auto"/>
                <w:lang w:eastAsia="es-ES"/>
              </w:rPr>
            </w:pPr>
            <w:r w:rsidRPr="00912A10">
              <w:rPr>
                <w:sz w:val="16"/>
                <w:szCs w:val="16"/>
              </w:rPr>
              <w:t>2019</w:t>
            </w:r>
          </w:p>
        </w:tc>
        <w:tc>
          <w:tcPr>
            <w:tcW w:w="1924" w:type="dxa"/>
            <w:tcBorders>
              <w:left w:val="nil"/>
              <w:right w:val="nil"/>
            </w:tcBorders>
            <w:shd w:val="clear" w:color="auto" w:fill="auto"/>
            <w:noWrap/>
            <w:vAlign w:val="center"/>
          </w:tcPr>
          <w:p w14:paraId="6E1E4C86" w14:textId="77777777" w:rsidR="008F4B4E" w:rsidRPr="00912A10" w:rsidRDefault="008F4B4E" w:rsidP="008F4B4E">
            <w:pPr>
              <w:rPr>
                <w:sz w:val="16"/>
                <w:szCs w:val="16"/>
              </w:rPr>
            </w:pPr>
            <w:r w:rsidRPr="00912A10">
              <w:rPr>
                <w:sz w:val="16"/>
                <w:szCs w:val="16"/>
              </w:rPr>
              <w:t>Base imponible negativa</w:t>
            </w:r>
          </w:p>
        </w:tc>
        <w:tc>
          <w:tcPr>
            <w:tcW w:w="1885" w:type="dxa"/>
            <w:tcBorders>
              <w:left w:val="nil"/>
              <w:right w:val="nil"/>
            </w:tcBorders>
            <w:shd w:val="clear" w:color="auto" w:fill="auto"/>
            <w:noWrap/>
            <w:vAlign w:val="center"/>
          </w:tcPr>
          <w:p w14:paraId="1B6AB1DC" w14:textId="3EBD63D1"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912A10">
              <w:rPr>
                <w:sz w:val="16"/>
                <w:szCs w:val="16"/>
              </w:rPr>
              <w:t>880.823,56</w:t>
            </w:r>
          </w:p>
        </w:tc>
        <w:tc>
          <w:tcPr>
            <w:tcW w:w="1405" w:type="dxa"/>
            <w:tcBorders>
              <w:left w:val="nil"/>
              <w:right w:val="nil"/>
            </w:tcBorders>
            <w:vAlign w:val="center"/>
          </w:tcPr>
          <w:p w14:paraId="0DF0286E" w14:textId="78B81E03"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 xml:space="preserve"> -</w:t>
            </w:r>
          </w:p>
        </w:tc>
        <w:tc>
          <w:tcPr>
            <w:tcW w:w="1280" w:type="dxa"/>
            <w:tcBorders>
              <w:left w:val="nil"/>
              <w:right w:val="nil"/>
            </w:tcBorders>
            <w:vAlign w:val="center"/>
          </w:tcPr>
          <w:p w14:paraId="38C52C66" w14:textId="061BC26D"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880.823,56</w:t>
            </w:r>
          </w:p>
        </w:tc>
      </w:tr>
      <w:tr w:rsidR="008F4B4E" w:rsidRPr="00912A10" w14:paraId="6A654714" w14:textId="7F450809" w:rsidTr="002B2E50">
        <w:trPr>
          <w:trHeight w:val="255"/>
          <w:jc w:val="center"/>
        </w:trPr>
        <w:tc>
          <w:tcPr>
            <w:tcW w:w="2287" w:type="dxa"/>
            <w:tcBorders>
              <w:left w:val="nil"/>
              <w:right w:val="nil"/>
            </w:tcBorders>
            <w:shd w:val="clear" w:color="auto" w:fill="auto"/>
            <w:noWrap/>
            <w:vAlign w:val="center"/>
          </w:tcPr>
          <w:p w14:paraId="12A4AD6B" w14:textId="7797E856" w:rsidR="008F4B4E" w:rsidRPr="00912A10" w:rsidRDefault="008F4B4E" w:rsidP="008F4B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sz w:val="16"/>
                <w:szCs w:val="16"/>
              </w:rPr>
            </w:pPr>
            <w:r w:rsidRPr="00912A10">
              <w:rPr>
                <w:sz w:val="16"/>
                <w:szCs w:val="16"/>
              </w:rPr>
              <w:t>2020</w:t>
            </w:r>
          </w:p>
        </w:tc>
        <w:tc>
          <w:tcPr>
            <w:tcW w:w="1924" w:type="dxa"/>
            <w:tcBorders>
              <w:left w:val="nil"/>
              <w:right w:val="nil"/>
            </w:tcBorders>
            <w:shd w:val="clear" w:color="auto" w:fill="auto"/>
            <w:noWrap/>
            <w:vAlign w:val="center"/>
          </w:tcPr>
          <w:p w14:paraId="529D951F" w14:textId="4BC3B972" w:rsidR="008F4B4E" w:rsidRPr="00912A10" w:rsidRDefault="008F4B4E" w:rsidP="008F4B4E">
            <w:pPr>
              <w:rPr>
                <w:sz w:val="16"/>
                <w:szCs w:val="16"/>
              </w:rPr>
            </w:pPr>
            <w:r w:rsidRPr="00912A10">
              <w:rPr>
                <w:sz w:val="16"/>
                <w:szCs w:val="16"/>
              </w:rPr>
              <w:t>Base imponible negativa</w:t>
            </w:r>
          </w:p>
        </w:tc>
        <w:tc>
          <w:tcPr>
            <w:tcW w:w="1885" w:type="dxa"/>
            <w:tcBorders>
              <w:left w:val="nil"/>
              <w:right w:val="nil"/>
            </w:tcBorders>
            <w:shd w:val="clear" w:color="auto" w:fill="auto"/>
            <w:noWrap/>
            <w:vAlign w:val="center"/>
          </w:tcPr>
          <w:p w14:paraId="026EA965" w14:textId="4BDD62BD"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789.804,55</w:t>
            </w:r>
          </w:p>
        </w:tc>
        <w:tc>
          <w:tcPr>
            <w:tcW w:w="1405" w:type="dxa"/>
            <w:tcBorders>
              <w:left w:val="nil"/>
              <w:right w:val="nil"/>
            </w:tcBorders>
            <w:vAlign w:val="center"/>
          </w:tcPr>
          <w:p w14:paraId="61CBC9B8" w14:textId="3589B105"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 xml:space="preserve"> -</w:t>
            </w:r>
          </w:p>
        </w:tc>
        <w:tc>
          <w:tcPr>
            <w:tcW w:w="1280" w:type="dxa"/>
            <w:tcBorders>
              <w:left w:val="nil"/>
              <w:right w:val="nil"/>
            </w:tcBorders>
            <w:vAlign w:val="center"/>
          </w:tcPr>
          <w:p w14:paraId="1652504F" w14:textId="2FDB37A4"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789.804,55</w:t>
            </w:r>
          </w:p>
        </w:tc>
      </w:tr>
      <w:tr w:rsidR="008F4B4E" w:rsidRPr="00912A10" w14:paraId="7A9FC8BC" w14:textId="77777777" w:rsidTr="00912A10">
        <w:trPr>
          <w:trHeight w:val="255"/>
          <w:jc w:val="center"/>
        </w:trPr>
        <w:tc>
          <w:tcPr>
            <w:tcW w:w="2287" w:type="dxa"/>
            <w:tcBorders>
              <w:left w:val="nil"/>
              <w:right w:val="nil"/>
            </w:tcBorders>
            <w:shd w:val="clear" w:color="auto" w:fill="auto"/>
            <w:noWrap/>
            <w:vAlign w:val="center"/>
          </w:tcPr>
          <w:p w14:paraId="5360094F" w14:textId="403D80EC" w:rsidR="008F4B4E" w:rsidRPr="00912A10" w:rsidRDefault="008F4B4E" w:rsidP="008F4B4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sz w:val="16"/>
                <w:szCs w:val="16"/>
              </w:rPr>
            </w:pPr>
            <w:r w:rsidRPr="00912A10">
              <w:rPr>
                <w:sz w:val="16"/>
                <w:szCs w:val="16"/>
              </w:rPr>
              <w:t>2022</w:t>
            </w:r>
          </w:p>
        </w:tc>
        <w:tc>
          <w:tcPr>
            <w:tcW w:w="1924" w:type="dxa"/>
            <w:tcBorders>
              <w:left w:val="nil"/>
              <w:right w:val="nil"/>
            </w:tcBorders>
            <w:shd w:val="clear" w:color="auto" w:fill="auto"/>
            <w:noWrap/>
            <w:vAlign w:val="center"/>
          </w:tcPr>
          <w:p w14:paraId="2651FD55" w14:textId="79F0E736" w:rsidR="008F4B4E" w:rsidRPr="00912A10" w:rsidRDefault="008F4B4E" w:rsidP="008F4B4E">
            <w:pPr>
              <w:rPr>
                <w:sz w:val="16"/>
                <w:szCs w:val="16"/>
              </w:rPr>
            </w:pPr>
            <w:r w:rsidRPr="00912A10">
              <w:rPr>
                <w:sz w:val="16"/>
                <w:szCs w:val="16"/>
              </w:rPr>
              <w:t>Base imponible negativa</w:t>
            </w:r>
          </w:p>
        </w:tc>
        <w:tc>
          <w:tcPr>
            <w:tcW w:w="1885" w:type="dxa"/>
            <w:tcBorders>
              <w:left w:val="nil"/>
              <w:right w:val="nil"/>
            </w:tcBorders>
            <w:shd w:val="clear" w:color="auto" w:fill="auto"/>
            <w:noWrap/>
            <w:vAlign w:val="center"/>
          </w:tcPr>
          <w:p w14:paraId="3270735B" w14:textId="07F25B3C"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110.388,33</w:t>
            </w:r>
          </w:p>
        </w:tc>
        <w:tc>
          <w:tcPr>
            <w:tcW w:w="1405" w:type="dxa"/>
            <w:tcBorders>
              <w:left w:val="nil"/>
              <w:right w:val="nil"/>
            </w:tcBorders>
            <w:vAlign w:val="center"/>
          </w:tcPr>
          <w:p w14:paraId="1F063CDB" w14:textId="77A2B94D"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 xml:space="preserve"> -</w:t>
            </w:r>
          </w:p>
        </w:tc>
        <w:tc>
          <w:tcPr>
            <w:tcW w:w="1280" w:type="dxa"/>
            <w:tcBorders>
              <w:left w:val="nil"/>
              <w:right w:val="nil"/>
            </w:tcBorders>
            <w:vAlign w:val="center"/>
          </w:tcPr>
          <w:p w14:paraId="4D596C62" w14:textId="38ABBB21" w:rsidR="008F4B4E" w:rsidRPr="00912A10" w:rsidRDefault="008F4B4E" w:rsidP="002B2E5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110.388,33</w:t>
            </w:r>
          </w:p>
        </w:tc>
      </w:tr>
      <w:tr w:rsidR="00912A10" w:rsidRPr="00912A10" w14:paraId="6FACD815" w14:textId="77777777" w:rsidTr="002B2E50">
        <w:trPr>
          <w:trHeight w:val="255"/>
          <w:jc w:val="center"/>
        </w:trPr>
        <w:tc>
          <w:tcPr>
            <w:tcW w:w="2287" w:type="dxa"/>
            <w:tcBorders>
              <w:left w:val="nil"/>
              <w:bottom w:val="single" w:sz="4" w:space="0" w:color="auto"/>
              <w:right w:val="nil"/>
            </w:tcBorders>
            <w:shd w:val="clear" w:color="auto" w:fill="auto"/>
            <w:noWrap/>
            <w:vAlign w:val="center"/>
          </w:tcPr>
          <w:p w14:paraId="29C841AB" w14:textId="0BCB6421" w:rsidR="00912A10" w:rsidRPr="00912A10" w:rsidRDefault="00912A10" w:rsidP="00912A1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sz w:val="16"/>
                <w:szCs w:val="16"/>
              </w:rPr>
            </w:pPr>
            <w:r w:rsidRPr="00912A10">
              <w:rPr>
                <w:sz w:val="16"/>
                <w:szCs w:val="16"/>
              </w:rPr>
              <w:t>2023</w:t>
            </w:r>
          </w:p>
        </w:tc>
        <w:tc>
          <w:tcPr>
            <w:tcW w:w="1924" w:type="dxa"/>
            <w:tcBorders>
              <w:left w:val="nil"/>
              <w:bottom w:val="single" w:sz="4" w:space="0" w:color="auto"/>
              <w:right w:val="nil"/>
            </w:tcBorders>
            <w:shd w:val="clear" w:color="auto" w:fill="auto"/>
            <w:noWrap/>
            <w:vAlign w:val="center"/>
          </w:tcPr>
          <w:p w14:paraId="028C0116" w14:textId="14CCEF5A" w:rsidR="00912A10" w:rsidRPr="00912A10" w:rsidRDefault="00912A10" w:rsidP="00912A10">
            <w:pPr>
              <w:rPr>
                <w:sz w:val="16"/>
                <w:szCs w:val="16"/>
              </w:rPr>
            </w:pPr>
            <w:r w:rsidRPr="00912A10">
              <w:rPr>
                <w:sz w:val="16"/>
                <w:szCs w:val="16"/>
              </w:rPr>
              <w:t>Base imponible negativa</w:t>
            </w:r>
          </w:p>
        </w:tc>
        <w:tc>
          <w:tcPr>
            <w:tcW w:w="1885" w:type="dxa"/>
            <w:tcBorders>
              <w:left w:val="nil"/>
              <w:bottom w:val="single" w:sz="4" w:space="0" w:color="auto"/>
              <w:right w:val="nil"/>
            </w:tcBorders>
            <w:shd w:val="clear" w:color="auto" w:fill="auto"/>
            <w:noWrap/>
            <w:vAlign w:val="center"/>
          </w:tcPr>
          <w:p w14:paraId="501252CD" w14:textId="15070D5D" w:rsidR="00912A10" w:rsidRPr="00912A10" w:rsidRDefault="00912A10" w:rsidP="00912A1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1.239.944,29</w:t>
            </w:r>
          </w:p>
        </w:tc>
        <w:tc>
          <w:tcPr>
            <w:tcW w:w="1405" w:type="dxa"/>
            <w:tcBorders>
              <w:left w:val="nil"/>
              <w:bottom w:val="single" w:sz="4" w:space="0" w:color="auto"/>
              <w:right w:val="nil"/>
            </w:tcBorders>
            <w:vAlign w:val="center"/>
          </w:tcPr>
          <w:p w14:paraId="69FF69F3" w14:textId="4A986F11" w:rsidR="00912A10" w:rsidRPr="00912A10" w:rsidRDefault="00912A10" w:rsidP="00912A1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 xml:space="preserve"> -</w:t>
            </w:r>
          </w:p>
        </w:tc>
        <w:tc>
          <w:tcPr>
            <w:tcW w:w="1280" w:type="dxa"/>
            <w:tcBorders>
              <w:left w:val="nil"/>
              <w:bottom w:val="single" w:sz="4" w:space="0" w:color="auto"/>
              <w:right w:val="nil"/>
            </w:tcBorders>
            <w:vAlign w:val="center"/>
          </w:tcPr>
          <w:p w14:paraId="06907A34" w14:textId="54E9C78D" w:rsidR="00912A10" w:rsidRPr="00912A10" w:rsidRDefault="00912A10" w:rsidP="00912A1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sidRPr="00912A10">
              <w:rPr>
                <w:sz w:val="16"/>
                <w:szCs w:val="16"/>
              </w:rPr>
              <w:t>1.239.944,29</w:t>
            </w:r>
          </w:p>
        </w:tc>
      </w:tr>
      <w:tr w:rsidR="00912A10" w:rsidRPr="00604430" w14:paraId="61D51403" w14:textId="6EDFB718" w:rsidTr="002B2E50">
        <w:trPr>
          <w:trHeight w:val="255"/>
          <w:jc w:val="center"/>
        </w:trPr>
        <w:tc>
          <w:tcPr>
            <w:tcW w:w="2287" w:type="dxa"/>
            <w:tcBorders>
              <w:top w:val="nil"/>
              <w:left w:val="nil"/>
              <w:bottom w:val="single" w:sz="4" w:space="0" w:color="auto"/>
              <w:right w:val="nil"/>
            </w:tcBorders>
            <w:shd w:val="clear" w:color="auto" w:fill="auto"/>
            <w:noWrap/>
            <w:vAlign w:val="center"/>
            <w:hideMark/>
          </w:tcPr>
          <w:p w14:paraId="1D61A8E6" w14:textId="3E4703CE" w:rsidR="00912A10" w:rsidRPr="00912A10" w:rsidRDefault="00912A10" w:rsidP="00912A10">
            <w:pPr>
              <w:ind w:left="72"/>
              <w:rPr>
                <w:rFonts w:eastAsia="Times New Roman"/>
                <w:b/>
                <w:bCs/>
                <w:sz w:val="16"/>
                <w:szCs w:val="16"/>
              </w:rPr>
            </w:pPr>
            <w:r w:rsidRPr="00912A10">
              <w:rPr>
                <w:b/>
                <w:bCs/>
                <w:sz w:val="16"/>
                <w:szCs w:val="16"/>
              </w:rPr>
              <w:t>Total</w:t>
            </w:r>
          </w:p>
        </w:tc>
        <w:tc>
          <w:tcPr>
            <w:tcW w:w="1924" w:type="dxa"/>
            <w:tcBorders>
              <w:top w:val="nil"/>
              <w:left w:val="nil"/>
              <w:bottom w:val="single" w:sz="4" w:space="0" w:color="auto"/>
              <w:right w:val="nil"/>
            </w:tcBorders>
            <w:shd w:val="clear" w:color="auto" w:fill="auto"/>
            <w:noWrap/>
            <w:vAlign w:val="center"/>
            <w:hideMark/>
          </w:tcPr>
          <w:p w14:paraId="469952A6" w14:textId="04F82C8D" w:rsidR="00912A10" w:rsidRPr="00912A10" w:rsidRDefault="00912A10" w:rsidP="00912A10">
            <w:pPr>
              <w:rPr>
                <w:rFonts w:eastAsia="Times New Roman"/>
                <w:b/>
                <w:bCs/>
                <w:sz w:val="16"/>
                <w:szCs w:val="16"/>
              </w:rPr>
            </w:pPr>
            <w:r w:rsidRPr="00912A10">
              <w:rPr>
                <w:b/>
                <w:bCs/>
                <w:sz w:val="16"/>
                <w:szCs w:val="16"/>
              </w:rPr>
              <w:t> </w:t>
            </w:r>
          </w:p>
        </w:tc>
        <w:tc>
          <w:tcPr>
            <w:tcW w:w="1885" w:type="dxa"/>
            <w:tcBorders>
              <w:top w:val="nil"/>
              <w:left w:val="nil"/>
              <w:bottom w:val="single" w:sz="4" w:space="0" w:color="auto"/>
              <w:right w:val="nil"/>
            </w:tcBorders>
            <w:shd w:val="clear" w:color="auto" w:fill="auto"/>
            <w:noWrap/>
            <w:vAlign w:val="center"/>
            <w:hideMark/>
          </w:tcPr>
          <w:p w14:paraId="03049502" w14:textId="71C6F799" w:rsidR="00912A10" w:rsidRPr="00912A10" w:rsidRDefault="00912A10" w:rsidP="00912A10">
            <w:pPr>
              <w:jc w:val="right"/>
              <w:rPr>
                <w:b/>
                <w:bCs/>
                <w:sz w:val="16"/>
                <w:szCs w:val="16"/>
              </w:rPr>
            </w:pPr>
            <w:r w:rsidRPr="00912A10">
              <w:rPr>
                <w:b/>
                <w:bCs/>
                <w:sz w:val="16"/>
                <w:szCs w:val="16"/>
              </w:rPr>
              <w:t>16.068.839,19</w:t>
            </w:r>
          </w:p>
        </w:tc>
        <w:tc>
          <w:tcPr>
            <w:tcW w:w="1405" w:type="dxa"/>
            <w:tcBorders>
              <w:top w:val="nil"/>
              <w:left w:val="nil"/>
              <w:bottom w:val="single" w:sz="4" w:space="0" w:color="auto"/>
              <w:right w:val="nil"/>
            </w:tcBorders>
            <w:vAlign w:val="center"/>
          </w:tcPr>
          <w:p w14:paraId="2E1B830A" w14:textId="4DEDA4DE" w:rsidR="00912A10" w:rsidRPr="00912A10" w:rsidRDefault="00912A10" w:rsidP="00912A10">
            <w:pPr>
              <w:jc w:val="right"/>
              <w:rPr>
                <w:b/>
                <w:bCs/>
                <w:sz w:val="16"/>
                <w:szCs w:val="16"/>
              </w:rPr>
            </w:pPr>
            <w:r w:rsidRPr="00912A10">
              <w:rPr>
                <w:b/>
                <w:bCs/>
                <w:sz w:val="16"/>
                <w:szCs w:val="16"/>
              </w:rPr>
              <w:t xml:space="preserve"> -</w:t>
            </w:r>
          </w:p>
        </w:tc>
        <w:tc>
          <w:tcPr>
            <w:tcW w:w="1280" w:type="dxa"/>
            <w:tcBorders>
              <w:top w:val="nil"/>
              <w:left w:val="nil"/>
              <w:bottom w:val="single" w:sz="4" w:space="0" w:color="auto"/>
              <w:right w:val="nil"/>
            </w:tcBorders>
            <w:vAlign w:val="center"/>
          </w:tcPr>
          <w:p w14:paraId="1780101A" w14:textId="52F82052" w:rsidR="00912A10" w:rsidRPr="00912A10" w:rsidRDefault="00912A10" w:rsidP="00912A10">
            <w:pPr>
              <w:jc w:val="right"/>
              <w:rPr>
                <w:b/>
                <w:bCs/>
                <w:sz w:val="16"/>
                <w:szCs w:val="16"/>
              </w:rPr>
            </w:pPr>
            <w:r w:rsidRPr="00912A10">
              <w:rPr>
                <w:b/>
                <w:bCs/>
                <w:sz w:val="16"/>
                <w:szCs w:val="16"/>
              </w:rPr>
              <w:t>16.068.839,19</w:t>
            </w:r>
          </w:p>
        </w:tc>
      </w:tr>
    </w:tbl>
    <w:p w14:paraId="466DB053" w14:textId="77777777" w:rsidR="006220A2" w:rsidRPr="00B80F2F" w:rsidRDefault="006220A2" w:rsidP="001B5A15">
      <w:pPr>
        <w:widowControl w:val="0"/>
        <w:spacing w:before="240" w:after="120" w:line="260" w:lineRule="exact"/>
        <w:jc w:val="both"/>
        <w:outlineLvl w:val="9"/>
        <w:rPr>
          <w:snapToGrid w:val="0"/>
          <w:sz w:val="20"/>
          <w:szCs w:val="22"/>
        </w:rPr>
      </w:pPr>
      <w:r w:rsidRPr="00B80F2F">
        <w:rPr>
          <w:snapToGrid w:val="0"/>
          <w:sz w:val="20"/>
          <w:szCs w:val="22"/>
        </w:rPr>
        <w:t>La Sociedad tiene pendientes de inspección por las autoridades fiscales los cuatro últimos ejercicios de los principales impuestos que le son aplicables.</w:t>
      </w:r>
    </w:p>
    <w:p w14:paraId="79124CF2" w14:textId="77777777" w:rsidR="006220A2" w:rsidRPr="00232E4A" w:rsidRDefault="006220A2" w:rsidP="00D67C6B">
      <w:pPr>
        <w:widowControl w:val="0"/>
        <w:spacing w:before="120" w:after="120" w:line="260" w:lineRule="exact"/>
        <w:jc w:val="both"/>
        <w:outlineLvl w:val="9"/>
        <w:rPr>
          <w:snapToGrid w:val="0"/>
          <w:sz w:val="20"/>
          <w:szCs w:val="22"/>
        </w:rPr>
      </w:pPr>
      <w:r w:rsidRPr="00B80F2F">
        <w:rPr>
          <w:snapToGrid w:val="0"/>
          <w:sz w:val="20"/>
          <w:szCs w:val="22"/>
        </w:rPr>
        <w:t xml:space="preserve">Como consecuencia, entre otras, de las diferentes posibles interpretaciones de la legislación fiscal vigente, podrían surgir pasivos adicionales como resultado de una inspección. En todo caso, los administradores consideran que dichos pasivos, caso de producirse, no afectarían </w:t>
      </w:r>
      <w:r w:rsidRPr="00232E4A">
        <w:rPr>
          <w:snapToGrid w:val="0"/>
          <w:sz w:val="20"/>
          <w:szCs w:val="22"/>
        </w:rPr>
        <w:t>significativamente a las cuentas anuales.</w:t>
      </w:r>
    </w:p>
    <w:p w14:paraId="4E1ED63A" w14:textId="77777777" w:rsidR="006220A2" w:rsidRPr="00232E4A" w:rsidRDefault="006220A2" w:rsidP="001B5A15">
      <w:pPr>
        <w:widowControl w:val="0"/>
        <w:spacing w:before="240" w:after="120" w:line="260" w:lineRule="exact"/>
        <w:jc w:val="both"/>
        <w:outlineLvl w:val="9"/>
        <w:rPr>
          <w:b/>
          <w:sz w:val="20"/>
          <w:szCs w:val="22"/>
        </w:rPr>
      </w:pPr>
      <w:r w:rsidRPr="00232E4A">
        <w:rPr>
          <w:b/>
          <w:sz w:val="20"/>
          <w:szCs w:val="22"/>
        </w:rPr>
        <w:t xml:space="preserve">11.3. Pasivo por impuesto diferido </w:t>
      </w:r>
    </w:p>
    <w:p w14:paraId="100D41B8" w14:textId="76FD0943" w:rsidR="006220A2" w:rsidRPr="00232E4A" w:rsidRDefault="006220A2" w:rsidP="00D67C6B">
      <w:pPr>
        <w:widowControl w:val="0"/>
        <w:spacing w:before="120" w:after="120" w:line="260" w:lineRule="exact"/>
        <w:jc w:val="both"/>
        <w:outlineLvl w:val="9"/>
        <w:rPr>
          <w:snapToGrid w:val="0"/>
          <w:sz w:val="20"/>
          <w:szCs w:val="22"/>
        </w:rPr>
      </w:pPr>
      <w:r w:rsidRPr="00232E4A">
        <w:rPr>
          <w:snapToGrid w:val="0"/>
          <w:sz w:val="20"/>
          <w:szCs w:val="22"/>
        </w:rPr>
        <w:t xml:space="preserve">Este epígrafe recoge las diferencias temporarias imponibles por </w:t>
      </w:r>
      <w:r w:rsidR="00496A6A">
        <w:rPr>
          <w:snapToGrid w:val="0"/>
          <w:sz w:val="20"/>
          <w:szCs w:val="22"/>
        </w:rPr>
        <w:t>21.749,37</w:t>
      </w:r>
      <w:r w:rsidR="00232E4A">
        <w:rPr>
          <w:snapToGrid w:val="0"/>
          <w:sz w:val="20"/>
          <w:szCs w:val="22"/>
        </w:rPr>
        <w:t xml:space="preserve"> </w:t>
      </w:r>
      <w:r w:rsidRPr="00232E4A">
        <w:rPr>
          <w:snapToGrid w:val="0"/>
          <w:sz w:val="20"/>
          <w:szCs w:val="22"/>
        </w:rPr>
        <w:t>euros (</w:t>
      </w:r>
      <w:r w:rsidR="00496A6A">
        <w:rPr>
          <w:snapToGrid w:val="0"/>
          <w:sz w:val="20"/>
          <w:szCs w:val="22"/>
        </w:rPr>
        <w:t>39.656,19</w:t>
      </w:r>
      <w:r w:rsidR="00232E4A" w:rsidRPr="00232E4A">
        <w:rPr>
          <w:snapToGrid w:val="0"/>
          <w:sz w:val="20"/>
          <w:szCs w:val="22"/>
        </w:rPr>
        <w:t xml:space="preserve"> </w:t>
      </w:r>
      <w:r w:rsidRPr="00232E4A">
        <w:rPr>
          <w:snapToGrid w:val="0"/>
          <w:sz w:val="20"/>
          <w:szCs w:val="22"/>
        </w:rPr>
        <w:t xml:space="preserve">euros en </w:t>
      </w:r>
      <w:r w:rsidR="00954AA6" w:rsidRPr="00232E4A">
        <w:rPr>
          <w:snapToGrid w:val="0"/>
          <w:sz w:val="20"/>
          <w:szCs w:val="22"/>
        </w:rPr>
        <w:t>el ejercicio anterior</w:t>
      </w:r>
      <w:r w:rsidRPr="00232E4A">
        <w:rPr>
          <w:snapToGrid w:val="0"/>
          <w:sz w:val="20"/>
          <w:szCs w:val="22"/>
        </w:rPr>
        <w:t>) derivadas de las subvenciones de capital concedidas a la Sociedad</w:t>
      </w:r>
      <w:r w:rsidR="00B06A04" w:rsidRPr="00232E4A">
        <w:rPr>
          <w:snapToGrid w:val="0"/>
          <w:sz w:val="20"/>
          <w:szCs w:val="22"/>
        </w:rPr>
        <w:t xml:space="preserve"> (Nota 15.1)</w:t>
      </w:r>
      <w:r w:rsidRPr="00232E4A">
        <w:rPr>
          <w:snapToGrid w:val="0"/>
          <w:sz w:val="20"/>
          <w:szCs w:val="22"/>
        </w:rPr>
        <w:t>, que darán lugar a mayores cantidades a pagar o menores cantidades a devolver por impuesto sobre beneficios en ejercicios futuros, normalmente a medida que se recuperen los activos o se liquiden los pasivos de los que se derivan.</w:t>
      </w:r>
    </w:p>
    <w:tbl>
      <w:tblPr>
        <w:tblW w:w="5020" w:type="pct"/>
        <w:jc w:val="center"/>
        <w:tblLayout w:type="fixed"/>
        <w:tblCellMar>
          <w:left w:w="70" w:type="dxa"/>
          <w:right w:w="70" w:type="dxa"/>
        </w:tblCellMar>
        <w:tblLook w:val="04A0" w:firstRow="1" w:lastRow="0" w:firstColumn="1" w:lastColumn="0" w:noHBand="0" w:noVBand="1"/>
      </w:tblPr>
      <w:tblGrid>
        <w:gridCol w:w="3339"/>
        <w:gridCol w:w="1090"/>
        <w:gridCol w:w="1090"/>
        <w:gridCol w:w="964"/>
        <w:gridCol w:w="1247"/>
        <w:gridCol w:w="1086"/>
      </w:tblGrid>
      <w:tr w:rsidR="00395ADC" w:rsidRPr="00D67C6B" w14:paraId="64264267" w14:textId="77777777" w:rsidTr="00395ADC">
        <w:trPr>
          <w:trHeight w:val="285"/>
          <w:jc w:val="center"/>
        </w:trPr>
        <w:tc>
          <w:tcPr>
            <w:tcW w:w="1894" w:type="pct"/>
            <w:tcBorders>
              <w:top w:val="single" w:sz="4" w:space="0" w:color="auto"/>
              <w:left w:val="nil"/>
              <w:bottom w:val="single" w:sz="4" w:space="0" w:color="auto"/>
              <w:right w:val="nil"/>
            </w:tcBorders>
            <w:shd w:val="clear" w:color="auto" w:fill="auto"/>
            <w:noWrap/>
            <w:vAlign w:val="bottom"/>
            <w:hideMark/>
          </w:tcPr>
          <w:p w14:paraId="679EF0BB" w14:textId="77777777" w:rsidR="00395ADC" w:rsidRPr="00D67C6B"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D67C6B">
              <w:rPr>
                <w:rFonts w:eastAsia="Times New Roman"/>
                <w:b/>
                <w:bCs/>
                <w:sz w:val="18"/>
                <w:szCs w:val="18"/>
                <w:bdr w:val="none" w:sz="0" w:space="0" w:color="auto"/>
                <w:lang w:eastAsia="es-ES"/>
              </w:rPr>
              <w:t>Pasivos Diferidos</w:t>
            </w:r>
          </w:p>
        </w:tc>
        <w:tc>
          <w:tcPr>
            <w:tcW w:w="618" w:type="pct"/>
            <w:tcBorders>
              <w:top w:val="single" w:sz="4" w:space="0" w:color="auto"/>
              <w:left w:val="nil"/>
              <w:bottom w:val="single" w:sz="4" w:space="0" w:color="auto"/>
              <w:right w:val="nil"/>
            </w:tcBorders>
            <w:shd w:val="clear" w:color="auto" w:fill="auto"/>
            <w:noWrap/>
            <w:vAlign w:val="bottom"/>
            <w:hideMark/>
          </w:tcPr>
          <w:p w14:paraId="57861B4F" w14:textId="50B7DFF8" w:rsidR="00395ADC" w:rsidRPr="00D67C6B"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D67C6B">
              <w:rPr>
                <w:rFonts w:eastAsia="Times New Roman"/>
                <w:b/>
                <w:bCs/>
                <w:color w:val="auto"/>
                <w:sz w:val="18"/>
                <w:szCs w:val="18"/>
                <w:bdr w:val="none" w:sz="0" w:space="0" w:color="auto"/>
                <w:lang w:eastAsia="es-ES"/>
              </w:rPr>
              <w:t>31/12/20</w:t>
            </w:r>
            <w:r w:rsidR="00232E4A" w:rsidRPr="00D67C6B">
              <w:rPr>
                <w:rFonts w:eastAsia="Times New Roman"/>
                <w:b/>
                <w:bCs/>
                <w:color w:val="auto"/>
                <w:sz w:val="18"/>
                <w:szCs w:val="18"/>
                <w:bdr w:val="none" w:sz="0" w:space="0" w:color="auto"/>
                <w:lang w:eastAsia="es-ES"/>
              </w:rPr>
              <w:t>2</w:t>
            </w:r>
            <w:r w:rsidR="00496A6A">
              <w:rPr>
                <w:rFonts w:eastAsia="Times New Roman"/>
                <w:b/>
                <w:bCs/>
                <w:color w:val="auto"/>
                <w:sz w:val="18"/>
                <w:szCs w:val="18"/>
                <w:bdr w:val="none" w:sz="0" w:space="0" w:color="auto"/>
                <w:lang w:eastAsia="es-ES"/>
              </w:rPr>
              <w:t>2</w:t>
            </w:r>
          </w:p>
        </w:tc>
        <w:tc>
          <w:tcPr>
            <w:tcW w:w="618" w:type="pct"/>
            <w:tcBorders>
              <w:top w:val="single" w:sz="4" w:space="0" w:color="auto"/>
              <w:left w:val="nil"/>
              <w:bottom w:val="single" w:sz="4" w:space="0" w:color="auto"/>
              <w:right w:val="nil"/>
            </w:tcBorders>
            <w:shd w:val="clear" w:color="auto" w:fill="auto"/>
            <w:noWrap/>
            <w:vAlign w:val="bottom"/>
            <w:hideMark/>
          </w:tcPr>
          <w:p w14:paraId="4ED29CAF" w14:textId="77777777" w:rsidR="00395ADC" w:rsidRPr="00D67C6B"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D67C6B">
              <w:rPr>
                <w:rFonts w:eastAsia="Times New Roman"/>
                <w:b/>
                <w:bCs/>
                <w:color w:val="auto"/>
                <w:sz w:val="18"/>
                <w:szCs w:val="18"/>
                <w:bdr w:val="none" w:sz="0" w:space="0" w:color="auto"/>
                <w:lang w:eastAsia="es-ES"/>
              </w:rPr>
              <w:t>Altas</w:t>
            </w:r>
          </w:p>
        </w:tc>
        <w:tc>
          <w:tcPr>
            <w:tcW w:w="547" w:type="pct"/>
            <w:tcBorders>
              <w:top w:val="single" w:sz="4" w:space="0" w:color="auto"/>
              <w:left w:val="nil"/>
              <w:bottom w:val="single" w:sz="4" w:space="0" w:color="auto"/>
              <w:right w:val="nil"/>
            </w:tcBorders>
            <w:shd w:val="clear" w:color="auto" w:fill="auto"/>
            <w:noWrap/>
            <w:vAlign w:val="bottom"/>
            <w:hideMark/>
          </w:tcPr>
          <w:p w14:paraId="00D1D080" w14:textId="77777777" w:rsidR="00395ADC" w:rsidRPr="00D67C6B"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D67C6B">
              <w:rPr>
                <w:rFonts w:eastAsia="Times New Roman"/>
                <w:b/>
                <w:bCs/>
                <w:color w:val="auto"/>
                <w:sz w:val="18"/>
                <w:szCs w:val="18"/>
                <w:bdr w:val="none" w:sz="0" w:space="0" w:color="auto"/>
                <w:lang w:eastAsia="es-ES"/>
              </w:rPr>
              <w:t>Bajas</w:t>
            </w:r>
          </w:p>
        </w:tc>
        <w:tc>
          <w:tcPr>
            <w:tcW w:w="707" w:type="pct"/>
            <w:tcBorders>
              <w:top w:val="single" w:sz="4" w:space="0" w:color="auto"/>
              <w:left w:val="nil"/>
              <w:bottom w:val="single" w:sz="4" w:space="0" w:color="auto"/>
              <w:right w:val="nil"/>
            </w:tcBorders>
            <w:shd w:val="clear" w:color="auto" w:fill="auto"/>
            <w:vAlign w:val="bottom"/>
            <w:hideMark/>
          </w:tcPr>
          <w:p w14:paraId="0C3879B2" w14:textId="77777777" w:rsidR="00395ADC" w:rsidRPr="00D67C6B"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D67C6B">
              <w:rPr>
                <w:rFonts w:eastAsia="Times New Roman"/>
                <w:b/>
                <w:bCs/>
                <w:color w:val="auto"/>
                <w:sz w:val="18"/>
                <w:szCs w:val="18"/>
                <w:bdr w:val="none" w:sz="0" w:space="0" w:color="auto"/>
                <w:lang w:eastAsia="es-ES"/>
              </w:rPr>
              <w:t>Imputación a PYG</w:t>
            </w:r>
          </w:p>
        </w:tc>
        <w:tc>
          <w:tcPr>
            <w:tcW w:w="616" w:type="pct"/>
            <w:tcBorders>
              <w:top w:val="single" w:sz="4" w:space="0" w:color="auto"/>
              <w:left w:val="nil"/>
              <w:bottom w:val="single" w:sz="4" w:space="0" w:color="auto"/>
              <w:right w:val="nil"/>
            </w:tcBorders>
            <w:shd w:val="clear" w:color="auto" w:fill="auto"/>
            <w:noWrap/>
            <w:vAlign w:val="bottom"/>
            <w:hideMark/>
          </w:tcPr>
          <w:p w14:paraId="6DA1682C" w14:textId="686780A9" w:rsidR="00395ADC" w:rsidRPr="00D67C6B"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D67C6B">
              <w:rPr>
                <w:rFonts w:eastAsia="Times New Roman"/>
                <w:b/>
                <w:bCs/>
                <w:color w:val="auto"/>
                <w:sz w:val="18"/>
                <w:szCs w:val="18"/>
                <w:bdr w:val="none" w:sz="0" w:space="0" w:color="auto"/>
                <w:lang w:eastAsia="es-ES"/>
              </w:rPr>
              <w:t>31/12/202</w:t>
            </w:r>
            <w:r w:rsidR="00496A6A">
              <w:rPr>
                <w:rFonts w:eastAsia="Times New Roman"/>
                <w:b/>
                <w:bCs/>
                <w:color w:val="auto"/>
                <w:sz w:val="18"/>
                <w:szCs w:val="18"/>
                <w:bdr w:val="none" w:sz="0" w:space="0" w:color="auto"/>
                <w:lang w:eastAsia="es-ES"/>
              </w:rPr>
              <w:t>3</w:t>
            </w:r>
          </w:p>
        </w:tc>
      </w:tr>
      <w:tr w:rsidR="00232E4A" w:rsidRPr="00D67C6B" w14:paraId="217840A4" w14:textId="77777777" w:rsidTr="00232E4A">
        <w:trPr>
          <w:trHeight w:val="340"/>
          <w:jc w:val="center"/>
        </w:trPr>
        <w:tc>
          <w:tcPr>
            <w:tcW w:w="1894" w:type="pct"/>
            <w:tcBorders>
              <w:top w:val="nil"/>
              <w:left w:val="nil"/>
              <w:bottom w:val="single" w:sz="4" w:space="0" w:color="auto"/>
              <w:right w:val="nil"/>
            </w:tcBorders>
            <w:shd w:val="clear" w:color="auto" w:fill="auto"/>
            <w:vAlign w:val="center"/>
            <w:hideMark/>
          </w:tcPr>
          <w:p w14:paraId="2ACE468E" w14:textId="77777777" w:rsidR="00232E4A" w:rsidRPr="00D67C6B" w:rsidRDefault="00232E4A" w:rsidP="00232E4A">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8"/>
                <w:szCs w:val="18"/>
                <w:bdr w:val="none" w:sz="0" w:space="0" w:color="auto"/>
                <w:lang w:eastAsia="es-ES"/>
              </w:rPr>
            </w:pPr>
            <w:r w:rsidRPr="00D67C6B">
              <w:rPr>
                <w:rFonts w:eastAsia="Times New Roman"/>
                <w:sz w:val="18"/>
                <w:szCs w:val="18"/>
                <w:bdr w:val="none" w:sz="0" w:space="0" w:color="auto"/>
                <w:lang w:eastAsia="es-ES"/>
              </w:rPr>
              <w:t>Efecto impositivo por Subvenciones</w:t>
            </w:r>
          </w:p>
        </w:tc>
        <w:tc>
          <w:tcPr>
            <w:tcW w:w="618" w:type="pct"/>
            <w:tcBorders>
              <w:top w:val="nil"/>
              <w:left w:val="nil"/>
              <w:bottom w:val="single" w:sz="4" w:space="0" w:color="auto"/>
              <w:right w:val="nil"/>
            </w:tcBorders>
            <w:shd w:val="clear" w:color="auto" w:fill="auto"/>
            <w:noWrap/>
            <w:vAlign w:val="center"/>
            <w:hideMark/>
          </w:tcPr>
          <w:p w14:paraId="467586F5" w14:textId="10B2125E" w:rsidR="00232E4A" w:rsidRPr="00D67C6B" w:rsidRDefault="00661E2A" w:rsidP="00232E4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39.656,19</w:t>
            </w:r>
          </w:p>
        </w:tc>
        <w:tc>
          <w:tcPr>
            <w:tcW w:w="618" w:type="pct"/>
            <w:tcBorders>
              <w:top w:val="nil"/>
              <w:left w:val="nil"/>
              <w:bottom w:val="single" w:sz="4" w:space="0" w:color="auto"/>
              <w:right w:val="nil"/>
            </w:tcBorders>
            <w:shd w:val="clear" w:color="auto" w:fill="auto"/>
            <w:noWrap/>
            <w:vAlign w:val="center"/>
            <w:hideMark/>
          </w:tcPr>
          <w:p w14:paraId="25C748E3" w14:textId="2957363C" w:rsidR="00232E4A" w:rsidRPr="00D67C6B" w:rsidRDefault="00232E4A" w:rsidP="00232E4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7C6B">
              <w:rPr>
                <w:sz w:val="18"/>
                <w:szCs w:val="18"/>
              </w:rPr>
              <w:t xml:space="preserve">- </w:t>
            </w:r>
          </w:p>
        </w:tc>
        <w:tc>
          <w:tcPr>
            <w:tcW w:w="547" w:type="pct"/>
            <w:tcBorders>
              <w:top w:val="nil"/>
              <w:left w:val="nil"/>
              <w:bottom w:val="single" w:sz="4" w:space="0" w:color="auto"/>
              <w:right w:val="nil"/>
            </w:tcBorders>
            <w:shd w:val="clear" w:color="auto" w:fill="auto"/>
            <w:noWrap/>
            <w:vAlign w:val="center"/>
            <w:hideMark/>
          </w:tcPr>
          <w:p w14:paraId="6943E4CF" w14:textId="77777777" w:rsidR="00232E4A" w:rsidRPr="00D67C6B" w:rsidRDefault="00232E4A" w:rsidP="00232E4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7C6B">
              <w:rPr>
                <w:rFonts w:eastAsia="Times New Roman"/>
                <w:sz w:val="18"/>
                <w:szCs w:val="18"/>
                <w:bdr w:val="none" w:sz="0" w:space="0" w:color="auto"/>
                <w:lang w:eastAsia="es-ES"/>
              </w:rPr>
              <w:t>-</w:t>
            </w:r>
          </w:p>
        </w:tc>
        <w:tc>
          <w:tcPr>
            <w:tcW w:w="707" w:type="pct"/>
            <w:tcBorders>
              <w:top w:val="nil"/>
              <w:left w:val="nil"/>
              <w:bottom w:val="single" w:sz="4" w:space="0" w:color="auto"/>
              <w:right w:val="nil"/>
            </w:tcBorders>
            <w:shd w:val="clear" w:color="auto" w:fill="auto"/>
            <w:noWrap/>
            <w:vAlign w:val="center"/>
            <w:hideMark/>
          </w:tcPr>
          <w:p w14:paraId="6CADC9D0" w14:textId="32D8E322" w:rsidR="00232E4A" w:rsidRPr="00D67C6B" w:rsidRDefault="00232E4A" w:rsidP="00232E4A">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D67C6B">
              <w:rPr>
                <w:sz w:val="18"/>
                <w:szCs w:val="18"/>
              </w:rPr>
              <w:t xml:space="preserve">17.906,82 </w:t>
            </w:r>
          </w:p>
        </w:tc>
        <w:tc>
          <w:tcPr>
            <w:tcW w:w="616" w:type="pct"/>
            <w:tcBorders>
              <w:top w:val="nil"/>
              <w:left w:val="nil"/>
              <w:bottom w:val="single" w:sz="4" w:space="0" w:color="auto"/>
              <w:right w:val="nil"/>
            </w:tcBorders>
            <w:shd w:val="clear" w:color="auto" w:fill="auto"/>
            <w:noWrap/>
            <w:vAlign w:val="center"/>
            <w:hideMark/>
          </w:tcPr>
          <w:p w14:paraId="622430FD" w14:textId="7D368E85" w:rsidR="00232E4A" w:rsidRPr="00D67C6B" w:rsidRDefault="00496A6A" w:rsidP="00232E4A">
            <w:pPr>
              <w:jc w:val="right"/>
              <w:rPr>
                <w:sz w:val="18"/>
                <w:szCs w:val="18"/>
              </w:rPr>
            </w:pPr>
            <w:r>
              <w:rPr>
                <w:sz w:val="18"/>
                <w:szCs w:val="18"/>
              </w:rPr>
              <w:t>21.749,37</w:t>
            </w:r>
          </w:p>
        </w:tc>
      </w:tr>
    </w:tbl>
    <w:p w14:paraId="246947B2" w14:textId="6C4208E7" w:rsidR="00322E9D" w:rsidRDefault="00322E9D" w:rsidP="00F741B4">
      <w:pPr>
        <w:pBdr>
          <w:top w:val="none" w:sz="0" w:space="0" w:color="auto"/>
          <w:left w:val="none" w:sz="0" w:space="0" w:color="auto"/>
          <w:bottom w:val="none" w:sz="0" w:space="0" w:color="auto"/>
          <w:right w:val="none" w:sz="0" w:space="0" w:color="auto"/>
          <w:between w:val="none" w:sz="0" w:space="0" w:color="auto"/>
          <w:bar w:val="none" w:sz="0" w:color="auto"/>
        </w:pBdr>
        <w:outlineLvl w:val="9"/>
        <w:rPr>
          <w:b/>
          <w:snapToGrid w:val="0"/>
          <w:sz w:val="22"/>
          <w:szCs w:val="22"/>
        </w:rPr>
      </w:pPr>
    </w:p>
    <w:p w14:paraId="3C5C72DD" w14:textId="76F9478D" w:rsidR="00D67C6B" w:rsidRDefault="00D67C6B">
      <w:pPr>
        <w:pBdr>
          <w:top w:val="none" w:sz="0" w:space="0" w:color="auto"/>
          <w:left w:val="none" w:sz="0" w:space="0" w:color="auto"/>
          <w:bottom w:val="none" w:sz="0" w:space="0" w:color="auto"/>
          <w:right w:val="none" w:sz="0" w:space="0" w:color="auto"/>
          <w:between w:val="none" w:sz="0" w:space="0" w:color="auto"/>
          <w:bar w:val="none" w:sz="0" w:color="auto"/>
        </w:pBdr>
        <w:outlineLvl w:val="9"/>
        <w:rPr>
          <w:b/>
          <w:snapToGrid w:val="0"/>
          <w:sz w:val="22"/>
          <w:szCs w:val="22"/>
        </w:rPr>
      </w:pPr>
      <w:r>
        <w:rPr>
          <w:b/>
          <w:snapToGrid w:val="0"/>
          <w:sz w:val="22"/>
          <w:szCs w:val="22"/>
        </w:rPr>
        <w:br w:type="page"/>
      </w:r>
    </w:p>
    <w:p w14:paraId="447A213A" w14:textId="3A75B2BF" w:rsidR="006220A2" w:rsidRPr="00723F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4A54EC">
        <w:rPr>
          <w:b/>
          <w:snapToGrid w:val="0"/>
          <w:sz w:val="22"/>
          <w:szCs w:val="22"/>
        </w:rPr>
        <w:lastRenderedPageBreak/>
        <w:t xml:space="preserve"> Ingresos y gastos</w:t>
      </w:r>
    </w:p>
    <w:p w14:paraId="1C5981EB" w14:textId="77777777" w:rsidR="006220A2" w:rsidRPr="0083433F" w:rsidRDefault="006220A2">
      <w:pPr>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200"/>
        <w:ind w:left="0" w:firstLine="0"/>
        <w:outlineLvl w:val="9"/>
        <w:rPr>
          <w:sz w:val="20"/>
          <w:szCs w:val="22"/>
          <w:u w:val="single"/>
        </w:rPr>
      </w:pPr>
      <w:r w:rsidRPr="0083433F">
        <w:rPr>
          <w:sz w:val="20"/>
          <w:szCs w:val="22"/>
          <w:u w:val="single"/>
        </w:rPr>
        <w:t>Ingresos de explotación</w:t>
      </w:r>
    </w:p>
    <w:p w14:paraId="30D9D1AA" w14:textId="3E31F529" w:rsidR="006220A2" w:rsidRPr="00176BA0" w:rsidRDefault="006220A2" w:rsidP="00D67C6B">
      <w:pPr>
        <w:widowControl w:val="0"/>
        <w:spacing w:before="120" w:after="120" w:line="260" w:lineRule="exact"/>
        <w:jc w:val="both"/>
        <w:outlineLvl w:val="9"/>
        <w:rPr>
          <w:snapToGrid w:val="0"/>
          <w:sz w:val="20"/>
          <w:szCs w:val="22"/>
        </w:rPr>
      </w:pPr>
      <w:r w:rsidRPr="00176BA0">
        <w:rPr>
          <w:snapToGrid w:val="0"/>
          <w:sz w:val="20"/>
          <w:szCs w:val="22"/>
        </w:rPr>
        <w:t>El detalle de los ingresos de explotación del ejercicio 20</w:t>
      </w:r>
      <w:r w:rsidR="002D6427" w:rsidRPr="00176BA0">
        <w:rPr>
          <w:snapToGrid w:val="0"/>
          <w:sz w:val="20"/>
          <w:szCs w:val="22"/>
        </w:rPr>
        <w:t>2</w:t>
      </w:r>
      <w:r w:rsidR="00E612CB">
        <w:rPr>
          <w:snapToGrid w:val="0"/>
          <w:sz w:val="20"/>
          <w:szCs w:val="22"/>
        </w:rPr>
        <w:t>3</w:t>
      </w:r>
      <w:r w:rsidR="00224A31" w:rsidRPr="00176BA0">
        <w:rPr>
          <w:snapToGrid w:val="0"/>
          <w:sz w:val="20"/>
          <w:szCs w:val="22"/>
        </w:rPr>
        <w:t xml:space="preserve"> </w:t>
      </w:r>
      <w:r w:rsidR="00066C08" w:rsidRPr="00176BA0">
        <w:rPr>
          <w:snapToGrid w:val="0"/>
          <w:sz w:val="20"/>
          <w:szCs w:val="22"/>
        </w:rPr>
        <w:t>y 20</w:t>
      </w:r>
      <w:r w:rsidR="00121E60" w:rsidRPr="00176BA0">
        <w:rPr>
          <w:snapToGrid w:val="0"/>
          <w:sz w:val="20"/>
          <w:szCs w:val="22"/>
        </w:rPr>
        <w:t>2</w:t>
      </w:r>
      <w:r w:rsidR="00E612CB">
        <w:rPr>
          <w:snapToGrid w:val="0"/>
          <w:sz w:val="20"/>
          <w:szCs w:val="22"/>
        </w:rPr>
        <w:t>2</w:t>
      </w:r>
      <w:r w:rsidRPr="00176BA0">
        <w:rPr>
          <w:snapToGrid w:val="0"/>
          <w:sz w:val="20"/>
          <w:szCs w:val="22"/>
        </w:rPr>
        <w:t>, es el siguiente:</w:t>
      </w:r>
    </w:p>
    <w:tbl>
      <w:tblPr>
        <w:tblW w:w="5000" w:type="pct"/>
        <w:jc w:val="center"/>
        <w:tblCellMar>
          <w:left w:w="70" w:type="dxa"/>
          <w:right w:w="70" w:type="dxa"/>
        </w:tblCellMar>
        <w:tblLook w:val="04A0" w:firstRow="1" w:lastRow="0" w:firstColumn="1" w:lastColumn="0" w:noHBand="0" w:noVBand="1"/>
      </w:tblPr>
      <w:tblGrid>
        <w:gridCol w:w="5446"/>
        <w:gridCol w:w="1667"/>
        <w:gridCol w:w="1668"/>
      </w:tblGrid>
      <w:tr w:rsidR="000D76CC" w:rsidRPr="00954AA6" w14:paraId="0277B568" w14:textId="77777777" w:rsidTr="00954AA6">
        <w:trPr>
          <w:trHeight w:val="227"/>
          <w:jc w:val="center"/>
        </w:trPr>
        <w:tc>
          <w:tcPr>
            <w:tcW w:w="3101" w:type="pct"/>
            <w:tcBorders>
              <w:top w:val="single" w:sz="4" w:space="0" w:color="auto"/>
              <w:left w:val="nil"/>
              <w:bottom w:val="nil"/>
              <w:right w:val="nil"/>
            </w:tcBorders>
            <w:shd w:val="clear" w:color="auto" w:fill="auto"/>
            <w:vAlign w:val="center"/>
            <w:hideMark/>
          </w:tcPr>
          <w:p w14:paraId="2F4D3090"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899" w:type="pct"/>
            <w:gridSpan w:val="2"/>
            <w:tcBorders>
              <w:top w:val="single" w:sz="4" w:space="0" w:color="auto"/>
              <w:left w:val="nil"/>
              <w:bottom w:val="single" w:sz="4" w:space="0" w:color="auto"/>
              <w:right w:val="nil"/>
            </w:tcBorders>
            <w:shd w:val="clear" w:color="auto" w:fill="auto"/>
            <w:vAlign w:val="bottom"/>
            <w:hideMark/>
          </w:tcPr>
          <w:p w14:paraId="3F4CDAEE" w14:textId="77777777"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604430" w:rsidRPr="00954AA6" w14:paraId="2A717E6F" w14:textId="77777777" w:rsidTr="00604430">
        <w:trPr>
          <w:trHeight w:val="227"/>
          <w:jc w:val="center"/>
        </w:trPr>
        <w:tc>
          <w:tcPr>
            <w:tcW w:w="3101" w:type="pct"/>
            <w:tcBorders>
              <w:top w:val="nil"/>
              <w:left w:val="nil"/>
              <w:bottom w:val="single" w:sz="4" w:space="0" w:color="auto"/>
              <w:right w:val="nil"/>
            </w:tcBorders>
            <w:shd w:val="clear" w:color="auto" w:fill="auto"/>
            <w:vAlign w:val="center"/>
            <w:hideMark/>
          </w:tcPr>
          <w:p w14:paraId="4576FB32" w14:textId="77777777"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949" w:type="pct"/>
            <w:tcBorders>
              <w:top w:val="nil"/>
              <w:left w:val="nil"/>
              <w:bottom w:val="single" w:sz="4" w:space="0" w:color="auto"/>
              <w:right w:val="nil"/>
            </w:tcBorders>
            <w:shd w:val="clear" w:color="auto" w:fill="auto"/>
            <w:vAlign w:val="bottom"/>
            <w:hideMark/>
          </w:tcPr>
          <w:p w14:paraId="008F91A6" w14:textId="727908A2" w:rsidR="00604430" w:rsidRPr="00E50FF4"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highlight w:val="yellow"/>
                <w:bdr w:val="none" w:sz="0" w:space="0" w:color="auto"/>
                <w:lang w:eastAsia="es-ES"/>
              </w:rPr>
            </w:pPr>
            <w:r w:rsidRPr="00B81A0F">
              <w:rPr>
                <w:rFonts w:eastAsia="Times New Roman"/>
                <w:b/>
                <w:bCs/>
                <w:sz w:val="18"/>
                <w:szCs w:val="18"/>
                <w:bdr w:val="none" w:sz="0" w:space="0" w:color="auto"/>
                <w:lang w:eastAsia="es-ES"/>
              </w:rPr>
              <w:t>202</w:t>
            </w:r>
            <w:r w:rsidR="00661E2A">
              <w:rPr>
                <w:rFonts w:eastAsia="Times New Roman"/>
                <w:b/>
                <w:bCs/>
                <w:sz w:val="18"/>
                <w:szCs w:val="18"/>
                <w:bdr w:val="none" w:sz="0" w:space="0" w:color="auto"/>
                <w:lang w:eastAsia="es-ES"/>
              </w:rPr>
              <w:t>3</w:t>
            </w:r>
          </w:p>
        </w:tc>
        <w:tc>
          <w:tcPr>
            <w:tcW w:w="950" w:type="pct"/>
            <w:tcBorders>
              <w:top w:val="nil"/>
              <w:left w:val="nil"/>
              <w:bottom w:val="single" w:sz="4" w:space="0" w:color="auto"/>
              <w:right w:val="nil"/>
            </w:tcBorders>
            <w:shd w:val="clear" w:color="auto" w:fill="auto"/>
            <w:vAlign w:val="bottom"/>
            <w:hideMark/>
          </w:tcPr>
          <w:p w14:paraId="1ED347AD" w14:textId="67453580" w:rsidR="00604430" w:rsidRPr="00954AA6" w:rsidRDefault="00661E2A" w:rsidP="006044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2022</w:t>
            </w:r>
          </w:p>
        </w:tc>
      </w:tr>
      <w:tr w:rsidR="00604430" w:rsidRPr="00954AA6" w14:paraId="197280BF" w14:textId="77777777" w:rsidTr="00604430">
        <w:trPr>
          <w:trHeight w:val="283"/>
          <w:jc w:val="center"/>
        </w:trPr>
        <w:tc>
          <w:tcPr>
            <w:tcW w:w="3101" w:type="pct"/>
            <w:tcBorders>
              <w:top w:val="nil"/>
              <w:left w:val="nil"/>
              <w:bottom w:val="nil"/>
              <w:right w:val="nil"/>
            </w:tcBorders>
            <w:shd w:val="clear" w:color="auto" w:fill="auto"/>
            <w:vAlign w:val="center"/>
            <w:hideMark/>
          </w:tcPr>
          <w:p w14:paraId="5F0C2B59" w14:textId="77777777"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Ingresos de explotación</w:t>
            </w:r>
          </w:p>
        </w:tc>
        <w:tc>
          <w:tcPr>
            <w:tcW w:w="949" w:type="pct"/>
            <w:tcBorders>
              <w:top w:val="nil"/>
              <w:left w:val="nil"/>
              <w:bottom w:val="nil"/>
              <w:right w:val="nil"/>
            </w:tcBorders>
            <w:shd w:val="clear" w:color="auto" w:fill="auto"/>
            <w:vAlign w:val="center"/>
            <w:hideMark/>
          </w:tcPr>
          <w:p w14:paraId="70E7CE4F" w14:textId="77777777" w:rsidR="00604430" w:rsidRPr="00E50FF4"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highlight w:val="yellow"/>
                <w:bdr w:val="none" w:sz="0" w:space="0" w:color="auto"/>
                <w:lang w:eastAsia="es-ES"/>
              </w:rPr>
            </w:pPr>
          </w:p>
        </w:tc>
        <w:tc>
          <w:tcPr>
            <w:tcW w:w="950" w:type="pct"/>
            <w:tcBorders>
              <w:top w:val="nil"/>
              <w:left w:val="nil"/>
              <w:bottom w:val="nil"/>
              <w:right w:val="nil"/>
            </w:tcBorders>
            <w:shd w:val="clear" w:color="auto" w:fill="auto"/>
            <w:vAlign w:val="center"/>
            <w:hideMark/>
          </w:tcPr>
          <w:p w14:paraId="07E28E1C" w14:textId="77777777"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E612CB" w:rsidRPr="00954AA6" w14:paraId="11044051" w14:textId="77777777" w:rsidTr="00604430">
        <w:trPr>
          <w:trHeight w:val="283"/>
          <w:jc w:val="center"/>
        </w:trPr>
        <w:tc>
          <w:tcPr>
            <w:tcW w:w="3101" w:type="pct"/>
            <w:tcBorders>
              <w:top w:val="nil"/>
              <w:left w:val="nil"/>
              <w:bottom w:val="nil"/>
              <w:right w:val="nil"/>
            </w:tcBorders>
            <w:shd w:val="clear" w:color="auto" w:fill="auto"/>
            <w:vAlign w:val="center"/>
            <w:hideMark/>
          </w:tcPr>
          <w:p w14:paraId="58C1D82E"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Prestaciones de servicios</w:t>
            </w:r>
          </w:p>
        </w:tc>
        <w:tc>
          <w:tcPr>
            <w:tcW w:w="949" w:type="pct"/>
            <w:tcBorders>
              <w:top w:val="nil"/>
              <w:left w:val="nil"/>
              <w:bottom w:val="nil"/>
              <w:right w:val="nil"/>
            </w:tcBorders>
            <w:shd w:val="clear" w:color="auto" w:fill="auto"/>
            <w:vAlign w:val="center"/>
          </w:tcPr>
          <w:p w14:paraId="1F8F50C7" w14:textId="340E3450" w:rsidR="00E612CB" w:rsidRPr="00E612CB"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278.650,74</w:t>
            </w:r>
          </w:p>
        </w:tc>
        <w:tc>
          <w:tcPr>
            <w:tcW w:w="950" w:type="pct"/>
            <w:tcBorders>
              <w:top w:val="nil"/>
              <w:left w:val="nil"/>
              <w:bottom w:val="nil"/>
              <w:right w:val="nil"/>
            </w:tcBorders>
            <w:shd w:val="clear" w:color="auto" w:fill="auto"/>
            <w:vAlign w:val="center"/>
            <w:hideMark/>
          </w:tcPr>
          <w:p w14:paraId="581AA3A1" w14:textId="0F38BCBE"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230.000,00</w:t>
            </w:r>
          </w:p>
        </w:tc>
      </w:tr>
      <w:tr w:rsidR="00E612CB" w:rsidRPr="00954AA6" w14:paraId="0BB9FEF4" w14:textId="77777777" w:rsidTr="00604430">
        <w:trPr>
          <w:trHeight w:val="283"/>
          <w:jc w:val="center"/>
        </w:trPr>
        <w:tc>
          <w:tcPr>
            <w:tcW w:w="3101" w:type="pct"/>
            <w:tcBorders>
              <w:top w:val="nil"/>
              <w:left w:val="nil"/>
              <w:bottom w:val="nil"/>
              <w:right w:val="nil"/>
            </w:tcBorders>
            <w:shd w:val="clear" w:color="auto" w:fill="auto"/>
            <w:vAlign w:val="center"/>
            <w:hideMark/>
          </w:tcPr>
          <w:p w14:paraId="6B241B52"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proofErr w:type="spellStart"/>
            <w:r w:rsidRPr="00954AA6">
              <w:rPr>
                <w:rFonts w:eastAsia="Times New Roman"/>
                <w:sz w:val="18"/>
                <w:szCs w:val="18"/>
                <w:bdr w:val="none" w:sz="0" w:space="0" w:color="auto"/>
                <w:lang w:eastAsia="es-ES"/>
              </w:rPr>
              <w:t>Subv</w:t>
            </w:r>
            <w:proofErr w:type="spellEnd"/>
            <w:r w:rsidRPr="00954AA6">
              <w:rPr>
                <w:rFonts w:eastAsia="Times New Roman"/>
                <w:sz w:val="18"/>
                <w:szCs w:val="18"/>
                <w:bdr w:val="none" w:sz="0" w:space="0" w:color="auto"/>
                <w:lang w:eastAsia="es-ES"/>
              </w:rPr>
              <w:t>. de explotación incorporadas al resultado</w:t>
            </w:r>
          </w:p>
          <w:p w14:paraId="633905F5"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del ejercicio</w:t>
            </w:r>
          </w:p>
        </w:tc>
        <w:tc>
          <w:tcPr>
            <w:tcW w:w="949" w:type="pct"/>
            <w:tcBorders>
              <w:top w:val="nil"/>
              <w:left w:val="nil"/>
              <w:bottom w:val="nil"/>
              <w:right w:val="nil"/>
            </w:tcBorders>
            <w:shd w:val="clear" w:color="auto" w:fill="auto"/>
            <w:vAlign w:val="center"/>
          </w:tcPr>
          <w:p w14:paraId="1DA67ADF" w14:textId="24DB5A95" w:rsidR="00E612CB" w:rsidRPr="00E612CB"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46.743.894,28</w:t>
            </w:r>
          </w:p>
        </w:tc>
        <w:tc>
          <w:tcPr>
            <w:tcW w:w="950" w:type="pct"/>
            <w:tcBorders>
              <w:top w:val="nil"/>
              <w:left w:val="nil"/>
              <w:bottom w:val="nil"/>
              <w:right w:val="nil"/>
            </w:tcBorders>
            <w:shd w:val="clear" w:color="auto" w:fill="auto"/>
            <w:vAlign w:val="center"/>
            <w:hideMark/>
          </w:tcPr>
          <w:p w14:paraId="16C481F3" w14:textId="32C337D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42.998.433,48</w:t>
            </w:r>
          </w:p>
        </w:tc>
      </w:tr>
      <w:tr w:rsidR="00E612CB" w:rsidRPr="00954AA6" w14:paraId="4ADFA9CC" w14:textId="77777777" w:rsidTr="00604430">
        <w:trPr>
          <w:trHeight w:val="283"/>
          <w:jc w:val="center"/>
        </w:trPr>
        <w:tc>
          <w:tcPr>
            <w:tcW w:w="3101" w:type="pct"/>
            <w:tcBorders>
              <w:top w:val="nil"/>
              <w:left w:val="nil"/>
              <w:bottom w:val="single" w:sz="4" w:space="0" w:color="auto"/>
              <w:right w:val="nil"/>
            </w:tcBorders>
            <w:shd w:val="clear" w:color="auto" w:fill="auto"/>
            <w:vAlign w:val="center"/>
            <w:hideMark/>
          </w:tcPr>
          <w:p w14:paraId="7976888A"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Ingresos accesorios y otros de gestión corriente</w:t>
            </w:r>
          </w:p>
        </w:tc>
        <w:tc>
          <w:tcPr>
            <w:tcW w:w="949" w:type="pct"/>
            <w:tcBorders>
              <w:top w:val="nil"/>
              <w:left w:val="nil"/>
              <w:bottom w:val="nil"/>
              <w:right w:val="nil"/>
            </w:tcBorders>
            <w:shd w:val="clear" w:color="auto" w:fill="auto"/>
            <w:vAlign w:val="center"/>
          </w:tcPr>
          <w:p w14:paraId="53611549" w14:textId="371D986F" w:rsidR="00E612CB" w:rsidRPr="00E612CB"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308.839,43</w:t>
            </w:r>
          </w:p>
        </w:tc>
        <w:tc>
          <w:tcPr>
            <w:tcW w:w="950" w:type="pct"/>
            <w:tcBorders>
              <w:top w:val="nil"/>
              <w:left w:val="nil"/>
              <w:bottom w:val="nil"/>
              <w:right w:val="nil"/>
            </w:tcBorders>
            <w:shd w:val="clear" w:color="auto" w:fill="auto"/>
            <w:vAlign w:val="center"/>
            <w:hideMark/>
          </w:tcPr>
          <w:p w14:paraId="4E7A74CD" w14:textId="2FBAE8CB"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266.604,72</w:t>
            </w:r>
          </w:p>
        </w:tc>
      </w:tr>
      <w:tr w:rsidR="00E612CB" w:rsidRPr="00954AA6" w14:paraId="6265E300" w14:textId="77777777" w:rsidTr="00604430">
        <w:trPr>
          <w:trHeight w:val="283"/>
          <w:jc w:val="center"/>
        </w:trPr>
        <w:tc>
          <w:tcPr>
            <w:tcW w:w="3101" w:type="pct"/>
            <w:tcBorders>
              <w:top w:val="nil"/>
              <w:left w:val="nil"/>
              <w:bottom w:val="single" w:sz="4" w:space="0" w:color="auto"/>
              <w:right w:val="nil"/>
            </w:tcBorders>
            <w:shd w:val="clear" w:color="auto" w:fill="auto"/>
            <w:vAlign w:val="center"/>
            <w:hideMark/>
          </w:tcPr>
          <w:p w14:paraId="0181E256"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949" w:type="pct"/>
            <w:tcBorders>
              <w:top w:val="single" w:sz="4" w:space="0" w:color="auto"/>
              <w:left w:val="nil"/>
              <w:bottom w:val="single" w:sz="4" w:space="0" w:color="auto"/>
              <w:right w:val="nil"/>
            </w:tcBorders>
            <w:shd w:val="clear" w:color="auto" w:fill="auto"/>
            <w:vAlign w:val="center"/>
          </w:tcPr>
          <w:p w14:paraId="6ED4ADF1" w14:textId="07527396" w:rsidR="00E612CB" w:rsidRPr="00E612CB"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47.331.384,45</w:t>
            </w:r>
          </w:p>
        </w:tc>
        <w:tc>
          <w:tcPr>
            <w:tcW w:w="950" w:type="pct"/>
            <w:tcBorders>
              <w:top w:val="single" w:sz="4" w:space="0" w:color="auto"/>
              <w:left w:val="nil"/>
              <w:bottom w:val="single" w:sz="4" w:space="0" w:color="auto"/>
              <w:right w:val="nil"/>
            </w:tcBorders>
            <w:shd w:val="clear" w:color="auto" w:fill="auto"/>
            <w:vAlign w:val="center"/>
            <w:hideMark/>
          </w:tcPr>
          <w:p w14:paraId="7021F94D" w14:textId="734FDA1D"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43.495.038,20</w:t>
            </w:r>
          </w:p>
        </w:tc>
      </w:tr>
    </w:tbl>
    <w:p w14:paraId="79C263B8" w14:textId="77777777" w:rsidR="006220A2" w:rsidRPr="0083433F" w:rsidRDefault="006220A2">
      <w:pPr>
        <w:keepNext/>
        <w:keepLines/>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left" w:pos="284"/>
        </w:tabs>
        <w:spacing w:before="200"/>
        <w:ind w:left="0" w:firstLine="0"/>
        <w:outlineLvl w:val="9"/>
        <w:rPr>
          <w:sz w:val="20"/>
          <w:szCs w:val="22"/>
          <w:u w:val="single"/>
        </w:rPr>
      </w:pPr>
      <w:r w:rsidRPr="0083433F">
        <w:rPr>
          <w:sz w:val="20"/>
          <w:szCs w:val="22"/>
          <w:u w:val="single"/>
        </w:rPr>
        <w:t>Gastos de explotación</w:t>
      </w:r>
    </w:p>
    <w:p w14:paraId="31787930" w14:textId="77777777" w:rsidR="006220A2" w:rsidRPr="00176BA0" w:rsidRDefault="006220A2" w:rsidP="00D67C6B">
      <w:pPr>
        <w:widowControl w:val="0"/>
        <w:spacing w:before="120" w:after="120" w:line="260" w:lineRule="exact"/>
        <w:jc w:val="both"/>
        <w:outlineLvl w:val="9"/>
        <w:rPr>
          <w:snapToGrid w:val="0"/>
          <w:sz w:val="20"/>
          <w:szCs w:val="22"/>
        </w:rPr>
      </w:pPr>
      <w:r w:rsidRPr="00176BA0">
        <w:rPr>
          <w:snapToGrid w:val="0"/>
          <w:sz w:val="20"/>
          <w:szCs w:val="22"/>
        </w:rPr>
        <w:t xml:space="preserve">Bajo este epígrafe se recogen los gastos en los que ha incurrido la Sociedad para la realización de su actividad promocional consistentes en la contratación de servicios a otras empresas, ver ampliación de esta información en el informe de gestión. </w:t>
      </w:r>
    </w:p>
    <w:tbl>
      <w:tblPr>
        <w:tblW w:w="5000" w:type="pct"/>
        <w:jc w:val="center"/>
        <w:tblCellMar>
          <w:left w:w="70" w:type="dxa"/>
          <w:right w:w="70" w:type="dxa"/>
        </w:tblCellMar>
        <w:tblLook w:val="04A0" w:firstRow="1" w:lastRow="0" w:firstColumn="1" w:lastColumn="0" w:noHBand="0" w:noVBand="1"/>
      </w:tblPr>
      <w:tblGrid>
        <w:gridCol w:w="5075"/>
        <w:gridCol w:w="1853"/>
        <w:gridCol w:w="1853"/>
      </w:tblGrid>
      <w:tr w:rsidR="000D76CC" w:rsidRPr="00954AA6" w14:paraId="47BFA425" w14:textId="77777777" w:rsidTr="00954AA6">
        <w:trPr>
          <w:trHeight w:val="227"/>
          <w:jc w:val="center"/>
        </w:trPr>
        <w:tc>
          <w:tcPr>
            <w:tcW w:w="2890" w:type="pct"/>
            <w:tcBorders>
              <w:top w:val="single" w:sz="4" w:space="0" w:color="auto"/>
              <w:left w:val="nil"/>
              <w:bottom w:val="nil"/>
              <w:right w:val="nil"/>
            </w:tcBorders>
            <w:shd w:val="clear" w:color="auto" w:fill="auto"/>
            <w:vAlign w:val="center"/>
            <w:hideMark/>
          </w:tcPr>
          <w:p w14:paraId="75CDFD47" w14:textId="77777777" w:rsidR="000D76CC" w:rsidRPr="00954AA6" w:rsidRDefault="000D76CC" w:rsidP="00954AA6">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2110" w:type="pct"/>
            <w:gridSpan w:val="2"/>
            <w:tcBorders>
              <w:top w:val="single" w:sz="4" w:space="0" w:color="auto"/>
              <w:left w:val="nil"/>
              <w:bottom w:val="single" w:sz="4" w:space="0" w:color="auto"/>
              <w:right w:val="nil"/>
            </w:tcBorders>
            <w:shd w:val="clear" w:color="auto" w:fill="auto"/>
            <w:vAlign w:val="bottom"/>
            <w:hideMark/>
          </w:tcPr>
          <w:p w14:paraId="7A7A7AA2" w14:textId="77777777" w:rsidR="000D76CC" w:rsidRPr="00954AA6" w:rsidRDefault="000D76C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604430" w:rsidRPr="00954AA6" w14:paraId="1B5DB7F2" w14:textId="77777777" w:rsidTr="00954AA6">
        <w:trPr>
          <w:trHeight w:val="227"/>
          <w:jc w:val="center"/>
        </w:trPr>
        <w:tc>
          <w:tcPr>
            <w:tcW w:w="2890" w:type="pct"/>
            <w:tcBorders>
              <w:top w:val="nil"/>
              <w:left w:val="nil"/>
              <w:bottom w:val="single" w:sz="4" w:space="0" w:color="auto"/>
              <w:right w:val="nil"/>
            </w:tcBorders>
            <w:shd w:val="clear" w:color="auto" w:fill="auto"/>
            <w:vAlign w:val="center"/>
            <w:hideMark/>
          </w:tcPr>
          <w:p w14:paraId="1E08ECB2" w14:textId="77777777"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055" w:type="pct"/>
            <w:tcBorders>
              <w:top w:val="nil"/>
              <w:left w:val="nil"/>
              <w:bottom w:val="single" w:sz="4" w:space="0" w:color="auto"/>
              <w:right w:val="nil"/>
            </w:tcBorders>
            <w:shd w:val="clear" w:color="auto" w:fill="auto"/>
            <w:vAlign w:val="bottom"/>
            <w:hideMark/>
          </w:tcPr>
          <w:p w14:paraId="576D268E" w14:textId="1939B790"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E612CB">
              <w:rPr>
                <w:rFonts w:eastAsia="Times New Roman"/>
                <w:b/>
                <w:bCs/>
                <w:sz w:val="18"/>
                <w:szCs w:val="18"/>
                <w:bdr w:val="none" w:sz="0" w:space="0" w:color="auto"/>
                <w:lang w:eastAsia="es-ES"/>
              </w:rPr>
              <w:t>3</w:t>
            </w:r>
          </w:p>
        </w:tc>
        <w:tc>
          <w:tcPr>
            <w:tcW w:w="1055" w:type="pct"/>
            <w:tcBorders>
              <w:top w:val="nil"/>
              <w:left w:val="nil"/>
              <w:bottom w:val="single" w:sz="4" w:space="0" w:color="auto"/>
              <w:right w:val="nil"/>
            </w:tcBorders>
            <w:shd w:val="clear" w:color="auto" w:fill="auto"/>
            <w:vAlign w:val="bottom"/>
            <w:hideMark/>
          </w:tcPr>
          <w:p w14:paraId="116CF0C7" w14:textId="4E20E0C3"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E612CB">
              <w:rPr>
                <w:rFonts w:eastAsia="Times New Roman"/>
                <w:b/>
                <w:bCs/>
                <w:sz w:val="18"/>
                <w:szCs w:val="18"/>
                <w:bdr w:val="none" w:sz="0" w:space="0" w:color="auto"/>
                <w:lang w:eastAsia="es-ES"/>
              </w:rPr>
              <w:t>2</w:t>
            </w:r>
          </w:p>
        </w:tc>
      </w:tr>
      <w:tr w:rsidR="00604430" w:rsidRPr="00954AA6" w14:paraId="7F561D0B" w14:textId="77777777" w:rsidTr="00954AA6">
        <w:trPr>
          <w:trHeight w:val="283"/>
          <w:jc w:val="center"/>
        </w:trPr>
        <w:tc>
          <w:tcPr>
            <w:tcW w:w="2890" w:type="pct"/>
            <w:tcBorders>
              <w:top w:val="nil"/>
              <w:left w:val="nil"/>
              <w:bottom w:val="nil"/>
              <w:right w:val="nil"/>
            </w:tcBorders>
            <w:shd w:val="clear" w:color="auto" w:fill="auto"/>
            <w:vAlign w:val="center"/>
            <w:hideMark/>
          </w:tcPr>
          <w:p w14:paraId="7566747C" w14:textId="77777777"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Gastos de explotación</w:t>
            </w:r>
          </w:p>
        </w:tc>
        <w:tc>
          <w:tcPr>
            <w:tcW w:w="1055" w:type="pct"/>
            <w:tcBorders>
              <w:top w:val="nil"/>
              <w:left w:val="nil"/>
              <w:bottom w:val="nil"/>
              <w:right w:val="nil"/>
            </w:tcBorders>
            <w:shd w:val="clear" w:color="auto" w:fill="auto"/>
            <w:vAlign w:val="center"/>
            <w:hideMark/>
          </w:tcPr>
          <w:p w14:paraId="768FB460" w14:textId="77777777"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eastAsia="Times New Roman"/>
                <w:b/>
                <w:bCs/>
                <w:sz w:val="18"/>
                <w:szCs w:val="18"/>
                <w:bdr w:val="none" w:sz="0" w:space="0" w:color="auto"/>
                <w:lang w:eastAsia="es-ES"/>
              </w:rPr>
            </w:pPr>
          </w:p>
        </w:tc>
        <w:tc>
          <w:tcPr>
            <w:tcW w:w="1055" w:type="pct"/>
            <w:tcBorders>
              <w:top w:val="nil"/>
              <w:left w:val="nil"/>
              <w:bottom w:val="nil"/>
              <w:right w:val="nil"/>
            </w:tcBorders>
            <w:shd w:val="clear" w:color="auto" w:fill="auto"/>
            <w:vAlign w:val="center"/>
            <w:hideMark/>
          </w:tcPr>
          <w:p w14:paraId="0207C67B" w14:textId="77777777" w:rsidR="00604430" w:rsidRPr="00954AA6" w:rsidRDefault="00604430" w:rsidP="0060443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ascii="Times New Roman" w:eastAsia="Times New Roman" w:hAnsi="Times New Roman" w:cs="Times New Roman"/>
                <w:color w:val="auto"/>
                <w:sz w:val="18"/>
                <w:szCs w:val="18"/>
                <w:bdr w:val="none" w:sz="0" w:space="0" w:color="auto"/>
                <w:lang w:eastAsia="es-ES"/>
              </w:rPr>
            </w:pPr>
          </w:p>
        </w:tc>
      </w:tr>
      <w:tr w:rsidR="00E612CB" w:rsidRPr="00954AA6" w14:paraId="488018F6" w14:textId="77777777" w:rsidTr="00954AA6">
        <w:trPr>
          <w:trHeight w:val="283"/>
          <w:jc w:val="center"/>
        </w:trPr>
        <w:tc>
          <w:tcPr>
            <w:tcW w:w="2890" w:type="pct"/>
            <w:tcBorders>
              <w:top w:val="nil"/>
              <w:left w:val="nil"/>
              <w:bottom w:val="nil"/>
              <w:right w:val="nil"/>
            </w:tcBorders>
            <w:shd w:val="clear" w:color="auto" w:fill="auto"/>
            <w:vAlign w:val="center"/>
            <w:hideMark/>
          </w:tcPr>
          <w:p w14:paraId="25A53054"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14"/>
              <w:jc w:val="both"/>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Trabajos realizados por otras empresas</w:t>
            </w:r>
          </w:p>
        </w:tc>
        <w:tc>
          <w:tcPr>
            <w:tcW w:w="1055" w:type="pct"/>
            <w:tcBorders>
              <w:top w:val="nil"/>
              <w:left w:val="nil"/>
              <w:bottom w:val="nil"/>
              <w:right w:val="nil"/>
            </w:tcBorders>
            <w:shd w:val="clear" w:color="auto" w:fill="auto"/>
            <w:vAlign w:val="center"/>
          </w:tcPr>
          <w:p w14:paraId="4D3BBE56" w14:textId="486E6D4C"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47.226.197,07</w:t>
            </w:r>
          </w:p>
        </w:tc>
        <w:tc>
          <w:tcPr>
            <w:tcW w:w="1055" w:type="pct"/>
            <w:tcBorders>
              <w:top w:val="nil"/>
              <w:left w:val="nil"/>
              <w:bottom w:val="nil"/>
              <w:right w:val="nil"/>
            </w:tcBorders>
            <w:shd w:val="clear" w:color="auto" w:fill="auto"/>
            <w:vAlign w:val="center"/>
            <w:hideMark/>
          </w:tcPr>
          <w:p w14:paraId="0801CF73" w14:textId="7FE2B6B3"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42.448.526,82</w:t>
            </w:r>
          </w:p>
        </w:tc>
      </w:tr>
      <w:tr w:rsidR="00E612CB" w:rsidRPr="00954AA6" w14:paraId="2972FAE2" w14:textId="77777777" w:rsidTr="00954AA6">
        <w:trPr>
          <w:trHeight w:val="283"/>
          <w:jc w:val="center"/>
        </w:trPr>
        <w:tc>
          <w:tcPr>
            <w:tcW w:w="2890" w:type="pct"/>
            <w:tcBorders>
              <w:top w:val="single" w:sz="4" w:space="0" w:color="auto"/>
              <w:left w:val="nil"/>
              <w:bottom w:val="single" w:sz="4" w:space="0" w:color="auto"/>
              <w:right w:val="nil"/>
            </w:tcBorders>
            <w:shd w:val="clear" w:color="auto" w:fill="auto"/>
            <w:vAlign w:val="center"/>
            <w:hideMark/>
          </w:tcPr>
          <w:p w14:paraId="754A7952"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1055" w:type="pct"/>
            <w:tcBorders>
              <w:top w:val="single" w:sz="4" w:space="0" w:color="auto"/>
              <w:left w:val="nil"/>
              <w:bottom w:val="single" w:sz="4" w:space="0" w:color="auto"/>
              <w:right w:val="nil"/>
            </w:tcBorders>
            <w:shd w:val="clear" w:color="auto" w:fill="auto"/>
            <w:vAlign w:val="center"/>
          </w:tcPr>
          <w:p w14:paraId="451D2477" w14:textId="2D9B6160"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47.226.197,07</w:t>
            </w:r>
          </w:p>
        </w:tc>
        <w:tc>
          <w:tcPr>
            <w:tcW w:w="1055" w:type="pct"/>
            <w:tcBorders>
              <w:top w:val="single" w:sz="4" w:space="0" w:color="auto"/>
              <w:left w:val="nil"/>
              <w:bottom w:val="single" w:sz="4" w:space="0" w:color="auto"/>
              <w:right w:val="nil"/>
            </w:tcBorders>
            <w:shd w:val="clear" w:color="auto" w:fill="auto"/>
            <w:vAlign w:val="center"/>
            <w:hideMark/>
          </w:tcPr>
          <w:p w14:paraId="0A0CD5CE" w14:textId="75F34E1B"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42.448.526,82</w:t>
            </w:r>
          </w:p>
        </w:tc>
      </w:tr>
    </w:tbl>
    <w:p w14:paraId="3B0F68AC" w14:textId="77777777" w:rsidR="006220A2" w:rsidRPr="0083433F" w:rsidRDefault="006220A2">
      <w:pPr>
        <w:keepNext/>
        <w:keepLines/>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284"/>
        </w:tabs>
        <w:spacing w:before="200"/>
        <w:ind w:left="0" w:firstLine="0"/>
        <w:outlineLvl w:val="9"/>
        <w:rPr>
          <w:sz w:val="20"/>
          <w:szCs w:val="22"/>
          <w:u w:val="single"/>
        </w:rPr>
      </w:pPr>
      <w:r w:rsidRPr="0083433F">
        <w:rPr>
          <w:sz w:val="20"/>
          <w:szCs w:val="22"/>
          <w:u w:val="single"/>
        </w:rPr>
        <w:t>Gastos de personal</w:t>
      </w:r>
    </w:p>
    <w:p w14:paraId="592F6DA4" w14:textId="2F5665ED" w:rsidR="006220A2" w:rsidRPr="00176BA0" w:rsidRDefault="006220A2" w:rsidP="00D67C6B">
      <w:pPr>
        <w:keepNext/>
        <w:keepLines/>
        <w:widowControl w:val="0"/>
        <w:spacing w:before="120" w:after="120" w:line="260" w:lineRule="exact"/>
        <w:jc w:val="both"/>
        <w:outlineLvl w:val="9"/>
        <w:rPr>
          <w:snapToGrid w:val="0"/>
          <w:sz w:val="20"/>
          <w:szCs w:val="22"/>
        </w:rPr>
      </w:pPr>
      <w:r w:rsidRPr="00176BA0">
        <w:rPr>
          <w:snapToGrid w:val="0"/>
          <w:sz w:val="20"/>
          <w:szCs w:val="22"/>
        </w:rPr>
        <w:t>El detalle de los gastos de personal del ejercicio 20</w:t>
      </w:r>
      <w:r w:rsidR="000D76CC" w:rsidRPr="00176BA0">
        <w:rPr>
          <w:snapToGrid w:val="0"/>
          <w:sz w:val="20"/>
          <w:szCs w:val="22"/>
        </w:rPr>
        <w:t>2</w:t>
      </w:r>
      <w:r w:rsidR="00E612CB">
        <w:rPr>
          <w:snapToGrid w:val="0"/>
          <w:sz w:val="20"/>
          <w:szCs w:val="22"/>
        </w:rPr>
        <w:t>3</w:t>
      </w:r>
      <w:r w:rsidR="00CF69E6" w:rsidRPr="00176BA0">
        <w:rPr>
          <w:snapToGrid w:val="0"/>
          <w:sz w:val="20"/>
          <w:szCs w:val="22"/>
        </w:rPr>
        <w:t xml:space="preserve"> y 20</w:t>
      </w:r>
      <w:r w:rsidR="002555C0" w:rsidRPr="00176BA0">
        <w:rPr>
          <w:snapToGrid w:val="0"/>
          <w:sz w:val="20"/>
          <w:szCs w:val="22"/>
        </w:rPr>
        <w:t>2</w:t>
      </w:r>
      <w:r w:rsidR="00E612CB">
        <w:rPr>
          <w:snapToGrid w:val="0"/>
          <w:sz w:val="20"/>
          <w:szCs w:val="22"/>
        </w:rPr>
        <w:t>2</w:t>
      </w:r>
      <w:r w:rsidRPr="00176BA0">
        <w:rPr>
          <w:snapToGrid w:val="0"/>
          <w:sz w:val="20"/>
          <w:szCs w:val="22"/>
        </w:rPr>
        <w:t>, es el siguiente:</w:t>
      </w:r>
    </w:p>
    <w:tbl>
      <w:tblPr>
        <w:tblW w:w="5000" w:type="pct"/>
        <w:jc w:val="center"/>
        <w:tblCellMar>
          <w:left w:w="70" w:type="dxa"/>
          <w:right w:w="70" w:type="dxa"/>
        </w:tblCellMar>
        <w:tblLook w:val="04A0" w:firstRow="1" w:lastRow="0" w:firstColumn="1" w:lastColumn="0" w:noHBand="0" w:noVBand="1"/>
      </w:tblPr>
      <w:tblGrid>
        <w:gridCol w:w="4912"/>
        <w:gridCol w:w="1935"/>
        <w:gridCol w:w="1934"/>
      </w:tblGrid>
      <w:tr w:rsidR="000D76CC" w:rsidRPr="00954AA6" w14:paraId="682E5B9E" w14:textId="77777777" w:rsidTr="00954AA6">
        <w:trPr>
          <w:trHeight w:val="227"/>
          <w:jc w:val="center"/>
        </w:trPr>
        <w:tc>
          <w:tcPr>
            <w:tcW w:w="2797" w:type="pct"/>
            <w:tcBorders>
              <w:top w:val="single" w:sz="4" w:space="0" w:color="auto"/>
              <w:left w:val="nil"/>
              <w:bottom w:val="nil"/>
              <w:right w:val="nil"/>
            </w:tcBorders>
            <w:shd w:val="clear" w:color="auto" w:fill="auto"/>
            <w:vAlign w:val="center"/>
            <w:hideMark/>
          </w:tcPr>
          <w:p w14:paraId="0B8E20A5"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2203" w:type="pct"/>
            <w:gridSpan w:val="2"/>
            <w:tcBorders>
              <w:top w:val="single" w:sz="4" w:space="0" w:color="auto"/>
              <w:left w:val="nil"/>
              <w:bottom w:val="single" w:sz="4" w:space="0" w:color="auto"/>
              <w:right w:val="nil"/>
            </w:tcBorders>
            <w:shd w:val="clear" w:color="auto" w:fill="auto"/>
            <w:vAlign w:val="bottom"/>
            <w:hideMark/>
          </w:tcPr>
          <w:p w14:paraId="66871B47" w14:textId="77777777" w:rsidR="000D76CC" w:rsidRPr="00954AA6" w:rsidRDefault="000D76CC" w:rsidP="00954AA6">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E612CB" w:rsidRPr="00954AA6" w14:paraId="11DE4EC2" w14:textId="77777777" w:rsidTr="00CE5DF2">
        <w:trPr>
          <w:trHeight w:val="227"/>
          <w:jc w:val="center"/>
        </w:trPr>
        <w:tc>
          <w:tcPr>
            <w:tcW w:w="2797" w:type="pct"/>
            <w:tcBorders>
              <w:top w:val="nil"/>
              <w:left w:val="nil"/>
              <w:bottom w:val="single" w:sz="4" w:space="0" w:color="auto"/>
              <w:right w:val="nil"/>
            </w:tcBorders>
            <w:shd w:val="clear" w:color="auto" w:fill="auto"/>
            <w:vAlign w:val="center"/>
            <w:hideMark/>
          </w:tcPr>
          <w:p w14:paraId="557D9AA8"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102" w:type="pct"/>
            <w:tcBorders>
              <w:top w:val="nil"/>
              <w:left w:val="nil"/>
              <w:bottom w:val="single" w:sz="4" w:space="0" w:color="auto"/>
              <w:right w:val="nil"/>
            </w:tcBorders>
            <w:shd w:val="clear" w:color="auto" w:fill="auto"/>
            <w:vAlign w:val="bottom"/>
            <w:hideMark/>
          </w:tcPr>
          <w:p w14:paraId="4EA30C34" w14:textId="531C4C2C"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Pr>
                <w:rFonts w:eastAsia="Times New Roman"/>
                <w:b/>
                <w:bCs/>
                <w:sz w:val="18"/>
                <w:szCs w:val="18"/>
                <w:bdr w:val="none" w:sz="0" w:space="0" w:color="auto"/>
                <w:lang w:eastAsia="es-ES"/>
              </w:rPr>
              <w:t>3</w:t>
            </w:r>
          </w:p>
        </w:tc>
        <w:tc>
          <w:tcPr>
            <w:tcW w:w="1101" w:type="pct"/>
            <w:tcBorders>
              <w:top w:val="nil"/>
              <w:left w:val="nil"/>
              <w:bottom w:val="single" w:sz="4" w:space="0" w:color="auto"/>
              <w:right w:val="nil"/>
            </w:tcBorders>
            <w:shd w:val="clear" w:color="auto" w:fill="auto"/>
            <w:vAlign w:val="bottom"/>
            <w:hideMark/>
          </w:tcPr>
          <w:p w14:paraId="6017F351" w14:textId="5E699E4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Pr>
                <w:rFonts w:eastAsia="Times New Roman"/>
                <w:b/>
                <w:bCs/>
                <w:sz w:val="18"/>
                <w:szCs w:val="18"/>
                <w:bdr w:val="none" w:sz="0" w:space="0" w:color="auto"/>
                <w:lang w:eastAsia="es-ES"/>
              </w:rPr>
              <w:t>2</w:t>
            </w:r>
          </w:p>
        </w:tc>
      </w:tr>
      <w:tr w:rsidR="00E612CB" w:rsidRPr="00954AA6" w14:paraId="4EB72DDF" w14:textId="77777777" w:rsidTr="00CE5DF2">
        <w:trPr>
          <w:trHeight w:val="255"/>
          <w:jc w:val="center"/>
        </w:trPr>
        <w:tc>
          <w:tcPr>
            <w:tcW w:w="2797" w:type="pct"/>
            <w:tcBorders>
              <w:top w:val="nil"/>
              <w:left w:val="nil"/>
              <w:bottom w:val="nil"/>
              <w:right w:val="nil"/>
            </w:tcBorders>
            <w:shd w:val="clear" w:color="auto" w:fill="auto"/>
            <w:vAlign w:val="center"/>
            <w:hideMark/>
          </w:tcPr>
          <w:p w14:paraId="18802446"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Gastos de personal</w:t>
            </w:r>
          </w:p>
        </w:tc>
        <w:tc>
          <w:tcPr>
            <w:tcW w:w="1102" w:type="pct"/>
            <w:tcBorders>
              <w:top w:val="nil"/>
              <w:left w:val="nil"/>
              <w:bottom w:val="nil"/>
              <w:right w:val="nil"/>
            </w:tcBorders>
            <w:shd w:val="clear" w:color="auto" w:fill="auto"/>
            <w:vAlign w:val="center"/>
            <w:hideMark/>
          </w:tcPr>
          <w:p w14:paraId="06FC42F6"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1101" w:type="pct"/>
            <w:tcBorders>
              <w:top w:val="nil"/>
              <w:left w:val="nil"/>
              <w:bottom w:val="nil"/>
              <w:right w:val="nil"/>
            </w:tcBorders>
            <w:shd w:val="clear" w:color="auto" w:fill="auto"/>
            <w:vAlign w:val="center"/>
            <w:hideMark/>
          </w:tcPr>
          <w:p w14:paraId="16A18D52"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E612CB" w:rsidRPr="00954AA6" w14:paraId="7EDEBEE2" w14:textId="77777777" w:rsidTr="00CE5DF2">
        <w:trPr>
          <w:trHeight w:val="255"/>
          <w:jc w:val="center"/>
        </w:trPr>
        <w:tc>
          <w:tcPr>
            <w:tcW w:w="2797" w:type="pct"/>
            <w:tcBorders>
              <w:top w:val="nil"/>
              <w:left w:val="nil"/>
              <w:bottom w:val="nil"/>
              <w:right w:val="nil"/>
            </w:tcBorders>
            <w:shd w:val="clear" w:color="auto" w:fill="auto"/>
            <w:vAlign w:val="center"/>
            <w:hideMark/>
          </w:tcPr>
          <w:p w14:paraId="6467AEDC"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Sueldos y salarios</w:t>
            </w:r>
          </w:p>
        </w:tc>
        <w:tc>
          <w:tcPr>
            <w:tcW w:w="1102" w:type="pct"/>
            <w:tcBorders>
              <w:top w:val="nil"/>
              <w:left w:val="nil"/>
              <w:bottom w:val="nil"/>
              <w:right w:val="nil"/>
            </w:tcBorders>
            <w:shd w:val="clear" w:color="auto" w:fill="auto"/>
            <w:vAlign w:val="center"/>
          </w:tcPr>
          <w:p w14:paraId="78AC0882" w14:textId="021749CE"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1" w:hanging="1"/>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2.148.859,82</w:t>
            </w:r>
          </w:p>
        </w:tc>
        <w:tc>
          <w:tcPr>
            <w:tcW w:w="1101" w:type="pct"/>
            <w:tcBorders>
              <w:top w:val="nil"/>
              <w:left w:val="nil"/>
              <w:bottom w:val="nil"/>
              <w:right w:val="nil"/>
            </w:tcBorders>
            <w:shd w:val="clear" w:color="auto" w:fill="auto"/>
            <w:vAlign w:val="center"/>
            <w:hideMark/>
          </w:tcPr>
          <w:p w14:paraId="7ACF5437" w14:textId="6DBFD926"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2.256.740,27</w:t>
            </w:r>
          </w:p>
        </w:tc>
      </w:tr>
      <w:tr w:rsidR="00E612CB" w:rsidRPr="00954AA6" w14:paraId="679F75ED" w14:textId="77777777" w:rsidTr="00CE5DF2">
        <w:trPr>
          <w:trHeight w:val="255"/>
          <w:jc w:val="center"/>
        </w:trPr>
        <w:tc>
          <w:tcPr>
            <w:tcW w:w="2797" w:type="pct"/>
            <w:tcBorders>
              <w:top w:val="nil"/>
              <w:left w:val="nil"/>
              <w:bottom w:val="nil"/>
              <w:right w:val="nil"/>
            </w:tcBorders>
            <w:shd w:val="clear" w:color="auto" w:fill="auto"/>
            <w:vAlign w:val="center"/>
            <w:hideMark/>
          </w:tcPr>
          <w:p w14:paraId="424DDC83"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Indemnizaciones</w:t>
            </w:r>
          </w:p>
        </w:tc>
        <w:tc>
          <w:tcPr>
            <w:tcW w:w="1102" w:type="pct"/>
            <w:tcBorders>
              <w:top w:val="nil"/>
              <w:left w:val="nil"/>
              <w:bottom w:val="nil"/>
              <w:right w:val="nil"/>
            </w:tcBorders>
            <w:shd w:val="clear" w:color="auto" w:fill="auto"/>
            <w:vAlign w:val="center"/>
          </w:tcPr>
          <w:p w14:paraId="40116388" w14:textId="3EB12D4D"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1" w:hanging="1"/>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4.547,23</w:t>
            </w:r>
          </w:p>
        </w:tc>
        <w:tc>
          <w:tcPr>
            <w:tcW w:w="1101" w:type="pct"/>
            <w:tcBorders>
              <w:top w:val="nil"/>
              <w:left w:val="nil"/>
              <w:bottom w:val="nil"/>
              <w:right w:val="nil"/>
            </w:tcBorders>
            <w:shd w:val="clear" w:color="auto" w:fill="auto"/>
            <w:vAlign w:val="center"/>
            <w:hideMark/>
          </w:tcPr>
          <w:p w14:paraId="76243F5B" w14:textId="69AD70FE"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9.222,48</w:t>
            </w:r>
          </w:p>
        </w:tc>
      </w:tr>
      <w:tr w:rsidR="00E612CB" w:rsidRPr="00954AA6" w14:paraId="78CACA28" w14:textId="77777777" w:rsidTr="00CE5DF2">
        <w:trPr>
          <w:trHeight w:val="255"/>
          <w:jc w:val="center"/>
        </w:trPr>
        <w:tc>
          <w:tcPr>
            <w:tcW w:w="2797" w:type="pct"/>
            <w:tcBorders>
              <w:top w:val="nil"/>
              <w:left w:val="nil"/>
              <w:bottom w:val="nil"/>
              <w:right w:val="nil"/>
            </w:tcBorders>
            <w:shd w:val="clear" w:color="auto" w:fill="auto"/>
            <w:vAlign w:val="center"/>
            <w:hideMark/>
          </w:tcPr>
          <w:p w14:paraId="6B7BE647"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Cargas sociales</w:t>
            </w:r>
          </w:p>
        </w:tc>
        <w:tc>
          <w:tcPr>
            <w:tcW w:w="1102" w:type="pct"/>
            <w:tcBorders>
              <w:top w:val="nil"/>
              <w:left w:val="nil"/>
              <w:bottom w:val="nil"/>
              <w:right w:val="nil"/>
            </w:tcBorders>
            <w:shd w:val="clear" w:color="auto" w:fill="auto"/>
            <w:vAlign w:val="center"/>
          </w:tcPr>
          <w:p w14:paraId="0B3E2230" w14:textId="06DCE0C1"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1" w:hanging="1"/>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606.856,15</w:t>
            </w:r>
          </w:p>
        </w:tc>
        <w:tc>
          <w:tcPr>
            <w:tcW w:w="1101" w:type="pct"/>
            <w:tcBorders>
              <w:top w:val="nil"/>
              <w:left w:val="nil"/>
              <w:bottom w:val="nil"/>
              <w:right w:val="nil"/>
            </w:tcBorders>
            <w:shd w:val="clear" w:color="auto" w:fill="auto"/>
            <w:vAlign w:val="center"/>
            <w:hideMark/>
          </w:tcPr>
          <w:p w14:paraId="69B25098" w14:textId="20D59473"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577.738,24</w:t>
            </w:r>
          </w:p>
        </w:tc>
      </w:tr>
      <w:tr w:rsidR="00E612CB" w:rsidRPr="00954AA6" w14:paraId="772C2372" w14:textId="77777777" w:rsidTr="00CE5DF2">
        <w:trPr>
          <w:trHeight w:val="255"/>
          <w:jc w:val="center"/>
        </w:trPr>
        <w:tc>
          <w:tcPr>
            <w:tcW w:w="2797" w:type="pct"/>
            <w:tcBorders>
              <w:top w:val="nil"/>
              <w:left w:val="nil"/>
              <w:bottom w:val="nil"/>
              <w:right w:val="nil"/>
            </w:tcBorders>
            <w:shd w:val="clear" w:color="auto" w:fill="auto"/>
            <w:vAlign w:val="center"/>
            <w:hideMark/>
          </w:tcPr>
          <w:p w14:paraId="16BA52CD"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Otros gastos sociales</w:t>
            </w:r>
          </w:p>
        </w:tc>
        <w:tc>
          <w:tcPr>
            <w:tcW w:w="1102" w:type="pct"/>
            <w:tcBorders>
              <w:top w:val="nil"/>
              <w:left w:val="nil"/>
              <w:bottom w:val="nil"/>
              <w:right w:val="nil"/>
            </w:tcBorders>
            <w:shd w:val="clear" w:color="auto" w:fill="auto"/>
            <w:vAlign w:val="center"/>
          </w:tcPr>
          <w:p w14:paraId="0507361A" w14:textId="50E317F8" w:rsidR="00E612CB" w:rsidRPr="00E612CB"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11.382,13</w:t>
            </w:r>
          </w:p>
        </w:tc>
        <w:tc>
          <w:tcPr>
            <w:tcW w:w="1101" w:type="pct"/>
            <w:tcBorders>
              <w:top w:val="nil"/>
              <w:left w:val="nil"/>
              <w:bottom w:val="nil"/>
              <w:right w:val="nil"/>
            </w:tcBorders>
            <w:shd w:val="clear" w:color="auto" w:fill="auto"/>
            <w:vAlign w:val="center"/>
            <w:hideMark/>
          </w:tcPr>
          <w:p w14:paraId="00B33CB2" w14:textId="4B84B255"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7.501,94</w:t>
            </w:r>
          </w:p>
        </w:tc>
      </w:tr>
      <w:tr w:rsidR="00E612CB" w:rsidRPr="00954AA6" w14:paraId="7D23D050" w14:textId="77777777" w:rsidTr="00CE5DF2">
        <w:trPr>
          <w:trHeight w:val="255"/>
          <w:jc w:val="center"/>
        </w:trPr>
        <w:tc>
          <w:tcPr>
            <w:tcW w:w="2797" w:type="pct"/>
            <w:tcBorders>
              <w:top w:val="single" w:sz="4" w:space="0" w:color="auto"/>
              <w:left w:val="nil"/>
              <w:bottom w:val="single" w:sz="4" w:space="0" w:color="auto"/>
              <w:right w:val="nil"/>
            </w:tcBorders>
            <w:shd w:val="clear" w:color="auto" w:fill="auto"/>
            <w:vAlign w:val="center"/>
            <w:hideMark/>
          </w:tcPr>
          <w:p w14:paraId="7358C1C0" w14:textId="77777777"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ind w:left="214"/>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1102" w:type="pct"/>
            <w:tcBorders>
              <w:top w:val="single" w:sz="4" w:space="0" w:color="auto"/>
              <w:left w:val="nil"/>
              <w:bottom w:val="single" w:sz="4" w:space="0" w:color="auto"/>
              <w:right w:val="nil"/>
            </w:tcBorders>
            <w:shd w:val="clear" w:color="auto" w:fill="auto"/>
            <w:vAlign w:val="center"/>
          </w:tcPr>
          <w:p w14:paraId="2F0DD95D" w14:textId="654FBE81" w:rsidR="00E612CB" w:rsidRPr="00E612CB"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2.771.645,33</w:t>
            </w:r>
          </w:p>
        </w:tc>
        <w:tc>
          <w:tcPr>
            <w:tcW w:w="1101" w:type="pct"/>
            <w:tcBorders>
              <w:top w:val="single" w:sz="4" w:space="0" w:color="auto"/>
              <w:left w:val="nil"/>
              <w:bottom w:val="single" w:sz="4" w:space="0" w:color="auto"/>
              <w:right w:val="nil"/>
            </w:tcBorders>
            <w:shd w:val="clear" w:color="auto" w:fill="auto"/>
            <w:vAlign w:val="center"/>
            <w:hideMark/>
          </w:tcPr>
          <w:p w14:paraId="41588CF1" w14:textId="51099C3D" w:rsidR="00E612CB" w:rsidRPr="00954AA6" w:rsidRDefault="00E612CB" w:rsidP="00E612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2.851.202,93</w:t>
            </w:r>
          </w:p>
        </w:tc>
      </w:tr>
    </w:tbl>
    <w:p w14:paraId="771CFCBD" w14:textId="28F6810E" w:rsidR="00D67C6B" w:rsidRPr="00C060F2" w:rsidRDefault="00D02FCE" w:rsidP="001B5A15">
      <w:pPr>
        <w:widowControl w:val="0"/>
        <w:spacing w:before="240" w:after="120" w:line="260" w:lineRule="exact"/>
        <w:jc w:val="both"/>
        <w:outlineLvl w:val="9"/>
        <w:rPr>
          <w:snapToGrid w:val="0"/>
          <w:sz w:val="20"/>
          <w:szCs w:val="22"/>
        </w:rPr>
      </w:pPr>
      <w:r w:rsidRPr="00F25A85">
        <w:rPr>
          <w:snapToGrid w:val="0"/>
          <w:sz w:val="20"/>
          <w:szCs w:val="22"/>
        </w:rPr>
        <w:t>En el ejercicio 202</w:t>
      </w:r>
      <w:r w:rsidR="00F25A85" w:rsidRPr="00F25A85">
        <w:rPr>
          <w:snapToGrid w:val="0"/>
          <w:sz w:val="20"/>
          <w:szCs w:val="22"/>
        </w:rPr>
        <w:t>2</w:t>
      </w:r>
      <w:r w:rsidRPr="00F25A85">
        <w:rPr>
          <w:snapToGrid w:val="0"/>
          <w:sz w:val="20"/>
          <w:szCs w:val="22"/>
        </w:rPr>
        <w:t xml:space="preserve"> la Sociedad </w:t>
      </w:r>
      <w:r w:rsidR="00F25A85" w:rsidRPr="00F25A85">
        <w:rPr>
          <w:snapToGrid w:val="0"/>
          <w:sz w:val="20"/>
          <w:szCs w:val="22"/>
        </w:rPr>
        <w:t xml:space="preserve"> </w:t>
      </w:r>
      <w:r w:rsidRPr="00F25A85">
        <w:rPr>
          <w:snapToGrid w:val="0"/>
          <w:sz w:val="20"/>
          <w:szCs w:val="22"/>
        </w:rPr>
        <w:t>registr</w:t>
      </w:r>
      <w:r w:rsidR="00F25A85" w:rsidRPr="00F25A85">
        <w:rPr>
          <w:snapToGrid w:val="0"/>
          <w:sz w:val="20"/>
          <w:szCs w:val="22"/>
        </w:rPr>
        <w:t>o</w:t>
      </w:r>
      <w:r w:rsidRPr="00F25A85">
        <w:rPr>
          <w:snapToGrid w:val="0"/>
          <w:sz w:val="20"/>
          <w:szCs w:val="22"/>
        </w:rPr>
        <w:t xml:space="preserve"> una provisión por los salarios minorados en 2010 por importe de 327.085,02 euros y por los seguros sociales correspondientes por importe de 79.465,54 euros, correspondientes al 5% del salario base, antigüedad y bolsa de vacaciones del ejercicio, con efecto desde el 1 de enero de 2019, reconocida por la Dirección General de Planificación y Presupuestos del Gobierno de Canarias, en base a la Ley 7/2022, de 28 de diciembre, de Presupuestos Generales de la Comunidad Autónoma de Canarias para 2023 (</w:t>
      </w:r>
      <w:r w:rsidR="00C060F2" w:rsidRPr="00F25A85">
        <w:rPr>
          <w:snapToGrid w:val="0"/>
          <w:sz w:val="20"/>
          <w:szCs w:val="22"/>
        </w:rPr>
        <w:t>N</w:t>
      </w:r>
      <w:r w:rsidRPr="00F25A85">
        <w:rPr>
          <w:snapToGrid w:val="0"/>
          <w:sz w:val="20"/>
          <w:szCs w:val="22"/>
        </w:rPr>
        <w:t>ota</w:t>
      </w:r>
      <w:r w:rsidR="006543C1" w:rsidRPr="00F25A85">
        <w:rPr>
          <w:snapToGrid w:val="0"/>
          <w:sz w:val="20"/>
          <w:szCs w:val="22"/>
        </w:rPr>
        <w:t>s</w:t>
      </w:r>
      <w:r w:rsidRPr="00F25A85">
        <w:rPr>
          <w:snapToGrid w:val="0"/>
          <w:sz w:val="20"/>
          <w:szCs w:val="22"/>
        </w:rPr>
        <w:t xml:space="preserve"> 8.3.a y 11.1.b).</w:t>
      </w:r>
    </w:p>
    <w:p w14:paraId="0C309D25" w14:textId="77777777" w:rsidR="00661E2A" w:rsidRDefault="00661E2A" w:rsidP="00661E2A">
      <w:pPr>
        <w:widowControl w:val="0"/>
        <w:spacing w:before="120" w:after="120" w:line="260" w:lineRule="exact"/>
        <w:jc w:val="both"/>
        <w:outlineLvl w:val="9"/>
        <w:rPr>
          <w:snapToGrid w:val="0"/>
          <w:sz w:val="20"/>
          <w:szCs w:val="22"/>
        </w:rPr>
      </w:pPr>
      <w:r w:rsidRPr="00396EF8">
        <w:rPr>
          <w:snapToGrid w:val="0"/>
          <w:sz w:val="20"/>
          <w:szCs w:val="22"/>
        </w:rPr>
        <w:t>Durante el ejercicio 2023 la Sociedad ha abonado dichos conceptos a los trabajadores, reconociendo un exceso de provisión en la cuenta de pérdidas y ganancias por importe de 69.506,52 euros.</w:t>
      </w:r>
    </w:p>
    <w:p w14:paraId="660C8F55" w14:textId="713EAAF0" w:rsidR="00D67C6B" w:rsidRDefault="00D67C6B">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highlight w:val="yellow"/>
        </w:rPr>
      </w:pPr>
      <w:r>
        <w:rPr>
          <w:snapToGrid w:val="0"/>
          <w:sz w:val="20"/>
          <w:szCs w:val="22"/>
          <w:highlight w:val="yellow"/>
        </w:rPr>
        <w:br w:type="page"/>
      </w:r>
    </w:p>
    <w:p w14:paraId="0C5B64F3" w14:textId="5DE9CC5C" w:rsidR="006220A2" w:rsidRPr="0083433F" w:rsidRDefault="006220A2">
      <w:pPr>
        <w:keepNext/>
        <w:keepLines/>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83433F">
        <w:rPr>
          <w:sz w:val="20"/>
          <w:szCs w:val="22"/>
          <w:u w:val="single"/>
        </w:rPr>
        <w:lastRenderedPageBreak/>
        <w:t>Otros gastos de explotación</w:t>
      </w:r>
    </w:p>
    <w:p w14:paraId="293C841D" w14:textId="6295BBA9" w:rsidR="006220A2" w:rsidRPr="00176BA0" w:rsidRDefault="006220A2" w:rsidP="00D67C6B">
      <w:pPr>
        <w:widowControl w:val="0"/>
        <w:spacing w:before="120" w:after="120" w:line="260" w:lineRule="exact"/>
        <w:jc w:val="both"/>
        <w:outlineLvl w:val="9"/>
        <w:rPr>
          <w:snapToGrid w:val="0"/>
          <w:sz w:val="20"/>
          <w:szCs w:val="22"/>
        </w:rPr>
      </w:pPr>
      <w:r w:rsidRPr="00176BA0">
        <w:rPr>
          <w:snapToGrid w:val="0"/>
          <w:sz w:val="20"/>
          <w:szCs w:val="22"/>
        </w:rPr>
        <w:t>El detalle de “Otros gastos de explotación” del ejercicio 20</w:t>
      </w:r>
      <w:r w:rsidR="000D76CC" w:rsidRPr="00176BA0">
        <w:rPr>
          <w:snapToGrid w:val="0"/>
          <w:sz w:val="20"/>
          <w:szCs w:val="22"/>
        </w:rPr>
        <w:t>2</w:t>
      </w:r>
      <w:r w:rsidR="00E612CB">
        <w:rPr>
          <w:snapToGrid w:val="0"/>
          <w:sz w:val="20"/>
          <w:szCs w:val="22"/>
        </w:rPr>
        <w:t>3</w:t>
      </w:r>
      <w:r w:rsidR="00973506" w:rsidRPr="00176BA0">
        <w:rPr>
          <w:snapToGrid w:val="0"/>
          <w:sz w:val="20"/>
          <w:szCs w:val="22"/>
        </w:rPr>
        <w:t xml:space="preserve"> y 20</w:t>
      </w:r>
      <w:r w:rsidR="002555C0" w:rsidRPr="00176BA0">
        <w:rPr>
          <w:snapToGrid w:val="0"/>
          <w:sz w:val="20"/>
          <w:szCs w:val="22"/>
        </w:rPr>
        <w:t>2</w:t>
      </w:r>
      <w:r w:rsidR="00E612CB">
        <w:rPr>
          <w:snapToGrid w:val="0"/>
          <w:sz w:val="20"/>
          <w:szCs w:val="22"/>
        </w:rPr>
        <w:t>2</w:t>
      </w:r>
      <w:r w:rsidRPr="00176BA0">
        <w:rPr>
          <w:snapToGrid w:val="0"/>
          <w:sz w:val="20"/>
          <w:szCs w:val="22"/>
        </w:rPr>
        <w:t>, es el siguiente:</w:t>
      </w:r>
    </w:p>
    <w:tbl>
      <w:tblPr>
        <w:tblW w:w="5000" w:type="pct"/>
        <w:jc w:val="center"/>
        <w:tblCellMar>
          <w:left w:w="70" w:type="dxa"/>
          <w:right w:w="70" w:type="dxa"/>
        </w:tblCellMar>
        <w:tblLook w:val="04A0" w:firstRow="1" w:lastRow="0" w:firstColumn="1" w:lastColumn="0" w:noHBand="0" w:noVBand="1"/>
      </w:tblPr>
      <w:tblGrid>
        <w:gridCol w:w="5228"/>
        <w:gridCol w:w="1776"/>
        <w:gridCol w:w="1777"/>
      </w:tblGrid>
      <w:tr w:rsidR="00395ADC" w:rsidRPr="00954AA6" w14:paraId="5355FE0C" w14:textId="77777777" w:rsidTr="006B56B4">
        <w:trPr>
          <w:trHeight w:val="227"/>
          <w:jc w:val="center"/>
        </w:trPr>
        <w:tc>
          <w:tcPr>
            <w:tcW w:w="2977" w:type="pct"/>
            <w:tcBorders>
              <w:top w:val="single" w:sz="4" w:space="0" w:color="auto"/>
              <w:left w:val="nil"/>
              <w:bottom w:val="nil"/>
              <w:right w:val="nil"/>
            </w:tcBorders>
            <w:shd w:val="clear" w:color="auto" w:fill="auto"/>
            <w:vAlign w:val="center"/>
            <w:hideMark/>
          </w:tcPr>
          <w:p w14:paraId="11A50B1A" w14:textId="77777777" w:rsidR="00395ADC" w:rsidRPr="00954AA6" w:rsidRDefault="00395ADC" w:rsidP="00954AA6">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2023" w:type="pct"/>
            <w:gridSpan w:val="2"/>
            <w:tcBorders>
              <w:top w:val="single" w:sz="4" w:space="0" w:color="auto"/>
              <w:left w:val="nil"/>
              <w:bottom w:val="single" w:sz="4" w:space="0" w:color="auto"/>
              <w:right w:val="nil"/>
            </w:tcBorders>
            <w:shd w:val="clear" w:color="auto" w:fill="auto"/>
            <w:vAlign w:val="bottom"/>
            <w:hideMark/>
          </w:tcPr>
          <w:p w14:paraId="03A7B1A0" w14:textId="77777777" w:rsidR="00395ADC" w:rsidRPr="00954AA6" w:rsidRDefault="00395ADC" w:rsidP="00395AD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6B56B4" w:rsidRPr="00954AA6" w14:paraId="02808F67" w14:textId="77777777" w:rsidTr="007B2046">
        <w:trPr>
          <w:trHeight w:val="227"/>
          <w:jc w:val="center"/>
        </w:trPr>
        <w:tc>
          <w:tcPr>
            <w:tcW w:w="2977" w:type="pct"/>
            <w:tcBorders>
              <w:top w:val="nil"/>
              <w:left w:val="nil"/>
              <w:bottom w:val="single" w:sz="4" w:space="0" w:color="auto"/>
              <w:right w:val="nil"/>
            </w:tcBorders>
            <w:shd w:val="clear" w:color="auto" w:fill="auto"/>
            <w:vAlign w:val="center"/>
            <w:hideMark/>
          </w:tcPr>
          <w:p w14:paraId="24FFF1AC" w14:textId="77777777" w:rsidR="006B56B4" w:rsidRPr="00954AA6" w:rsidRDefault="006B56B4" w:rsidP="006B56B4">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1011" w:type="pct"/>
            <w:tcBorders>
              <w:top w:val="nil"/>
              <w:left w:val="nil"/>
              <w:bottom w:val="single" w:sz="4" w:space="0" w:color="auto"/>
              <w:right w:val="nil"/>
            </w:tcBorders>
            <w:shd w:val="clear" w:color="auto" w:fill="auto"/>
            <w:vAlign w:val="bottom"/>
            <w:hideMark/>
          </w:tcPr>
          <w:p w14:paraId="09E708C3" w14:textId="430B4E15" w:rsidR="006B56B4" w:rsidRPr="00954AA6" w:rsidRDefault="006B56B4" w:rsidP="006B56B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E612CB">
              <w:rPr>
                <w:rFonts w:eastAsia="Times New Roman"/>
                <w:b/>
                <w:bCs/>
                <w:sz w:val="18"/>
                <w:szCs w:val="18"/>
                <w:bdr w:val="none" w:sz="0" w:space="0" w:color="auto"/>
                <w:lang w:eastAsia="es-ES"/>
              </w:rPr>
              <w:t>3</w:t>
            </w:r>
          </w:p>
        </w:tc>
        <w:tc>
          <w:tcPr>
            <w:tcW w:w="1012" w:type="pct"/>
            <w:tcBorders>
              <w:top w:val="nil"/>
              <w:left w:val="nil"/>
              <w:bottom w:val="single" w:sz="4" w:space="0" w:color="auto"/>
              <w:right w:val="nil"/>
            </w:tcBorders>
            <w:shd w:val="clear" w:color="auto" w:fill="auto"/>
            <w:vAlign w:val="bottom"/>
            <w:hideMark/>
          </w:tcPr>
          <w:p w14:paraId="7F47D9EF" w14:textId="1C51E3AD" w:rsidR="006B56B4" w:rsidRPr="00954AA6" w:rsidRDefault="006B56B4" w:rsidP="006B56B4">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E612CB">
              <w:rPr>
                <w:rFonts w:eastAsia="Times New Roman"/>
                <w:b/>
                <w:bCs/>
                <w:sz w:val="18"/>
                <w:szCs w:val="18"/>
                <w:bdr w:val="none" w:sz="0" w:space="0" w:color="auto"/>
                <w:lang w:eastAsia="es-ES"/>
              </w:rPr>
              <w:t>2</w:t>
            </w:r>
          </w:p>
        </w:tc>
      </w:tr>
      <w:tr w:rsidR="006B56B4" w:rsidRPr="00954AA6" w14:paraId="0F89627B" w14:textId="77777777" w:rsidTr="007B2046">
        <w:trPr>
          <w:trHeight w:val="283"/>
          <w:jc w:val="center"/>
        </w:trPr>
        <w:tc>
          <w:tcPr>
            <w:tcW w:w="2977" w:type="pct"/>
            <w:tcBorders>
              <w:top w:val="nil"/>
              <w:left w:val="nil"/>
              <w:bottom w:val="nil"/>
              <w:right w:val="nil"/>
            </w:tcBorders>
            <w:shd w:val="clear" w:color="auto" w:fill="auto"/>
            <w:vAlign w:val="center"/>
            <w:hideMark/>
          </w:tcPr>
          <w:p w14:paraId="190A1359" w14:textId="77777777" w:rsidR="006B56B4" w:rsidRPr="00954AA6" w:rsidRDefault="006B56B4" w:rsidP="006B56B4">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Otros gastos de explotación</w:t>
            </w:r>
          </w:p>
        </w:tc>
        <w:tc>
          <w:tcPr>
            <w:tcW w:w="1011" w:type="pct"/>
            <w:tcBorders>
              <w:top w:val="nil"/>
              <w:left w:val="nil"/>
              <w:bottom w:val="nil"/>
              <w:right w:val="nil"/>
            </w:tcBorders>
            <w:shd w:val="clear" w:color="auto" w:fill="auto"/>
            <w:noWrap/>
            <w:vAlign w:val="center"/>
            <w:hideMark/>
          </w:tcPr>
          <w:p w14:paraId="32950844" w14:textId="77777777" w:rsidR="006B56B4" w:rsidRPr="00954AA6" w:rsidRDefault="006B56B4" w:rsidP="006B56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c>
          <w:tcPr>
            <w:tcW w:w="1012" w:type="pct"/>
            <w:tcBorders>
              <w:top w:val="nil"/>
              <w:left w:val="nil"/>
              <w:bottom w:val="nil"/>
              <w:right w:val="nil"/>
            </w:tcBorders>
            <w:shd w:val="clear" w:color="auto" w:fill="auto"/>
            <w:vAlign w:val="center"/>
            <w:hideMark/>
          </w:tcPr>
          <w:p w14:paraId="1A6AD566" w14:textId="77777777" w:rsidR="006B56B4" w:rsidRPr="00954AA6" w:rsidRDefault="006B56B4" w:rsidP="006B56B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E612CB" w:rsidRPr="00954AA6" w14:paraId="7E92E914" w14:textId="77777777" w:rsidTr="00E40534">
        <w:trPr>
          <w:trHeight w:val="283"/>
          <w:jc w:val="center"/>
        </w:trPr>
        <w:tc>
          <w:tcPr>
            <w:tcW w:w="2977" w:type="pct"/>
            <w:tcBorders>
              <w:top w:val="nil"/>
              <w:left w:val="nil"/>
              <w:bottom w:val="nil"/>
              <w:right w:val="nil"/>
            </w:tcBorders>
            <w:shd w:val="clear" w:color="auto" w:fill="auto"/>
            <w:vAlign w:val="center"/>
            <w:hideMark/>
          </w:tcPr>
          <w:p w14:paraId="2493B38B" w14:textId="0A737E94"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Arrendamientos y cánones</w:t>
            </w:r>
          </w:p>
        </w:tc>
        <w:tc>
          <w:tcPr>
            <w:tcW w:w="1011" w:type="pct"/>
            <w:tcBorders>
              <w:top w:val="nil"/>
              <w:left w:val="nil"/>
              <w:bottom w:val="nil"/>
              <w:right w:val="nil"/>
            </w:tcBorders>
            <w:shd w:val="clear" w:color="auto" w:fill="auto"/>
          </w:tcPr>
          <w:p w14:paraId="515BB170" w14:textId="59CE9407" w:rsidR="00E612CB" w:rsidRPr="00E612CB"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E612CB">
              <w:rPr>
                <w:sz w:val="18"/>
                <w:szCs w:val="18"/>
              </w:rPr>
              <w:t>76.215,62</w:t>
            </w:r>
          </w:p>
        </w:tc>
        <w:tc>
          <w:tcPr>
            <w:tcW w:w="1012" w:type="pct"/>
            <w:tcBorders>
              <w:top w:val="nil"/>
              <w:left w:val="nil"/>
              <w:bottom w:val="nil"/>
              <w:right w:val="nil"/>
            </w:tcBorders>
            <w:shd w:val="clear" w:color="auto" w:fill="auto"/>
            <w:vAlign w:val="center"/>
            <w:hideMark/>
          </w:tcPr>
          <w:p w14:paraId="45B2FCA4" w14:textId="53B6BE7C"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74.904,92</w:t>
            </w:r>
          </w:p>
        </w:tc>
      </w:tr>
      <w:tr w:rsidR="00E612CB" w:rsidRPr="00954AA6" w14:paraId="5E9495C3" w14:textId="77777777" w:rsidTr="00E40534">
        <w:trPr>
          <w:trHeight w:val="283"/>
          <w:jc w:val="center"/>
        </w:trPr>
        <w:tc>
          <w:tcPr>
            <w:tcW w:w="2977" w:type="pct"/>
            <w:tcBorders>
              <w:top w:val="nil"/>
              <w:left w:val="nil"/>
              <w:bottom w:val="nil"/>
              <w:right w:val="nil"/>
            </w:tcBorders>
            <w:shd w:val="clear" w:color="auto" w:fill="auto"/>
            <w:vAlign w:val="center"/>
            <w:hideMark/>
          </w:tcPr>
          <w:p w14:paraId="6504ABBC" w14:textId="21400BA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Reparaciones y conservación</w:t>
            </w:r>
          </w:p>
        </w:tc>
        <w:tc>
          <w:tcPr>
            <w:tcW w:w="1011" w:type="pct"/>
            <w:tcBorders>
              <w:top w:val="nil"/>
              <w:left w:val="nil"/>
              <w:bottom w:val="nil"/>
              <w:right w:val="nil"/>
            </w:tcBorders>
            <w:shd w:val="clear" w:color="auto" w:fill="auto"/>
          </w:tcPr>
          <w:p w14:paraId="7F3D34B8" w14:textId="6511BB50" w:rsidR="00E612CB" w:rsidRPr="00E612CB" w:rsidRDefault="00E612CB" w:rsidP="00E612CB">
            <w:pPr>
              <w:jc w:val="right"/>
              <w:rPr>
                <w:sz w:val="18"/>
                <w:szCs w:val="18"/>
              </w:rPr>
            </w:pPr>
            <w:r w:rsidRPr="00E612CB">
              <w:rPr>
                <w:sz w:val="18"/>
                <w:szCs w:val="18"/>
              </w:rPr>
              <w:t>154.944,23</w:t>
            </w:r>
          </w:p>
        </w:tc>
        <w:tc>
          <w:tcPr>
            <w:tcW w:w="1012" w:type="pct"/>
            <w:tcBorders>
              <w:top w:val="nil"/>
              <w:left w:val="nil"/>
              <w:bottom w:val="nil"/>
              <w:right w:val="nil"/>
            </w:tcBorders>
            <w:shd w:val="clear" w:color="auto" w:fill="auto"/>
            <w:vAlign w:val="center"/>
            <w:hideMark/>
          </w:tcPr>
          <w:p w14:paraId="6A1C667C" w14:textId="07897050"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88.413,77</w:t>
            </w:r>
          </w:p>
        </w:tc>
      </w:tr>
      <w:tr w:rsidR="00E612CB" w:rsidRPr="00954AA6" w14:paraId="0444E788" w14:textId="77777777" w:rsidTr="00E40534">
        <w:trPr>
          <w:trHeight w:val="283"/>
          <w:jc w:val="center"/>
        </w:trPr>
        <w:tc>
          <w:tcPr>
            <w:tcW w:w="2977" w:type="pct"/>
            <w:tcBorders>
              <w:top w:val="nil"/>
              <w:left w:val="nil"/>
              <w:bottom w:val="nil"/>
              <w:right w:val="nil"/>
            </w:tcBorders>
            <w:shd w:val="clear" w:color="auto" w:fill="auto"/>
            <w:vAlign w:val="center"/>
            <w:hideMark/>
          </w:tcPr>
          <w:p w14:paraId="05423734" w14:textId="2A68AB01"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Servicios de profesionales independientes</w:t>
            </w:r>
          </w:p>
        </w:tc>
        <w:tc>
          <w:tcPr>
            <w:tcW w:w="1011" w:type="pct"/>
            <w:tcBorders>
              <w:top w:val="nil"/>
              <w:left w:val="nil"/>
              <w:bottom w:val="nil"/>
              <w:right w:val="nil"/>
            </w:tcBorders>
            <w:shd w:val="clear" w:color="auto" w:fill="auto"/>
          </w:tcPr>
          <w:p w14:paraId="584C85CE" w14:textId="744BE60B" w:rsidR="00E612CB" w:rsidRPr="00E612CB" w:rsidRDefault="00E612CB" w:rsidP="00E612CB">
            <w:pPr>
              <w:jc w:val="right"/>
              <w:rPr>
                <w:sz w:val="18"/>
                <w:szCs w:val="18"/>
              </w:rPr>
            </w:pPr>
            <w:r w:rsidRPr="00E612CB">
              <w:rPr>
                <w:sz w:val="18"/>
                <w:szCs w:val="18"/>
              </w:rPr>
              <w:t>23.158,65</w:t>
            </w:r>
          </w:p>
        </w:tc>
        <w:tc>
          <w:tcPr>
            <w:tcW w:w="1012" w:type="pct"/>
            <w:tcBorders>
              <w:top w:val="nil"/>
              <w:left w:val="nil"/>
              <w:bottom w:val="nil"/>
              <w:right w:val="nil"/>
            </w:tcBorders>
            <w:shd w:val="clear" w:color="auto" w:fill="auto"/>
            <w:vAlign w:val="center"/>
            <w:hideMark/>
          </w:tcPr>
          <w:p w14:paraId="0AB6075B" w14:textId="0ECFAB73"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10.109,00</w:t>
            </w:r>
          </w:p>
        </w:tc>
      </w:tr>
      <w:tr w:rsidR="00E612CB" w:rsidRPr="00954AA6" w14:paraId="3331DC11" w14:textId="77777777" w:rsidTr="00E40534">
        <w:trPr>
          <w:trHeight w:val="283"/>
          <w:jc w:val="center"/>
        </w:trPr>
        <w:tc>
          <w:tcPr>
            <w:tcW w:w="2977" w:type="pct"/>
            <w:tcBorders>
              <w:top w:val="nil"/>
              <w:left w:val="nil"/>
              <w:bottom w:val="nil"/>
              <w:right w:val="nil"/>
            </w:tcBorders>
            <w:shd w:val="clear" w:color="auto" w:fill="auto"/>
            <w:vAlign w:val="center"/>
            <w:hideMark/>
          </w:tcPr>
          <w:p w14:paraId="62730C18" w14:textId="7EF0FC79"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Primas de seguros</w:t>
            </w:r>
          </w:p>
        </w:tc>
        <w:tc>
          <w:tcPr>
            <w:tcW w:w="1011" w:type="pct"/>
            <w:tcBorders>
              <w:top w:val="nil"/>
              <w:left w:val="nil"/>
              <w:bottom w:val="nil"/>
              <w:right w:val="nil"/>
            </w:tcBorders>
            <w:shd w:val="clear" w:color="auto" w:fill="auto"/>
          </w:tcPr>
          <w:p w14:paraId="72A3DDB1" w14:textId="1EC5291D" w:rsidR="00E612CB" w:rsidRPr="00E612CB" w:rsidRDefault="00E612CB" w:rsidP="00E612CB">
            <w:pPr>
              <w:jc w:val="right"/>
              <w:rPr>
                <w:sz w:val="18"/>
                <w:szCs w:val="18"/>
              </w:rPr>
            </w:pPr>
            <w:r w:rsidRPr="00E612CB">
              <w:rPr>
                <w:sz w:val="18"/>
                <w:szCs w:val="18"/>
              </w:rPr>
              <w:t>26.982,63</w:t>
            </w:r>
          </w:p>
        </w:tc>
        <w:tc>
          <w:tcPr>
            <w:tcW w:w="1012" w:type="pct"/>
            <w:tcBorders>
              <w:top w:val="nil"/>
              <w:left w:val="nil"/>
              <w:bottom w:val="nil"/>
              <w:right w:val="nil"/>
            </w:tcBorders>
            <w:shd w:val="clear" w:color="auto" w:fill="auto"/>
            <w:vAlign w:val="center"/>
            <w:hideMark/>
          </w:tcPr>
          <w:p w14:paraId="137CBB80" w14:textId="6BC2BC0B"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20.747,84</w:t>
            </w:r>
          </w:p>
        </w:tc>
      </w:tr>
      <w:tr w:rsidR="00E612CB" w:rsidRPr="00954AA6" w14:paraId="58510369" w14:textId="77777777" w:rsidTr="00E40534">
        <w:trPr>
          <w:trHeight w:val="283"/>
          <w:jc w:val="center"/>
        </w:trPr>
        <w:tc>
          <w:tcPr>
            <w:tcW w:w="2977" w:type="pct"/>
            <w:tcBorders>
              <w:top w:val="nil"/>
              <w:left w:val="nil"/>
              <w:bottom w:val="nil"/>
              <w:right w:val="nil"/>
            </w:tcBorders>
            <w:shd w:val="clear" w:color="auto" w:fill="auto"/>
            <w:vAlign w:val="center"/>
            <w:hideMark/>
          </w:tcPr>
          <w:p w14:paraId="1AD4455B" w14:textId="2B4BE844"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Servicios bancarios y similares</w:t>
            </w:r>
          </w:p>
        </w:tc>
        <w:tc>
          <w:tcPr>
            <w:tcW w:w="1011" w:type="pct"/>
            <w:tcBorders>
              <w:top w:val="nil"/>
              <w:left w:val="nil"/>
              <w:bottom w:val="nil"/>
              <w:right w:val="nil"/>
            </w:tcBorders>
            <w:shd w:val="clear" w:color="auto" w:fill="auto"/>
          </w:tcPr>
          <w:p w14:paraId="5C756AFB" w14:textId="0CC6ED6B" w:rsidR="00E612CB" w:rsidRPr="00E612CB" w:rsidRDefault="00E612CB" w:rsidP="00E612CB">
            <w:pPr>
              <w:jc w:val="right"/>
              <w:rPr>
                <w:sz w:val="18"/>
                <w:szCs w:val="18"/>
              </w:rPr>
            </w:pPr>
            <w:r w:rsidRPr="00E612CB">
              <w:rPr>
                <w:sz w:val="18"/>
                <w:szCs w:val="18"/>
              </w:rPr>
              <w:t>226,85</w:t>
            </w:r>
          </w:p>
        </w:tc>
        <w:tc>
          <w:tcPr>
            <w:tcW w:w="1012" w:type="pct"/>
            <w:tcBorders>
              <w:top w:val="nil"/>
              <w:left w:val="nil"/>
              <w:bottom w:val="nil"/>
              <w:right w:val="nil"/>
            </w:tcBorders>
            <w:shd w:val="clear" w:color="auto" w:fill="auto"/>
            <w:vAlign w:val="center"/>
            <w:hideMark/>
          </w:tcPr>
          <w:p w14:paraId="1F95FE7F" w14:textId="40212742"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40.409,11</w:t>
            </w:r>
          </w:p>
        </w:tc>
      </w:tr>
      <w:tr w:rsidR="00E612CB" w:rsidRPr="00954AA6" w14:paraId="2B50FBBB" w14:textId="77777777" w:rsidTr="00E40534">
        <w:trPr>
          <w:trHeight w:val="283"/>
          <w:jc w:val="center"/>
        </w:trPr>
        <w:tc>
          <w:tcPr>
            <w:tcW w:w="2977" w:type="pct"/>
            <w:tcBorders>
              <w:top w:val="nil"/>
              <w:left w:val="nil"/>
              <w:bottom w:val="nil"/>
              <w:right w:val="nil"/>
            </w:tcBorders>
            <w:shd w:val="clear" w:color="auto" w:fill="auto"/>
            <w:vAlign w:val="center"/>
            <w:hideMark/>
          </w:tcPr>
          <w:p w14:paraId="36FCB29B" w14:textId="7A76A2DC"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Publicidad, propaganda y relaciones públicas</w:t>
            </w:r>
          </w:p>
        </w:tc>
        <w:tc>
          <w:tcPr>
            <w:tcW w:w="1011" w:type="pct"/>
            <w:tcBorders>
              <w:top w:val="nil"/>
              <w:left w:val="nil"/>
              <w:bottom w:val="nil"/>
              <w:right w:val="nil"/>
            </w:tcBorders>
            <w:shd w:val="clear" w:color="auto" w:fill="auto"/>
          </w:tcPr>
          <w:p w14:paraId="175CA786" w14:textId="468ED7F8" w:rsidR="00E612CB" w:rsidRPr="00E612CB" w:rsidRDefault="00E612CB" w:rsidP="00E612CB">
            <w:pPr>
              <w:jc w:val="right"/>
              <w:rPr>
                <w:sz w:val="18"/>
                <w:szCs w:val="18"/>
              </w:rPr>
            </w:pPr>
            <w:r w:rsidRPr="00E612CB">
              <w:rPr>
                <w:sz w:val="18"/>
                <w:szCs w:val="18"/>
              </w:rPr>
              <w:t>1.486,23</w:t>
            </w:r>
          </w:p>
        </w:tc>
        <w:tc>
          <w:tcPr>
            <w:tcW w:w="1012" w:type="pct"/>
            <w:tcBorders>
              <w:top w:val="nil"/>
              <w:left w:val="nil"/>
              <w:bottom w:val="nil"/>
              <w:right w:val="nil"/>
            </w:tcBorders>
            <w:shd w:val="clear" w:color="auto" w:fill="auto"/>
            <w:vAlign w:val="center"/>
            <w:hideMark/>
          </w:tcPr>
          <w:p w14:paraId="58937088" w14:textId="3F244D8A"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404,46</w:t>
            </w:r>
          </w:p>
        </w:tc>
      </w:tr>
      <w:tr w:rsidR="00E612CB" w:rsidRPr="00954AA6" w14:paraId="2DA3CB50" w14:textId="77777777" w:rsidTr="00E40534">
        <w:trPr>
          <w:trHeight w:val="283"/>
          <w:jc w:val="center"/>
        </w:trPr>
        <w:tc>
          <w:tcPr>
            <w:tcW w:w="2977" w:type="pct"/>
            <w:tcBorders>
              <w:top w:val="nil"/>
              <w:left w:val="nil"/>
              <w:bottom w:val="nil"/>
              <w:right w:val="nil"/>
            </w:tcBorders>
            <w:shd w:val="clear" w:color="auto" w:fill="auto"/>
            <w:vAlign w:val="center"/>
            <w:hideMark/>
          </w:tcPr>
          <w:p w14:paraId="5CD6051B" w14:textId="68E3A0E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Suministros</w:t>
            </w:r>
          </w:p>
        </w:tc>
        <w:tc>
          <w:tcPr>
            <w:tcW w:w="1011" w:type="pct"/>
            <w:tcBorders>
              <w:top w:val="nil"/>
              <w:left w:val="nil"/>
              <w:bottom w:val="nil"/>
              <w:right w:val="nil"/>
            </w:tcBorders>
            <w:shd w:val="clear" w:color="auto" w:fill="auto"/>
          </w:tcPr>
          <w:p w14:paraId="198EC44A" w14:textId="7100247A" w:rsidR="00E612CB" w:rsidRPr="00E612CB" w:rsidRDefault="00E612CB" w:rsidP="00E612CB">
            <w:pPr>
              <w:jc w:val="right"/>
              <w:rPr>
                <w:sz w:val="18"/>
                <w:szCs w:val="18"/>
              </w:rPr>
            </w:pPr>
            <w:r w:rsidRPr="00E612CB">
              <w:rPr>
                <w:sz w:val="18"/>
                <w:szCs w:val="18"/>
              </w:rPr>
              <w:t>22.402,07</w:t>
            </w:r>
          </w:p>
        </w:tc>
        <w:tc>
          <w:tcPr>
            <w:tcW w:w="1012" w:type="pct"/>
            <w:tcBorders>
              <w:top w:val="nil"/>
              <w:left w:val="nil"/>
              <w:bottom w:val="nil"/>
              <w:right w:val="nil"/>
            </w:tcBorders>
            <w:shd w:val="clear" w:color="auto" w:fill="auto"/>
            <w:vAlign w:val="center"/>
            <w:hideMark/>
          </w:tcPr>
          <w:p w14:paraId="150CF871" w14:textId="41765CA4"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20.903,70</w:t>
            </w:r>
          </w:p>
        </w:tc>
      </w:tr>
      <w:tr w:rsidR="00E612CB" w:rsidRPr="00954AA6" w14:paraId="4C2B3A70" w14:textId="77777777" w:rsidTr="00E40534">
        <w:trPr>
          <w:trHeight w:val="283"/>
          <w:jc w:val="center"/>
        </w:trPr>
        <w:tc>
          <w:tcPr>
            <w:tcW w:w="2977" w:type="pct"/>
            <w:tcBorders>
              <w:top w:val="nil"/>
              <w:left w:val="nil"/>
              <w:bottom w:val="nil"/>
              <w:right w:val="nil"/>
            </w:tcBorders>
            <w:shd w:val="clear" w:color="auto" w:fill="auto"/>
            <w:vAlign w:val="center"/>
            <w:hideMark/>
          </w:tcPr>
          <w:p w14:paraId="7FBB81BE" w14:textId="53826A41"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Otros servicios</w:t>
            </w:r>
          </w:p>
        </w:tc>
        <w:tc>
          <w:tcPr>
            <w:tcW w:w="1011" w:type="pct"/>
            <w:tcBorders>
              <w:top w:val="nil"/>
              <w:left w:val="nil"/>
              <w:bottom w:val="nil"/>
              <w:right w:val="nil"/>
            </w:tcBorders>
            <w:shd w:val="clear" w:color="auto" w:fill="auto"/>
          </w:tcPr>
          <w:p w14:paraId="576D5361" w14:textId="2D843EED" w:rsidR="00E612CB" w:rsidRPr="00E612CB" w:rsidRDefault="00E612CB" w:rsidP="00E612CB">
            <w:pPr>
              <w:jc w:val="right"/>
              <w:rPr>
                <w:sz w:val="18"/>
                <w:szCs w:val="18"/>
              </w:rPr>
            </w:pPr>
            <w:r w:rsidRPr="00E612CB">
              <w:rPr>
                <w:sz w:val="18"/>
                <w:szCs w:val="18"/>
              </w:rPr>
              <w:t>639.194,46</w:t>
            </w:r>
          </w:p>
        </w:tc>
        <w:tc>
          <w:tcPr>
            <w:tcW w:w="1012" w:type="pct"/>
            <w:tcBorders>
              <w:top w:val="nil"/>
              <w:left w:val="nil"/>
              <w:bottom w:val="nil"/>
              <w:right w:val="nil"/>
            </w:tcBorders>
            <w:shd w:val="clear" w:color="auto" w:fill="auto"/>
            <w:vAlign w:val="center"/>
            <w:hideMark/>
          </w:tcPr>
          <w:p w14:paraId="182485BC" w14:textId="71CEEEC4"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190.317,70</w:t>
            </w:r>
          </w:p>
        </w:tc>
      </w:tr>
      <w:tr w:rsidR="00E612CB" w:rsidRPr="00954AA6" w14:paraId="130350F3" w14:textId="77777777" w:rsidTr="00E40534">
        <w:trPr>
          <w:trHeight w:val="283"/>
          <w:jc w:val="center"/>
        </w:trPr>
        <w:tc>
          <w:tcPr>
            <w:tcW w:w="2977" w:type="pct"/>
            <w:tcBorders>
              <w:top w:val="nil"/>
              <w:left w:val="nil"/>
              <w:bottom w:val="nil"/>
              <w:right w:val="nil"/>
            </w:tcBorders>
            <w:shd w:val="clear" w:color="auto" w:fill="auto"/>
            <w:vAlign w:val="center"/>
            <w:hideMark/>
          </w:tcPr>
          <w:p w14:paraId="316DBCEB" w14:textId="3CB4C531"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Otros tributos</w:t>
            </w:r>
          </w:p>
        </w:tc>
        <w:tc>
          <w:tcPr>
            <w:tcW w:w="1011" w:type="pct"/>
            <w:tcBorders>
              <w:top w:val="nil"/>
              <w:left w:val="nil"/>
              <w:bottom w:val="nil"/>
              <w:right w:val="nil"/>
            </w:tcBorders>
            <w:shd w:val="clear" w:color="auto" w:fill="auto"/>
          </w:tcPr>
          <w:p w14:paraId="59F5623B" w14:textId="456EE56F" w:rsidR="00E612CB" w:rsidRPr="00E612CB" w:rsidRDefault="00E612CB" w:rsidP="00E612CB">
            <w:pPr>
              <w:jc w:val="right"/>
              <w:rPr>
                <w:sz w:val="18"/>
                <w:szCs w:val="18"/>
              </w:rPr>
            </w:pPr>
            <w:r w:rsidRPr="00E612CB">
              <w:rPr>
                <w:sz w:val="18"/>
                <w:szCs w:val="18"/>
              </w:rPr>
              <w:t>9.654,88</w:t>
            </w:r>
          </w:p>
        </w:tc>
        <w:tc>
          <w:tcPr>
            <w:tcW w:w="1012" w:type="pct"/>
            <w:tcBorders>
              <w:top w:val="nil"/>
              <w:left w:val="nil"/>
              <w:bottom w:val="nil"/>
              <w:right w:val="nil"/>
            </w:tcBorders>
            <w:shd w:val="clear" w:color="auto" w:fill="auto"/>
            <w:vAlign w:val="center"/>
            <w:hideMark/>
          </w:tcPr>
          <w:p w14:paraId="35C649A0" w14:textId="7303F3FB"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8.237,21</w:t>
            </w:r>
          </w:p>
        </w:tc>
      </w:tr>
      <w:tr w:rsidR="00E612CB" w:rsidRPr="00954AA6" w14:paraId="044FA626" w14:textId="77777777" w:rsidTr="00E40534">
        <w:trPr>
          <w:trHeight w:val="283"/>
          <w:jc w:val="center"/>
        </w:trPr>
        <w:tc>
          <w:tcPr>
            <w:tcW w:w="2977" w:type="pct"/>
            <w:tcBorders>
              <w:top w:val="nil"/>
              <w:left w:val="nil"/>
              <w:bottom w:val="nil"/>
              <w:right w:val="nil"/>
            </w:tcBorders>
            <w:shd w:val="clear" w:color="auto" w:fill="auto"/>
            <w:vAlign w:val="center"/>
          </w:tcPr>
          <w:p w14:paraId="67C7F9BC" w14:textId="27184F63"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Pr>
                <w:sz w:val="18"/>
                <w:szCs w:val="18"/>
              </w:rPr>
              <w:t>Pérdidas de créditos comerciales incobrables (Nota 8.1.a)</w:t>
            </w:r>
          </w:p>
        </w:tc>
        <w:tc>
          <w:tcPr>
            <w:tcW w:w="1011" w:type="pct"/>
            <w:tcBorders>
              <w:top w:val="nil"/>
              <w:left w:val="nil"/>
              <w:bottom w:val="nil"/>
              <w:right w:val="nil"/>
            </w:tcBorders>
            <w:shd w:val="clear" w:color="auto" w:fill="auto"/>
          </w:tcPr>
          <w:p w14:paraId="7DC48FE3" w14:textId="4A64BD46" w:rsidR="00E612CB" w:rsidRPr="00E612CB" w:rsidRDefault="00E612CB" w:rsidP="00E612CB">
            <w:pPr>
              <w:jc w:val="right"/>
              <w:rPr>
                <w:sz w:val="18"/>
                <w:szCs w:val="18"/>
              </w:rPr>
            </w:pPr>
            <w:r w:rsidRPr="00E612CB">
              <w:rPr>
                <w:sz w:val="18"/>
                <w:szCs w:val="18"/>
              </w:rPr>
              <w:t>-</w:t>
            </w:r>
          </w:p>
        </w:tc>
        <w:tc>
          <w:tcPr>
            <w:tcW w:w="1012" w:type="pct"/>
            <w:tcBorders>
              <w:top w:val="nil"/>
              <w:left w:val="nil"/>
              <w:bottom w:val="nil"/>
              <w:right w:val="nil"/>
            </w:tcBorders>
            <w:shd w:val="clear" w:color="auto" w:fill="auto"/>
            <w:vAlign w:val="center"/>
          </w:tcPr>
          <w:p w14:paraId="78D0FB8F" w14:textId="0111CC8C"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8"/>
                <w:szCs w:val="18"/>
              </w:rPr>
            </w:pPr>
            <w:r>
              <w:rPr>
                <w:sz w:val="18"/>
                <w:szCs w:val="18"/>
              </w:rPr>
              <w:t>6.688,09</w:t>
            </w:r>
          </w:p>
        </w:tc>
      </w:tr>
      <w:tr w:rsidR="00E612CB" w:rsidRPr="00954AA6" w14:paraId="7C015854" w14:textId="77777777" w:rsidTr="007B2046">
        <w:trPr>
          <w:trHeight w:val="283"/>
          <w:jc w:val="center"/>
        </w:trPr>
        <w:tc>
          <w:tcPr>
            <w:tcW w:w="2977" w:type="pct"/>
            <w:tcBorders>
              <w:top w:val="single" w:sz="4" w:space="0" w:color="auto"/>
              <w:left w:val="nil"/>
              <w:bottom w:val="single" w:sz="4" w:space="0" w:color="auto"/>
              <w:right w:val="nil"/>
            </w:tcBorders>
            <w:shd w:val="clear" w:color="auto" w:fill="auto"/>
            <w:vAlign w:val="center"/>
            <w:hideMark/>
          </w:tcPr>
          <w:p w14:paraId="01453B3F"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1011" w:type="pct"/>
            <w:tcBorders>
              <w:top w:val="single" w:sz="4" w:space="0" w:color="auto"/>
              <w:left w:val="nil"/>
              <w:bottom w:val="single" w:sz="4" w:space="0" w:color="auto"/>
              <w:right w:val="nil"/>
            </w:tcBorders>
            <w:shd w:val="clear" w:color="auto" w:fill="auto"/>
            <w:vAlign w:val="center"/>
          </w:tcPr>
          <w:p w14:paraId="57FE7F81" w14:textId="07E3C254" w:rsidR="00E612CB" w:rsidRPr="00954AA6" w:rsidRDefault="00E612CB" w:rsidP="00E612CB">
            <w:pPr>
              <w:jc w:val="right"/>
              <w:rPr>
                <w:b/>
                <w:bCs/>
                <w:sz w:val="18"/>
                <w:szCs w:val="18"/>
              </w:rPr>
            </w:pPr>
            <w:r w:rsidRPr="00E612CB">
              <w:rPr>
                <w:b/>
                <w:bCs/>
                <w:sz w:val="18"/>
                <w:szCs w:val="18"/>
              </w:rPr>
              <w:t>954.265,62</w:t>
            </w:r>
          </w:p>
        </w:tc>
        <w:tc>
          <w:tcPr>
            <w:tcW w:w="1012" w:type="pct"/>
            <w:tcBorders>
              <w:top w:val="single" w:sz="4" w:space="0" w:color="auto"/>
              <w:left w:val="nil"/>
              <w:bottom w:val="single" w:sz="4" w:space="0" w:color="auto"/>
              <w:right w:val="nil"/>
            </w:tcBorders>
            <w:shd w:val="clear" w:color="auto" w:fill="auto"/>
            <w:vAlign w:val="center"/>
            <w:hideMark/>
          </w:tcPr>
          <w:p w14:paraId="596E6ABA" w14:textId="23E4A0BF"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461.135,80</w:t>
            </w:r>
          </w:p>
        </w:tc>
      </w:tr>
    </w:tbl>
    <w:p w14:paraId="5AA68AE5" w14:textId="77777777" w:rsidR="006220A2" w:rsidRPr="0083433F" w:rsidRDefault="006220A2">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pacing w:before="200"/>
        <w:ind w:left="0" w:firstLine="0"/>
        <w:outlineLvl w:val="9"/>
        <w:rPr>
          <w:sz w:val="20"/>
          <w:szCs w:val="22"/>
          <w:u w:val="single"/>
        </w:rPr>
      </w:pPr>
      <w:r w:rsidRPr="0083433F">
        <w:rPr>
          <w:sz w:val="20"/>
          <w:szCs w:val="22"/>
          <w:u w:val="single"/>
        </w:rPr>
        <w:t>Resultado financiero</w:t>
      </w:r>
    </w:p>
    <w:p w14:paraId="422B611D" w14:textId="2A4754A2" w:rsidR="006220A2" w:rsidRPr="00176BA0" w:rsidRDefault="0047349F" w:rsidP="00D67C6B">
      <w:pPr>
        <w:widowControl w:val="0"/>
        <w:spacing w:before="120" w:after="120" w:line="260" w:lineRule="exact"/>
        <w:jc w:val="both"/>
        <w:outlineLvl w:val="9"/>
        <w:rPr>
          <w:snapToGrid w:val="0"/>
          <w:sz w:val="20"/>
          <w:szCs w:val="22"/>
        </w:rPr>
      </w:pPr>
      <w:r w:rsidRPr="00176BA0">
        <w:rPr>
          <w:snapToGrid w:val="0"/>
          <w:sz w:val="20"/>
          <w:szCs w:val="22"/>
        </w:rPr>
        <w:t>En el ejercicio 20</w:t>
      </w:r>
      <w:r w:rsidR="00803471" w:rsidRPr="00176BA0">
        <w:rPr>
          <w:snapToGrid w:val="0"/>
          <w:sz w:val="20"/>
          <w:szCs w:val="22"/>
        </w:rPr>
        <w:t>2</w:t>
      </w:r>
      <w:r w:rsidR="00E612CB">
        <w:rPr>
          <w:snapToGrid w:val="0"/>
          <w:sz w:val="20"/>
          <w:szCs w:val="22"/>
        </w:rPr>
        <w:t>3</w:t>
      </w:r>
      <w:r w:rsidR="003240AC">
        <w:rPr>
          <w:snapToGrid w:val="0"/>
          <w:sz w:val="20"/>
          <w:szCs w:val="22"/>
        </w:rPr>
        <w:t xml:space="preserve"> y 202</w:t>
      </w:r>
      <w:r w:rsidR="00E612CB">
        <w:rPr>
          <w:snapToGrid w:val="0"/>
          <w:sz w:val="20"/>
          <w:szCs w:val="22"/>
        </w:rPr>
        <w:t>2</w:t>
      </w:r>
      <w:r w:rsidR="0097484D" w:rsidRPr="00176BA0">
        <w:rPr>
          <w:snapToGrid w:val="0"/>
          <w:sz w:val="20"/>
          <w:szCs w:val="22"/>
        </w:rPr>
        <w:t xml:space="preserve"> </w:t>
      </w:r>
      <w:r w:rsidR="006220A2" w:rsidRPr="00176BA0">
        <w:rPr>
          <w:snapToGrid w:val="0"/>
          <w:sz w:val="20"/>
          <w:szCs w:val="22"/>
        </w:rPr>
        <w:t xml:space="preserve">las cuentas corrientes contratadas por la Sociedad </w:t>
      </w:r>
      <w:r w:rsidR="0097484D" w:rsidRPr="00176BA0">
        <w:rPr>
          <w:snapToGrid w:val="0"/>
          <w:sz w:val="20"/>
          <w:szCs w:val="22"/>
        </w:rPr>
        <w:t xml:space="preserve">no han </w:t>
      </w:r>
      <w:r w:rsidR="006220A2" w:rsidRPr="00176BA0">
        <w:rPr>
          <w:snapToGrid w:val="0"/>
          <w:sz w:val="20"/>
          <w:szCs w:val="22"/>
        </w:rPr>
        <w:t>genera</w:t>
      </w:r>
      <w:r w:rsidR="0097484D" w:rsidRPr="00176BA0">
        <w:rPr>
          <w:snapToGrid w:val="0"/>
          <w:sz w:val="20"/>
          <w:szCs w:val="22"/>
        </w:rPr>
        <w:t>do</w:t>
      </w:r>
      <w:r w:rsidR="006220A2" w:rsidRPr="00176BA0">
        <w:rPr>
          <w:snapToGrid w:val="0"/>
          <w:sz w:val="20"/>
          <w:szCs w:val="22"/>
        </w:rPr>
        <w:t xml:space="preserve"> </w:t>
      </w:r>
      <w:r w:rsidR="004161BD" w:rsidRPr="00176BA0">
        <w:rPr>
          <w:snapToGrid w:val="0"/>
          <w:sz w:val="20"/>
          <w:szCs w:val="22"/>
        </w:rPr>
        <w:t xml:space="preserve">ingresos por </w:t>
      </w:r>
      <w:r w:rsidR="0097484D" w:rsidRPr="00176BA0">
        <w:rPr>
          <w:snapToGrid w:val="0"/>
          <w:sz w:val="20"/>
          <w:szCs w:val="22"/>
        </w:rPr>
        <w:t>intereses</w:t>
      </w:r>
      <w:r w:rsidR="006220A2" w:rsidRPr="00176BA0">
        <w:rPr>
          <w:snapToGrid w:val="0"/>
          <w:sz w:val="20"/>
          <w:szCs w:val="22"/>
        </w:rPr>
        <w:t>.</w:t>
      </w:r>
    </w:p>
    <w:tbl>
      <w:tblPr>
        <w:tblW w:w="5000" w:type="pct"/>
        <w:jc w:val="center"/>
        <w:tblCellMar>
          <w:left w:w="70" w:type="dxa"/>
          <w:right w:w="70" w:type="dxa"/>
        </w:tblCellMar>
        <w:tblLook w:val="04A0" w:firstRow="1" w:lastRow="0" w:firstColumn="1" w:lastColumn="0" w:noHBand="0" w:noVBand="1"/>
      </w:tblPr>
      <w:tblGrid>
        <w:gridCol w:w="5313"/>
        <w:gridCol w:w="1735"/>
        <w:gridCol w:w="1733"/>
      </w:tblGrid>
      <w:tr w:rsidR="00803471" w:rsidRPr="00954AA6" w14:paraId="46AFF319" w14:textId="77777777" w:rsidTr="00954AA6">
        <w:trPr>
          <w:trHeight w:val="227"/>
          <w:jc w:val="center"/>
        </w:trPr>
        <w:tc>
          <w:tcPr>
            <w:tcW w:w="3025" w:type="pct"/>
            <w:tcBorders>
              <w:top w:val="single" w:sz="4" w:space="0" w:color="auto"/>
              <w:left w:val="nil"/>
              <w:bottom w:val="nil"/>
              <w:right w:val="nil"/>
            </w:tcBorders>
            <w:shd w:val="clear" w:color="auto" w:fill="auto"/>
            <w:noWrap/>
            <w:vAlign w:val="bottom"/>
            <w:hideMark/>
          </w:tcPr>
          <w:p w14:paraId="15395AEC" w14:textId="77777777" w:rsidR="00803471" w:rsidRPr="00954AA6" w:rsidRDefault="00803471" w:rsidP="00954AA6">
            <w:pPr>
              <w:pBdr>
                <w:top w:val="none" w:sz="0" w:space="0" w:color="auto"/>
                <w:left w:val="none" w:sz="0" w:space="0" w:color="auto"/>
                <w:bottom w:val="none" w:sz="0" w:space="0" w:color="auto"/>
                <w:right w:val="none" w:sz="0" w:space="0" w:color="auto"/>
                <w:between w:val="none" w:sz="0" w:space="0" w:color="auto"/>
                <w:bar w:val="none" w:sz="0" w:color="auto"/>
              </w:pBdr>
              <w:ind w:left="209"/>
              <w:jc w:val="center"/>
              <w:outlineLvl w:val="9"/>
              <w:rPr>
                <w:rFonts w:ascii="Times New Roman" w:eastAsia="Times New Roman" w:hAnsi="Times New Roman" w:cs="Times New Roman"/>
                <w:color w:val="auto"/>
                <w:sz w:val="18"/>
                <w:szCs w:val="18"/>
                <w:bdr w:val="none" w:sz="0" w:space="0" w:color="auto"/>
                <w:lang w:eastAsia="es-ES"/>
              </w:rPr>
            </w:pPr>
          </w:p>
        </w:tc>
        <w:tc>
          <w:tcPr>
            <w:tcW w:w="1975" w:type="pct"/>
            <w:gridSpan w:val="2"/>
            <w:tcBorders>
              <w:top w:val="single" w:sz="4" w:space="0" w:color="auto"/>
              <w:left w:val="nil"/>
              <w:bottom w:val="single" w:sz="4" w:space="0" w:color="auto"/>
              <w:right w:val="nil"/>
            </w:tcBorders>
            <w:shd w:val="clear" w:color="auto" w:fill="auto"/>
            <w:noWrap/>
            <w:vAlign w:val="bottom"/>
            <w:hideMark/>
          </w:tcPr>
          <w:p w14:paraId="5461CADA" w14:textId="77777777" w:rsidR="00803471" w:rsidRPr="00954AA6" w:rsidRDefault="00803471" w:rsidP="0025368E">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A700C7" w:rsidRPr="00954AA6" w14:paraId="04ABFE75" w14:textId="77777777" w:rsidTr="00A700C7">
        <w:trPr>
          <w:trHeight w:val="227"/>
          <w:jc w:val="center"/>
        </w:trPr>
        <w:tc>
          <w:tcPr>
            <w:tcW w:w="3025" w:type="pct"/>
            <w:tcBorders>
              <w:top w:val="nil"/>
              <w:left w:val="nil"/>
              <w:bottom w:val="single" w:sz="4" w:space="0" w:color="auto"/>
              <w:right w:val="nil"/>
            </w:tcBorders>
            <w:shd w:val="clear" w:color="auto" w:fill="auto"/>
            <w:noWrap/>
            <w:vAlign w:val="bottom"/>
            <w:hideMark/>
          </w:tcPr>
          <w:p w14:paraId="670DE11E" w14:textId="77777777"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ind w:left="209"/>
              <w:jc w:val="center"/>
              <w:outlineLvl w:val="9"/>
              <w:rPr>
                <w:rFonts w:eastAsia="Times New Roman"/>
                <w:sz w:val="18"/>
                <w:szCs w:val="18"/>
                <w:bdr w:val="none" w:sz="0" w:space="0" w:color="auto"/>
                <w:lang w:eastAsia="es-ES"/>
              </w:rPr>
            </w:pPr>
          </w:p>
        </w:tc>
        <w:tc>
          <w:tcPr>
            <w:tcW w:w="988" w:type="pct"/>
            <w:tcBorders>
              <w:top w:val="nil"/>
              <w:left w:val="nil"/>
              <w:bottom w:val="single" w:sz="4" w:space="0" w:color="auto"/>
              <w:right w:val="nil"/>
            </w:tcBorders>
            <w:shd w:val="clear" w:color="auto" w:fill="auto"/>
            <w:noWrap/>
            <w:vAlign w:val="bottom"/>
            <w:hideMark/>
          </w:tcPr>
          <w:p w14:paraId="1A823057" w14:textId="764D8677"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E612CB">
              <w:rPr>
                <w:rFonts w:eastAsia="Times New Roman"/>
                <w:b/>
                <w:bCs/>
                <w:sz w:val="18"/>
                <w:szCs w:val="18"/>
                <w:bdr w:val="none" w:sz="0" w:space="0" w:color="auto"/>
                <w:lang w:eastAsia="es-ES"/>
              </w:rPr>
              <w:t>3</w:t>
            </w:r>
          </w:p>
        </w:tc>
        <w:tc>
          <w:tcPr>
            <w:tcW w:w="987" w:type="pct"/>
            <w:tcBorders>
              <w:top w:val="nil"/>
              <w:left w:val="nil"/>
              <w:bottom w:val="single" w:sz="4" w:space="0" w:color="auto"/>
              <w:right w:val="nil"/>
            </w:tcBorders>
            <w:shd w:val="clear" w:color="auto" w:fill="auto"/>
            <w:noWrap/>
            <w:vAlign w:val="bottom"/>
            <w:hideMark/>
          </w:tcPr>
          <w:p w14:paraId="0F85376D" w14:textId="7D9A77D0"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E612CB">
              <w:rPr>
                <w:rFonts w:eastAsia="Times New Roman"/>
                <w:b/>
                <w:bCs/>
                <w:sz w:val="18"/>
                <w:szCs w:val="18"/>
                <w:bdr w:val="none" w:sz="0" w:space="0" w:color="auto"/>
                <w:lang w:eastAsia="es-ES"/>
              </w:rPr>
              <w:t>2</w:t>
            </w:r>
          </w:p>
        </w:tc>
      </w:tr>
      <w:tr w:rsidR="00A700C7" w:rsidRPr="00954AA6" w14:paraId="09282E8A" w14:textId="77777777" w:rsidTr="00A700C7">
        <w:trPr>
          <w:trHeight w:val="283"/>
          <w:jc w:val="center"/>
        </w:trPr>
        <w:tc>
          <w:tcPr>
            <w:tcW w:w="3025" w:type="pct"/>
            <w:tcBorders>
              <w:top w:val="nil"/>
              <w:left w:val="nil"/>
              <w:bottom w:val="nil"/>
              <w:right w:val="nil"/>
            </w:tcBorders>
            <w:shd w:val="clear" w:color="auto" w:fill="auto"/>
            <w:noWrap/>
            <w:vAlign w:val="center"/>
            <w:hideMark/>
          </w:tcPr>
          <w:p w14:paraId="554D8846" w14:textId="77777777"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Ingresos financieros:</w:t>
            </w:r>
          </w:p>
        </w:tc>
        <w:tc>
          <w:tcPr>
            <w:tcW w:w="988" w:type="pct"/>
            <w:tcBorders>
              <w:top w:val="nil"/>
              <w:left w:val="nil"/>
              <w:bottom w:val="nil"/>
              <w:right w:val="nil"/>
            </w:tcBorders>
            <w:shd w:val="clear" w:color="auto" w:fill="auto"/>
            <w:noWrap/>
            <w:vAlign w:val="center"/>
            <w:hideMark/>
          </w:tcPr>
          <w:p w14:paraId="1A71C0FF" w14:textId="77777777"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87" w:type="pct"/>
            <w:tcBorders>
              <w:top w:val="nil"/>
              <w:left w:val="nil"/>
              <w:bottom w:val="nil"/>
              <w:right w:val="nil"/>
            </w:tcBorders>
            <w:shd w:val="clear" w:color="auto" w:fill="auto"/>
            <w:noWrap/>
            <w:vAlign w:val="center"/>
            <w:hideMark/>
          </w:tcPr>
          <w:p w14:paraId="1905A8C4" w14:textId="77777777"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A700C7" w:rsidRPr="00954AA6" w14:paraId="0D33B24D" w14:textId="77777777" w:rsidTr="00A700C7">
        <w:trPr>
          <w:trHeight w:val="283"/>
          <w:jc w:val="center"/>
        </w:trPr>
        <w:tc>
          <w:tcPr>
            <w:tcW w:w="3025" w:type="pct"/>
            <w:tcBorders>
              <w:top w:val="nil"/>
              <w:left w:val="nil"/>
              <w:bottom w:val="nil"/>
              <w:right w:val="nil"/>
            </w:tcBorders>
            <w:shd w:val="clear" w:color="auto" w:fill="auto"/>
            <w:noWrap/>
            <w:vAlign w:val="center"/>
          </w:tcPr>
          <w:p w14:paraId="16B99285" w14:textId="5559DE85"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sz w:val="18"/>
                <w:szCs w:val="18"/>
                <w:bdr w:val="none" w:sz="0" w:space="0" w:color="auto"/>
                <w:lang w:eastAsia="es-ES"/>
              </w:rPr>
              <w:t>De valores negociables y otros instrumentos</w:t>
            </w:r>
            <w:r>
              <w:rPr>
                <w:rFonts w:eastAsia="Times New Roman"/>
                <w:sz w:val="18"/>
                <w:szCs w:val="18"/>
                <w:bdr w:val="none" w:sz="0" w:space="0" w:color="auto"/>
                <w:lang w:eastAsia="es-ES"/>
              </w:rPr>
              <w:t xml:space="preserve"> </w:t>
            </w:r>
            <w:r w:rsidRPr="00954AA6">
              <w:rPr>
                <w:rFonts w:eastAsia="Times New Roman"/>
                <w:sz w:val="18"/>
                <w:szCs w:val="18"/>
                <w:bdr w:val="none" w:sz="0" w:space="0" w:color="auto"/>
                <w:lang w:eastAsia="es-ES"/>
              </w:rPr>
              <w:t>financieros</w:t>
            </w:r>
          </w:p>
        </w:tc>
        <w:tc>
          <w:tcPr>
            <w:tcW w:w="988" w:type="pct"/>
            <w:tcBorders>
              <w:top w:val="nil"/>
              <w:left w:val="nil"/>
              <w:bottom w:val="nil"/>
              <w:right w:val="nil"/>
            </w:tcBorders>
            <w:shd w:val="clear" w:color="auto" w:fill="auto"/>
            <w:noWrap/>
            <w:vAlign w:val="center"/>
          </w:tcPr>
          <w:p w14:paraId="6836B6BB" w14:textId="77777777"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p>
        </w:tc>
        <w:tc>
          <w:tcPr>
            <w:tcW w:w="987" w:type="pct"/>
            <w:tcBorders>
              <w:top w:val="nil"/>
              <w:left w:val="nil"/>
              <w:bottom w:val="nil"/>
              <w:right w:val="nil"/>
            </w:tcBorders>
            <w:shd w:val="clear" w:color="auto" w:fill="auto"/>
            <w:noWrap/>
            <w:vAlign w:val="center"/>
          </w:tcPr>
          <w:p w14:paraId="160D098A" w14:textId="77777777" w:rsidR="00A700C7" w:rsidRPr="00954AA6" w:rsidRDefault="00A700C7" w:rsidP="00A700C7">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ascii="Times New Roman" w:eastAsia="Times New Roman" w:hAnsi="Times New Roman" w:cs="Times New Roman"/>
                <w:color w:val="auto"/>
                <w:sz w:val="18"/>
                <w:szCs w:val="18"/>
                <w:bdr w:val="none" w:sz="0" w:space="0" w:color="auto"/>
                <w:lang w:eastAsia="es-ES"/>
              </w:rPr>
            </w:pPr>
          </w:p>
        </w:tc>
      </w:tr>
      <w:tr w:rsidR="00E612CB" w:rsidRPr="00954AA6" w14:paraId="7B0B559E" w14:textId="77777777" w:rsidTr="00A700C7">
        <w:trPr>
          <w:trHeight w:val="283"/>
          <w:jc w:val="center"/>
        </w:trPr>
        <w:tc>
          <w:tcPr>
            <w:tcW w:w="3025" w:type="pct"/>
            <w:tcBorders>
              <w:top w:val="nil"/>
              <w:left w:val="nil"/>
              <w:bottom w:val="nil"/>
              <w:right w:val="nil"/>
            </w:tcBorders>
            <w:shd w:val="clear" w:color="auto" w:fill="auto"/>
            <w:noWrap/>
            <w:vAlign w:val="center"/>
            <w:hideMark/>
          </w:tcPr>
          <w:p w14:paraId="134BEC2C"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De terceros</w:t>
            </w:r>
          </w:p>
        </w:tc>
        <w:tc>
          <w:tcPr>
            <w:tcW w:w="988" w:type="pct"/>
            <w:tcBorders>
              <w:top w:val="nil"/>
              <w:left w:val="nil"/>
              <w:bottom w:val="nil"/>
              <w:right w:val="nil"/>
            </w:tcBorders>
            <w:shd w:val="clear" w:color="auto" w:fill="auto"/>
            <w:noWrap/>
            <w:vAlign w:val="center"/>
          </w:tcPr>
          <w:p w14:paraId="62B0104D" w14:textId="5325D640"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26.725,47</w:t>
            </w:r>
          </w:p>
        </w:tc>
        <w:tc>
          <w:tcPr>
            <w:tcW w:w="987" w:type="pct"/>
            <w:tcBorders>
              <w:top w:val="nil"/>
              <w:left w:val="nil"/>
              <w:bottom w:val="nil"/>
              <w:right w:val="nil"/>
            </w:tcBorders>
            <w:shd w:val="clear" w:color="auto" w:fill="auto"/>
            <w:noWrap/>
            <w:vAlign w:val="center"/>
            <w:hideMark/>
          </w:tcPr>
          <w:p w14:paraId="176E3C48" w14:textId="6DEFA76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sz w:val="18"/>
                <w:szCs w:val="18"/>
              </w:rPr>
              <w:t>-</w:t>
            </w:r>
          </w:p>
        </w:tc>
      </w:tr>
      <w:tr w:rsidR="00E612CB" w:rsidRPr="00954AA6" w14:paraId="33E6906D" w14:textId="77777777" w:rsidTr="00A700C7">
        <w:trPr>
          <w:trHeight w:val="283"/>
          <w:jc w:val="center"/>
        </w:trPr>
        <w:tc>
          <w:tcPr>
            <w:tcW w:w="3025" w:type="pct"/>
            <w:tcBorders>
              <w:top w:val="nil"/>
              <w:left w:val="nil"/>
              <w:bottom w:val="nil"/>
              <w:right w:val="nil"/>
            </w:tcBorders>
            <w:shd w:val="clear" w:color="auto" w:fill="auto"/>
            <w:noWrap/>
            <w:vAlign w:val="center"/>
            <w:hideMark/>
          </w:tcPr>
          <w:p w14:paraId="13E7329D"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Diferencias de cambio</w:t>
            </w:r>
          </w:p>
        </w:tc>
        <w:tc>
          <w:tcPr>
            <w:tcW w:w="988" w:type="pct"/>
            <w:tcBorders>
              <w:top w:val="nil"/>
              <w:left w:val="nil"/>
              <w:bottom w:val="nil"/>
              <w:right w:val="nil"/>
            </w:tcBorders>
            <w:shd w:val="clear" w:color="auto" w:fill="auto"/>
            <w:noWrap/>
            <w:vAlign w:val="center"/>
          </w:tcPr>
          <w:p w14:paraId="278D73CC" w14:textId="400953E8" w:rsidR="00E612CB" w:rsidRPr="00954AA6" w:rsidRDefault="00661E2A"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color w:val="auto"/>
                <w:sz w:val="18"/>
                <w:szCs w:val="18"/>
                <w:bdr w:val="none" w:sz="0" w:space="0" w:color="auto"/>
                <w:lang w:eastAsia="es-ES"/>
              </w:rPr>
            </w:pPr>
            <w:r>
              <w:rPr>
                <w:rFonts w:eastAsia="Times New Roman"/>
                <w:b/>
                <w:color w:val="auto"/>
                <w:sz w:val="18"/>
                <w:szCs w:val="18"/>
                <w:bdr w:val="none" w:sz="0" w:space="0" w:color="auto"/>
                <w:lang w:eastAsia="es-ES"/>
              </w:rPr>
              <w:t>-</w:t>
            </w:r>
          </w:p>
        </w:tc>
        <w:tc>
          <w:tcPr>
            <w:tcW w:w="987" w:type="pct"/>
            <w:tcBorders>
              <w:top w:val="nil"/>
              <w:left w:val="nil"/>
              <w:bottom w:val="nil"/>
              <w:right w:val="nil"/>
            </w:tcBorders>
            <w:shd w:val="clear" w:color="auto" w:fill="auto"/>
            <w:noWrap/>
            <w:vAlign w:val="center"/>
            <w:hideMark/>
          </w:tcPr>
          <w:p w14:paraId="78A02CE0" w14:textId="12B84BE4"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color w:val="auto"/>
                <w:sz w:val="18"/>
                <w:szCs w:val="18"/>
                <w:bdr w:val="none" w:sz="0" w:space="0" w:color="auto"/>
                <w:lang w:eastAsia="es-ES"/>
              </w:rPr>
            </w:pPr>
            <w:r>
              <w:rPr>
                <w:b/>
                <w:bCs/>
                <w:sz w:val="18"/>
                <w:szCs w:val="18"/>
              </w:rPr>
              <w:t>(0,09)</w:t>
            </w:r>
          </w:p>
        </w:tc>
      </w:tr>
      <w:tr w:rsidR="00E612CB" w:rsidRPr="00954AA6" w14:paraId="1E30B8C1" w14:textId="77777777" w:rsidTr="00A700C7">
        <w:trPr>
          <w:trHeight w:val="283"/>
          <w:jc w:val="center"/>
        </w:trPr>
        <w:tc>
          <w:tcPr>
            <w:tcW w:w="3025" w:type="pct"/>
            <w:tcBorders>
              <w:top w:val="single" w:sz="4" w:space="0" w:color="auto"/>
              <w:left w:val="nil"/>
              <w:bottom w:val="single" w:sz="4" w:space="0" w:color="auto"/>
              <w:right w:val="nil"/>
            </w:tcBorders>
            <w:shd w:val="clear" w:color="auto" w:fill="auto"/>
            <w:noWrap/>
            <w:vAlign w:val="center"/>
            <w:hideMark/>
          </w:tcPr>
          <w:p w14:paraId="2F3F7399" w14:textId="7777777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ind w:left="209"/>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Resultado financiero</w:t>
            </w:r>
          </w:p>
        </w:tc>
        <w:tc>
          <w:tcPr>
            <w:tcW w:w="988" w:type="pct"/>
            <w:tcBorders>
              <w:top w:val="single" w:sz="4" w:space="0" w:color="auto"/>
              <w:left w:val="nil"/>
              <w:bottom w:val="single" w:sz="4" w:space="0" w:color="auto"/>
              <w:right w:val="nil"/>
            </w:tcBorders>
            <w:shd w:val="clear" w:color="auto" w:fill="auto"/>
            <w:noWrap/>
            <w:vAlign w:val="center"/>
          </w:tcPr>
          <w:p w14:paraId="304291CB" w14:textId="3B3BE397"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26.725,47</w:t>
            </w:r>
          </w:p>
        </w:tc>
        <w:tc>
          <w:tcPr>
            <w:tcW w:w="987" w:type="pct"/>
            <w:tcBorders>
              <w:top w:val="single" w:sz="4" w:space="0" w:color="auto"/>
              <w:left w:val="nil"/>
              <w:bottom w:val="single" w:sz="4" w:space="0" w:color="auto"/>
              <w:right w:val="nil"/>
            </w:tcBorders>
            <w:shd w:val="clear" w:color="auto" w:fill="auto"/>
            <w:noWrap/>
            <w:vAlign w:val="center"/>
            <w:hideMark/>
          </w:tcPr>
          <w:p w14:paraId="04DFF117" w14:textId="26B4F00E" w:rsidR="00E612CB" w:rsidRPr="00954AA6" w:rsidRDefault="00E612CB" w:rsidP="00E612CB">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Pr>
                <w:b/>
                <w:bCs/>
                <w:sz w:val="18"/>
                <w:szCs w:val="18"/>
              </w:rPr>
              <w:t>(0,09)</w:t>
            </w:r>
          </w:p>
        </w:tc>
      </w:tr>
    </w:tbl>
    <w:p w14:paraId="0D1A95CF" w14:textId="0C833608" w:rsidR="00725815" w:rsidRPr="001B5A15" w:rsidRDefault="00803471" w:rsidP="00D67C6B">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80" w:lineRule="exact"/>
        <w:ind w:left="284" w:hanging="284"/>
        <w:outlineLvl w:val="9"/>
        <w:rPr>
          <w:b/>
          <w:snapToGrid w:val="0"/>
          <w:sz w:val="22"/>
          <w:szCs w:val="22"/>
        </w:rPr>
      </w:pPr>
      <w:r>
        <w:rPr>
          <w:b/>
          <w:snapToGrid w:val="0"/>
          <w:sz w:val="22"/>
          <w:szCs w:val="22"/>
        </w:rPr>
        <w:t xml:space="preserve"> </w:t>
      </w:r>
      <w:r w:rsidR="006220A2" w:rsidRPr="001B5A15">
        <w:rPr>
          <w:b/>
          <w:snapToGrid w:val="0"/>
          <w:sz w:val="22"/>
          <w:szCs w:val="22"/>
        </w:rPr>
        <w:t>Provisiones y contingencias</w:t>
      </w:r>
    </w:p>
    <w:p w14:paraId="4FF1DB3F" w14:textId="2152F7EE" w:rsidR="00954AA6" w:rsidRDefault="006E3FEF" w:rsidP="00D67C6B">
      <w:pPr>
        <w:widowControl w:val="0"/>
        <w:spacing w:before="120" w:line="260" w:lineRule="exact"/>
        <w:jc w:val="both"/>
        <w:outlineLvl w:val="9"/>
        <w:rPr>
          <w:snapToGrid w:val="0"/>
          <w:sz w:val="20"/>
          <w:szCs w:val="22"/>
        </w:rPr>
      </w:pPr>
      <w:r w:rsidRPr="001B5A15">
        <w:rPr>
          <w:snapToGrid w:val="0"/>
          <w:sz w:val="20"/>
          <w:szCs w:val="22"/>
        </w:rPr>
        <w:t xml:space="preserve">En el ejercicio </w:t>
      </w:r>
      <w:r w:rsidR="00784500" w:rsidRPr="001B5A15">
        <w:rPr>
          <w:snapToGrid w:val="0"/>
          <w:sz w:val="20"/>
          <w:szCs w:val="22"/>
        </w:rPr>
        <w:t>20</w:t>
      </w:r>
      <w:r w:rsidR="00803471" w:rsidRPr="001B5A15">
        <w:rPr>
          <w:snapToGrid w:val="0"/>
          <w:sz w:val="20"/>
          <w:szCs w:val="22"/>
        </w:rPr>
        <w:t>2</w:t>
      </w:r>
      <w:r w:rsidR="00E612CB" w:rsidRPr="001B5A15">
        <w:rPr>
          <w:snapToGrid w:val="0"/>
          <w:sz w:val="20"/>
          <w:szCs w:val="22"/>
        </w:rPr>
        <w:t>3</w:t>
      </w:r>
      <w:r w:rsidR="00784500" w:rsidRPr="001B5A15">
        <w:rPr>
          <w:snapToGrid w:val="0"/>
          <w:sz w:val="20"/>
          <w:szCs w:val="22"/>
        </w:rPr>
        <w:t xml:space="preserve"> </w:t>
      </w:r>
      <w:r w:rsidR="003240AC" w:rsidRPr="001B5A15">
        <w:rPr>
          <w:snapToGrid w:val="0"/>
          <w:sz w:val="20"/>
          <w:szCs w:val="22"/>
        </w:rPr>
        <w:t>y 202</w:t>
      </w:r>
      <w:r w:rsidR="00E612CB" w:rsidRPr="001B5A15">
        <w:rPr>
          <w:snapToGrid w:val="0"/>
          <w:sz w:val="20"/>
          <w:szCs w:val="22"/>
        </w:rPr>
        <w:t>2</w:t>
      </w:r>
      <w:r w:rsidR="003240AC" w:rsidRPr="001B5A15">
        <w:rPr>
          <w:snapToGrid w:val="0"/>
          <w:sz w:val="20"/>
          <w:szCs w:val="22"/>
        </w:rPr>
        <w:t xml:space="preserve"> </w:t>
      </w:r>
      <w:r w:rsidR="006220A2" w:rsidRPr="001B5A15">
        <w:rPr>
          <w:snapToGrid w:val="0"/>
          <w:sz w:val="20"/>
          <w:szCs w:val="22"/>
        </w:rPr>
        <w:t xml:space="preserve">la Sociedad no ha registrado </w:t>
      </w:r>
      <w:r w:rsidR="003240AC" w:rsidRPr="001B5A15">
        <w:rPr>
          <w:snapToGrid w:val="0"/>
          <w:sz w:val="20"/>
          <w:szCs w:val="22"/>
        </w:rPr>
        <w:t xml:space="preserve">otras </w:t>
      </w:r>
      <w:r w:rsidR="006220A2" w:rsidRPr="001B5A15">
        <w:rPr>
          <w:snapToGrid w:val="0"/>
          <w:sz w:val="20"/>
          <w:szCs w:val="22"/>
        </w:rPr>
        <w:t xml:space="preserve">provisiones ni </w:t>
      </w:r>
      <w:r w:rsidR="004161BD" w:rsidRPr="001B5A15">
        <w:rPr>
          <w:snapToGrid w:val="0"/>
          <w:sz w:val="20"/>
          <w:szCs w:val="22"/>
        </w:rPr>
        <w:t>contingencias</w:t>
      </w:r>
      <w:r w:rsidR="003240AC" w:rsidRPr="001B5A15">
        <w:rPr>
          <w:snapToGrid w:val="0"/>
          <w:sz w:val="20"/>
          <w:szCs w:val="22"/>
        </w:rPr>
        <w:t xml:space="preserve">, además, de las detalladas en las notas 8.3.a y 11.1.b, </w:t>
      </w:r>
      <w:r w:rsidR="006220A2" w:rsidRPr="001B5A15">
        <w:rPr>
          <w:snapToGrid w:val="0"/>
          <w:sz w:val="20"/>
          <w:szCs w:val="22"/>
        </w:rPr>
        <w:t xml:space="preserve">al no existir </w:t>
      </w:r>
      <w:r w:rsidR="004161BD" w:rsidRPr="001B5A15">
        <w:rPr>
          <w:snapToGrid w:val="0"/>
          <w:sz w:val="20"/>
          <w:szCs w:val="22"/>
        </w:rPr>
        <w:t>circunstancias</w:t>
      </w:r>
      <w:r w:rsidR="006220A2" w:rsidRPr="001B5A15">
        <w:rPr>
          <w:snapToGrid w:val="0"/>
          <w:sz w:val="20"/>
          <w:szCs w:val="22"/>
        </w:rPr>
        <w:t xml:space="preserve"> que motiven su dotación.</w:t>
      </w:r>
    </w:p>
    <w:p w14:paraId="75594525" w14:textId="70ECD64B" w:rsidR="00954AA6" w:rsidRDefault="00954AA6">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p>
    <w:p w14:paraId="48E5FF45" w14:textId="77777777" w:rsidR="003240AC" w:rsidRDefault="003240AC">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p>
    <w:p w14:paraId="22CF383D" w14:textId="3778FBE6" w:rsidR="006220A2" w:rsidRPr="0083433F"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83433F">
        <w:rPr>
          <w:b/>
          <w:snapToGrid w:val="0"/>
          <w:sz w:val="22"/>
          <w:szCs w:val="22"/>
        </w:rPr>
        <w:t xml:space="preserve"> Información sobre medio ambiente</w:t>
      </w:r>
    </w:p>
    <w:p w14:paraId="02AD4AC4" w14:textId="0410DC5D" w:rsidR="00D67C6B" w:rsidRDefault="006220A2" w:rsidP="00D67C6B">
      <w:pPr>
        <w:widowControl w:val="0"/>
        <w:spacing w:before="120" w:line="260" w:lineRule="exact"/>
        <w:jc w:val="both"/>
        <w:outlineLvl w:val="9"/>
        <w:rPr>
          <w:snapToGrid w:val="0"/>
          <w:sz w:val="20"/>
          <w:szCs w:val="22"/>
        </w:rPr>
      </w:pPr>
      <w:r w:rsidRPr="00176BA0">
        <w:rPr>
          <w:snapToGrid w:val="0"/>
          <w:sz w:val="20"/>
          <w:szCs w:val="22"/>
        </w:rPr>
        <w:t>La Sociedad mantiene sus instalaciones constantemente en un estado que permite cumplir con todas las normas referentes al Medio Ambiente. No ha sido necesario incurrir en gastos particulares y tampoco fue necesaria la dotación de provisiones.</w:t>
      </w:r>
    </w:p>
    <w:p w14:paraId="15E28599" w14:textId="77777777" w:rsidR="00D67C6B" w:rsidRDefault="00D67C6B">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42090230" w14:textId="1410EB45" w:rsidR="006220A2" w:rsidRPr="007A7245" w:rsidRDefault="006220A2"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sidRPr="00C15BD4">
        <w:rPr>
          <w:b/>
          <w:snapToGrid w:val="0"/>
          <w:sz w:val="22"/>
          <w:szCs w:val="22"/>
        </w:rPr>
        <w:lastRenderedPageBreak/>
        <w:t xml:space="preserve"> </w:t>
      </w:r>
      <w:r w:rsidRPr="007A7245">
        <w:rPr>
          <w:b/>
          <w:snapToGrid w:val="0"/>
          <w:sz w:val="22"/>
          <w:szCs w:val="22"/>
        </w:rPr>
        <w:t>Subvenciones</w:t>
      </w:r>
    </w:p>
    <w:p w14:paraId="6EA5CBB8" w14:textId="77777777" w:rsidR="006220A2" w:rsidRPr="007A7245" w:rsidRDefault="006220A2" w:rsidP="002B422A">
      <w:pPr>
        <w:keepNext/>
        <w:keepLines/>
        <w:widowControl w:val="0"/>
        <w:spacing w:before="200"/>
        <w:rPr>
          <w:b/>
          <w:sz w:val="20"/>
          <w:szCs w:val="22"/>
        </w:rPr>
      </w:pPr>
      <w:r w:rsidRPr="007A7245">
        <w:rPr>
          <w:b/>
          <w:sz w:val="20"/>
          <w:szCs w:val="22"/>
        </w:rPr>
        <w:t>15.1 Subvenciones de Capital</w:t>
      </w:r>
    </w:p>
    <w:p w14:paraId="69853B57" w14:textId="77777777" w:rsidR="006220A2" w:rsidRPr="007A7245" w:rsidRDefault="006220A2" w:rsidP="00D67C6B">
      <w:pPr>
        <w:widowControl w:val="0"/>
        <w:spacing w:before="120" w:after="120" w:line="260" w:lineRule="exact"/>
        <w:jc w:val="both"/>
        <w:outlineLvl w:val="9"/>
        <w:rPr>
          <w:snapToGrid w:val="0"/>
          <w:sz w:val="20"/>
          <w:szCs w:val="22"/>
        </w:rPr>
      </w:pPr>
      <w:r w:rsidRPr="007A7245">
        <w:rPr>
          <w:snapToGrid w:val="0"/>
          <w:sz w:val="20"/>
          <w:szCs w:val="22"/>
        </w:rPr>
        <w:t>El detalle de las subvenciones de capital no reintegrables que aparecen en el balance bajo el epígrafe “Subvenciones, donaciones y legados recibidos” es el siguiente:</w:t>
      </w:r>
    </w:p>
    <w:tbl>
      <w:tblPr>
        <w:tblW w:w="9356" w:type="dxa"/>
        <w:tblCellMar>
          <w:left w:w="70" w:type="dxa"/>
          <w:right w:w="70" w:type="dxa"/>
        </w:tblCellMar>
        <w:tblLook w:val="04A0" w:firstRow="1" w:lastRow="0" w:firstColumn="1" w:lastColumn="0" w:noHBand="0" w:noVBand="1"/>
      </w:tblPr>
      <w:tblGrid>
        <w:gridCol w:w="1560"/>
        <w:gridCol w:w="1016"/>
        <w:gridCol w:w="1321"/>
        <w:gridCol w:w="1065"/>
        <w:gridCol w:w="3196"/>
        <w:gridCol w:w="1198"/>
      </w:tblGrid>
      <w:tr w:rsidR="006220A2" w:rsidRPr="007A7245" w14:paraId="40A6D090" w14:textId="77777777" w:rsidTr="00D67C6B">
        <w:trPr>
          <w:trHeight w:val="567"/>
        </w:trPr>
        <w:tc>
          <w:tcPr>
            <w:tcW w:w="834" w:type="pct"/>
            <w:tcBorders>
              <w:top w:val="single" w:sz="4" w:space="0" w:color="auto"/>
              <w:left w:val="nil"/>
              <w:bottom w:val="single" w:sz="4" w:space="0" w:color="auto"/>
              <w:right w:val="nil"/>
            </w:tcBorders>
            <w:shd w:val="clear" w:color="auto" w:fill="auto"/>
            <w:vAlign w:val="bottom"/>
            <w:hideMark/>
          </w:tcPr>
          <w:p w14:paraId="37426F38" w14:textId="77777777" w:rsidR="006220A2" w:rsidRPr="007A7245" w:rsidRDefault="006220A2" w:rsidP="002B422A">
            <w:pPr>
              <w:keepNext/>
              <w:keepLines/>
              <w:widowControl w:val="0"/>
              <w:jc w:val="center"/>
              <w:rPr>
                <w:rFonts w:eastAsia="Times New Roman"/>
                <w:b/>
                <w:bCs/>
                <w:sz w:val="16"/>
                <w:szCs w:val="16"/>
              </w:rPr>
            </w:pPr>
            <w:r w:rsidRPr="007A7245">
              <w:rPr>
                <w:rFonts w:eastAsia="Times New Roman"/>
                <w:b/>
                <w:bCs/>
                <w:sz w:val="16"/>
                <w:szCs w:val="16"/>
              </w:rPr>
              <w:t>Entidad concesionaria</w:t>
            </w:r>
          </w:p>
        </w:tc>
        <w:tc>
          <w:tcPr>
            <w:tcW w:w="543" w:type="pct"/>
            <w:tcBorders>
              <w:top w:val="single" w:sz="4" w:space="0" w:color="auto"/>
              <w:left w:val="nil"/>
              <w:bottom w:val="single" w:sz="4" w:space="0" w:color="auto"/>
              <w:right w:val="nil"/>
            </w:tcBorders>
            <w:shd w:val="clear" w:color="auto" w:fill="auto"/>
            <w:vAlign w:val="bottom"/>
            <w:hideMark/>
          </w:tcPr>
          <w:p w14:paraId="0AB17F6E" w14:textId="77777777" w:rsidR="006220A2" w:rsidRPr="007A7245" w:rsidRDefault="006220A2" w:rsidP="002B422A">
            <w:pPr>
              <w:keepNext/>
              <w:keepLines/>
              <w:widowControl w:val="0"/>
              <w:jc w:val="center"/>
              <w:rPr>
                <w:rFonts w:eastAsia="Times New Roman"/>
                <w:b/>
                <w:bCs/>
                <w:sz w:val="16"/>
                <w:szCs w:val="16"/>
              </w:rPr>
            </w:pPr>
            <w:r w:rsidRPr="007A7245">
              <w:rPr>
                <w:rFonts w:eastAsia="Times New Roman"/>
                <w:b/>
                <w:bCs/>
                <w:sz w:val="16"/>
                <w:szCs w:val="16"/>
              </w:rPr>
              <w:t>Importe concedido</w:t>
            </w:r>
          </w:p>
        </w:tc>
        <w:tc>
          <w:tcPr>
            <w:tcW w:w="706" w:type="pct"/>
            <w:tcBorders>
              <w:top w:val="single" w:sz="4" w:space="0" w:color="auto"/>
              <w:left w:val="nil"/>
              <w:bottom w:val="single" w:sz="4" w:space="0" w:color="auto"/>
              <w:right w:val="nil"/>
            </w:tcBorders>
            <w:shd w:val="clear" w:color="auto" w:fill="auto"/>
            <w:vAlign w:val="bottom"/>
            <w:hideMark/>
          </w:tcPr>
          <w:p w14:paraId="56724865" w14:textId="77777777" w:rsidR="006220A2" w:rsidRPr="007A7245" w:rsidRDefault="006220A2" w:rsidP="002B422A">
            <w:pPr>
              <w:keepNext/>
              <w:keepLines/>
              <w:widowControl w:val="0"/>
              <w:jc w:val="center"/>
              <w:rPr>
                <w:rFonts w:eastAsia="Times New Roman"/>
                <w:b/>
                <w:bCs/>
                <w:sz w:val="16"/>
                <w:szCs w:val="16"/>
              </w:rPr>
            </w:pPr>
            <w:r w:rsidRPr="007A7245">
              <w:rPr>
                <w:rFonts w:eastAsia="Times New Roman"/>
                <w:b/>
                <w:bCs/>
                <w:sz w:val="16"/>
                <w:szCs w:val="16"/>
              </w:rPr>
              <w:t>Importe pendiente de traspasar a resultado</w:t>
            </w:r>
          </w:p>
        </w:tc>
        <w:tc>
          <w:tcPr>
            <w:tcW w:w="569" w:type="pct"/>
            <w:tcBorders>
              <w:top w:val="single" w:sz="4" w:space="0" w:color="auto"/>
              <w:left w:val="nil"/>
              <w:bottom w:val="single" w:sz="4" w:space="0" w:color="auto"/>
              <w:right w:val="nil"/>
            </w:tcBorders>
            <w:shd w:val="clear" w:color="auto" w:fill="auto"/>
            <w:vAlign w:val="bottom"/>
            <w:hideMark/>
          </w:tcPr>
          <w:p w14:paraId="795035B0" w14:textId="77777777" w:rsidR="006220A2" w:rsidRPr="007A7245" w:rsidRDefault="006220A2" w:rsidP="002B422A">
            <w:pPr>
              <w:keepNext/>
              <w:keepLines/>
              <w:widowControl w:val="0"/>
              <w:jc w:val="center"/>
              <w:rPr>
                <w:rFonts w:eastAsia="Times New Roman"/>
                <w:b/>
                <w:bCs/>
                <w:sz w:val="16"/>
                <w:szCs w:val="16"/>
              </w:rPr>
            </w:pPr>
            <w:r w:rsidRPr="007A7245">
              <w:rPr>
                <w:rFonts w:eastAsia="Times New Roman"/>
                <w:b/>
                <w:bCs/>
                <w:sz w:val="16"/>
                <w:szCs w:val="16"/>
              </w:rPr>
              <w:t>Pasivo por impuesto diferido</w:t>
            </w:r>
          </w:p>
        </w:tc>
        <w:tc>
          <w:tcPr>
            <w:tcW w:w="1708" w:type="pct"/>
            <w:tcBorders>
              <w:top w:val="single" w:sz="4" w:space="0" w:color="auto"/>
              <w:left w:val="nil"/>
              <w:bottom w:val="single" w:sz="4" w:space="0" w:color="auto"/>
              <w:right w:val="nil"/>
            </w:tcBorders>
            <w:shd w:val="clear" w:color="auto" w:fill="auto"/>
            <w:vAlign w:val="bottom"/>
            <w:hideMark/>
          </w:tcPr>
          <w:p w14:paraId="15288977" w14:textId="77777777" w:rsidR="006220A2" w:rsidRPr="007A7245" w:rsidRDefault="006220A2" w:rsidP="002B422A">
            <w:pPr>
              <w:keepNext/>
              <w:keepLines/>
              <w:widowControl w:val="0"/>
              <w:jc w:val="center"/>
              <w:rPr>
                <w:rFonts w:eastAsia="Times New Roman"/>
                <w:b/>
                <w:bCs/>
                <w:sz w:val="16"/>
                <w:szCs w:val="16"/>
              </w:rPr>
            </w:pPr>
            <w:r w:rsidRPr="007A7245">
              <w:rPr>
                <w:rFonts w:eastAsia="Times New Roman"/>
                <w:b/>
                <w:bCs/>
                <w:sz w:val="16"/>
                <w:szCs w:val="16"/>
              </w:rPr>
              <w:t>Finalidad</w:t>
            </w:r>
          </w:p>
        </w:tc>
        <w:tc>
          <w:tcPr>
            <w:tcW w:w="640" w:type="pct"/>
            <w:tcBorders>
              <w:top w:val="single" w:sz="4" w:space="0" w:color="auto"/>
              <w:left w:val="nil"/>
              <w:bottom w:val="single" w:sz="4" w:space="0" w:color="auto"/>
              <w:right w:val="nil"/>
            </w:tcBorders>
            <w:shd w:val="clear" w:color="auto" w:fill="auto"/>
            <w:vAlign w:val="bottom"/>
            <w:hideMark/>
          </w:tcPr>
          <w:p w14:paraId="4F2E5CB1" w14:textId="77777777" w:rsidR="006220A2" w:rsidRPr="007A7245" w:rsidRDefault="006220A2" w:rsidP="002B422A">
            <w:pPr>
              <w:keepNext/>
              <w:keepLines/>
              <w:widowControl w:val="0"/>
              <w:jc w:val="center"/>
              <w:rPr>
                <w:rFonts w:eastAsia="Times New Roman"/>
                <w:b/>
                <w:bCs/>
                <w:sz w:val="16"/>
                <w:szCs w:val="16"/>
              </w:rPr>
            </w:pPr>
            <w:r w:rsidRPr="007A7245">
              <w:rPr>
                <w:rFonts w:eastAsia="Times New Roman"/>
                <w:b/>
                <w:bCs/>
                <w:sz w:val="16"/>
                <w:szCs w:val="16"/>
              </w:rPr>
              <w:t>Fecha de concesión</w:t>
            </w:r>
          </w:p>
        </w:tc>
      </w:tr>
      <w:tr w:rsidR="007A7245" w:rsidRPr="007A7245" w14:paraId="433AF9D3" w14:textId="77777777" w:rsidTr="00D67C6B">
        <w:trPr>
          <w:trHeight w:val="1417"/>
        </w:trPr>
        <w:tc>
          <w:tcPr>
            <w:tcW w:w="834" w:type="pct"/>
            <w:tcBorders>
              <w:top w:val="nil"/>
              <w:left w:val="nil"/>
              <w:bottom w:val="single" w:sz="4" w:space="0" w:color="auto"/>
              <w:right w:val="nil"/>
            </w:tcBorders>
            <w:shd w:val="clear" w:color="auto" w:fill="auto"/>
            <w:vAlign w:val="center"/>
            <w:hideMark/>
          </w:tcPr>
          <w:p w14:paraId="5A9BEB1E" w14:textId="77777777" w:rsidR="007A7245" w:rsidRPr="007A7245" w:rsidRDefault="007A7245" w:rsidP="007A7245">
            <w:pPr>
              <w:rPr>
                <w:rFonts w:eastAsia="Times New Roman"/>
                <w:sz w:val="16"/>
                <w:szCs w:val="16"/>
              </w:rPr>
            </w:pPr>
            <w:r w:rsidRPr="007A7245">
              <w:rPr>
                <w:rFonts w:eastAsia="Times New Roman"/>
                <w:sz w:val="16"/>
                <w:szCs w:val="16"/>
              </w:rPr>
              <w:t>Consejería de Turismo del Gobierno de Canarias</w:t>
            </w:r>
          </w:p>
        </w:tc>
        <w:tc>
          <w:tcPr>
            <w:tcW w:w="543" w:type="pct"/>
            <w:tcBorders>
              <w:top w:val="nil"/>
              <w:left w:val="nil"/>
              <w:bottom w:val="single" w:sz="4" w:space="0" w:color="auto"/>
              <w:right w:val="nil"/>
            </w:tcBorders>
            <w:shd w:val="clear" w:color="auto" w:fill="auto"/>
            <w:vAlign w:val="center"/>
            <w:hideMark/>
          </w:tcPr>
          <w:p w14:paraId="2A97D0B1" w14:textId="77777777" w:rsidR="007A7245" w:rsidRPr="007A7245" w:rsidRDefault="007A7245" w:rsidP="007A72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82.201,43</w:t>
            </w:r>
          </w:p>
        </w:tc>
        <w:tc>
          <w:tcPr>
            <w:tcW w:w="706" w:type="pct"/>
            <w:tcBorders>
              <w:top w:val="nil"/>
              <w:left w:val="nil"/>
              <w:bottom w:val="single" w:sz="4" w:space="0" w:color="auto"/>
              <w:right w:val="nil"/>
            </w:tcBorders>
            <w:shd w:val="clear" w:color="auto" w:fill="auto"/>
            <w:vAlign w:val="center"/>
            <w:hideMark/>
          </w:tcPr>
          <w:p w14:paraId="1D2DD445" w14:textId="5D42E648" w:rsidR="007A7245" w:rsidRPr="007A7245" w:rsidRDefault="007A7245" w:rsidP="007A7245">
            <w:pPr>
              <w:jc w:val="right"/>
              <w:rPr>
                <w:sz w:val="16"/>
                <w:szCs w:val="16"/>
              </w:rPr>
            </w:pPr>
            <w:r w:rsidRPr="007A7245">
              <w:rPr>
                <w:sz w:val="16"/>
                <w:szCs w:val="16"/>
              </w:rPr>
              <w:t>27.484,34</w:t>
            </w:r>
          </w:p>
        </w:tc>
        <w:tc>
          <w:tcPr>
            <w:tcW w:w="569" w:type="pct"/>
            <w:tcBorders>
              <w:top w:val="nil"/>
              <w:left w:val="nil"/>
              <w:bottom w:val="single" w:sz="4" w:space="0" w:color="auto"/>
              <w:right w:val="nil"/>
            </w:tcBorders>
            <w:shd w:val="clear" w:color="auto" w:fill="auto"/>
            <w:vAlign w:val="center"/>
          </w:tcPr>
          <w:p w14:paraId="023516DD" w14:textId="2FB6CE20" w:rsidR="007A7245" w:rsidRPr="007A7245" w:rsidRDefault="007A7245" w:rsidP="007A7245">
            <w:pPr>
              <w:jc w:val="right"/>
              <w:rPr>
                <w:sz w:val="16"/>
                <w:szCs w:val="16"/>
              </w:rPr>
            </w:pPr>
            <w:r w:rsidRPr="007A7245">
              <w:rPr>
                <w:sz w:val="16"/>
                <w:szCs w:val="16"/>
              </w:rPr>
              <w:t>9.353,44</w:t>
            </w:r>
          </w:p>
        </w:tc>
        <w:tc>
          <w:tcPr>
            <w:tcW w:w="1708" w:type="pct"/>
            <w:tcBorders>
              <w:top w:val="nil"/>
              <w:left w:val="nil"/>
              <w:bottom w:val="single" w:sz="4" w:space="0" w:color="auto"/>
              <w:right w:val="nil"/>
            </w:tcBorders>
            <w:shd w:val="clear" w:color="auto" w:fill="auto"/>
            <w:vAlign w:val="center"/>
            <w:hideMark/>
          </w:tcPr>
          <w:p w14:paraId="49BACDD0" w14:textId="77777777" w:rsidR="007A7245" w:rsidRPr="007A7245" w:rsidRDefault="007A7245" w:rsidP="001B5A15">
            <w:pPr>
              <w:spacing w:before="40" w:after="40"/>
              <w:rPr>
                <w:rFonts w:eastAsia="Times New Roman"/>
                <w:sz w:val="16"/>
                <w:szCs w:val="16"/>
              </w:rPr>
            </w:pPr>
            <w:r w:rsidRPr="007A7245">
              <w:rPr>
                <w:rFonts w:eastAsia="Times New Roman"/>
                <w:sz w:val="16"/>
                <w:szCs w:val="16"/>
              </w:rPr>
              <w:t xml:space="preserve">Dicho importe se corresponde con la contrapartida del Derecho de cesión de uso concedido a la sociedad en el ejercicio 2006 y comentado en la nota 6.a) de la memoria, que al igual que el inmovilizado afecto se aplica al resultado a razón de un 3% anual, importe que corresponde con la amortización de los locales cedidos. </w:t>
            </w:r>
          </w:p>
        </w:tc>
        <w:tc>
          <w:tcPr>
            <w:tcW w:w="640" w:type="pct"/>
            <w:tcBorders>
              <w:top w:val="nil"/>
              <w:left w:val="nil"/>
              <w:bottom w:val="single" w:sz="4" w:space="0" w:color="auto"/>
              <w:right w:val="nil"/>
            </w:tcBorders>
            <w:shd w:val="clear" w:color="auto" w:fill="auto"/>
            <w:vAlign w:val="center"/>
            <w:hideMark/>
          </w:tcPr>
          <w:p w14:paraId="1E7680E1" w14:textId="77777777" w:rsidR="007A7245" w:rsidRPr="007A7245" w:rsidRDefault="007A7245" w:rsidP="007A7245">
            <w:pPr>
              <w:jc w:val="right"/>
              <w:rPr>
                <w:rFonts w:eastAsia="Times New Roman"/>
                <w:sz w:val="16"/>
                <w:szCs w:val="16"/>
              </w:rPr>
            </w:pPr>
            <w:r w:rsidRPr="007A7245">
              <w:rPr>
                <w:rFonts w:eastAsia="Times New Roman"/>
                <w:sz w:val="16"/>
                <w:szCs w:val="16"/>
              </w:rPr>
              <w:t>04/08/2006</w:t>
            </w:r>
          </w:p>
        </w:tc>
      </w:tr>
      <w:tr w:rsidR="007A7245" w:rsidRPr="007A7245" w14:paraId="23CF09CC" w14:textId="77777777" w:rsidTr="00D67C6B">
        <w:trPr>
          <w:trHeight w:val="964"/>
        </w:trPr>
        <w:tc>
          <w:tcPr>
            <w:tcW w:w="834" w:type="pct"/>
            <w:tcBorders>
              <w:top w:val="nil"/>
              <w:left w:val="nil"/>
              <w:bottom w:val="single" w:sz="4" w:space="0" w:color="auto"/>
              <w:right w:val="nil"/>
            </w:tcBorders>
            <w:shd w:val="clear" w:color="auto" w:fill="auto"/>
            <w:vAlign w:val="center"/>
          </w:tcPr>
          <w:p w14:paraId="488EF56F" w14:textId="77777777" w:rsidR="007A7245" w:rsidRPr="007A7245" w:rsidRDefault="007A7245" w:rsidP="007A724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A7245">
              <w:rPr>
                <w:sz w:val="16"/>
                <w:szCs w:val="16"/>
              </w:rPr>
              <w:t>Consejería de Turismo, Industria y Comercio</w:t>
            </w:r>
          </w:p>
        </w:tc>
        <w:tc>
          <w:tcPr>
            <w:tcW w:w="543" w:type="pct"/>
            <w:tcBorders>
              <w:top w:val="nil"/>
              <w:left w:val="nil"/>
              <w:bottom w:val="single" w:sz="4" w:space="0" w:color="auto"/>
              <w:right w:val="nil"/>
            </w:tcBorders>
            <w:shd w:val="clear" w:color="auto" w:fill="auto"/>
            <w:vAlign w:val="center"/>
          </w:tcPr>
          <w:p w14:paraId="2F6A7EBD" w14:textId="77777777" w:rsidR="007A7245" w:rsidRPr="007A7245" w:rsidRDefault="007A7245" w:rsidP="007A7245">
            <w:pPr>
              <w:jc w:val="right"/>
              <w:rPr>
                <w:sz w:val="16"/>
                <w:szCs w:val="16"/>
              </w:rPr>
            </w:pPr>
            <w:r w:rsidRPr="007A7245">
              <w:rPr>
                <w:sz w:val="16"/>
                <w:szCs w:val="16"/>
              </w:rPr>
              <w:t>300.000,00</w:t>
            </w:r>
          </w:p>
        </w:tc>
        <w:tc>
          <w:tcPr>
            <w:tcW w:w="706" w:type="pct"/>
            <w:tcBorders>
              <w:top w:val="nil"/>
              <w:left w:val="nil"/>
              <w:bottom w:val="single" w:sz="4" w:space="0" w:color="auto"/>
              <w:right w:val="nil"/>
            </w:tcBorders>
            <w:shd w:val="clear" w:color="auto" w:fill="auto"/>
            <w:vAlign w:val="center"/>
          </w:tcPr>
          <w:p w14:paraId="238CE337" w14:textId="2A6A5B05" w:rsidR="007A7245" w:rsidRPr="007A7245" w:rsidRDefault="007A7245" w:rsidP="007A7245">
            <w:pPr>
              <w:jc w:val="right"/>
              <w:rPr>
                <w:sz w:val="16"/>
                <w:szCs w:val="16"/>
              </w:rPr>
            </w:pPr>
            <w:r w:rsidRPr="007A7245">
              <w:rPr>
                <w:sz w:val="16"/>
                <w:szCs w:val="16"/>
              </w:rPr>
              <w:t>30.528,30</w:t>
            </w:r>
          </w:p>
        </w:tc>
        <w:tc>
          <w:tcPr>
            <w:tcW w:w="569" w:type="pct"/>
            <w:tcBorders>
              <w:top w:val="nil"/>
              <w:left w:val="nil"/>
              <w:bottom w:val="single" w:sz="4" w:space="0" w:color="auto"/>
              <w:right w:val="nil"/>
            </w:tcBorders>
            <w:shd w:val="clear" w:color="auto" w:fill="auto"/>
            <w:vAlign w:val="center"/>
          </w:tcPr>
          <w:p w14:paraId="6EF5848D" w14:textId="2A71B2BB" w:rsidR="007A7245" w:rsidRPr="007A7245" w:rsidRDefault="007A7245" w:rsidP="007A7245">
            <w:pPr>
              <w:jc w:val="right"/>
              <w:rPr>
                <w:sz w:val="16"/>
                <w:szCs w:val="16"/>
              </w:rPr>
            </w:pPr>
            <w:r w:rsidRPr="007A7245">
              <w:rPr>
                <w:sz w:val="16"/>
                <w:szCs w:val="16"/>
              </w:rPr>
              <w:t>10.176,08</w:t>
            </w:r>
          </w:p>
        </w:tc>
        <w:tc>
          <w:tcPr>
            <w:tcW w:w="1708" w:type="pct"/>
            <w:tcBorders>
              <w:top w:val="nil"/>
              <w:left w:val="nil"/>
              <w:bottom w:val="single" w:sz="4" w:space="0" w:color="auto"/>
              <w:right w:val="nil"/>
            </w:tcBorders>
            <w:shd w:val="clear" w:color="auto" w:fill="auto"/>
            <w:vAlign w:val="center"/>
          </w:tcPr>
          <w:p w14:paraId="5BEB11AD" w14:textId="77777777" w:rsidR="007A7245" w:rsidRPr="007A7245" w:rsidRDefault="007A7245" w:rsidP="001B5A15">
            <w:pPr>
              <w:spacing w:before="40" w:after="40"/>
              <w:rPr>
                <w:sz w:val="16"/>
                <w:szCs w:val="16"/>
              </w:rPr>
            </w:pPr>
            <w:r w:rsidRPr="007A7245">
              <w:rPr>
                <w:sz w:val="16"/>
                <w:szCs w:val="16"/>
              </w:rPr>
              <w:t>Subvención para la mejora de la competitividad del modelo turístico canario y la proyección de la marca Islas Canarias a través del proyecto Centro de Difusión del Conocimiento Turístico</w:t>
            </w:r>
          </w:p>
        </w:tc>
        <w:tc>
          <w:tcPr>
            <w:tcW w:w="640" w:type="pct"/>
            <w:tcBorders>
              <w:top w:val="nil"/>
              <w:left w:val="nil"/>
              <w:bottom w:val="single" w:sz="4" w:space="0" w:color="auto"/>
              <w:right w:val="nil"/>
            </w:tcBorders>
            <w:shd w:val="clear" w:color="auto" w:fill="auto"/>
            <w:vAlign w:val="center"/>
          </w:tcPr>
          <w:p w14:paraId="64120ECF" w14:textId="77777777" w:rsidR="007A7245" w:rsidRPr="007A7245" w:rsidRDefault="007A7245" w:rsidP="007A7245">
            <w:pPr>
              <w:jc w:val="right"/>
              <w:rPr>
                <w:sz w:val="16"/>
                <w:szCs w:val="16"/>
              </w:rPr>
            </w:pPr>
            <w:r w:rsidRPr="007A7245">
              <w:rPr>
                <w:sz w:val="16"/>
                <w:szCs w:val="16"/>
              </w:rPr>
              <w:t>08/08/2019</w:t>
            </w:r>
          </w:p>
        </w:tc>
      </w:tr>
      <w:tr w:rsidR="007A7245" w:rsidRPr="007A7245" w14:paraId="7E7E7912" w14:textId="77777777" w:rsidTr="00D67C6B">
        <w:trPr>
          <w:trHeight w:val="510"/>
        </w:trPr>
        <w:tc>
          <w:tcPr>
            <w:tcW w:w="834" w:type="pct"/>
            <w:tcBorders>
              <w:top w:val="nil"/>
              <w:left w:val="nil"/>
              <w:bottom w:val="single" w:sz="4" w:space="0" w:color="auto"/>
              <w:right w:val="nil"/>
            </w:tcBorders>
            <w:shd w:val="clear" w:color="auto" w:fill="auto"/>
            <w:vAlign w:val="center"/>
          </w:tcPr>
          <w:p w14:paraId="58B78E7B" w14:textId="77777777" w:rsidR="007A7245" w:rsidRPr="007A7245" w:rsidRDefault="007A7245" w:rsidP="007A7245">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7A7245">
              <w:rPr>
                <w:sz w:val="16"/>
                <w:szCs w:val="16"/>
              </w:rPr>
              <w:t>Consejería de Turismo, Industria y Comercio</w:t>
            </w:r>
          </w:p>
        </w:tc>
        <w:tc>
          <w:tcPr>
            <w:tcW w:w="543" w:type="pct"/>
            <w:tcBorders>
              <w:top w:val="nil"/>
              <w:left w:val="nil"/>
              <w:bottom w:val="single" w:sz="4" w:space="0" w:color="auto"/>
              <w:right w:val="nil"/>
            </w:tcBorders>
            <w:shd w:val="clear" w:color="auto" w:fill="auto"/>
            <w:vAlign w:val="center"/>
          </w:tcPr>
          <w:p w14:paraId="14E1E771" w14:textId="77777777" w:rsidR="007A7245" w:rsidRPr="007A7245" w:rsidRDefault="007A7245" w:rsidP="007A7245">
            <w:pPr>
              <w:jc w:val="right"/>
              <w:rPr>
                <w:sz w:val="16"/>
                <w:szCs w:val="16"/>
              </w:rPr>
            </w:pPr>
            <w:r w:rsidRPr="007A7245">
              <w:rPr>
                <w:sz w:val="16"/>
                <w:szCs w:val="16"/>
              </w:rPr>
              <w:t>90.600,00</w:t>
            </w:r>
          </w:p>
        </w:tc>
        <w:tc>
          <w:tcPr>
            <w:tcW w:w="706" w:type="pct"/>
            <w:tcBorders>
              <w:top w:val="nil"/>
              <w:left w:val="nil"/>
              <w:bottom w:val="single" w:sz="4" w:space="0" w:color="auto"/>
              <w:right w:val="nil"/>
            </w:tcBorders>
            <w:shd w:val="clear" w:color="auto" w:fill="auto"/>
            <w:vAlign w:val="center"/>
          </w:tcPr>
          <w:p w14:paraId="39789CF6" w14:textId="1BACA407" w:rsidR="007A7245" w:rsidRPr="007A7245" w:rsidRDefault="007A7245" w:rsidP="007A7245">
            <w:pPr>
              <w:jc w:val="right"/>
              <w:rPr>
                <w:sz w:val="16"/>
                <w:szCs w:val="16"/>
              </w:rPr>
            </w:pPr>
            <w:r w:rsidRPr="007A7245">
              <w:rPr>
                <w:sz w:val="16"/>
                <w:szCs w:val="16"/>
              </w:rPr>
              <w:t>6.659,61</w:t>
            </w:r>
          </w:p>
        </w:tc>
        <w:tc>
          <w:tcPr>
            <w:tcW w:w="569" w:type="pct"/>
            <w:tcBorders>
              <w:top w:val="nil"/>
              <w:left w:val="nil"/>
              <w:bottom w:val="single" w:sz="4" w:space="0" w:color="auto"/>
              <w:right w:val="nil"/>
            </w:tcBorders>
            <w:shd w:val="clear" w:color="auto" w:fill="auto"/>
            <w:vAlign w:val="center"/>
          </w:tcPr>
          <w:p w14:paraId="632A6B12" w14:textId="06272A3E" w:rsidR="007A7245" w:rsidRPr="007A7245" w:rsidRDefault="007A7245" w:rsidP="007A7245">
            <w:pPr>
              <w:jc w:val="right"/>
              <w:rPr>
                <w:sz w:val="16"/>
                <w:szCs w:val="16"/>
              </w:rPr>
            </w:pPr>
            <w:r w:rsidRPr="007A7245">
              <w:rPr>
                <w:sz w:val="16"/>
                <w:szCs w:val="16"/>
              </w:rPr>
              <w:t>2.219,85</w:t>
            </w:r>
          </w:p>
        </w:tc>
        <w:tc>
          <w:tcPr>
            <w:tcW w:w="1708" w:type="pct"/>
            <w:tcBorders>
              <w:top w:val="nil"/>
              <w:left w:val="nil"/>
              <w:bottom w:val="single" w:sz="4" w:space="0" w:color="auto"/>
              <w:right w:val="nil"/>
            </w:tcBorders>
            <w:shd w:val="clear" w:color="auto" w:fill="auto"/>
            <w:vAlign w:val="center"/>
          </w:tcPr>
          <w:p w14:paraId="6D5A8C58" w14:textId="77777777" w:rsidR="007A7245" w:rsidRPr="007A7245" w:rsidRDefault="007A7245" w:rsidP="001B5A15">
            <w:pPr>
              <w:spacing w:before="40" w:after="40"/>
              <w:rPr>
                <w:sz w:val="16"/>
                <w:szCs w:val="16"/>
              </w:rPr>
            </w:pPr>
            <w:r w:rsidRPr="007A7245">
              <w:rPr>
                <w:sz w:val="16"/>
                <w:szCs w:val="16"/>
              </w:rPr>
              <w:t>Subvención para la implementación de medidas para la gestión de "Canarias Fortaleza"</w:t>
            </w:r>
          </w:p>
        </w:tc>
        <w:tc>
          <w:tcPr>
            <w:tcW w:w="640" w:type="pct"/>
            <w:tcBorders>
              <w:top w:val="nil"/>
              <w:left w:val="nil"/>
              <w:bottom w:val="single" w:sz="4" w:space="0" w:color="auto"/>
              <w:right w:val="nil"/>
            </w:tcBorders>
            <w:shd w:val="clear" w:color="auto" w:fill="auto"/>
            <w:vAlign w:val="center"/>
          </w:tcPr>
          <w:p w14:paraId="45C70102" w14:textId="3985CA87" w:rsidR="007A7245" w:rsidRPr="007A7245" w:rsidRDefault="007A7245" w:rsidP="007A7245">
            <w:pPr>
              <w:jc w:val="right"/>
              <w:rPr>
                <w:sz w:val="16"/>
                <w:szCs w:val="16"/>
              </w:rPr>
            </w:pPr>
            <w:r w:rsidRPr="007A7245">
              <w:rPr>
                <w:sz w:val="16"/>
                <w:szCs w:val="16"/>
              </w:rPr>
              <w:t>28/12/2020</w:t>
            </w:r>
          </w:p>
        </w:tc>
      </w:tr>
      <w:tr w:rsidR="007A7245" w:rsidRPr="00E612CB" w14:paraId="4AA4ABE1" w14:textId="77777777" w:rsidTr="00D67C6B">
        <w:trPr>
          <w:trHeight w:val="283"/>
        </w:trPr>
        <w:tc>
          <w:tcPr>
            <w:tcW w:w="834" w:type="pct"/>
            <w:tcBorders>
              <w:top w:val="nil"/>
              <w:left w:val="nil"/>
              <w:bottom w:val="single" w:sz="4" w:space="0" w:color="auto"/>
              <w:right w:val="nil"/>
            </w:tcBorders>
            <w:shd w:val="clear" w:color="auto" w:fill="auto"/>
            <w:vAlign w:val="center"/>
            <w:hideMark/>
          </w:tcPr>
          <w:p w14:paraId="54F7B574" w14:textId="77777777" w:rsidR="007A7245" w:rsidRPr="007A7245" w:rsidRDefault="007A7245" w:rsidP="007A7245">
            <w:pPr>
              <w:rPr>
                <w:rFonts w:eastAsia="Times New Roman"/>
                <w:b/>
                <w:bCs/>
                <w:sz w:val="16"/>
                <w:szCs w:val="16"/>
              </w:rPr>
            </w:pPr>
            <w:r w:rsidRPr="007A7245">
              <w:rPr>
                <w:rFonts w:eastAsia="Times New Roman"/>
                <w:b/>
                <w:bCs/>
                <w:sz w:val="16"/>
                <w:szCs w:val="16"/>
              </w:rPr>
              <w:t>Total</w:t>
            </w:r>
          </w:p>
        </w:tc>
        <w:tc>
          <w:tcPr>
            <w:tcW w:w="543" w:type="pct"/>
            <w:tcBorders>
              <w:top w:val="nil"/>
              <w:left w:val="nil"/>
              <w:bottom w:val="single" w:sz="4" w:space="0" w:color="auto"/>
              <w:right w:val="nil"/>
            </w:tcBorders>
            <w:shd w:val="clear" w:color="auto" w:fill="auto"/>
            <w:vAlign w:val="center"/>
            <w:hideMark/>
          </w:tcPr>
          <w:p w14:paraId="3DF8FE2E" w14:textId="77777777" w:rsidR="007A7245" w:rsidRPr="007A7245" w:rsidRDefault="007A7245" w:rsidP="007A7245">
            <w:pPr>
              <w:jc w:val="right"/>
              <w:rPr>
                <w:b/>
                <w:bCs/>
                <w:sz w:val="16"/>
                <w:szCs w:val="16"/>
              </w:rPr>
            </w:pPr>
            <w:r w:rsidRPr="007A7245">
              <w:rPr>
                <w:b/>
                <w:bCs/>
                <w:sz w:val="16"/>
                <w:szCs w:val="16"/>
              </w:rPr>
              <w:t>472.801,43</w:t>
            </w:r>
          </w:p>
        </w:tc>
        <w:tc>
          <w:tcPr>
            <w:tcW w:w="706" w:type="pct"/>
            <w:tcBorders>
              <w:top w:val="nil"/>
              <w:left w:val="nil"/>
              <w:bottom w:val="single" w:sz="4" w:space="0" w:color="auto"/>
              <w:right w:val="nil"/>
            </w:tcBorders>
            <w:shd w:val="clear" w:color="auto" w:fill="auto"/>
            <w:vAlign w:val="center"/>
            <w:hideMark/>
          </w:tcPr>
          <w:p w14:paraId="143BF8CA" w14:textId="48720957" w:rsidR="007A7245" w:rsidRPr="007A7245" w:rsidRDefault="007A7245" w:rsidP="007A7245">
            <w:pPr>
              <w:jc w:val="right"/>
              <w:rPr>
                <w:b/>
                <w:bCs/>
                <w:sz w:val="16"/>
                <w:szCs w:val="16"/>
              </w:rPr>
            </w:pPr>
            <w:r w:rsidRPr="007A7245">
              <w:rPr>
                <w:b/>
                <w:bCs/>
                <w:sz w:val="16"/>
                <w:szCs w:val="16"/>
              </w:rPr>
              <w:t>64.672,25</w:t>
            </w:r>
          </w:p>
        </w:tc>
        <w:tc>
          <w:tcPr>
            <w:tcW w:w="569" w:type="pct"/>
            <w:tcBorders>
              <w:top w:val="nil"/>
              <w:left w:val="nil"/>
              <w:bottom w:val="single" w:sz="4" w:space="0" w:color="auto"/>
              <w:right w:val="nil"/>
            </w:tcBorders>
            <w:shd w:val="clear" w:color="auto" w:fill="auto"/>
            <w:vAlign w:val="center"/>
          </w:tcPr>
          <w:p w14:paraId="5BC41B33" w14:textId="125D267F" w:rsidR="007A7245" w:rsidRPr="007A7245" w:rsidRDefault="007A7245" w:rsidP="007A7245">
            <w:pPr>
              <w:jc w:val="right"/>
              <w:rPr>
                <w:b/>
                <w:bCs/>
                <w:sz w:val="16"/>
                <w:szCs w:val="16"/>
              </w:rPr>
            </w:pPr>
            <w:r w:rsidRPr="007A7245">
              <w:rPr>
                <w:b/>
                <w:bCs/>
                <w:sz w:val="16"/>
                <w:szCs w:val="16"/>
              </w:rPr>
              <w:t>21.749,37</w:t>
            </w:r>
          </w:p>
        </w:tc>
        <w:tc>
          <w:tcPr>
            <w:tcW w:w="1708" w:type="pct"/>
            <w:tcBorders>
              <w:top w:val="nil"/>
              <w:left w:val="nil"/>
              <w:bottom w:val="single" w:sz="4" w:space="0" w:color="auto"/>
              <w:right w:val="nil"/>
            </w:tcBorders>
            <w:shd w:val="clear" w:color="auto" w:fill="auto"/>
            <w:vAlign w:val="center"/>
            <w:hideMark/>
          </w:tcPr>
          <w:p w14:paraId="0D5447C0" w14:textId="77777777" w:rsidR="007A7245" w:rsidRPr="007A7245" w:rsidRDefault="007A7245" w:rsidP="007A7245">
            <w:pPr>
              <w:rPr>
                <w:rFonts w:eastAsia="Times New Roman" w:cs="Times"/>
                <w:sz w:val="16"/>
                <w:szCs w:val="16"/>
              </w:rPr>
            </w:pPr>
            <w:r w:rsidRPr="007A7245">
              <w:rPr>
                <w:rFonts w:eastAsia="Times New Roman" w:cs="Times"/>
                <w:sz w:val="16"/>
                <w:szCs w:val="16"/>
              </w:rPr>
              <w:t> </w:t>
            </w:r>
          </w:p>
        </w:tc>
        <w:tc>
          <w:tcPr>
            <w:tcW w:w="640" w:type="pct"/>
            <w:tcBorders>
              <w:top w:val="nil"/>
              <w:left w:val="nil"/>
              <w:bottom w:val="single" w:sz="4" w:space="0" w:color="auto"/>
              <w:right w:val="nil"/>
            </w:tcBorders>
            <w:shd w:val="clear" w:color="auto" w:fill="auto"/>
            <w:vAlign w:val="center"/>
            <w:hideMark/>
          </w:tcPr>
          <w:p w14:paraId="75514A84" w14:textId="77777777" w:rsidR="007A7245" w:rsidRPr="007A7245" w:rsidRDefault="007A7245" w:rsidP="007A7245">
            <w:pPr>
              <w:rPr>
                <w:rFonts w:eastAsia="Times New Roman" w:cs="Times"/>
                <w:sz w:val="16"/>
                <w:szCs w:val="16"/>
              </w:rPr>
            </w:pPr>
            <w:r w:rsidRPr="007A7245">
              <w:rPr>
                <w:rFonts w:eastAsia="Times New Roman" w:cs="Times"/>
                <w:sz w:val="16"/>
                <w:szCs w:val="16"/>
              </w:rPr>
              <w:t> </w:t>
            </w:r>
          </w:p>
        </w:tc>
      </w:tr>
    </w:tbl>
    <w:p w14:paraId="3E9488B8" w14:textId="240F5E03" w:rsidR="004D0B1C" w:rsidRPr="007A7245" w:rsidRDefault="004D0B1C" w:rsidP="001B5A15">
      <w:pPr>
        <w:keepNext/>
        <w:keepLines/>
        <w:widowControl w:val="0"/>
        <w:spacing w:before="240" w:after="120" w:line="260" w:lineRule="exact"/>
        <w:jc w:val="both"/>
        <w:outlineLvl w:val="9"/>
        <w:rPr>
          <w:snapToGrid w:val="0"/>
          <w:sz w:val="20"/>
          <w:szCs w:val="22"/>
        </w:rPr>
      </w:pPr>
      <w:r w:rsidRPr="007A7245">
        <w:rPr>
          <w:snapToGrid w:val="0"/>
          <w:sz w:val="20"/>
          <w:szCs w:val="22"/>
        </w:rPr>
        <w:t>Los importes imputados a la cuenta de pérdidas y ganancias en el ejercicio 202</w:t>
      </w:r>
      <w:r w:rsidR="007A7245" w:rsidRPr="007A7245">
        <w:rPr>
          <w:snapToGrid w:val="0"/>
          <w:sz w:val="20"/>
          <w:szCs w:val="22"/>
        </w:rPr>
        <w:t>3</w:t>
      </w:r>
      <w:r w:rsidRPr="007A7245">
        <w:rPr>
          <w:snapToGrid w:val="0"/>
          <w:sz w:val="20"/>
          <w:szCs w:val="22"/>
        </w:rPr>
        <w:t xml:space="preserve"> son los siguientes:</w:t>
      </w:r>
    </w:p>
    <w:tbl>
      <w:tblPr>
        <w:tblW w:w="5000" w:type="pct"/>
        <w:jc w:val="center"/>
        <w:tblCellMar>
          <w:left w:w="70" w:type="dxa"/>
          <w:right w:w="70" w:type="dxa"/>
        </w:tblCellMar>
        <w:tblLook w:val="04A0" w:firstRow="1" w:lastRow="0" w:firstColumn="1" w:lastColumn="0" w:noHBand="0" w:noVBand="1"/>
      </w:tblPr>
      <w:tblGrid>
        <w:gridCol w:w="2661"/>
        <w:gridCol w:w="1064"/>
        <w:gridCol w:w="1356"/>
        <w:gridCol w:w="1647"/>
        <w:gridCol w:w="1020"/>
        <w:gridCol w:w="1033"/>
      </w:tblGrid>
      <w:tr w:rsidR="004D0B1C" w:rsidRPr="007A7245" w14:paraId="47AEB801" w14:textId="77777777" w:rsidTr="00954AA6">
        <w:trPr>
          <w:trHeight w:val="288"/>
          <w:jc w:val="center"/>
        </w:trPr>
        <w:tc>
          <w:tcPr>
            <w:tcW w:w="1515" w:type="pct"/>
            <w:tcBorders>
              <w:top w:val="nil"/>
              <w:left w:val="nil"/>
              <w:bottom w:val="nil"/>
              <w:right w:val="nil"/>
            </w:tcBorders>
            <w:shd w:val="clear" w:color="auto" w:fill="auto"/>
            <w:noWrap/>
            <w:vAlign w:val="bottom"/>
            <w:hideMark/>
          </w:tcPr>
          <w:p w14:paraId="52D61DA6" w14:textId="77777777"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bdr w:val="none" w:sz="0" w:space="0" w:color="auto"/>
                <w:lang w:eastAsia="es-ES"/>
              </w:rPr>
            </w:pPr>
          </w:p>
        </w:tc>
        <w:tc>
          <w:tcPr>
            <w:tcW w:w="606" w:type="pct"/>
            <w:tcBorders>
              <w:top w:val="nil"/>
              <w:left w:val="nil"/>
              <w:bottom w:val="nil"/>
              <w:right w:val="nil"/>
            </w:tcBorders>
            <w:shd w:val="clear" w:color="auto" w:fill="auto"/>
            <w:noWrap/>
            <w:vAlign w:val="bottom"/>
            <w:hideMark/>
          </w:tcPr>
          <w:p w14:paraId="7B3C5C9E" w14:textId="77777777"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772" w:type="pct"/>
            <w:tcBorders>
              <w:top w:val="nil"/>
              <w:left w:val="nil"/>
              <w:bottom w:val="nil"/>
              <w:right w:val="nil"/>
            </w:tcBorders>
            <w:shd w:val="clear" w:color="auto" w:fill="auto"/>
            <w:noWrap/>
            <w:vAlign w:val="bottom"/>
            <w:hideMark/>
          </w:tcPr>
          <w:p w14:paraId="55BA0824" w14:textId="77777777"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20"/>
                <w:szCs w:val="20"/>
                <w:bdr w:val="none" w:sz="0" w:space="0" w:color="auto"/>
                <w:lang w:eastAsia="es-ES"/>
              </w:rPr>
            </w:pPr>
          </w:p>
        </w:tc>
        <w:tc>
          <w:tcPr>
            <w:tcW w:w="2107" w:type="pct"/>
            <w:gridSpan w:val="3"/>
            <w:tcBorders>
              <w:top w:val="single" w:sz="4" w:space="0" w:color="auto"/>
              <w:left w:val="nil"/>
              <w:bottom w:val="single" w:sz="4" w:space="0" w:color="auto"/>
              <w:right w:val="nil"/>
            </w:tcBorders>
            <w:shd w:val="clear" w:color="auto" w:fill="auto"/>
            <w:noWrap/>
            <w:vAlign w:val="bottom"/>
            <w:hideMark/>
          </w:tcPr>
          <w:p w14:paraId="5CD738E6" w14:textId="3ED4164B"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 xml:space="preserve">Traspaso a </w:t>
            </w:r>
            <w:proofErr w:type="spellStart"/>
            <w:r w:rsidRPr="007A7245">
              <w:rPr>
                <w:rFonts w:eastAsia="Times New Roman"/>
                <w:b/>
                <w:bCs/>
                <w:sz w:val="16"/>
                <w:szCs w:val="16"/>
                <w:bdr w:val="none" w:sz="0" w:space="0" w:color="auto"/>
                <w:lang w:eastAsia="es-ES"/>
              </w:rPr>
              <w:t>rtdo</w:t>
            </w:r>
            <w:proofErr w:type="spellEnd"/>
            <w:r w:rsidRPr="007A7245">
              <w:rPr>
                <w:rFonts w:eastAsia="Times New Roman"/>
                <w:b/>
                <w:bCs/>
                <w:sz w:val="16"/>
                <w:szCs w:val="16"/>
                <w:bdr w:val="none" w:sz="0" w:space="0" w:color="auto"/>
                <w:lang w:eastAsia="es-ES"/>
              </w:rPr>
              <w:t xml:space="preserve"> del ejercicio 20</w:t>
            </w:r>
            <w:r w:rsidR="00E50FF4" w:rsidRPr="007A7245">
              <w:rPr>
                <w:rFonts w:eastAsia="Times New Roman"/>
                <w:b/>
                <w:bCs/>
                <w:sz w:val="16"/>
                <w:szCs w:val="16"/>
                <w:bdr w:val="none" w:sz="0" w:space="0" w:color="auto"/>
                <w:lang w:eastAsia="es-ES"/>
              </w:rPr>
              <w:t>2</w:t>
            </w:r>
            <w:r w:rsidR="007A7245" w:rsidRPr="007A7245">
              <w:rPr>
                <w:rFonts w:eastAsia="Times New Roman"/>
                <w:b/>
                <w:bCs/>
                <w:sz w:val="16"/>
                <w:szCs w:val="16"/>
                <w:bdr w:val="none" w:sz="0" w:space="0" w:color="auto"/>
                <w:lang w:eastAsia="es-ES"/>
              </w:rPr>
              <w:t>3</w:t>
            </w:r>
          </w:p>
        </w:tc>
      </w:tr>
      <w:tr w:rsidR="004D0B1C" w:rsidRPr="007A7245" w14:paraId="314745FA" w14:textId="77777777" w:rsidTr="00954AA6">
        <w:trPr>
          <w:trHeight w:val="454"/>
          <w:jc w:val="center"/>
        </w:trPr>
        <w:tc>
          <w:tcPr>
            <w:tcW w:w="1515" w:type="pct"/>
            <w:tcBorders>
              <w:top w:val="single" w:sz="4" w:space="0" w:color="auto"/>
              <w:left w:val="nil"/>
              <w:bottom w:val="single" w:sz="4" w:space="0" w:color="auto"/>
              <w:right w:val="nil"/>
            </w:tcBorders>
            <w:shd w:val="clear" w:color="auto" w:fill="auto"/>
            <w:vAlign w:val="bottom"/>
            <w:hideMark/>
          </w:tcPr>
          <w:p w14:paraId="14D5E026" w14:textId="77777777"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Entidad concesionaria</w:t>
            </w:r>
          </w:p>
        </w:tc>
        <w:tc>
          <w:tcPr>
            <w:tcW w:w="606" w:type="pct"/>
            <w:tcBorders>
              <w:top w:val="single" w:sz="4" w:space="0" w:color="auto"/>
              <w:left w:val="nil"/>
              <w:bottom w:val="nil"/>
              <w:right w:val="nil"/>
            </w:tcBorders>
            <w:shd w:val="clear" w:color="auto" w:fill="auto"/>
            <w:vAlign w:val="bottom"/>
            <w:hideMark/>
          </w:tcPr>
          <w:p w14:paraId="6C04C6DA" w14:textId="2E239B6B"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Importe concedido 202</w:t>
            </w:r>
            <w:r w:rsidR="007A7245" w:rsidRPr="007A7245">
              <w:rPr>
                <w:rFonts w:eastAsia="Times New Roman"/>
                <w:b/>
                <w:bCs/>
                <w:sz w:val="16"/>
                <w:szCs w:val="16"/>
                <w:bdr w:val="none" w:sz="0" w:space="0" w:color="auto"/>
                <w:lang w:eastAsia="es-ES"/>
              </w:rPr>
              <w:t>3</w:t>
            </w:r>
          </w:p>
        </w:tc>
        <w:tc>
          <w:tcPr>
            <w:tcW w:w="772" w:type="pct"/>
            <w:tcBorders>
              <w:top w:val="single" w:sz="4" w:space="0" w:color="auto"/>
              <w:left w:val="nil"/>
              <w:bottom w:val="nil"/>
              <w:right w:val="nil"/>
            </w:tcBorders>
            <w:shd w:val="clear" w:color="auto" w:fill="auto"/>
            <w:vAlign w:val="bottom"/>
            <w:hideMark/>
          </w:tcPr>
          <w:p w14:paraId="0E4D8A1E" w14:textId="62461673"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Efecto impositivo concesión 202</w:t>
            </w:r>
            <w:r w:rsidR="007A7245" w:rsidRPr="007A7245">
              <w:rPr>
                <w:rFonts w:eastAsia="Times New Roman"/>
                <w:b/>
                <w:bCs/>
                <w:sz w:val="16"/>
                <w:szCs w:val="16"/>
                <w:bdr w:val="none" w:sz="0" w:space="0" w:color="auto"/>
                <w:lang w:eastAsia="es-ES"/>
              </w:rPr>
              <w:t>3</w:t>
            </w:r>
          </w:p>
        </w:tc>
        <w:tc>
          <w:tcPr>
            <w:tcW w:w="938" w:type="pct"/>
            <w:tcBorders>
              <w:top w:val="nil"/>
              <w:left w:val="nil"/>
              <w:bottom w:val="nil"/>
              <w:right w:val="nil"/>
            </w:tcBorders>
            <w:shd w:val="clear" w:color="auto" w:fill="auto"/>
            <w:vAlign w:val="bottom"/>
            <w:hideMark/>
          </w:tcPr>
          <w:p w14:paraId="4FB84A2F" w14:textId="77777777"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 xml:space="preserve">Efecto impositivo traspaso a </w:t>
            </w:r>
            <w:proofErr w:type="spellStart"/>
            <w:r w:rsidRPr="007A7245">
              <w:rPr>
                <w:rFonts w:eastAsia="Times New Roman"/>
                <w:b/>
                <w:bCs/>
                <w:sz w:val="16"/>
                <w:szCs w:val="16"/>
                <w:bdr w:val="none" w:sz="0" w:space="0" w:color="auto"/>
                <w:lang w:eastAsia="es-ES"/>
              </w:rPr>
              <w:t>Rtdo</w:t>
            </w:r>
            <w:proofErr w:type="spellEnd"/>
          </w:p>
        </w:tc>
        <w:tc>
          <w:tcPr>
            <w:tcW w:w="581" w:type="pct"/>
            <w:tcBorders>
              <w:top w:val="nil"/>
              <w:left w:val="nil"/>
              <w:bottom w:val="nil"/>
              <w:right w:val="nil"/>
            </w:tcBorders>
            <w:shd w:val="clear" w:color="auto" w:fill="auto"/>
            <w:vAlign w:val="bottom"/>
            <w:hideMark/>
          </w:tcPr>
          <w:p w14:paraId="6C02CA22" w14:textId="77777777"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roofErr w:type="spellStart"/>
            <w:r w:rsidRPr="007A7245">
              <w:rPr>
                <w:rFonts w:eastAsia="Times New Roman"/>
                <w:b/>
                <w:bCs/>
                <w:sz w:val="16"/>
                <w:szCs w:val="16"/>
                <w:bdr w:val="none" w:sz="0" w:space="0" w:color="auto"/>
                <w:lang w:eastAsia="es-ES"/>
              </w:rPr>
              <w:t>Subv</w:t>
            </w:r>
            <w:proofErr w:type="spellEnd"/>
            <w:r w:rsidRPr="007A7245">
              <w:rPr>
                <w:rFonts w:eastAsia="Times New Roman"/>
                <w:b/>
                <w:bCs/>
                <w:sz w:val="16"/>
                <w:szCs w:val="16"/>
                <w:bdr w:val="none" w:sz="0" w:space="0" w:color="auto"/>
                <w:lang w:eastAsia="es-ES"/>
              </w:rPr>
              <w:t>. de capital</w:t>
            </w:r>
          </w:p>
        </w:tc>
        <w:tc>
          <w:tcPr>
            <w:tcW w:w="588" w:type="pct"/>
            <w:tcBorders>
              <w:top w:val="nil"/>
              <w:left w:val="nil"/>
              <w:bottom w:val="nil"/>
              <w:right w:val="nil"/>
            </w:tcBorders>
            <w:shd w:val="clear" w:color="auto" w:fill="auto"/>
            <w:vAlign w:val="bottom"/>
            <w:hideMark/>
          </w:tcPr>
          <w:p w14:paraId="42116B1E" w14:textId="77777777" w:rsidR="004D0B1C" w:rsidRPr="007A7245" w:rsidRDefault="004D0B1C" w:rsidP="004D0B1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 xml:space="preserve">Traspaso </w:t>
            </w:r>
            <w:proofErr w:type="spellStart"/>
            <w:r w:rsidRPr="007A7245">
              <w:rPr>
                <w:rFonts w:eastAsia="Times New Roman"/>
                <w:b/>
                <w:bCs/>
                <w:sz w:val="16"/>
                <w:szCs w:val="16"/>
                <w:bdr w:val="none" w:sz="0" w:space="0" w:color="auto"/>
                <w:lang w:eastAsia="es-ES"/>
              </w:rPr>
              <w:t>Rtdos</w:t>
            </w:r>
            <w:proofErr w:type="spellEnd"/>
            <w:r w:rsidRPr="007A7245">
              <w:rPr>
                <w:rFonts w:eastAsia="Times New Roman"/>
                <w:b/>
                <w:bCs/>
                <w:sz w:val="16"/>
                <w:szCs w:val="16"/>
                <w:bdr w:val="none" w:sz="0" w:space="0" w:color="auto"/>
                <w:lang w:eastAsia="es-ES"/>
              </w:rPr>
              <w:t>.</w:t>
            </w:r>
          </w:p>
        </w:tc>
      </w:tr>
      <w:tr w:rsidR="00E50FF4" w:rsidRPr="007A7245" w14:paraId="381D6A4D" w14:textId="77777777" w:rsidTr="00954AA6">
        <w:trPr>
          <w:trHeight w:val="288"/>
          <w:jc w:val="center"/>
        </w:trPr>
        <w:tc>
          <w:tcPr>
            <w:tcW w:w="1515" w:type="pct"/>
            <w:tcBorders>
              <w:top w:val="nil"/>
              <w:left w:val="nil"/>
              <w:bottom w:val="single" w:sz="4" w:space="0" w:color="auto"/>
              <w:right w:val="nil"/>
            </w:tcBorders>
            <w:shd w:val="clear" w:color="auto" w:fill="auto"/>
            <w:vAlign w:val="center"/>
            <w:hideMark/>
          </w:tcPr>
          <w:p w14:paraId="165446C3" w14:textId="77777777" w:rsidR="00E50FF4" w:rsidRPr="007A7245" w:rsidRDefault="00E50FF4" w:rsidP="001B5A1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eastAsia="Times New Roman"/>
                <w:sz w:val="16"/>
                <w:szCs w:val="16"/>
                <w:bdr w:val="none" w:sz="0" w:space="0" w:color="auto"/>
                <w:lang w:eastAsia="es-ES"/>
              </w:rPr>
            </w:pPr>
            <w:r w:rsidRPr="007A7245">
              <w:rPr>
                <w:rFonts w:eastAsia="Times New Roman"/>
                <w:sz w:val="16"/>
                <w:szCs w:val="16"/>
                <w:bdr w:val="none" w:sz="0" w:space="0" w:color="auto"/>
                <w:lang w:eastAsia="es-ES"/>
              </w:rPr>
              <w:t>Consejería de Turismo del Gobierno de Canarias</w:t>
            </w:r>
          </w:p>
        </w:tc>
        <w:tc>
          <w:tcPr>
            <w:tcW w:w="606" w:type="pct"/>
            <w:tcBorders>
              <w:top w:val="single" w:sz="4" w:space="0" w:color="auto"/>
              <w:left w:val="nil"/>
              <w:bottom w:val="single" w:sz="4" w:space="0" w:color="auto"/>
              <w:right w:val="nil"/>
            </w:tcBorders>
            <w:shd w:val="clear" w:color="auto" w:fill="auto"/>
            <w:vAlign w:val="center"/>
            <w:hideMark/>
          </w:tcPr>
          <w:p w14:paraId="3A2B707F" w14:textId="77777777"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rFonts w:eastAsia="Times New Roman"/>
                <w:sz w:val="16"/>
                <w:szCs w:val="16"/>
                <w:bdr w:val="none" w:sz="0" w:space="0" w:color="auto"/>
                <w:lang w:eastAsia="es-ES"/>
              </w:rPr>
              <w:t xml:space="preserve"> -</w:t>
            </w:r>
          </w:p>
        </w:tc>
        <w:tc>
          <w:tcPr>
            <w:tcW w:w="772" w:type="pct"/>
            <w:tcBorders>
              <w:top w:val="single" w:sz="4" w:space="0" w:color="auto"/>
              <w:left w:val="nil"/>
              <w:bottom w:val="single" w:sz="4" w:space="0" w:color="auto"/>
              <w:right w:val="nil"/>
            </w:tcBorders>
            <w:shd w:val="clear" w:color="auto" w:fill="auto"/>
            <w:vAlign w:val="center"/>
            <w:hideMark/>
          </w:tcPr>
          <w:p w14:paraId="2F8780D2" w14:textId="77777777"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rFonts w:eastAsia="Times New Roman"/>
                <w:sz w:val="16"/>
                <w:szCs w:val="16"/>
                <w:bdr w:val="none" w:sz="0" w:space="0" w:color="auto"/>
                <w:lang w:eastAsia="es-ES"/>
              </w:rPr>
              <w:t xml:space="preserve"> -</w:t>
            </w:r>
          </w:p>
        </w:tc>
        <w:tc>
          <w:tcPr>
            <w:tcW w:w="938" w:type="pct"/>
            <w:tcBorders>
              <w:top w:val="single" w:sz="4" w:space="0" w:color="auto"/>
              <w:left w:val="nil"/>
              <w:bottom w:val="single" w:sz="4" w:space="0" w:color="auto"/>
              <w:right w:val="nil"/>
            </w:tcBorders>
            <w:shd w:val="clear" w:color="auto" w:fill="auto"/>
            <w:vAlign w:val="center"/>
            <w:hideMark/>
          </w:tcPr>
          <w:p w14:paraId="7C65B31B" w14:textId="0DC159A6"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648,33</w:t>
            </w:r>
          </w:p>
        </w:tc>
        <w:tc>
          <w:tcPr>
            <w:tcW w:w="581" w:type="pct"/>
            <w:tcBorders>
              <w:top w:val="single" w:sz="4" w:space="0" w:color="auto"/>
              <w:left w:val="nil"/>
              <w:bottom w:val="single" w:sz="4" w:space="0" w:color="auto"/>
              <w:right w:val="nil"/>
            </w:tcBorders>
            <w:shd w:val="clear" w:color="auto" w:fill="auto"/>
            <w:vAlign w:val="center"/>
            <w:hideMark/>
          </w:tcPr>
          <w:p w14:paraId="64950333" w14:textId="7EB9ABBB"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2.088,98</w:t>
            </w:r>
          </w:p>
        </w:tc>
        <w:tc>
          <w:tcPr>
            <w:tcW w:w="588" w:type="pct"/>
            <w:tcBorders>
              <w:top w:val="single" w:sz="4" w:space="0" w:color="auto"/>
              <w:left w:val="nil"/>
              <w:bottom w:val="single" w:sz="4" w:space="0" w:color="auto"/>
              <w:right w:val="nil"/>
            </w:tcBorders>
            <w:shd w:val="clear" w:color="auto" w:fill="auto"/>
            <w:vAlign w:val="center"/>
            <w:hideMark/>
          </w:tcPr>
          <w:p w14:paraId="43A8A70D" w14:textId="351201D9"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2.737,31</w:t>
            </w:r>
          </w:p>
        </w:tc>
      </w:tr>
      <w:tr w:rsidR="00E50FF4" w:rsidRPr="007A7245" w14:paraId="6FFF76CA" w14:textId="77777777" w:rsidTr="00954AA6">
        <w:trPr>
          <w:trHeight w:val="288"/>
          <w:jc w:val="center"/>
        </w:trPr>
        <w:tc>
          <w:tcPr>
            <w:tcW w:w="1515" w:type="pct"/>
            <w:tcBorders>
              <w:top w:val="nil"/>
              <w:left w:val="nil"/>
              <w:bottom w:val="single" w:sz="4" w:space="0" w:color="auto"/>
              <w:right w:val="nil"/>
            </w:tcBorders>
            <w:shd w:val="clear" w:color="auto" w:fill="auto"/>
            <w:vAlign w:val="center"/>
            <w:hideMark/>
          </w:tcPr>
          <w:p w14:paraId="5B83D7E0" w14:textId="77777777" w:rsidR="00E50FF4" w:rsidRPr="007A7245" w:rsidRDefault="00E50FF4" w:rsidP="001B5A1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eastAsia="Times New Roman"/>
                <w:sz w:val="16"/>
                <w:szCs w:val="16"/>
                <w:bdr w:val="none" w:sz="0" w:space="0" w:color="auto"/>
                <w:lang w:eastAsia="es-ES"/>
              </w:rPr>
            </w:pPr>
            <w:r w:rsidRPr="007A7245">
              <w:rPr>
                <w:rFonts w:eastAsia="Times New Roman"/>
                <w:sz w:val="16"/>
                <w:szCs w:val="16"/>
                <w:bdr w:val="none" w:sz="0" w:space="0" w:color="auto"/>
                <w:lang w:eastAsia="es-ES"/>
              </w:rPr>
              <w:t>Consejería de Turismo, Industria y Comercio</w:t>
            </w:r>
          </w:p>
        </w:tc>
        <w:tc>
          <w:tcPr>
            <w:tcW w:w="606" w:type="pct"/>
            <w:tcBorders>
              <w:top w:val="nil"/>
              <w:left w:val="nil"/>
              <w:bottom w:val="single" w:sz="4" w:space="0" w:color="auto"/>
              <w:right w:val="nil"/>
            </w:tcBorders>
            <w:shd w:val="clear" w:color="auto" w:fill="auto"/>
            <w:vAlign w:val="center"/>
            <w:hideMark/>
          </w:tcPr>
          <w:p w14:paraId="6BFD8649" w14:textId="77777777"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rFonts w:eastAsia="Times New Roman"/>
                <w:sz w:val="16"/>
                <w:szCs w:val="16"/>
                <w:bdr w:val="none" w:sz="0" w:space="0" w:color="auto"/>
                <w:lang w:eastAsia="es-ES"/>
              </w:rPr>
              <w:t xml:space="preserve"> -</w:t>
            </w:r>
          </w:p>
        </w:tc>
        <w:tc>
          <w:tcPr>
            <w:tcW w:w="772" w:type="pct"/>
            <w:tcBorders>
              <w:top w:val="nil"/>
              <w:left w:val="nil"/>
              <w:bottom w:val="single" w:sz="4" w:space="0" w:color="auto"/>
              <w:right w:val="nil"/>
            </w:tcBorders>
            <w:shd w:val="clear" w:color="auto" w:fill="auto"/>
            <w:vAlign w:val="center"/>
            <w:hideMark/>
          </w:tcPr>
          <w:p w14:paraId="78159D85" w14:textId="77777777"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rFonts w:eastAsia="Times New Roman"/>
                <w:sz w:val="16"/>
                <w:szCs w:val="16"/>
                <w:bdr w:val="none" w:sz="0" w:space="0" w:color="auto"/>
                <w:lang w:eastAsia="es-ES"/>
              </w:rPr>
              <w:t xml:space="preserve"> -</w:t>
            </w:r>
          </w:p>
        </w:tc>
        <w:tc>
          <w:tcPr>
            <w:tcW w:w="938" w:type="pct"/>
            <w:tcBorders>
              <w:top w:val="nil"/>
              <w:left w:val="nil"/>
              <w:bottom w:val="single" w:sz="4" w:space="0" w:color="auto"/>
              <w:right w:val="nil"/>
            </w:tcBorders>
            <w:shd w:val="clear" w:color="auto" w:fill="auto"/>
            <w:vAlign w:val="center"/>
            <w:hideMark/>
          </w:tcPr>
          <w:p w14:paraId="7048F305" w14:textId="6B2DAA63"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15.000,00</w:t>
            </w:r>
          </w:p>
        </w:tc>
        <w:tc>
          <w:tcPr>
            <w:tcW w:w="581" w:type="pct"/>
            <w:tcBorders>
              <w:top w:val="nil"/>
              <w:left w:val="nil"/>
              <w:bottom w:val="single" w:sz="4" w:space="0" w:color="auto"/>
              <w:right w:val="nil"/>
            </w:tcBorders>
            <w:shd w:val="clear" w:color="auto" w:fill="auto"/>
            <w:vAlign w:val="center"/>
            <w:hideMark/>
          </w:tcPr>
          <w:p w14:paraId="39A002D3" w14:textId="477070E4"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44.999,99</w:t>
            </w:r>
          </w:p>
        </w:tc>
        <w:tc>
          <w:tcPr>
            <w:tcW w:w="588" w:type="pct"/>
            <w:tcBorders>
              <w:top w:val="nil"/>
              <w:left w:val="nil"/>
              <w:bottom w:val="single" w:sz="4" w:space="0" w:color="auto"/>
              <w:right w:val="nil"/>
            </w:tcBorders>
            <w:shd w:val="clear" w:color="auto" w:fill="auto"/>
            <w:vAlign w:val="center"/>
            <w:hideMark/>
          </w:tcPr>
          <w:p w14:paraId="4A9923CE" w14:textId="1F607A95"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59.999,99</w:t>
            </w:r>
          </w:p>
        </w:tc>
      </w:tr>
      <w:tr w:rsidR="00E50FF4" w:rsidRPr="007A7245" w14:paraId="7A589216" w14:textId="77777777" w:rsidTr="00954AA6">
        <w:trPr>
          <w:trHeight w:val="288"/>
          <w:jc w:val="center"/>
        </w:trPr>
        <w:tc>
          <w:tcPr>
            <w:tcW w:w="1515" w:type="pct"/>
            <w:tcBorders>
              <w:top w:val="nil"/>
              <w:left w:val="nil"/>
              <w:bottom w:val="single" w:sz="4" w:space="0" w:color="auto"/>
              <w:right w:val="nil"/>
            </w:tcBorders>
            <w:shd w:val="clear" w:color="auto" w:fill="auto"/>
            <w:vAlign w:val="center"/>
            <w:hideMark/>
          </w:tcPr>
          <w:p w14:paraId="367D253C" w14:textId="77777777" w:rsidR="00E50FF4" w:rsidRPr="007A7245" w:rsidRDefault="00E50FF4" w:rsidP="001B5A1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eastAsia="Times New Roman"/>
                <w:sz w:val="16"/>
                <w:szCs w:val="16"/>
                <w:bdr w:val="none" w:sz="0" w:space="0" w:color="auto"/>
                <w:lang w:eastAsia="es-ES"/>
              </w:rPr>
            </w:pPr>
            <w:r w:rsidRPr="007A7245">
              <w:rPr>
                <w:rFonts w:eastAsia="Times New Roman"/>
                <w:sz w:val="16"/>
                <w:szCs w:val="16"/>
                <w:bdr w:val="none" w:sz="0" w:space="0" w:color="auto"/>
                <w:lang w:eastAsia="es-ES"/>
              </w:rPr>
              <w:t>Consejería de Turismo, Industria y Comercio</w:t>
            </w:r>
          </w:p>
        </w:tc>
        <w:tc>
          <w:tcPr>
            <w:tcW w:w="606" w:type="pct"/>
            <w:tcBorders>
              <w:top w:val="nil"/>
              <w:left w:val="nil"/>
              <w:bottom w:val="nil"/>
              <w:right w:val="nil"/>
            </w:tcBorders>
            <w:shd w:val="clear" w:color="auto" w:fill="auto"/>
            <w:vAlign w:val="center"/>
            <w:hideMark/>
          </w:tcPr>
          <w:p w14:paraId="7A0A4064" w14:textId="0C13B92D"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rFonts w:eastAsia="Times New Roman"/>
                <w:sz w:val="16"/>
                <w:szCs w:val="16"/>
                <w:bdr w:val="none" w:sz="0" w:space="0" w:color="auto"/>
                <w:lang w:eastAsia="es-ES"/>
              </w:rPr>
              <w:t>-</w:t>
            </w:r>
          </w:p>
        </w:tc>
        <w:tc>
          <w:tcPr>
            <w:tcW w:w="772" w:type="pct"/>
            <w:tcBorders>
              <w:top w:val="nil"/>
              <w:left w:val="nil"/>
              <w:bottom w:val="nil"/>
              <w:right w:val="nil"/>
            </w:tcBorders>
            <w:shd w:val="clear" w:color="auto" w:fill="auto"/>
            <w:vAlign w:val="center"/>
            <w:hideMark/>
          </w:tcPr>
          <w:p w14:paraId="7655351C" w14:textId="32AE46D4"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rFonts w:eastAsia="Times New Roman"/>
                <w:sz w:val="16"/>
                <w:szCs w:val="16"/>
                <w:bdr w:val="none" w:sz="0" w:space="0" w:color="auto"/>
                <w:lang w:eastAsia="es-ES"/>
              </w:rPr>
              <w:t>-</w:t>
            </w:r>
          </w:p>
        </w:tc>
        <w:tc>
          <w:tcPr>
            <w:tcW w:w="938" w:type="pct"/>
            <w:tcBorders>
              <w:top w:val="nil"/>
              <w:left w:val="nil"/>
              <w:bottom w:val="nil"/>
              <w:right w:val="nil"/>
            </w:tcBorders>
            <w:shd w:val="clear" w:color="auto" w:fill="auto"/>
            <w:vAlign w:val="center"/>
            <w:hideMark/>
          </w:tcPr>
          <w:p w14:paraId="3DE36BE2" w14:textId="0C82C371"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2.258,49</w:t>
            </w:r>
          </w:p>
        </w:tc>
        <w:tc>
          <w:tcPr>
            <w:tcW w:w="581" w:type="pct"/>
            <w:tcBorders>
              <w:top w:val="nil"/>
              <w:left w:val="nil"/>
              <w:bottom w:val="single" w:sz="4" w:space="0" w:color="auto"/>
              <w:right w:val="nil"/>
            </w:tcBorders>
            <w:shd w:val="clear" w:color="auto" w:fill="auto"/>
            <w:vAlign w:val="center"/>
            <w:hideMark/>
          </w:tcPr>
          <w:p w14:paraId="58AE888E" w14:textId="34BE1FC7"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6.775,46</w:t>
            </w:r>
          </w:p>
        </w:tc>
        <w:tc>
          <w:tcPr>
            <w:tcW w:w="588" w:type="pct"/>
            <w:tcBorders>
              <w:top w:val="nil"/>
              <w:left w:val="nil"/>
              <w:bottom w:val="nil"/>
              <w:right w:val="nil"/>
            </w:tcBorders>
            <w:shd w:val="clear" w:color="auto" w:fill="auto"/>
            <w:vAlign w:val="center"/>
            <w:hideMark/>
          </w:tcPr>
          <w:p w14:paraId="3AB9860E" w14:textId="32AEC648"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sidRPr="007A7245">
              <w:rPr>
                <w:sz w:val="16"/>
                <w:szCs w:val="16"/>
              </w:rPr>
              <w:t>9.033,95</w:t>
            </w:r>
          </w:p>
        </w:tc>
      </w:tr>
      <w:tr w:rsidR="00E50FF4" w:rsidRPr="007A7245" w14:paraId="1A3EC513" w14:textId="77777777" w:rsidTr="00954AA6">
        <w:trPr>
          <w:trHeight w:val="283"/>
          <w:jc w:val="center"/>
        </w:trPr>
        <w:tc>
          <w:tcPr>
            <w:tcW w:w="1515" w:type="pct"/>
            <w:tcBorders>
              <w:top w:val="nil"/>
              <w:left w:val="nil"/>
              <w:bottom w:val="single" w:sz="4" w:space="0" w:color="auto"/>
              <w:right w:val="nil"/>
            </w:tcBorders>
            <w:shd w:val="clear" w:color="auto" w:fill="auto"/>
            <w:vAlign w:val="center"/>
            <w:hideMark/>
          </w:tcPr>
          <w:p w14:paraId="32E94F61" w14:textId="77777777"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Total</w:t>
            </w:r>
          </w:p>
        </w:tc>
        <w:tc>
          <w:tcPr>
            <w:tcW w:w="606" w:type="pct"/>
            <w:tcBorders>
              <w:top w:val="single" w:sz="4" w:space="0" w:color="auto"/>
              <w:left w:val="nil"/>
              <w:bottom w:val="single" w:sz="4" w:space="0" w:color="auto"/>
              <w:right w:val="nil"/>
            </w:tcBorders>
            <w:shd w:val="clear" w:color="auto" w:fill="auto"/>
            <w:vAlign w:val="center"/>
          </w:tcPr>
          <w:p w14:paraId="3B96F99B" w14:textId="4107A6B4"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w:t>
            </w:r>
          </w:p>
        </w:tc>
        <w:tc>
          <w:tcPr>
            <w:tcW w:w="772" w:type="pct"/>
            <w:tcBorders>
              <w:top w:val="single" w:sz="4" w:space="0" w:color="auto"/>
              <w:left w:val="nil"/>
              <w:bottom w:val="single" w:sz="4" w:space="0" w:color="auto"/>
              <w:right w:val="nil"/>
            </w:tcBorders>
            <w:shd w:val="clear" w:color="auto" w:fill="auto"/>
            <w:vAlign w:val="center"/>
          </w:tcPr>
          <w:p w14:paraId="29F28015" w14:textId="5D930F3F"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A7245">
              <w:rPr>
                <w:rFonts w:eastAsia="Times New Roman"/>
                <w:b/>
                <w:bCs/>
                <w:sz w:val="16"/>
                <w:szCs w:val="16"/>
                <w:bdr w:val="none" w:sz="0" w:space="0" w:color="auto"/>
                <w:lang w:eastAsia="es-ES"/>
              </w:rPr>
              <w:t>-</w:t>
            </w:r>
          </w:p>
        </w:tc>
        <w:tc>
          <w:tcPr>
            <w:tcW w:w="938" w:type="pct"/>
            <w:tcBorders>
              <w:top w:val="single" w:sz="4" w:space="0" w:color="auto"/>
              <w:left w:val="nil"/>
              <w:bottom w:val="single" w:sz="4" w:space="0" w:color="auto"/>
              <w:right w:val="nil"/>
            </w:tcBorders>
            <w:shd w:val="clear" w:color="auto" w:fill="auto"/>
            <w:vAlign w:val="center"/>
            <w:hideMark/>
          </w:tcPr>
          <w:p w14:paraId="57287820" w14:textId="7E1E6673"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A7245">
              <w:rPr>
                <w:b/>
                <w:bCs/>
                <w:sz w:val="16"/>
                <w:szCs w:val="16"/>
              </w:rPr>
              <w:t>17.906,82</w:t>
            </w:r>
          </w:p>
        </w:tc>
        <w:tc>
          <w:tcPr>
            <w:tcW w:w="581" w:type="pct"/>
            <w:tcBorders>
              <w:top w:val="nil"/>
              <w:left w:val="nil"/>
              <w:bottom w:val="single" w:sz="4" w:space="0" w:color="auto"/>
              <w:right w:val="nil"/>
            </w:tcBorders>
            <w:shd w:val="clear" w:color="auto" w:fill="auto"/>
            <w:vAlign w:val="center"/>
            <w:hideMark/>
          </w:tcPr>
          <w:p w14:paraId="46953CF0" w14:textId="0208005A"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A7245">
              <w:rPr>
                <w:b/>
                <w:bCs/>
                <w:sz w:val="16"/>
                <w:szCs w:val="16"/>
              </w:rPr>
              <w:t>53.864,43</w:t>
            </w:r>
          </w:p>
        </w:tc>
        <w:tc>
          <w:tcPr>
            <w:tcW w:w="588" w:type="pct"/>
            <w:tcBorders>
              <w:top w:val="single" w:sz="4" w:space="0" w:color="auto"/>
              <w:left w:val="nil"/>
              <w:bottom w:val="single" w:sz="4" w:space="0" w:color="auto"/>
              <w:right w:val="nil"/>
            </w:tcBorders>
            <w:shd w:val="clear" w:color="auto" w:fill="auto"/>
            <w:vAlign w:val="center"/>
            <w:hideMark/>
          </w:tcPr>
          <w:p w14:paraId="664FB0CE" w14:textId="5407FBCD" w:rsidR="00E50FF4" w:rsidRPr="007A7245" w:rsidRDefault="00E50FF4" w:rsidP="00E50FF4">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7A7245">
              <w:rPr>
                <w:b/>
                <w:bCs/>
                <w:sz w:val="16"/>
                <w:szCs w:val="16"/>
              </w:rPr>
              <w:t>71.771,25</w:t>
            </w:r>
          </w:p>
        </w:tc>
      </w:tr>
    </w:tbl>
    <w:p w14:paraId="2A62AF61" w14:textId="4AAC734E" w:rsidR="006220A2" w:rsidRPr="007A7245" w:rsidRDefault="006220A2" w:rsidP="001B5A15">
      <w:pPr>
        <w:keepNext/>
        <w:keepLines/>
        <w:widowControl w:val="0"/>
        <w:spacing w:before="240" w:after="120" w:line="260" w:lineRule="exact"/>
        <w:jc w:val="both"/>
        <w:outlineLvl w:val="9"/>
        <w:rPr>
          <w:snapToGrid w:val="0"/>
          <w:sz w:val="20"/>
          <w:szCs w:val="22"/>
        </w:rPr>
      </w:pPr>
      <w:r w:rsidRPr="007A7245">
        <w:rPr>
          <w:snapToGrid w:val="0"/>
          <w:sz w:val="20"/>
          <w:szCs w:val="22"/>
        </w:rPr>
        <w:t>El movimiento de estas subvenciones ha sido el siguiente:</w:t>
      </w:r>
    </w:p>
    <w:tbl>
      <w:tblPr>
        <w:tblW w:w="5000" w:type="pct"/>
        <w:jc w:val="center"/>
        <w:tblCellMar>
          <w:left w:w="70" w:type="dxa"/>
          <w:right w:w="70" w:type="dxa"/>
        </w:tblCellMar>
        <w:tblLook w:val="04A0" w:firstRow="1" w:lastRow="0" w:firstColumn="1" w:lastColumn="0" w:noHBand="0" w:noVBand="1"/>
      </w:tblPr>
      <w:tblGrid>
        <w:gridCol w:w="5077"/>
        <w:gridCol w:w="1853"/>
        <w:gridCol w:w="1851"/>
      </w:tblGrid>
      <w:tr w:rsidR="006220A2" w:rsidRPr="007A7245" w14:paraId="09454B40" w14:textId="77777777" w:rsidTr="00176BA0">
        <w:trPr>
          <w:trHeight w:val="283"/>
          <w:jc w:val="center"/>
        </w:trPr>
        <w:tc>
          <w:tcPr>
            <w:tcW w:w="2891" w:type="pct"/>
            <w:tcBorders>
              <w:top w:val="single" w:sz="4" w:space="0" w:color="auto"/>
              <w:left w:val="nil"/>
              <w:bottom w:val="nil"/>
              <w:right w:val="nil"/>
            </w:tcBorders>
            <w:shd w:val="clear" w:color="auto" w:fill="auto"/>
            <w:vAlign w:val="bottom"/>
            <w:hideMark/>
          </w:tcPr>
          <w:p w14:paraId="26EEF182" w14:textId="77777777" w:rsidR="006220A2" w:rsidRPr="007A7245" w:rsidRDefault="006220A2" w:rsidP="00176BA0">
            <w:pPr>
              <w:keepNext/>
              <w:keepLines/>
              <w:ind w:left="215"/>
              <w:jc w:val="center"/>
              <w:rPr>
                <w:rFonts w:eastAsia="Times New Roman" w:cs="Times"/>
                <w:sz w:val="18"/>
                <w:szCs w:val="18"/>
              </w:rPr>
            </w:pPr>
          </w:p>
        </w:tc>
        <w:tc>
          <w:tcPr>
            <w:tcW w:w="2109" w:type="pct"/>
            <w:gridSpan w:val="2"/>
            <w:tcBorders>
              <w:top w:val="single" w:sz="4" w:space="0" w:color="auto"/>
              <w:left w:val="nil"/>
              <w:bottom w:val="single" w:sz="4" w:space="0" w:color="auto"/>
              <w:right w:val="nil"/>
            </w:tcBorders>
            <w:shd w:val="clear" w:color="auto" w:fill="auto"/>
            <w:vAlign w:val="bottom"/>
            <w:hideMark/>
          </w:tcPr>
          <w:p w14:paraId="37B3D6D4" w14:textId="77777777" w:rsidR="006220A2" w:rsidRPr="007A7245" w:rsidRDefault="006220A2" w:rsidP="00852114">
            <w:pPr>
              <w:keepNext/>
              <w:keepLines/>
              <w:jc w:val="center"/>
              <w:rPr>
                <w:rFonts w:eastAsia="Times New Roman"/>
                <w:b/>
                <w:bCs/>
                <w:sz w:val="18"/>
                <w:szCs w:val="18"/>
              </w:rPr>
            </w:pPr>
            <w:r w:rsidRPr="007A7245">
              <w:rPr>
                <w:rFonts w:eastAsia="Times New Roman"/>
                <w:b/>
                <w:bCs/>
                <w:sz w:val="18"/>
                <w:szCs w:val="18"/>
              </w:rPr>
              <w:t>Euros</w:t>
            </w:r>
          </w:p>
        </w:tc>
      </w:tr>
      <w:tr w:rsidR="007E462E" w:rsidRPr="007A7245" w14:paraId="158B86C8" w14:textId="77777777" w:rsidTr="00A679E0">
        <w:trPr>
          <w:trHeight w:val="283"/>
          <w:jc w:val="center"/>
        </w:trPr>
        <w:tc>
          <w:tcPr>
            <w:tcW w:w="2891" w:type="pct"/>
            <w:tcBorders>
              <w:top w:val="nil"/>
              <w:left w:val="nil"/>
              <w:bottom w:val="single" w:sz="4" w:space="0" w:color="auto"/>
              <w:right w:val="nil"/>
            </w:tcBorders>
            <w:shd w:val="clear" w:color="auto" w:fill="auto"/>
            <w:vAlign w:val="bottom"/>
            <w:hideMark/>
          </w:tcPr>
          <w:p w14:paraId="42648D9F" w14:textId="77777777" w:rsidR="007E462E" w:rsidRPr="007A7245" w:rsidRDefault="007E462E" w:rsidP="007E462E">
            <w:pPr>
              <w:keepNext/>
              <w:keepLines/>
              <w:ind w:left="215"/>
              <w:jc w:val="center"/>
              <w:rPr>
                <w:rFonts w:eastAsia="Times New Roman" w:cs="Times"/>
                <w:sz w:val="18"/>
                <w:szCs w:val="18"/>
              </w:rPr>
            </w:pPr>
          </w:p>
        </w:tc>
        <w:tc>
          <w:tcPr>
            <w:tcW w:w="1055" w:type="pct"/>
            <w:tcBorders>
              <w:top w:val="nil"/>
              <w:left w:val="nil"/>
              <w:bottom w:val="single" w:sz="4" w:space="0" w:color="auto"/>
              <w:right w:val="nil"/>
            </w:tcBorders>
            <w:shd w:val="clear" w:color="auto" w:fill="auto"/>
            <w:vAlign w:val="bottom"/>
            <w:hideMark/>
          </w:tcPr>
          <w:p w14:paraId="2699EF85" w14:textId="14800B05" w:rsidR="007E462E" w:rsidRPr="007A7245" w:rsidRDefault="007E462E" w:rsidP="007E462E">
            <w:pPr>
              <w:keepNext/>
              <w:keepLines/>
              <w:jc w:val="center"/>
              <w:rPr>
                <w:rFonts w:eastAsia="Times New Roman"/>
                <w:b/>
                <w:bCs/>
                <w:sz w:val="18"/>
                <w:szCs w:val="18"/>
              </w:rPr>
            </w:pPr>
            <w:r w:rsidRPr="007A7245">
              <w:rPr>
                <w:rFonts w:eastAsia="Times New Roman"/>
                <w:b/>
                <w:bCs/>
                <w:sz w:val="18"/>
                <w:szCs w:val="18"/>
              </w:rPr>
              <w:t>31/12/202</w:t>
            </w:r>
            <w:r w:rsidR="007A7245" w:rsidRPr="007A7245">
              <w:rPr>
                <w:rFonts w:eastAsia="Times New Roman"/>
                <w:b/>
                <w:bCs/>
                <w:sz w:val="18"/>
                <w:szCs w:val="18"/>
              </w:rPr>
              <w:t>3</w:t>
            </w:r>
          </w:p>
        </w:tc>
        <w:tc>
          <w:tcPr>
            <w:tcW w:w="1054" w:type="pct"/>
            <w:tcBorders>
              <w:top w:val="nil"/>
              <w:left w:val="nil"/>
              <w:bottom w:val="single" w:sz="4" w:space="0" w:color="auto"/>
              <w:right w:val="nil"/>
            </w:tcBorders>
            <w:shd w:val="clear" w:color="auto" w:fill="auto"/>
            <w:vAlign w:val="bottom"/>
            <w:hideMark/>
          </w:tcPr>
          <w:p w14:paraId="7A868439" w14:textId="47E7888D" w:rsidR="007E462E" w:rsidRPr="007A7245" w:rsidRDefault="007E462E" w:rsidP="007E462E">
            <w:pPr>
              <w:keepNext/>
              <w:keepLines/>
              <w:jc w:val="center"/>
              <w:rPr>
                <w:rFonts w:eastAsia="Times New Roman"/>
                <w:b/>
                <w:bCs/>
                <w:sz w:val="18"/>
                <w:szCs w:val="18"/>
              </w:rPr>
            </w:pPr>
            <w:r w:rsidRPr="007A7245">
              <w:rPr>
                <w:rFonts w:eastAsia="Times New Roman"/>
                <w:b/>
                <w:bCs/>
                <w:sz w:val="18"/>
                <w:szCs w:val="18"/>
              </w:rPr>
              <w:t>31/12/202</w:t>
            </w:r>
            <w:r w:rsidR="007A7245" w:rsidRPr="007A7245">
              <w:rPr>
                <w:rFonts w:eastAsia="Times New Roman"/>
                <w:b/>
                <w:bCs/>
                <w:sz w:val="18"/>
                <w:szCs w:val="18"/>
              </w:rPr>
              <w:t>2</w:t>
            </w:r>
          </w:p>
        </w:tc>
      </w:tr>
      <w:tr w:rsidR="007A7245" w:rsidRPr="007A7245" w14:paraId="38DEFFAA" w14:textId="77777777" w:rsidTr="00A679E0">
        <w:trPr>
          <w:trHeight w:val="283"/>
          <w:jc w:val="center"/>
        </w:trPr>
        <w:tc>
          <w:tcPr>
            <w:tcW w:w="2891" w:type="pct"/>
            <w:tcBorders>
              <w:top w:val="single" w:sz="4" w:space="0" w:color="auto"/>
              <w:left w:val="nil"/>
              <w:bottom w:val="single" w:sz="4" w:space="0" w:color="auto"/>
              <w:right w:val="nil"/>
            </w:tcBorders>
            <w:shd w:val="clear" w:color="auto" w:fill="auto"/>
            <w:vAlign w:val="center"/>
            <w:hideMark/>
          </w:tcPr>
          <w:p w14:paraId="24BE54BD" w14:textId="77777777" w:rsidR="007A7245" w:rsidRPr="007A7245" w:rsidRDefault="007A7245" w:rsidP="007A7245">
            <w:pPr>
              <w:keepNext/>
              <w:keepLines/>
              <w:ind w:left="215"/>
              <w:rPr>
                <w:rFonts w:eastAsia="Times New Roman"/>
                <w:b/>
                <w:bCs/>
                <w:sz w:val="18"/>
                <w:szCs w:val="18"/>
              </w:rPr>
            </w:pPr>
            <w:r w:rsidRPr="007A7245">
              <w:rPr>
                <w:rFonts w:eastAsia="Times New Roman"/>
                <w:b/>
                <w:bCs/>
                <w:sz w:val="18"/>
                <w:szCs w:val="18"/>
              </w:rPr>
              <w:t>Saldo inicial</w:t>
            </w:r>
          </w:p>
        </w:tc>
        <w:tc>
          <w:tcPr>
            <w:tcW w:w="1055" w:type="pct"/>
            <w:tcBorders>
              <w:top w:val="single" w:sz="4" w:space="0" w:color="auto"/>
              <w:left w:val="nil"/>
              <w:bottom w:val="single" w:sz="4" w:space="0" w:color="auto"/>
              <w:right w:val="nil"/>
            </w:tcBorders>
            <w:shd w:val="clear" w:color="auto" w:fill="auto"/>
            <w:vAlign w:val="center"/>
          </w:tcPr>
          <w:p w14:paraId="34C5A556" w14:textId="5B0719CC" w:rsidR="007A7245" w:rsidRPr="007A7245" w:rsidRDefault="007A7245" w:rsidP="007A72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A7245">
              <w:rPr>
                <w:b/>
                <w:bCs/>
                <w:sz w:val="18"/>
                <w:szCs w:val="18"/>
              </w:rPr>
              <w:t>118.536,68</w:t>
            </w:r>
          </w:p>
        </w:tc>
        <w:tc>
          <w:tcPr>
            <w:tcW w:w="1054" w:type="pct"/>
            <w:tcBorders>
              <w:top w:val="single" w:sz="4" w:space="0" w:color="auto"/>
              <w:left w:val="nil"/>
              <w:bottom w:val="single" w:sz="4" w:space="0" w:color="auto"/>
              <w:right w:val="nil"/>
            </w:tcBorders>
            <w:shd w:val="clear" w:color="auto" w:fill="auto"/>
            <w:vAlign w:val="center"/>
            <w:hideMark/>
          </w:tcPr>
          <w:p w14:paraId="1D64A372" w14:textId="46EDC9E7" w:rsidR="007A7245" w:rsidRPr="007A7245" w:rsidRDefault="007A7245" w:rsidP="007A7245">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A7245">
              <w:rPr>
                <w:b/>
                <w:bCs/>
                <w:sz w:val="18"/>
                <w:szCs w:val="18"/>
              </w:rPr>
              <w:t>172.401,11</w:t>
            </w:r>
          </w:p>
        </w:tc>
      </w:tr>
      <w:tr w:rsidR="007A7245" w:rsidRPr="007A7245" w14:paraId="5922E215" w14:textId="77777777" w:rsidTr="00A679E0">
        <w:trPr>
          <w:trHeight w:val="283"/>
          <w:jc w:val="center"/>
        </w:trPr>
        <w:tc>
          <w:tcPr>
            <w:tcW w:w="2891" w:type="pct"/>
            <w:tcBorders>
              <w:top w:val="single" w:sz="4" w:space="0" w:color="auto"/>
              <w:left w:val="nil"/>
              <w:bottom w:val="nil"/>
              <w:right w:val="nil"/>
            </w:tcBorders>
            <w:shd w:val="clear" w:color="auto" w:fill="auto"/>
            <w:vAlign w:val="center"/>
            <w:hideMark/>
          </w:tcPr>
          <w:p w14:paraId="5B9A3E03" w14:textId="35D651AE" w:rsidR="007A7245" w:rsidRPr="007A7245" w:rsidRDefault="007A7245" w:rsidP="007A7245">
            <w:pPr>
              <w:keepNext/>
              <w:keepLines/>
              <w:ind w:left="215"/>
              <w:rPr>
                <w:rFonts w:eastAsia="Times New Roman"/>
                <w:sz w:val="18"/>
                <w:szCs w:val="18"/>
              </w:rPr>
            </w:pPr>
            <w:r w:rsidRPr="007A7245">
              <w:rPr>
                <w:sz w:val="18"/>
                <w:szCs w:val="18"/>
              </w:rPr>
              <w:t>Imputación al resultado</w:t>
            </w:r>
          </w:p>
        </w:tc>
        <w:tc>
          <w:tcPr>
            <w:tcW w:w="1055" w:type="pct"/>
            <w:tcBorders>
              <w:top w:val="single" w:sz="4" w:space="0" w:color="auto"/>
              <w:left w:val="nil"/>
              <w:bottom w:val="nil"/>
              <w:right w:val="nil"/>
            </w:tcBorders>
            <w:shd w:val="clear" w:color="auto" w:fill="auto"/>
            <w:vAlign w:val="center"/>
          </w:tcPr>
          <w:p w14:paraId="4749CE95" w14:textId="6EFD0651" w:rsidR="007A7245" w:rsidRPr="007A7245" w:rsidRDefault="007A7245" w:rsidP="007A7245">
            <w:pPr>
              <w:jc w:val="right"/>
              <w:rPr>
                <w:sz w:val="18"/>
                <w:szCs w:val="18"/>
              </w:rPr>
            </w:pPr>
            <w:r w:rsidRPr="007A7245">
              <w:rPr>
                <w:sz w:val="18"/>
                <w:szCs w:val="18"/>
              </w:rPr>
              <w:t>(71.771,25)</w:t>
            </w:r>
          </w:p>
        </w:tc>
        <w:tc>
          <w:tcPr>
            <w:tcW w:w="1054" w:type="pct"/>
            <w:tcBorders>
              <w:top w:val="single" w:sz="4" w:space="0" w:color="auto"/>
              <w:left w:val="nil"/>
              <w:bottom w:val="nil"/>
              <w:right w:val="nil"/>
            </w:tcBorders>
            <w:shd w:val="clear" w:color="auto" w:fill="auto"/>
            <w:vAlign w:val="center"/>
            <w:hideMark/>
          </w:tcPr>
          <w:p w14:paraId="75870DA1" w14:textId="3ED6115F" w:rsidR="007A7245" w:rsidRPr="007A7245" w:rsidRDefault="007A7245" w:rsidP="007A7245">
            <w:pPr>
              <w:jc w:val="right"/>
              <w:rPr>
                <w:sz w:val="18"/>
                <w:szCs w:val="18"/>
              </w:rPr>
            </w:pPr>
            <w:r w:rsidRPr="007A7245">
              <w:rPr>
                <w:sz w:val="18"/>
                <w:szCs w:val="18"/>
              </w:rPr>
              <w:t>(71.771,25)</w:t>
            </w:r>
          </w:p>
        </w:tc>
      </w:tr>
      <w:tr w:rsidR="007A7245" w:rsidRPr="007A7245" w14:paraId="7BA8C8BB" w14:textId="77777777" w:rsidTr="00176BA0">
        <w:trPr>
          <w:trHeight w:val="283"/>
          <w:jc w:val="center"/>
        </w:trPr>
        <w:tc>
          <w:tcPr>
            <w:tcW w:w="2891" w:type="pct"/>
            <w:tcBorders>
              <w:top w:val="nil"/>
              <w:left w:val="nil"/>
              <w:bottom w:val="single" w:sz="4" w:space="0" w:color="auto"/>
              <w:right w:val="nil"/>
            </w:tcBorders>
            <w:shd w:val="clear" w:color="auto" w:fill="auto"/>
            <w:vAlign w:val="center"/>
            <w:hideMark/>
          </w:tcPr>
          <w:p w14:paraId="2A481E91" w14:textId="2AB33615" w:rsidR="007A7245" w:rsidRPr="007A7245" w:rsidRDefault="007A7245" w:rsidP="007A7245">
            <w:pPr>
              <w:ind w:left="215"/>
              <w:rPr>
                <w:rFonts w:eastAsia="Times New Roman"/>
                <w:sz w:val="18"/>
                <w:szCs w:val="18"/>
              </w:rPr>
            </w:pPr>
            <w:r w:rsidRPr="007A7245">
              <w:rPr>
                <w:sz w:val="18"/>
                <w:szCs w:val="18"/>
              </w:rPr>
              <w:t xml:space="preserve">Efecto impositivo por imputación a </w:t>
            </w:r>
            <w:proofErr w:type="spellStart"/>
            <w:r w:rsidRPr="007A7245">
              <w:rPr>
                <w:sz w:val="18"/>
                <w:szCs w:val="18"/>
              </w:rPr>
              <w:t>rdtos</w:t>
            </w:r>
            <w:proofErr w:type="spellEnd"/>
            <w:r w:rsidRPr="007A7245">
              <w:rPr>
                <w:sz w:val="18"/>
                <w:szCs w:val="18"/>
              </w:rPr>
              <w:t>.</w:t>
            </w:r>
          </w:p>
        </w:tc>
        <w:tc>
          <w:tcPr>
            <w:tcW w:w="1055" w:type="pct"/>
            <w:tcBorders>
              <w:top w:val="nil"/>
              <w:left w:val="nil"/>
              <w:bottom w:val="single" w:sz="4" w:space="0" w:color="auto"/>
              <w:right w:val="nil"/>
            </w:tcBorders>
            <w:shd w:val="clear" w:color="auto" w:fill="auto"/>
            <w:vAlign w:val="center"/>
          </w:tcPr>
          <w:p w14:paraId="2BC95979" w14:textId="19F52639" w:rsidR="007A7245" w:rsidRPr="007A7245" w:rsidRDefault="007A7245" w:rsidP="007A7245">
            <w:pPr>
              <w:jc w:val="right"/>
              <w:rPr>
                <w:sz w:val="18"/>
                <w:szCs w:val="18"/>
              </w:rPr>
            </w:pPr>
            <w:r w:rsidRPr="007A7245">
              <w:rPr>
                <w:sz w:val="18"/>
                <w:szCs w:val="18"/>
              </w:rPr>
              <w:t>17.906,82</w:t>
            </w:r>
          </w:p>
        </w:tc>
        <w:tc>
          <w:tcPr>
            <w:tcW w:w="1054" w:type="pct"/>
            <w:tcBorders>
              <w:top w:val="nil"/>
              <w:left w:val="nil"/>
              <w:bottom w:val="single" w:sz="4" w:space="0" w:color="auto"/>
              <w:right w:val="nil"/>
            </w:tcBorders>
            <w:shd w:val="clear" w:color="auto" w:fill="auto"/>
            <w:vAlign w:val="center"/>
            <w:hideMark/>
          </w:tcPr>
          <w:p w14:paraId="667A44A8" w14:textId="0582CBA7" w:rsidR="007A7245" w:rsidRPr="007A7245" w:rsidRDefault="007A7245" w:rsidP="007A7245">
            <w:pPr>
              <w:jc w:val="right"/>
              <w:rPr>
                <w:sz w:val="18"/>
                <w:szCs w:val="18"/>
              </w:rPr>
            </w:pPr>
            <w:r w:rsidRPr="007A7245">
              <w:rPr>
                <w:sz w:val="18"/>
                <w:szCs w:val="18"/>
              </w:rPr>
              <w:t>17.906,82</w:t>
            </w:r>
          </w:p>
        </w:tc>
      </w:tr>
      <w:tr w:rsidR="007A7245" w:rsidRPr="00E612CB" w14:paraId="6426A50F" w14:textId="77777777" w:rsidTr="00176BA0">
        <w:trPr>
          <w:trHeight w:val="283"/>
          <w:jc w:val="center"/>
        </w:trPr>
        <w:tc>
          <w:tcPr>
            <w:tcW w:w="2891" w:type="pct"/>
            <w:tcBorders>
              <w:top w:val="nil"/>
              <w:left w:val="nil"/>
              <w:bottom w:val="single" w:sz="4" w:space="0" w:color="auto"/>
              <w:right w:val="nil"/>
            </w:tcBorders>
            <w:shd w:val="clear" w:color="auto" w:fill="auto"/>
            <w:vAlign w:val="center"/>
            <w:hideMark/>
          </w:tcPr>
          <w:p w14:paraId="152996C3" w14:textId="77777777" w:rsidR="007A7245" w:rsidRPr="007A7245" w:rsidRDefault="007A7245" w:rsidP="007A7245">
            <w:pPr>
              <w:ind w:left="215"/>
              <w:rPr>
                <w:rFonts w:eastAsia="Times New Roman"/>
                <w:b/>
                <w:bCs/>
                <w:sz w:val="18"/>
                <w:szCs w:val="18"/>
              </w:rPr>
            </w:pPr>
            <w:r w:rsidRPr="007A7245">
              <w:rPr>
                <w:rFonts w:eastAsia="Times New Roman"/>
                <w:b/>
                <w:bCs/>
                <w:sz w:val="18"/>
                <w:szCs w:val="18"/>
              </w:rPr>
              <w:t>Saldo final</w:t>
            </w:r>
          </w:p>
        </w:tc>
        <w:tc>
          <w:tcPr>
            <w:tcW w:w="1055" w:type="pct"/>
            <w:tcBorders>
              <w:top w:val="nil"/>
              <w:left w:val="nil"/>
              <w:bottom w:val="single" w:sz="4" w:space="0" w:color="auto"/>
              <w:right w:val="nil"/>
            </w:tcBorders>
            <w:shd w:val="clear" w:color="auto" w:fill="auto"/>
            <w:vAlign w:val="center"/>
          </w:tcPr>
          <w:p w14:paraId="77896ECF" w14:textId="515FFA8E" w:rsidR="007A7245" w:rsidRPr="007A7245" w:rsidRDefault="007A7245" w:rsidP="007A7245">
            <w:pPr>
              <w:jc w:val="right"/>
              <w:rPr>
                <w:b/>
                <w:bCs/>
                <w:sz w:val="18"/>
                <w:szCs w:val="18"/>
              </w:rPr>
            </w:pPr>
            <w:r w:rsidRPr="007A7245">
              <w:rPr>
                <w:b/>
                <w:bCs/>
                <w:sz w:val="18"/>
                <w:szCs w:val="18"/>
              </w:rPr>
              <w:t>64.672,25</w:t>
            </w:r>
          </w:p>
        </w:tc>
        <w:tc>
          <w:tcPr>
            <w:tcW w:w="1054" w:type="pct"/>
            <w:tcBorders>
              <w:top w:val="nil"/>
              <w:left w:val="nil"/>
              <w:bottom w:val="single" w:sz="4" w:space="0" w:color="auto"/>
              <w:right w:val="nil"/>
            </w:tcBorders>
            <w:shd w:val="clear" w:color="auto" w:fill="auto"/>
            <w:vAlign w:val="center"/>
            <w:hideMark/>
          </w:tcPr>
          <w:p w14:paraId="6E6CEF56" w14:textId="68B72056" w:rsidR="007A7245" w:rsidRPr="007A7245" w:rsidRDefault="007A7245" w:rsidP="007A7245">
            <w:pPr>
              <w:jc w:val="right"/>
              <w:rPr>
                <w:b/>
                <w:bCs/>
                <w:sz w:val="18"/>
                <w:szCs w:val="18"/>
              </w:rPr>
            </w:pPr>
            <w:r w:rsidRPr="007A7245">
              <w:rPr>
                <w:b/>
                <w:bCs/>
                <w:sz w:val="18"/>
                <w:szCs w:val="18"/>
              </w:rPr>
              <w:t>118.536,68</w:t>
            </w:r>
          </w:p>
        </w:tc>
      </w:tr>
    </w:tbl>
    <w:p w14:paraId="3997232A" w14:textId="55B156D5" w:rsidR="00113C04" w:rsidRPr="007A7245" w:rsidRDefault="00113C04" w:rsidP="001B5A15">
      <w:pPr>
        <w:keepNext/>
        <w:keepLines/>
        <w:widowControl w:val="0"/>
        <w:spacing w:before="240" w:after="120" w:line="260" w:lineRule="exact"/>
        <w:jc w:val="both"/>
        <w:outlineLvl w:val="9"/>
        <w:rPr>
          <w:snapToGrid w:val="0"/>
          <w:sz w:val="20"/>
          <w:szCs w:val="22"/>
        </w:rPr>
      </w:pPr>
      <w:r w:rsidRPr="007A7245">
        <w:rPr>
          <w:snapToGrid w:val="0"/>
          <w:sz w:val="20"/>
          <w:szCs w:val="22"/>
        </w:rPr>
        <w:t>En el ejercicio 2020 la Consejería de Turismo</w:t>
      </w:r>
      <w:r w:rsidR="00396EF8">
        <w:rPr>
          <w:snapToGrid w:val="0"/>
          <w:sz w:val="20"/>
          <w:szCs w:val="22"/>
        </w:rPr>
        <w:t xml:space="preserve"> y Empleo</w:t>
      </w:r>
      <w:r w:rsidRPr="007A7245">
        <w:rPr>
          <w:snapToGrid w:val="0"/>
          <w:sz w:val="20"/>
          <w:szCs w:val="22"/>
        </w:rPr>
        <w:t xml:space="preserve"> concedi</w:t>
      </w:r>
      <w:r w:rsidR="00C15BD4" w:rsidRPr="007A7245">
        <w:rPr>
          <w:snapToGrid w:val="0"/>
          <w:sz w:val="20"/>
          <w:szCs w:val="22"/>
        </w:rPr>
        <w:t>ó</w:t>
      </w:r>
      <w:r w:rsidRPr="007A7245">
        <w:rPr>
          <w:snapToGrid w:val="0"/>
          <w:sz w:val="20"/>
          <w:szCs w:val="22"/>
        </w:rPr>
        <w:t xml:space="preserve"> una subvención por importe de 90.600 euros, reconociendo 67.950 euros en Patrimonio y 22.650 euros en pasivos diferidos.</w:t>
      </w:r>
    </w:p>
    <w:p w14:paraId="762CDF9E" w14:textId="5704CF41" w:rsidR="00D67C6B" w:rsidRDefault="00831BAC" w:rsidP="00D67C6B">
      <w:pPr>
        <w:widowControl w:val="0"/>
        <w:spacing w:before="120" w:after="120" w:line="260" w:lineRule="exact"/>
        <w:jc w:val="both"/>
        <w:outlineLvl w:val="9"/>
        <w:rPr>
          <w:snapToGrid w:val="0"/>
          <w:sz w:val="20"/>
          <w:szCs w:val="22"/>
        </w:rPr>
      </w:pPr>
      <w:r w:rsidRPr="007A7245">
        <w:rPr>
          <w:snapToGrid w:val="0"/>
          <w:sz w:val="20"/>
          <w:szCs w:val="22"/>
        </w:rPr>
        <w:t>En el ejercicio 2019 la Consejería de Turismo</w:t>
      </w:r>
      <w:r w:rsidR="00396EF8">
        <w:rPr>
          <w:snapToGrid w:val="0"/>
          <w:sz w:val="20"/>
          <w:szCs w:val="22"/>
        </w:rPr>
        <w:t xml:space="preserve"> y Empleo</w:t>
      </w:r>
      <w:r w:rsidRPr="007A7245">
        <w:rPr>
          <w:snapToGrid w:val="0"/>
          <w:sz w:val="20"/>
          <w:szCs w:val="22"/>
        </w:rPr>
        <w:t xml:space="preserve"> </w:t>
      </w:r>
      <w:r w:rsidR="00E6315F" w:rsidRPr="007A7245">
        <w:rPr>
          <w:snapToGrid w:val="0"/>
          <w:sz w:val="20"/>
          <w:szCs w:val="22"/>
        </w:rPr>
        <w:t>concedió</w:t>
      </w:r>
      <w:r w:rsidRPr="007A7245">
        <w:rPr>
          <w:snapToGrid w:val="0"/>
          <w:sz w:val="20"/>
          <w:szCs w:val="22"/>
        </w:rPr>
        <w:t xml:space="preserve"> una subvención por importe de 300.000 euros</w:t>
      </w:r>
      <w:r w:rsidR="0058330F" w:rsidRPr="007A7245">
        <w:rPr>
          <w:snapToGrid w:val="0"/>
          <w:sz w:val="20"/>
          <w:szCs w:val="22"/>
        </w:rPr>
        <w:t xml:space="preserve">, </w:t>
      </w:r>
      <w:r w:rsidR="00E6315F" w:rsidRPr="007A7245">
        <w:rPr>
          <w:snapToGrid w:val="0"/>
          <w:sz w:val="20"/>
          <w:szCs w:val="22"/>
        </w:rPr>
        <w:t>reconoció</w:t>
      </w:r>
      <w:r w:rsidR="0058330F" w:rsidRPr="007A7245">
        <w:rPr>
          <w:snapToGrid w:val="0"/>
          <w:sz w:val="20"/>
          <w:szCs w:val="22"/>
        </w:rPr>
        <w:t xml:space="preserve"> 225.000 euros en Patrimonio y 75.000 euros en pasivos diferidos.</w:t>
      </w:r>
    </w:p>
    <w:p w14:paraId="6BE4B626" w14:textId="77777777" w:rsidR="00D67C6B" w:rsidRDefault="00D67C6B">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60A1A97D" w14:textId="091A0CE8" w:rsidR="006220A2" w:rsidRPr="001028B8" w:rsidRDefault="006220A2" w:rsidP="00497BBB">
      <w:pPr>
        <w:keepNext/>
        <w:keepLines/>
        <w:widowControl w:val="0"/>
        <w:tabs>
          <w:tab w:val="center" w:pos="4390"/>
        </w:tabs>
        <w:spacing w:before="200"/>
        <w:rPr>
          <w:b/>
          <w:sz w:val="20"/>
          <w:szCs w:val="22"/>
        </w:rPr>
      </w:pPr>
      <w:r w:rsidRPr="001028B8">
        <w:rPr>
          <w:b/>
          <w:sz w:val="20"/>
          <w:szCs w:val="22"/>
        </w:rPr>
        <w:lastRenderedPageBreak/>
        <w:t>15.2 Subvenciones de Explotación</w:t>
      </w:r>
    </w:p>
    <w:p w14:paraId="34F00258" w14:textId="0FB36D1B" w:rsidR="006220A2" w:rsidRPr="001028B8" w:rsidRDefault="006220A2" w:rsidP="00D67C6B">
      <w:pPr>
        <w:widowControl w:val="0"/>
        <w:spacing w:before="120" w:after="120" w:line="260" w:lineRule="exact"/>
        <w:jc w:val="both"/>
        <w:outlineLvl w:val="9"/>
        <w:rPr>
          <w:snapToGrid w:val="0"/>
          <w:sz w:val="20"/>
          <w:szCs w:val="22"/>
        </w:rPr>
      </w:pPr>
      <w:r w:rsidRPr="001028B8">
        <w:rPr>
          <w:snapToGrid w:val="0"/>
          <w:sz w:val="20"/>
          <w:szCs w:val="22"/>
        </w:rPr>
        <w:t>El detalle de las subvenciones de explotación incorporadas al resultado</w:t>
      </w:r>
      <w:r w:rsidR="00176BA0" w:rsidRPr="001028B8">
        <w:rPr>
          <w:snapToGrid w:val="0"/>
          <w:sz w:val="20"/>
          <w:szCs w:val="22"/>
        </w:rPr>
        <w:t xml:space="preserve"> del ejercicio</w:t>
      </w:r>
      <w:r w:rsidRPr="001028B8">
        <w:rPr>
          <w:snapToGrid w:val="0"/>
          <w:sz w:val="20"/>
          <w:szCs w:val="22"/>
        </w:rPr>
        <w:t xml:space="preserve"> es </w:t>
      </w:r>
      <w:r w:rsidR="00176BA0" w:rsidRPr="001028B8">
        <w:rPr>
          <w:snapToGrid w:val="0"/>
          <w:sz w:val="20"/>
          <w:szCs w:val="22"/>
        </w:rPr>
        <w:t>el siguiente</w:t>
      </w:r>
      <w:r w:rsidRPr="001028B8">
        <w:rPr>
          <w:snapToGrid w:val="0"/>
          <w:sz w:val="20"/>
          <w:szCs w:val="22"/>
        </w:rPr>
        <w:t>:</w:t>
      </w:r>
    </w:p>
    <w:tbl>
      <w:tblPr>
        <w:tblW w:w="5000" w:type="pct"/>
        <w:tblLayout w:type="fixed"/>
        <w:tblCellMar>
          <w:left w:w="70" w:type="dxa"/>
          <w:right w:w="70" w:type="dxa"/>
        </w:tblCellMar>
        <w:tblLook w:val="04A0" w:firstRow="1" w:lastRow="0" w:firstColumn="1" w:lastColumn="0" w:noHBand="0" w:noVBand="1"/>
      </w:tblPr>
      <w:tblGrid>
        <w:gridCol w:w="6236"/>
        <w:gridCol w:w="1277"/>
        <w:gridCol w:w="1268"/>
      </w:tblGrid>
      <w:tr w:rsidR="00173DFA" w:rsidRPr="001028B8" w14:paraId="19CD18AC" w14:textId="77777777" w:rsidTr="00A4210A">
        <w:trPr>
          <w:trHeight w:val="227"/>
          <w:tblHeader/>
        </w:trPr>
        <w:tc>
          <w:tcPr>
            <w:tcW w:w="3551" w:type="pct"/>
            <w:tcBorders>
              <w:top w:val="single" w:sz="4" w:space="0" w:color="auto"/>
              <w:left w:val="nil"/>
              <w:bottom w:val="nil"/>
              <w:right w:val="nil"/>
            </w:tcBorders>
            <w:shd w:val="clear" w:color="auto" w:fill="auto"/>
            <w:noWrap/>
            <w:vAlign w:val="center"/>
            <w:hideMark/>
          </w:tcPr>
          <w:p w14:paraId="0D75F552" w14:textId="77777777" w:rsidR="00A304AB" w:rsidRPr="001028B8" w:rsidRDefault="00A304AB" w:rsidP="00312C0B">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ascii="Times New Roman" w:eastAsia="Times New Roman" w:hAnsi="Times New Roman" w:cs="Times New Roman"/>
                <w:color w:val="auto"/>
                <w:sz w:val="16"/>
                <w:szCs w:val="16"/>
                <w:bdr w:val="none" w:sz="0" w:space="0" w:color="auto"/>
                <w:lang w:eastAsia="es-ES"/>
              </w:rPr>
            </w:pPr>
          </w:p>
        </w:tc>
        <w:tc>
          <w:tcPr>
            <w:tcW w:w="1449" w:type="pct"/>
            <w:gridSpan w:val="2"/>
            <w:tcBorders>
              <w:top w:val="single" w:sz="4" w:space="0" w:color="auto"/>
              <w:left w:val="nil"/>
              <w:bottom w:val="single" w:sz="4" w:space="0" w:color="auto"/>
              <w:right w:val="nil"/>
            </w:tcBorders>
            <w:shd w:val="clear" w:color="auto" w:fill="auto"/>
            <w:vAlign w:val="bottom"/>
            <w:hideMark/>
          </w:tcPr>
          <w:p w14:paraId="0150F4D4" w14:textId="77777777" w:rsidR="00A304AB" w:rsidRPr="001028B8" w:rsidRDefault="00A304AB" w:rsidP="00A4210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028B8">
              <w:rPr>
                <w:rFonts w:eastAsia="Times New Roman"/>
                <w:b/>
                <w:bCs/>
                <w:sz w:val="16"/>
                <w:szCs w:val="16"/>
                <w:bdr w:val="none" w:sz="0" w:space="0" w:color="auto"/>
                <w:lang w:eastAsia="es-ES"/>
              </w:rPr>
              <w:t>Euros</w:t>
            </w:r>
          </w:p>
        </w:tc>
      </w:tr>
      <w:tr w:rsidR="00E6315F" w:rsidRPr="001028B8" w14:paraId="232E49E7" w14:textId="77777777" w:rsidTr="00A4210A">
        <w:trPr>
          <w:trHeight w:val="227"/>
          <w:tblHeader/>
        </w:trPr>
        <w:tc>
          <w:tcPr>
            <w:tcW w:w="3551" w:type="pct"/>
            <w:tcBorders>
              <w:top w:val="nil"/>
              <w:left w:val="nil"/>
              <w:bottom w:val="single" w:sz="4" w:space="0" w:color="auto"/>
              <w:right w:val="nil"/>
            </w:tcBorders>
            <w:shd w:val="clear" w:color="auto" w:fill="auto"/>
            <w:noWrap/>
            <w:vAlign w:val="center"/>
            <w:hideMark/>
          </w:tcPr>
          <w:p w14:paraId="6C38460A" w14:textId="77777777" w:rsidR="00E6315F" w:rsidRPr="001028B8" w:rsidRDefault="00E6315F" w:rsidP="00E6315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1028B8">
              <w:rPr>
                <w:rFonts w:eastAsia="Times New Roman"/>
                <w:sz w:val="16"/>
                <w:szCs w:val="16"/>
                <w:bdr w:val="none" w:sz="0" w:space="0" w:color="auto"/>
                <w:lang w:eastAsia="es-ES"/>
              </w:rPr>
              <w:t> </w:t>
            </w:r>
          </w:p>
        </w:tc>
        <w:tc>
          <w:tcPr>
            <w:tcW w:w="727" w:type="pct"/>
            <w:tcBorders>
              <w:top w:val="nil"/>
              <w:left w:val="nil"/>
              <w:bottom w:val="single" w:sz="4" w:space="0" w:color="auto"/>
              <w:right w:val="nil"/>
            </w:tcBorders>
            <w:shd w:val="clear" w:color="auto" w:fill="auto"/>
            <w:vAlign w:val="bottom"/>
            <w:hideMark/>
          </w:tcPr>
          <w:p w14:paraId="45E3E4E2" w14:textId="50C6348E" w:rsidR="00E6315F" w:rsidRPr="001028B8" w:rsidRDefault="00E6315F" w:rsidP="00A4210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028B8">
              <w:rPr>
                <w:rFonts w:eastAsia="Times New Roman"/>
                <w:b/>
                <w:bCs/>
                <w:sz w:val="16"/>
                <w:szCs w:val="16"/>
                <w:bdr w:val="none" w:sz="0" w:space="0" w:color="auto"/>
                <w:lang w:eastAsia="es-ES"/>
              </w:rPr>
              <w:t>202</w:t>
            </w:r>
            <w:r w:rsidR="001028B8">
              <w:rPr>
                <w:rFonts w:eastAsia="Times New Roman"/>
                <w:b/>
                <w:bCs/>
                <w:sz w:val="16"/>
                <w:szCs w:val="16"/>
                <w:bdr w:val="none" w:sz="0" w:space="0" w:color="auto"/>
                <w:lang w:eastAsia="es-ES"/>
              </w:rPr>
              <w:t>3</w:t>
            </w:r>
          </w:p>
        </w:tc>
        <w:tc>
          <w:tcPr>
            <w:tcW w:w="722" w:type="pct"/>
            <w:tcBorders>
              <w:top w:val="nil"/>
              <w:left w:val="nil"/>
              <w:bottom w:val="single" w:sz="4" w:space="0" w:color="auto"/>
              <w:right w:val="nil"/>
            </w:tcBorders>
            <w:shd w:val="clear" w:color="auto" w:fill="auto"/>
            <w:vAlign w:val="bottom"/>
            <w:hideMark/>
          </w:tcPr>
          <w:p w14:paraId="52D07BE8" w14:textId="40834B27" w:rsidR="00E6315F" w:rsidRPr="001028B8" w:rsidRDefault="001028B8" w:rsidP="00A4210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Pr>
                <w:rFonts w:eastAsia="Times New Roman"/>
                <w:b/>
                <w:bCs/>
                <w:sz w:val="16"/>
                <w:szCs w:val="16"/>
                <w:bdr w:val="none" w:sz="0" w:space="0" w:color="auto"/>
                <w:lang w:eastAsia="es-ES"/>
              </w:rPr>
              <w:t>2022</w:t>
            </w:r>
          </w:p>
        </w:tc>
      </w:tr>
      <w:tr w:rsidR="001028B8" w:rsidRPr="001028B8" w14:paraId="78849123"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3B5E0D35"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Consejería de Turismo</w:t>
            </w:r>
            <w:r w:rsidR="00396EF8">
              <w:rPr>
                <w:sz w:val="16"/>
                <w:szCs w:val="16"/>
              </w:rPr>
              <w:t xml:space="preserve"> y Empleo</w:t>
            </w:r>
            <w:r>
              <w:rPr>
                <w:sz w:val="16"/>
                <w:szCs w:val="16"/>
              </w:rPr>
              <w:t xml:space="preserve">: </w:t>
            </w:r>
          </w:p>
          <w:p w14:paraId="41D5D57F" w14:textId="56955EAE"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para el desarrollo de actividad promocional (FEDER)</w:t>
            </w:r>
          </w:p>
        </w:tc>
        <w:tc>
          <w:tcPr>
            <w:tcW w:w="727" w:type="pct"/>
            <w:tcBorders>
              <w:top w:val="single" w:sz="4" w:space="0" w:color="auto"/>
              <w:left w:val="nil"/>
              <w:bottom w:val="single" w:sz="4" w:space="0" w:color="auto"/>
              <w:right w:val="nil"/>
            </w:tcBorders>
            <w:shd w:val="clear" w:color="auto" w:fill="auto"/>
            <w:vAlign w:val="center"/>
          </w:tcPr>
          <w:p w14:paraId="436C33EA" w14:textId="6974DDE6"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10.129.173,73</w:t>
            </w:r>
          </w:p>
        </w:tc>
        <w:tc>
          <w:tcPr>
            <w:tcW w:w="722" w:type="pct"/>
            <w:tcBorders>
              <w:top w:val="single" w:sz="4" w:space="0" w:color="auto"/>
              <w:left w:val="nil"/>
              <w:bottom w:val="single" w:sz="4" w:space="0" w:color="auto"/>
              <w:right w:val="nil"/>
            </w:tcBorders>
            <w:shd w:val="clear" w:color="auto" w:fill="auto"/>
            <w:vAlign w:val="center"/>
          </w:tcPr>
          <w:p w14:paraId="29107C7D" w14:textId="7D5BAB63" w:rsidR="001028B8" w:rsidRPr="001028B8" w:rsidRDefault="001028B8" w:rsidP="001028B8">
            <w:pPr>
              <w:jc w:val="right"/>
              <w:rPr>
                <w:sz w:val="16"/>
                <w:szCs w:val="16"/>
              </w:rPr>
            </w:pPr>
            <w:r>
              <w:rPr>
                <w:sz w:val="16"/>
                <w:szCs w:val="16"/>
              </w:rPr>
              <w:t>8.300.000,00</w:t>
            </w:r>
          </w:p>
        </w:tc>
      </w:tr>
      <w:tr w:rsidR="001028B8" w:rsidRPr="001028B8" w14:paraId="06AE3D82"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0C5FE9B4" w14:textId="77777777" w:rsidR="001B5A15" w:rsidRDefault="001028B8" w:rsidP="001028B8">
            <w:pPr>
              <w:rPr>
                <w:sz w:val="16"/>
                <w:szCs w:val="16"/>
              </w:rPr>
            </w:pPr>
            <w:r>
              <w:rPr>
                <w:sz w:val="16"/>
                <w:szCs w:val="16"/>
              </w:rPr>
              <w:t>Consejería de Turismo</w:t>
            </w:r>
            <w:r w:rsidR="00396EF8">
              <w:rPr>
                <w:sz w:val="16"/>
                <w:szCs w:val="16"/>
              </w:rPr>
              <w:t xml:space="preserve"> y Empleo</w:t>
            </w:r>
            <w:r>
              <w:rPr>
                <w:sz w:val="16"/>
                <w:szCs w:val="16"/>
              </w:rPr>
              <w:t xml:space="preserve">: </w:t>
            </w:r>
          </w:p>
          <w:p w14:paraId="10C0E1BB" w14:textId="636A9EEE" w:rsidR="001028B8" w:rsidRPr="001028B8" w:rsidRDefault="001028B8" w:rsidP="001028B8">
            <w:pPr>
              <w:rPr>
                <w:sz w:val="16"/>
                <w:szCs w:val="16"/>
              </w:rPr>
            </w:pPr>
            <w:r>
              <w:rPr>
                <w:sz w:val="16"/>
                <w:szCs w:val="16"/>
              </w:rPr>
              <w:t>para el desarrollo de actividad promocional (NO FEDER)</w:t>
            </w:r>
          </w:p>
        </w:tc>
        <w:tc>
          <w:tcPr>
            <w:tcW w:w="727" w:type="pct"/>
            <w:tcBorders>
              <w:top w:val="single" w:sz="4" w:space="0" w:color="auto"/>
              <w:left w:val="nil"/>
              <w:bottom w:val="single" w:sz="4" w:space="0" w:color="auto"/>
              <w:right w:val="nil"/>
            </w:tcBorders>
            <w:shd w:val="clear" w:color="auto" w:fill="auto"/>
            <w:vAlign w:val="center"/>
          </w:tcPr>
          <w:p w14:paraId="52A079B5" w14:textId="34FDA7BD" w:rsidR="001028B8" w:rsidRPr="001028B8" w:rsidRDefault="001028B8" w:rsidP="001028B8">
            <w:pPr>
              <w:jc w:val="right"/>
              <w:rPr>
                <w:sz w:val="16"/>
                <w:szCs w:val="16"/>
              </w:rPr>
            </w:pPr>
            <w:r>
              <w:rPr>
                <w:sz w:val="16"/>
                <w:szCs w:val="16"/>
              </w:rPr>
              <w:t>8.407.361,00</w:t>
            </w:r>
          </w:p>
        </w:tc>
        <w:tc>
          <w:tcPr>
            <w:tcW w:w="722" w:type="pct"/>
            <w:tcBorders>
              <w:top w:val="single" w:sz="4" w:space="0" w:color="auto"/>
              <w:left w:val="nil"/>
              <w:bottom w:val="single" w:sz="4" w:space="0" w:color="auto"/>
              <w:right w:val="nil"/>
            </w:tcBorders>
            <w:shd w:val="clear" w:color="auto" w:fill="auto"/>
            <w:vAlign w:val="center"/>
          </w:tcPr>
          <w:p w14:paraId="7169E620" w14:textId="0AF3DF00" w:rsidR="001028B8" w:rsidRPr="001028B8" w:rsidRDefault="001028B8" w:rsidP="001028B8">
            <w:pPr>
              <w:jc w:val="right"/>
              <w:rPr>
                <w:sz w:val="16"/>
                <w:szCs w:val="16"/>
              </w:rPr>
            </w:pPr>
            <w:r>
              <w:rPr>
                <w:sz w:val="16"/>
                <w:szCs w:val="16"/>
              </w:rPr>
              <w:t>5.854.064,36</w:t>
            </w:r>
          </w:p>
        </w:tc>
      </w:tr>
      <w:tr w:rsidR="001028B8" w:rsidRPr="001028B8" w14:paraId="645AE9FC"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7C51A66D" w14:textId="77777777" w:rsidR="001B5A15" w:rsidRDefault="001028B8" w:rsidP="001028B8">
            <w:pPr>
              <w:rPr>
                <w:sz w:val="16"/>
                <w:szCs w:val="16"/>
              </w:rPr>
            </w:pPr>
            <w:r>
              <w:rPr>
                <w:sz w:val="16"/>
                <w:szCs w:val="16"/>
              </w:rPr>
              <w:t xml:space="preserve">Consejería de Turismo, Cultura y Deportes: </w:t>
            </w:r>
          </w:p>
          <w:p w14:paraId="1876DB02" w14:textId="4C629096" w:rsidR="001028B8" w:rsidRPr="001028B8" w:rsidRDefault="001028B8" w:rsidP="001028B8">
            <w:pPr>
              <w:rPr>
                <w:sz w:val="16"/>
                <w:szCs w:val="16"/>
              </w:rPr>
            </w:pPr>
            <w:r>
              <w:rPr>
                <w:sz w:val="16"/>
                <w:szCs w:val="16"/>
              </w:rPr>
              <w:t>Desarrollo de acciones para paliar los efectos del caso Thomas Cook</w:t>
            </w:r>
          </w:p>
        </w:tc>
        <w:tc>
          <w:tcPr>
            <w:tcW w:w="727" w:type="pct"/>
            <w:tcBorders>
              <w:top w:val="single" w:sz="4" w:space="0" w:color="auto"/>
              <w:left w:val="nil"/>
              <w:bottom w:val="single" w:sz="4" w:space="0" w:color="auto"/>
              <w:right w:val="nil"/>
            </w:tcBorders>
            <w:shd w:val="clear" w:color="auto" w:fill="auto"/>
            <w:vAlign w:val="center"/>
          </w:tcPr>
          <w:p w14:paraId="22BC968C" w14:textId="5F9E2CAA" w:rsidR="001028B8" w:rsidRPr="001028B8" w:rsidRDefault="001028B8" w:rsidP="001028B8">
            <w:pPr>
              <w:jc w:val="right"/>
              <w:rPr>
                <w:sz w:val="16"/>
                <w:szCs w:val="16"/>
              </w:rPr>
            </w:pPr>
            <w:r>
              <w:rPr>
                <w:sz w:val="16"/>
                <w:szCs w:val="16"/>
              </w:rPr>
              <w:t xml:space="preserve"> -</w:t>
            </w:r>
          </w:p>
        </w:tc>
        <w:tc>
          <w:tcPr>
            <w:tcW w:w="722" w:type="pct"/>
            <w:tcBorders>
              <w:top w:val="single" w:sz="4" w:space="0" w:color="auto"/>
              <w:left w:val="nil"/>
              <w:bottom w:val="single" w:sz="4" w:space="0" w:color="auto"/>
              <w:right w:val="nil"/>
            </w:tcBorders>
            <w:shd w:val="clear" w:color="auto" w:fill="auto"/>
            <w:vAlign w:val="center"/>
          </w:tcPr>
          <w:p w14:paraId="37E842E4" w14:textId="5955CC7D" w:rsidR="001028B8" w:rsidRPr="001028B8" w:rsidRDefault="001028B8" w:rsidP="001028B8">
            <w:pPr>
              <w:jc w:val="right"/>
              <w:rPr>
                <w:sz w:val="16"/>
                <w:szCs w:val="16"/>
              </w:rPr>
            </w:pPr>
            <w:r>
              <w:rPr>
                <w:sz w:val="16"/>
                <w:szCs w:val="16"/>
              </w:rPr>
              <w:t>1.530.454,49</w:t>
            </w:r>
          </w:p>
        </w:tc>
      </w:tr>
      <w:tr w:rsidR="001028B8" w:rsidRPr="001028B8" w14:paraId="354A0E26"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62ADBCD2" w14:textId="77777777" w:rsidR="001B5A15" w:rsidRDefault="001028B8" w:rsidP="001028B8">
            <w:pPr>
              <w:rPr>
                <w:sz w:val="16"/>
                <w:szCs w:val="16"/>
              </w:rPr>
            </w:pPr>
            <w:r>
              <w:rPr>
                <w:sz w:val="16"/>
                <w:szCs w:val="16"/>
              </w:rPr>
              <w:t xml:space="preserve">Consejería de Turismo, Cultura y Deportes: </w:t>
            </w:r>
          </w:p>
          <w:p w14:paraId="1162C309" w14:textId="612850B9" w:rsidR="001028B8" w:rsidRPr="001028B8" w:rsidRDefault="001028B8" w:rsidP="001028B8">
            <w:pPr>
              <w:rPr>
                <w:sz w:val="16"/>
                <w:szCs w:val="16"/>
              </w:rPr>
            </w:pPr>
            <w:r>
              <w:rPr>
                <w:sz w:val="16"/>
                <w:szCs w:val="16"/>
              </w:rPr>
              <w:t>para un plan de dinamización turística del norte de La Gomera - Ampliación</w:t>
            </w:r>
          </w:p>
        </w:tc>
        <w:tc>
          <w:tcPr>
            <w:tcW w:w="727" w:type="pct"/>
            <w:tcBorders>
              <w:top w:val="single" w:sz="4" w:space="0" w:color="auto"/>
              <w:left w:val="nil"/>
              <w:bottom w:val="single" w:sz="4" w:space="0" w:color="auto"/>
              <w:right w:val="nil"/>
            </w:tcBorders>
            <w:shd w:val="clear" w:color="auto" w:fill="auto"/>
            <w:vAlign w:val="center"/>
          </w:tcPr>
          <w:p w14:paraId="14E0FA27" w14:textId="1B105255" w:rsidR="001028B8" w:rsidRPr="001028B8" w:rsidRDefault="001028B8" w:rsidP="001028B8">
            <w:pPr>
              <w:jc w:val="right"/>
              <w:rPr>
                <w:sz w:val="16"/>
                <w:szCs w:val="16"/>
              </w:rPr>
            </w:pPr>
            <w:r>
              <w:rPr>
                <w:sz w:val="16"/>
                <w:szCs w:val="16"/>
              </w:rPr>
              <w:t xml:space="preserve"> -</w:t>
            </w:r>
          </w:p>
        </w:tc>
        <w:tc>
          <w:tcPr>
            <w:tcW w:w="722" w:type="pct"/>
            <w:tcBorders>
              <w:top w:val="single" w:sz="4" w:space="0" w:color="auto"/>
              <w:left w:val="nil"/>
              <w:bottom w:val="single" w:sz="4" w:space="0" w:color="auto"/>
              <w:right w:val="nil"/>
            </w:tcBorders>
            <w:shd w:val="clear" w:color="auto" w:fill="auto"/>
            <w:vAlign w:val="center"/>
          </w:tcPr>
          <w:p w14:paraId="15E96165" w14:textId="36E1E93F" w:rsidR="001028B8" w:rsidRPr="001028B8" w:rsidRDefault="001028B8" w:rsidP="001028B8">
            <w:pPr>
              <w:jc w:val="right"/>
              <w:rPr>
                <w:sz w:val="16"/>
                <w:szCs w:val="16"/>
              </w:rPr>
            </w:pPr>
            <w:r>
              <w:rPr>
                <w:sz w:val="16"/>
                <w:szCs w:val="16"/>
              </w:rPr>
              <w:t>53.136,22</w:t>
            </w:r>
          </w:p>
        </w:tc>
      </w:tr>
      <w:tr w:rsidR="001028B8" w:rsidRPr="001028B8" w14:paraId="013C7BD4"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121BB7B0" w14:textId="77777777" w:rsidR="001B5A15" w:rsidRDefault="001028B8" w:rsidP="001028B8">
            <w:pPr>
              <w:rPr>
                <w:sz w:val="16"/>
                <w:szCs w:val="16"/>
              </w:rPr>
            </w:pPr>
            <w:r>
              <w:rPr>
                <w:sz w:val="16"/>
                <w:szCs w:val="16"/>
              </w:rPr>
              <w:t xml:space="preserve">Consejería de Turismo, Cultura y Deportes: </w:t>
            </w:r>
          </w:p>
          <w:p w14:paraId="750698DC" w14:textId="3E31A88B" w:rsidR="001028B8" w:rsidRPr="001028B8" w:rsidRDefault="001028B8" w:rsidP="001028B8">
            <w:pPr>
              <w:rPr>
                <w:sz w:val="16"/>
                <w:szCs w:val="16"/>
              </w:rPr>
            </w:pPr>
            <w:r>
              <w:rPr>
                <w:sz w:val="16"/>
                <w:szCs w:val="16"/>
              </w:rPr>
              <w:t>para la promoción de la red museística de Canarias</w:t>
            </w:r>
          </w:p>
        </w:tc>
        <w:tc>
          <w:tcPr>
            <w:tcW w:w="727" w:type="pct"/>
            <w:tcBorders>
              <w:top w:val="single" w:sz="4" w:space="0" w:color="auto"/>
              <w:left w:val="nil"/>
              <w:bottom w:val="single" w:sz="4" w:space="0" w:color="auto"/>
              <w:right w:val="nil"/>
            </w:tcBorders>
            <w:shd w:val="clear" w:color="auto" w:fill="auto"/>
            <w:vAlign w:val="center"/>
          </w:tcPr>
          <w:p w14:paraId="19232D81" w14:textId="179165FF"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722" w:type="pct"/>
            <w:tcBorders>
              <w:top w:val="single" w:sz="4" w:space="0" w:color="auto"/>
              <w:left w:val="nil"/>
              <w:bottom w:val="single" w:sz="4" w:space="0" w:color="auto"/>
              <w:right w:val="nil"/>
            </w:tcBorders>
            <w:shd w:val="clear" w:color="auto" w:fill="auto"/>
            <w:vAlign w:val="center"/>
          </w:tcPr>
          <w:p w14:paraId="759571D2" w14:textId="41E2783B" w:rsidR="001028B8" w:rsidRPr="001028B8" w:rsidRDefault="001028B8" w:rsidP="001028B8">
            <w:pPr>
              <w:jc w:val="right"/>
              <w:rPr>
                <w:sz w:val="16"/>
                <w:szCs w:val="16"/>
              </w:rPr>
            </w:pPr>
            <w:r>
              <w:rPr>
                <w:sz w:val="16"/>
                <w:szCs w:val="16"/>
              </w:rPr>
              <w:t>412.891,80</w:t>
            </w:r>
          </w:p>
        </w:tc>
      </w:tr>
      <w:tr w:rsidR="001028B8" w:rsidRPr="001028B8" w14:paraId="703C422A" w14:textId="77777777" w:rsidTr="000A7F1B">
        <w:trPr>
          <w:trHeight w:val="454"/>
        </w:trPr>
        <w:tc>
          <w:tcPr>
            <w:tcW w:w="3551" w:type="pct"/>
            <w:tcBorders>
              <w:top w:val="single" w:sz="4" w:space="0" w:color="auto"/>
              <w:left w:val="nil"/>
              <w:bottom w:val="single" w:sz="4" w:space="0" w:color="auto"/>
              <w:right w:val="nil"/>
            </w:tcBorders>
            <w:shd w:val="clear" w:color="auto" w:fill="auto"/>
            <w:noWrap/>
            <w:vAlign w:val="center"/>
          </w:tcPr>
          <w:p w14:paraId="74876481" w14:textId="35ECE20A" w:rsidR="001028B8" w:rsidRPr="001028B8" w:rsidRDefault="000A7F1B"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Consejería de Turismo y Empleo: para el desarrollo de la actividad promocional para la Cohesión, y los Territorios de Europa (REACT-EU)</w:t>
            </w:r>
          </w:p>
        </w:tc>
        <w:tc>
          <w:tcPr>
            <w:tcW w:w="727" w:type="pct"/>
            <w:tcBorders>
              <w:top w:val="single" w:sz="4" w:space="0" w:color="auto"/>
              <w:left w:val="nil"/>
              <w:bottom w:val="single" w:sz="4" w:space="0" w:color="auto"/>
              <w:right w:val="nil"/>
            </w:tcBorders>
            <w:shd w:val="clear" w:color="auto" w:fill="auto"/>
            <w:vAlign w:val="center"/>
          </w:tcPr>
          <w:p w14:paraId="092798A9" w14:textId="72417FFE"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13.996.966,13</w:t>
            </w:r>
          </w:p>
        </w:tc>
        <w:tc>
          <w:tcPr>
            <w:tcW w:w="722" w:type="pct"/>
            <w:tcBorders>
              <w:top w:val="single" w:sz="4" w:space="0" w:color="auto"/>
              <w:left w:val="nil"/>
              <w:bottom w:val="single" w:sz="4" w:space="0" w:color="auto"/>
              <w:right w:val="nil"/>
            </w:tcBorders>
            <w:shd w:val="clear" w:color="auto" w:fill="auto"/>
            <w:vAlign w:val="center"/>
          </w:tcPr>
          <w:p w14:paraId="4F183F2B" w14:textId="6022192D" w:rsidR="001028B8" w:rsidRPr="001028B8" w:rsidRDefault="001028B8" w:rsidP="001028B8">
            <w:pPr>
              <w:jc w:val="right"/>
              <w:rPr>
                <w:sz w:val="16"/>
                <w:szCs w:val="16"/>
              </w:rPr>
            </w:pPr>
            <w:r>
              <w:rPr>
                <w:sz w:val="16"/>
                <w:szCs w:val="16"/>
              </w:rPr>
              <w:t>22.262.062,38</w:t>
            </w:r>
          </w:p>
        </w:tc>
      </w:tr>
      <w:tr w:rsidR="001028B8" w:rsidRPr="001028B8" w14:paraId="3CD938D1"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4500D79C"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Consejería de Turismo</w:t>
            </w:r>
            <w:r w:rsidR="00396EF8">
              <w:rPr>
                <w:sz w:val="16"/>
                <w:szCs w:val="16"/>
              </w:rPr>
              <w:t xml:space="preserve"> y Empleo</w:t>
            </w:r>
            <w:r>
              <w:rPr>
                <w:sz w:val="16"/>
                <w:szCs w:val="16"/>
              </w:rPr>
              <w:t xml:space="preserve">: </w:t>
            </w:r>
          </w:p>
          <w:p w14:paraId="795AB19C" w14:textId="222D757C"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para un plan de dinamización turística del norte de La Gomera</w:t>
            </w:r>
          </w:p>
        </w:tc>
        <w:tc>
          <w:tcPr>
            <w:tcW w:w="727" w:type="pct"/>
            <w:tcBorders>
              <w:top w:val="single" w:sz="4" w:space="0" w:color="auto"/>
              <w:left w:val="nil"/>
              <w:bottom w:val="single" w:sz="4" w:space="0" w:color="auto"/>
              <w:right w:val="nil"/>
            </w:tcBorders>
            <w:shd w:val="clear" w:color="auto" w:fill="auto"/>
            <w:vAlign w:val="center"/>
          </w:tcPr>
          <w:p w14:paraId="275C947A" w14:textId="308A5572" w:rsidR="001028B8" w:rsidRPr="001028B8" w:rsidRDefault="001028B8" w:rsidP="001028B8">
            <w:pPr>
              <w:jc w:val="right"/>
              <w:rPr>
                <w:sz w:val="16"/>
                <w:szCs w:val="16"/>
              </w:rPr>
            </w:pPr>
            <w:r>
              <w:rPr>
                <w:sz w:val="16"/>
                <w:szCs w:val="16"/>
              </w:rPr>
              <w:t>245.569,32</w:t>
            </w:r>
          </w:p>
        </w:tc>
        <w:tc>
          <w:tcPr>
            <w:tcW w:w="722" w:type="pct"/>
            <w:tcBorders>
              <w:top w:val="single" w:sz="4" w:space="0" w:color="auto"/>
              <w:left w:val="nil"/>
              <w:bottom w:val="single" w:sz="4" w:space="0" w:color="auto"/>
              <w:right w:val="nil"/>
            </w:tcBorders>
            <w:shd w:val="clear" w:color="auto" w:fill="auto"/>
            <w:vAlign w:val="center"/>
          </w:tcPr>
          <w:p w14:paraId="25B8C7E4" w14:textId="0F1E9BAB" w:rsidR="001028B8" w:rsidRPr="001028B8" w:rsidRDefault="001028B8" w:rsidP="001028B8">
            <w:pPr>
              <w:jc w:val="right"/>
              <w:rPr>
                <w:sz w:val="16"/>
                <w:szCs w:val="16"/>
              </w:rPr>
            </w:pPr>
            <w:r>
              <w:rPr>
                <w:sz w:val="16"/>
                <w:szCs w:val="16"/>
              </w:rPr>
              <w:t xml:space="preserve"> -</w:t>
            </w:r>
          </w:p>
        </w:tc>
      </w:tr>
      <w:tr w:rsidR="001028B8" w:rsidRPr="001028B8" w14:paraId="19C2C4B4" w14:textId="77777777" w:rsidTr="001028B8">
        <w:trPr>
          <w:trHeight w:val="340"/>
        </w:trPr>
        <w:tc>
          <w:tcPr>
            <w:tcW w:w="3551" w:type="pct"/>
            <w:tcBorders>
              <w:top w:val="single" w:sz="4" w:space="0" w:color="auto"/>
              <w:left w:val="nil"/>
              <w:bottom w:val="single" w:sz="4" w:space="0" w:color="auto"/>
              <w:right w:val="nil"/>
            </w:tcBorders>
            <w:shd w:val="clear" w:color="auto" w:fill="auto"/>
            <w:noWrap/>
            <w:vAlign w:val="center"/>
          </w:tcPr>
          <w:p w14:paraId="0CEA7888"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Consejería de Turismo</w:t>
            </w:r>
            <w:r w:rsidR="00396EF8">
              <w:rPr>
                <w:sz w:val="16"/>
                <w:szCs w:val="16"/>
              </w:rPr>
              <w:t xml:space="preserve"> y Empleo</w:t>
            </w:r>
            <w:r>
              <w:rPr>
                <w:sz w:val="16"/>
                <w:szCs w:val="16"/>
              </w:rPr>
              <w:t xml:space="preserve">: </w:t>
            </w:r>
          </w:p>
          <w:p w14:paraId="4B982E48" w14:textId="4C5C530A"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Para el proyecto "Bonos La Palma"</w:t>
            </w:r>
          </w:p>
        </w:tc>
        <w:tc>
          <w:tcPr>
            <w:tcW w:w="727" w:type="pct"/>
            <w:tcBorders>
              <w:top w:val="single" w:sz="4" w:space="0" w:color="auto"/>
              <w:left w:val="nil"/>
              <w:bottom w:val="single" w:sz="4" w:space="0" w:color="auto"/>
              <w:right w:val="nil"/>
            </w:tcBorders>
            <w:shd w:val="clear" w:color="auto" w:fill="auto"/>
            <w:vAlign w:val="center"/>
          </w:tcPr>
          <w:p w14:paraId="2834611E" w14:textId="49B5CE8F" w:rsidR="001028B8" w:rsidRPr="001028B8" w:rsidRDefault="001028B8" w:rsidP="001028B8">
            <w:pPr>
              <w:jc w:val="right"/>
              <w:rPr>
                <w:sz w:val="16"/>
                <w:szCs w:val="16"/>
              </w:rPr>
            </w:pPr>
            <w:r>
              <w:rPr>
                <w:sz w:val="16"/>
                <w:szCs w:val="16"/>
              </w:rPr>
              <w:t>1.147.925,77</w:t>
            </w:r>
          </w:p>
        </w:tc>
        <w:tc>
          <w:tcPr>
            <w:tcW w:w="722" w:type="pct"/>
            <w:tcBorders>
              <w:top w:val="single" w:sz="4" w:space="0" w:color="auto"/>
              <w:left w:val="nil"/>
              <w:bottom w:val="single" w:sz="4" w:space="0" w:color="auto"/>
              <w:right w:val="nil"/>
            </w:tcBorders>
            <w:shd w:val="clear" w:color="auto" w:fill="auto"/>
            <w:vAlign w:val="center"/>
          </w:tcPr>
          <w:p w14:paraId="7C7E7105" w14:textId="5B2DFB53" w:rsidR="001028B8" w:rsidRPr="001028B8" w:rsidRDefault="001028B8" w:rsidP="001028B8">
            <w:pPr>
              <w:jc w:val="right"/>
              <w:rPr>
                <w:sz w:val="16"/>
                <w:szCs w:val="16"/>
              </w:rPr>
            </w:pPr>
            <w:r>
              <w:rPr>
                <w:sz w:val="16"/>
                <w:szCs w:val="16"/>
              </w:rPr>
              <w:t>4.585.824,23</w:t>
            </w:r>
          </w:p>
        </w:tc>
      </w:tr>
      <w:tr w:rsidR="001028B8" w:rsidRPr="001028B8" w14:paraId="2208C0EC"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28EBE878"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566D548E" w14:textId="1A1EC157"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Gestión estructural del fondo de ayuda a la Recuperación para la Cohesión y los Territorios de Europa (REACT-EU)</w:t>
            </w:r>
          </w:p>
        </w:tc>
        <w:tc>
          <w:tcPr>
            <w:tcW w:w="727" w:type="pct"/>
            <w:tcBorders>
              <w:top w:val="single" w:sz="4" w:space="0" w:color="auto"/>
              <w:left w:val="nil"/>
              <w:bottom w:val="single" w:sz="4" w:space="0" w:color="auto"/>
              <w:right w:val="nil"/>
            </w:tcBorders>
            <w:shd w:val="clear" w:color="auto" w:fill="auto"/>
            <w:vAlign w:val="center"/>
          </w:tcPr>
          <w:p w14:paraId="3B519CE2" w14:textId="7FB01A70"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92.137,29</w:t>
            </w:r>
          </w:p>
        </w:tc>
        <w:tc>
          <w:tcPr>
            <w:tcW w:w="722" w:type="pct"/>
            <w:tcBorders>
              <w:top w:val="single" w:sz="4" w:space="0" w:color="auto"/>
              <w:left w:val="nil"/>
              <w:bottom w:val="single" w:sz="4" w:space="0" w:color="auto"/>
              <w:right w:val="nil"/>
            </w:tcBorders>
            <w:shd w:val="clear" w:color="auto" w:fill="auto"/>
            <w:vAlign w:val="center"/>
          </w:tcPr>
          <w:p w14:paraId="44FC6703" w14:textId="0B778AF5" w:rsidR="001028B8" w:rsidRPr="001028B8" w:rsidRDefault="001028B8" w:rsidP="001028B8">
            <w:pPr>
              <w:jc w:val="right"/>
              <w:rPr>
                <w:sz w:val="16"/>
                <w:szCs w:val="16"/>
              </w:rPr>
            </w:pPr>
            <w:r>
              <w:rPr>
                <w:sz w:val="16"/>
                <w:szCs w:val="16"/>
              </w:rPr>
              <w:t xml:space="preserve"> -</w:t>
            </w:r>
          </w:p>
        </w:tc>
      </w:tr>
      <w:tr w:rsidR="001028B8" w:rsidRPr="001028B8" w14:paraId="191244C1"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6A7EB35E"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5E3984BB" w14:textId="7D421077"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Gestión estructural del fondo de ayuda a la Recuperación para la Cohesión y los Territorios de Europa (REACT-EU) - Ampliación</w:t>
            </w:r>
          </w:p>
        </w:tc>
        <w:tc>
          <w:tcPr>
            <w:tcW w:w="727" w:type="pct"/>
            <w:tcBorders>
              <w:top w:val="single" w:sz="4" w:space="0" w:color="auto"/>
              <w:left w:val="nil"/>
              <w:bottom w:val="single" w:sz="4" w:space="0" w:color="auto"/>
              <w:right w:val="nil"/>
            </w:tcBorders>
            <w:shd w:val="clear" w:color="auto" w:fill="auto"/>
            <w:vAlign w:val="center"/>
          </w:tcPr>
          <w:p w14:paraId="5FA5EA1A" w14:textId="479112D5" w:rsidR="001028B8" w:rsidRPr="001028B8" w:rsidRDefault="001028B8" w:rsidP="001028B8">
            <w:pPr>
              <w:jc w:val="right"/>
              <w:rPr>
                <w:sz w:val="16"/>
                <w:szCs w:val="16"/>
              </w:rPr>
            </w:pPr>
            <w:r>
              <w:rPr>
                <w:sz w:val="16"/>
                <w:szCs w:val="16"/>
              </w:rPr>
              <w:t>8.000,00</w:t>
            </w:r>
          </w:p>
        </w:tc>
        <w:tc>
          <w:tcPr>
            <w:tcW w:w="722" w:type="pct"/>
            <w:tcBorders>
              <w:top w:val="single" w:sz="4" w:space="0" w:color="auto"/>
              <w:left w:val="nil"/>
              <w:bottom w:val="single" w:sz="4" w:space="0" w:color="auto"/>
              <w:right w:val="nil"/>
            </w:tcBorders>
            <w:shd w:val="clear" w:color="auto" w:fill="auto"/>
            <w:vAlign w:val="center"/>
          </w:tcPr>
          <w:p w14:paraId="7B12BE0F" w14:textId="58DC081C" w:rsidR="001028B8" w:rsidRPr="001028B8" w:rsidRDefault="001028B8" w:rsidP="001028B8">
            <w:pPr>
              <w:jc w:val="right"/>
              <w:rPr>
                <w:sz w:val="16"/>
                <w:szCs w:val="16"/>
              </w:rPr>
            </w:pPr>
            <w:r>
              <w:rPr>
                <w:sz w:val="16"/>
                <w:szCs w:val="16"/>
              </w:rPr>
              <w:t xml:space="preserve"> -</w:t>
            </w:r>
          </w:p>
        </w:tc>
      </w:tr>
      <w:tr w:rsidR="001028B8" w:rsidRPr="001028B8" w14:paraId="3F8480A0"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2B643390"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5CA6C616" w14:textId="19B40D05"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Bonos La Palma - Anualidad 2023 (Plan La Palma Renace)</w:t>
            </w:r>
          </w:p>
        </w:tc>
        <w:tc>
          <w:tcPr>
            <w:tcW w:w="727" w:type="pct"/>
            <w:tcBorders>
              <w:top w:val="single" w:sz="4" w:space="0" w:color="auto"/>
              <w:left w:val="nil"/>
              <w:bottom w:val="single" w:sz="4" w:space="0" w:color="auto"/>
              <w:right w:val="nil"/>
            </w:tcBorders>
            <w:shd w:val="clear" w:color="auto" w:fill="auto"/>
            <w:vAlign w:val="center"/>
          </w:tcPr>
          <w:p w14:paraId="050A296A" w14:textId="5B4A4031" w:rsidR="001028B8" w:rsidRPr="001028B8" w:rsidRDefault="001028B8" w:rsidP="001028B8">
            <w:pPr>
              <w:jc w:val="right"/>
              <w:rPr>
                <w:sz w:val="16"/>
                <w:szCs w:val="16"/>
              </w:rPr>
            </w:pPr>
            <w:r>
              <w:rPr>
                <w:sz w:val="16"/>
                <w:szCs w:val="16"/>
              </w:rPr>
              <w:t>582.991,00</w:t>
            </w:r>
          </w:p>
        </w:tc>
        <w:tc>
          <w:tcPr>
            <w:tcW w:w="722" w:type="pct"/>
            <w:tcBorders>
              <w:top w:val="single" w:sz="4" w:space="0" w:color="auto"/>
              <w:left w:val="nil"/>
              <w:bottom w:val="single" w:sz="4" w:space="0" w:color="auto"/>
              <w:right w:val="nil"/>
            </w:tcBorders>
            <w:shd w:val="clear" w:color="auto" w:fill="auto"/>
            <w:vAlign w:val="center"/>
          </w:tcPr>
          <w:p w14:paraId="71E37ECD" w14:textId="3252AF76" w:rsidR="001028B8" w:rsidRPr="001028B8" w:rsidRDefault="001028B8" w:rsidP="001028B8">
            <w:pPr>
              <w:jc w:val="right"/>
              <w:rPr>
                <w:sz w:val="16"/>
                <w:szCs w:val="16"/>
              </w:rPr>
            </w:pPr>
            <w:r>
              <w:rPr>
                <w:sz w:val="16"/>
                <w:szCs w:val="16"/>
              </w:rPr>
              <w:t xml:space="preserve"> -</w:t>
            </w:r>
          </w:p>
        </w:tc>
      </w:tr>
      <w:tr w:rsidR="001028B8" w:rsidRPr="001028B8" w14:paraId="6627BD74" w14:textId="77777777" w:rsidTr="001028B8">
        <w:trPr>
          <w:trHeight w:val="340"/>
        </w:trPr>
        <w:tc>
          <w:tcPr>
            <w:tcW w:w="3551" w:type="pct"/>
            <w:tcBorders>
              <w:top w:val="single" w:sz="4" w:space="0" w:color="auto"/>
              <w:left w:val="nil"/>
              <w:bottom w:val="single" w:sz="4" w:space="0" w:color="auto"/>
              <w:right w:val="nil"/>
            </w:tcBorders>
            <w:shd w:val="clear" w:color="auto" w:fill="auto"/>
            <w:noWrap/>
            <w:vAlign w:val="center"/>
          </w:tcPr>
          <w:p w14:paraId="27D1D228"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166B8500" w14:textId="3E1ADE60"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Promoción de la red museística de Canarias</w:t>
            </w:r>
          </w:p>
        </w:tc>
        <w:tc>
          <w:tcPr>
            <w:tcW w:w="727" w:type="pct"/>
            <w:tcBorders>
              <w:top w:val="single" w:sz="4" w:space="0" w:color="auto"/>
              <w:left w:val="nil"/>
              <w:bottom w:val="single" w:sz="4" w:space="0" w:color="auto"/>
              <w:right w:val="nil"/>
            </w:tcBorders>
            <w:shd w:val="clear" w:color="auto" w:fill="auto"/>
            <w:vAlign w:val="center"/>
          </w:tcPr>
          <w:p w14:paraId="35D9FBB6" w14:textId="36AEE7AB" w:rsidR="001028B8" w:rsidRPr="001028B8" w:rsidRDefault="001028B8" w:rsidP="001028B8">
            <w:pPr>
              <w:jc w:val="right"/>
              <w:rPr>
                <w:sz w:val="16"/>
                <w:szCs w:val="16"/>
              </w:rPr>
            </w:pPr>
            <w:r>
              <w:rPr>
                <w:sz w:val="16"/>
                <w:szCs w:val="16"/>
              </w:rPr>
              <w:t>180.000,00</w:t>
            </w:r>
          </w:p>
        </w:tc>
        <w:tc>
          <w:tcPr>
            <w:tcW w:w="722" w:type="pct"/>
            <w:tcBorders>
              <w:top w:val="single" w:sz="4" w:space="0" w:color="auto"/>
              <w:left w:val="nil"/>
              <w:bottom w:val="single" w:sz="4" w:space="0" w:color="auto"/>
              <w:right w:val="nil"/>
            </w:tcBorders>
            <w:shd w:val="clear" w:color="auto" w:fill="auto"/>
            <w:vAlign w:val="center"/>
          </w:tcPr>
          <w:p w14:paraId="069A3D21" w14:textId="1314D02D" w:rsidR="001028B8" w:rsidRPr="001028B8" w:rsidRDefault="001028B8" w:rsidP="001028B8">
            <w:pPr>
              <w:jc w:val="right"/>
              <w:rPr>
                <w:sz w:val="16"/>
                <w:szCs w:val="16"/>
              </w:rPr>
            </w:pPr>
            <w:r>
              <w:rPr>
                <w:sz w:val="16"/>
                <w:szCs w:val="16"/>
              </w:rPr>
              <w:t xml:space="preserve"> -</w:t>
            </w:r>
          </w:p>
        </w:tc>
      </w:tr>
      <w:tr w:rsidR="001028B8" w:rsidRPr="001028B8" w14:paraId="35B7C072" w14:textId="77777777" w:rsidTr="001028B8">
        <w:trPr>
          <w:trHeight w:val="340"/>
        </w:trPr>
        <w:tc>
          <w:tcPr>
            <w:tcW w:w="3551" w:type="pct"/>
            <w:tcBorders>
              <w:top w:val="single" w:sz="4" w:space="0" w:color="auto"/>
              <w:left w:val="nil"/>
              <w:bottom w:val="single" w:sz="4" w:space="0" w:color="auto"/>
              <w:right w:val="nil"/>
            </w:tcBorders>
            <w:shd w:val="clear" w:color="auto" w:fill="auto"/>
            <w:noWrap/>
            <w:vAlign w:val="center"/>
          </w:tcPr>
          <w:p w14:paraId="14C03FB9"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551EF779" w14:textId="377814BC"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Conectividad aérea</w:t>
            </w:r>
          </w:p>
        </w:tc>
        <w:tc>
          <w:tcPr>
            <w:tcW w:w="727" w:type="pct"/>
            <w:tcBorders>
              <w:top w:val="single" w:sz="4" w:space="0" w:color="auto"/>
              <w:left w:val="nil"/>
              <w:bottom w:val="single" w:sz="4" w:space="0" w:color="auto"/>
              <w:right w:val="nil"/>
            </w:tcBorders>
            <w:shd w:val="clear" w:color="auto" w:fill="auto"/>
            <w:vAlign w:val="center"/>
          </w:tcPr>
          <w:p w14:paraId="2008C7A8" w14:textId="62672E9A" w:rsidR="001028B8" w:rsidRPr="001028B8" w:rsidRDefault="001028B8" w:rsidP="001028B8">
            <w:pPr>
              <w:jc w:val="right"/>
              <w:rPr>
                <w:sz w:val="16"/>
                <w:szCs w:val="16"/>
              </w:rPr>
            </w:pPr>
            <w:r>
              <w:rPr>
                <w:sz w:val="16"/>
                <w:szCs w:val="16"/>
              </w:rPr>
              <w:t>150.000,00</w:t>
            </w:r>
          </w:p>
        </w:tc>
        <w:tc>
          <w:tcPr>
            <w:tcW w:w="722" w:type="pct"/>
            <w:tcBorders>
              <w:top w:val="single" w:sz="4" w:space="0" w:color="auto"/>
              <w:left w:val="nil"/>
              <w:bottom w:val="single" w:sz="4" w:space="0" w:color="auto"/>
              <w:right w:val="nil"/>
            </w:tcBorders>
            <w:shd w:val="clear" w:color="auto" w:fill="auto"/>
            <w:vAlign w:val="center"/>
          </w:tcPr>
          <w:p w14:paraId="0BE044B0" w14:textId="0EA9E455" w:rsidR="001028B8" w:rsidRPr="001028B8" w:rsidRDefault="001028B8" w:rsidP="001028B8">
            <w:pPr>
              <w:jc w:val="right"/>
              <w:rPr>
                <w:sz w:val="16"/>
                <w:szCs w:val="16"/>
              </w:rPr>
            </w:pPr>
            <w:r>
              <w:rPr>
                <w:sz w:val="16"/>
                <w:szCs w:val="16"/>
              </w:rPr>
              <w:t xml:space="preserve"> -</w:t>
            </w:r>
          </w:p>
        </w:tc>
      </w:tr>
      <w:tr w:rsidR="001028B8" w:rsidRPr="001028B8" w14:paraId="40529BEA" w14:textId="77777777" w:rsidTr="001028B8">
        <w:trPr>
          <w:trHeight w:val="454"/>
        </w:trPr>
        <w:tc>
          <w:tcPr>
            <w:tcW w:w="3551" w:type="pct"/>
            <w:tcBorders>
              <w:top w:val="single" w:sz="4" w:space="0" w:color="auto"/>
              <w:left w:val="nil"/>
              <w:bottom w:val="single" w:sz="4" w:space="0" w:color="auto"/>
              <w:right w:val="nil"/>
            </w:tcBorders>
            <w:shd w:val="clear" w:color="auto" w:fill="auto"/>
            <w:noWrap/>
            <w:vAlign w:val="center"/>
          </w:tcPr>
          <w:p w14:paraId="366C1A8E"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31F331D3" w14:textId="2E59645D"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 xml:space="preserve">Sistema de información en destino - Remote </w:t>
            </w:r>
            <w:proofErr w:type="spellStart"/>
            <w:r>
              <w:rPr>
                <w:sz w:val="16"/>
                <w:szCs w:val="16"/>
              </w:rPr>
              <w:t>Worters</w:t>
            </w:r>
            <w:proofErr w:type="spellEnd"/>
          </w:p>
        </w:tc>
        <w:tc>
          <w:tcPr>
            <w:tcW w:w="727" w:type="pct"/>
            <w:tcBorders>
              <w:top w:val="single" w:sz="4" w:space="0" w:color="auto"/>
              <w:left w:val="nil"/>
              <w:bottom w:val="single" w:sz="4" w:space="0" w:color="auto"/>
              <w:right w:val="nil"/>
            </w:tcBorders>
            <w:shd w:val="clear" w:color="auto" w:fill="auto"/>
            <w:vAlign w:val="center"/>
          </w:tcPr>
          <w:p w14:paraId="59CB2951" w14:textId="39B2FDA8" w:rsidR="001028B8" w:rsidRPr="001028B8" w:rsidRDefault="001028B8" w:rsidP="001028B8">
            <w:pPr>
              <w:jc w:val="right"/>
              <w:rPr>
                <w:sz w:val="16"/>
                <w:szCs w:val="16"/>
              </w:rPr>
            </w:pPr>
            <w:r>
              <w:rPr>
                <w:sz w:val="16"/>
                <w:szCs w:val="16"/>
              </w:rPr>
              <w:t>26.534,22</w:t>
            </w:r>
          </w:p>
        </w:tc>
        <w:tc>
          <w:tcPr>
            <w:tcW w:w="722" w:type="pct"/>
            <w:tcBorders>
              <w:top w:val="single" w:sz="4" w:space="0" w:color="auto"/>
              <w:left w:val="nil"/>
              <w:bottom w:val="single" w:sz="4" w:space="0" w:color="auto"/>
              <w:right w:val="nil"/>
            </w:tcBorders>
            <w:shd w:val="clear" w:color="auto" w:fill="auto"/>
            <w:vAlign w:val="center"/>
          </w:tcPr>
          <w:p w14:paraId="61FCF512" w14:textId="4F0F4AE6" w:rsidR="001028B8" w:rsidRPr="001028B8" w:rsidRDefault="001028B8" w:rsidP="001028B8">
            <w:pPr>
              <w:jc w:val="right"/>
              <w:rPr>
                <w:sz w:val="16"/>
                <w:szCs w:val="16"/>
              </w:rPr>
            </w:pPr>
            <w:r>
              <w:rPr>
                <w:sz w:val="16"/>
                <w:szCs w:val="16"/>
              </w:rPr>
              <w:t xml:space="preserve"> -</w:t>
            </w:r>
          </w:p>
        </w:tc>
      </w:tr>
      <w:tr w:rsidR="001028B8" w:rsidRPr="001028B8" w14:paraId="0E455AAE" w14:textId="77777777" w:rsidTr="000A7F1B">
        <w:trPr>
          <w:trHeight w:val="340"/>
        </w:trPr>
        <w:tc>
          <w:tcPr>
            <w:tcW w:w="3551" w:type="pct"/>
            <w:tcBorders>
              <w:top w:val="single" w:sz="4" w:space="0" w:color="auto"/>
              <w:left w:val="nil"/>
              <w:bottom w:val="single" w:sz="4" w:space="0" w:color="auto"/>
              <w:right w:val="nil"/>
            </w:tcBorders>
            <w:shd w:val="clear" w:color="auto" w:fill="auto"/>
            <w:noWrap/>
            <w:vAlign w:val="center"/>
          </w:tcPr>
          <w:p w14:paraId="73AFF9FB"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6113AF14" w14:textId="6C437A19"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 xml:space="preserve">MRR </w:t>
            </w:r>
            <w:proofErr w:type="spellStart"/>
            <w:r>
              <w:rPr>
                <w:sz w:val="16"/>
                <w:szCs w:val="16"/>
              </w:rPr>
              <w:t>Extrapeninsular</w:t>
            </w:r>
            <w:proofErr w:type="spellEnd"/>
            <w:r>
              <w:rPr>
                <w:sz w:val="16"/>
                <w:szCs w:val="16"/>
              </w:rPr>
              <w:t xml:space="preserve"> </w:t>
            </w:r>
          </w:p>
        </w:tc>
        <w:tc>
          <w:tcPr>
            <w:tcW w:w="727" w:type="pct"/>
            <w:tcBorders>
              <w:top w:val="single" w:sz="4" w:space="0" w:color="auto"/>
              <w:left w:val="nil"/>
              <w:bottom w:val="single" w:sz="4" w:space="0" w:color="auto"/>
              <w:right w:val="nil"/>
            </w:tcBorders>
            <w:shd w:val="clear" w:color="auto" w:fill="auto"/>
            <w:vAlign w:val="center"/>
          </w:tcPr>
          <w:p w14:paraId="4B3080EF" w14:textId="7B41E2EE" w:rsidR="001028B8" w:rsidRPr="001028B8" w:rsidRDefault="001028B8" w:rsidP="001028B8">
            <w:pPr>
              <w:jc w:val="right"/>
              <w:rPr>
                <w:sz w:val="16"/>
                <w:szCs w:val="16"/>
              </w:rPr>
            </w:pPr>
            <w:r>
              <w:rPr>
                <w:sz w:val="16"/>
                <w:szCs w:val="16"/>
              </w:rPr>
              <w:t>11.188.394,36</w:t>
            </w:r>
          </w:p>
        </w:tc>
        <w:tc>
          <w:tcPr>
            <w:tcW w:w="722" w:type="pct"/>
            <w:tcBorders>
              <w:top w:val="single" w:sz="4" w:space="0" w:color="auto"/>
              <w:left w:val="nil"/>
              <w:bottom w:val="single" w:sz="4" w:space="0" w:color="auto"/>
              <w:right w:val="nil"/>
            </w:tcBorders>
            <w:shd w:val="clear" w:color="auto" w:fill="auto"/>
            <w:vAlign w:val="center"/>
          </w:tcPr>
          <w:p w14:paraId="1ECF3588" w14:textId="3B73F8A6" w:rsidR="001028B8" w:rsidRPr="001028B8" w:rsidRDefault="001028B8" w:rsidP="001028B8">
            <w:pPr>
              <w:jc w:val="right"/>
              <w:rPr>
                <w:sz w:val="16"/>
                <w:szCs w:val="16"/>
              </w:rPr>
            </w:pPr>
            <w:r>
              <w:rPr>
                <w:sz w:val="16"/>
                <w:szCs w:val="16"/>
              </w:rPr>
              <w:t xml:space="preserve"> -</w:t>
            </w:r>
          </w:p>
        </w:tc>
      </w:tr>
      <w:tr w:rsidR="001028B8" w:rsidRPr="001028B8" w14:paraId="30ADA37D" w14:textId="77777777" w:rsidTr="001028B8">
        <w:trPr>
          <w:trHeight w:val="340"/>
        </w:trPr>
        <w:tc>
          <w:tcPr>
            <w:tcW w:w="3551" w:type="pct"/>
            <w:tcBorders>
              <w:top w:val="single" w:sz="4" w:space="0" w:color="auto"/>
              <w:left w:val="nil"/>
              <w:bottom w:val="single" w:sz="4" w:space="0" w:color="auto"/>
              <w:right w:val="nil"/>
            </w:tcBorders>
            <w:shd w:val="clear" w:color="auto" w:fill="auto"/>
            <w:noWrap/>
            <w:vAlign w:val="center"/>
          </w:tcPr>
          <w:p w14:paraId="02C16046"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6241ACDB" w14:textId="4115F769"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Cohesión en destino convocatoria 2022</w:t>
            </w:r>
          </w:p>
        </w:tc>
        <w:tc>
          <w:tcPr>
            <w:tcW w:w="727" w:type="pct"/>
            <w:tcBorders>
              <w:top w:val="single" w:sz="4" w:space="0" w:color="auto"/>
              <w:left w:val="nil"/>
              <w:bottom w:val="single" w:sz="4" w:space="0" w:color="auto"/>
              <w:right w:val="nil"/>
            </w:tcBorders>
            <w:shd w:val="clear" w:color="auto" w:fill="auto"/>
            <w:vAlign w:val="center"/>
          </w:tcPr>
          <w:p w14:paraId="0C913DA8" w14:textId="4577C781" w:rsidR="001028B8" w:rsidRPr="001028B8" w:rsidRDefault="001028B8" w:rsidP="001028B8">
            <w:pPr>
              <w:jc w:val="right"/>
              <w:rPr>
                <w:sz w:val="16"/>
                <w:szCs w:val="16"/>
              </w:rPr>
            </w:pPr>
            <w:r>
              <w:rPr>
                <w:sz w:val="16"/>
                <w:szCs w:val="16"/>
              </w:rPr>
              <w:t>376.841,46</w:t>
            </w:r>
          </w:p>
        </w:tc>
        <w:tc>
          <w:tcPr>
            <w:tcW w:w="722" w:type="pct"/>
            <w:tcBorders>
              <w:top w:val="single" w:sz="4" w:space="0" w:color="auto"/>
              <w:left w:val="nil"/>
              <w:bottom w:val="single" w:sz="4" w:space="0" w:color="auto"/>
              <w:right w:val="nil"/>
            </w:tcBorders>
            <w:shd w:val="clear" w:color="auto" w:fill="auto"/>
            <w:vAlign w:val="center"/>
          </w:tcPr>
          <w:p w14:paraId="3AF6FF51" w14:textId="2C135D8D" w:rsidR="001028B8" w:rsidRPr="001028B8" w:rsidRDefault="001028B8" w:rsidP="001028B8">
            <w:pPr>
              <w:jc w:val="right"/>
              <w:rPr>
                <w:sz w:val="16"/>
                <w:szCs w:val="16"/>
              </w:rPr>
            </w:pPr>
            <w:r>
              <w:rPr>
                <w:sz w:val="16"/>
                <w:szCs w:val="16"/>
              </w:rPr>
              <w:t xml:space="preserve"> -</w:t>
            </w:r>
          </w:p>
        </w:tc>
      </w:tr>
      <w:tr w:rsidR="001028B8" w:rsidRPr="001028B8" w14:paraId="2A0B8ED6" w14:textId="77777777" w:rsidTr="001028B8">
        <w:trPr>
          <w:trHeight w:val="340"/>
        </w:trPr>
        <w:tc>
          <w:tcPr>
            <w:tcW w:w="3551" w:type="pct"/>
            <w:tcBorders>
              <w:top w:val="single" w:sz="4" w:space="0" w:color="auto"/>
              <w:left w:val="nil"/>
              <w:bottom w:val="nil"/>
              <w:right w:val="nil"/>
            </w:tcBorders>
            <w:shd w:val="clear" w:color="auto" w:fill="auto"/>
            <w:noWrap/>
            <w:vAlign w:val="center"/>
          </w:tcPr>
          <w:p w14:paraId="7087906E" w14:textId="77777777" w:rsidR="001B5A15" w:rsidRDefault="001028B8" w:rsidP="001028B8">
            <w:pPr>
              <w:keepNext/>
              <w:keepLines/>
              <w:rPr>
                <w:sz w:val="16"/>
                <w:szCs w:val="16"/>
              </w:rPr>
            </w:pPr>
            <w:r>
              <w:rPr>
                <w:sz w:val="16"/>
                <w:szCs w:val="16"/>
              </w:rPr>
              <w:t xml:space="preserve">Consejería de Turismo y Empleo: </w:t>
            </w:r>
          </w:p>
          <w:p w14:paraId="74656C3C" w14:textId="4F970AD6" w:rsidR="001028B8" w:rsidRPr="001028B8" w:rsidRDefault="001028B8" w:rsidP="001028B8">
            <w:pPr>
              <w:keepNext/>
              <w:keepLines/>
              <w:rPr>
                <w:sz w:val="16"/>
                <w:szCs w:val="16"/>
              </w:rPr>
            </w:pPr>
            <w:r>
              <w:rPr>
                <w:sz w:val="16"/>
                <w:szCs w:val="16"/>
              </w:rPr>
              <w:t>Prevención riesgos laborales en la hostelería</w:t>
            </w:r>
          </w:p>
        </w:tc>
        <w:tc>
          <w:tcPr>
            <w:tcW w:w="727" w:type="pct"/>
            <w:tcBorders>
              <w:top w:val="single" w:sz="4" w:space="0" w:color="auto"/>
              <w:left w:val="nil"/>
              <w:bottom w:val="nil"/>
              <w:right w:val="nil"/>
            </w:tcBorders>
            <w:shd w:val="clear" w:color="auto" w:fill="auto"/>
            <w:vAlign w:val="center"/>
          </w:tcPr>
          <w:p w14:paraId="71F6307B" w14:textId="111A39FB"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212.000,00</w:t>
            </w:r>
          </w:p>
        </w:tc>
        <w:tc>
          <w:tcPr>
            <w:tcW w:w="722" w:type="pct"/>
            <w:tcBorders>
              <w:top w:val="single" w:sz="4" w:space="0" w:color="auto"/>
              <w:left w:val="nil"/>
              <w:bottom w:val="nil"/>
              <w:right w:val="nil"/>
            </w:tcBorders>
            <w:shd w:val="clear" w:color="auto" w:fill="auto"/>
            <w:vAlign w:val="center"/>
          </w:tcPr>
          <w:p w14:paraId="0CAED41A" w14:textId="4543B2B4" w:rsidR="001028B8" w:rsidRPr="001028B8" w:rsidRDefault="001028B8" w:rsidP="001028B8">
            <w:pPr>
              <w:keepNext/>
              <w:keepLines/>
              <w:jc w:val="right"/>
              <w:rPr>
                <w:sz w:val="16"/>
                <w:szCs w:val="16"/>
              </w:rPr>
            </w:pPr>
            <w:r>
              <w:rPr>
                <w:sz w:val="16"/>
                <w:szCs w:val="16"/>
              </w:rPr>
              <w:t xml:space="preserve"> -</w:t>
            </w:r>
          </w:p>
        </w:tc>
      </w:tr>
      <w:tr w:rsidR="001028B8" w:rsidRPr="001028B8" w14:paraId="755435FF" w14:textId="77777777" w:rsidTr="000E486B">
        <w:trPr>
          <w:trHeight w:val="283"/>
        </w:trPr>
        <w:tc>
          <w:tcPr>
            <w:tcW w:w="3551" w:type="pct"/>
            <w:tcBorders>
              <w:top w:val="single" w:sz="4" w:space="0" w:color="auto"/>
              <w:left w:val="nil"/>
              <w:bottom w:val="single" w:sz="4" w:space="0" w:color="auto"/>
              <w:right w:val="nil"/>
            </w:tcBorders>
            <w:shd w:val="clear" w:color="auto" w:fill="auto"/>
            <w:noWrap/>
            <w:vAlign w:val="center"/>
            <w:hideMark/>
          </w:tcPr>
          <w:p w14:paraId="187373B9" w14:textId="0D8F852D"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1028B8">
              <w:rPr>
                <w:b/>
                <w:bCs/>
                <w:sz w:val="16"/>
                <w:szCs w:val="16"/>
              </w:rPr>
              <w:t>Total</w:t>
            </w:r>
          </w:p>
        </w:tc>
        <w:tc>
          <w:tcPr>
            <w:tcW w:w="727" w:type="pct"/>
            <w:tcBorders>
              <w:top w:val="single" w:sz="4" w:space="0" w:color="auto"/>
              <w:left w:val="nil"/>
              <w:bottom w:val="single" w:sz="4" w:space="0" w:color="auto"/>
              <w:right w:val="nil"/>
            </w:tcBorders>
            <w:shd w:val="clear" w:color="auto" w:fill="auto"/>
            <w:noWrap/>
            <w:vAlign w:val="center"/>
          </w:tcPr>
          <w:p w14:paraId="202B3ABA" w14:textId="2B4D1A08"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sidRPr="001028B8">
              <w:rPr>
                <w:b/>
                <w:bCs/>
                <w:sz w:val="16"/>
                <w:szCs w:val="16"/>
              </w:rPr>
              <w:t>46.743.894,28</w:t>
            </w:r>
          </w:p>
        </w:tc>
        <w:tc>
          <w:tcPr>
            <w:tcW w:w="722" w:type="pct"/>
            <w:tcBorders>
              <w:top w:val="single" w:sz="4" w:space="0" w:color="auto"/>
              <w:left w:val="nil"/>
              <w:bottom w:val="single" w:sz="4" w:space="0" w:color="auto"/>
              <w:right w:val="nil"/>
            </w:tcBorders>
            <w:shd w:val="clear" w:color="auto" w:fill="auto"/>
            <w:noWrap/>
            <w:vAlign w:val="center"/>
            <w:hideMark/>
          </w:tcPr>
          <w:p w14:paraId="3578C617" w14:textId="53A25B45" w:rsidR="001028B8" w:rsidRPr="001028B8" w:rsidRDefault="001028B8" w:rsidP="001028B8">
            <w:pPr>
              <w:jc w:val="right"/>
              <w:rPr>
                <w:b/>
                <w:bCs/>
                <w:sz w:val="16"/>
                <w:szCs w:val="16"/>
              </w:rPr>
            </w:pPr>
            <w:r w:rsidRPr="001028B8">
              <w:rPr>
                <w:b/>
                <w:bCs/>
                <w:sz w:val="16"/>
                <w:szCs w:val="16"/>
              </w:rPr>
              <w:t>42.998.433,48</w:t>
            </w:r>
          </w:p>
        </w:tc>
      </w:tr>
    </w:tbl>
    <w:p w14:paraId="3AA86914" w14:textId="53D972CC" w:rsidR="00D67C6B" w:rsidRDefault="006220A2" w:rsidP="001B5A15">
      <w:pPr>
        <w:keepNext/>
        <w:keepLines/>
        <w:widowControl w:val="0"/>
        <w:spacing w:before="240" w:after="120" w:line="260" w:lineRule="exact"/>
        <w:jc w:val="both"/>
        <w:outlineLvl w:val="9"/>
        <w:rPr>
          <w:snapToGrid w:val="0"/>
          <w:sz w:val="20"/>
          <w:szCs w:val="22"/>
        </w:rPr>
      </w:pPr>
      <w:r w:rsidRPr="001028B8">
        <w:rPr>
          <w:snapToGrid w:val="0"/>
          <w:sz w:val="20"/>
          <w:szCs w:val="22"/>
        </w:rPr>
        <w:t>Dichos importes han sido</w:t>
      </w:r>
      <w:r w:rsidR="00EF6EBF" w:rsidRPr="001028B8">
        <w:rPr>
          <w:snapToGrid w:val="0"/>
          <w:sz w:val="20"/>
          <w:szCs w:val="22"/>
        </w:rPr>
        <w:t xml:space="preserve"> devengados en el ejercicio 20</w:t>
      </w:r>
      <w:r w:rsidR="000778A8" w:rsidRPr="001028B8">
        <w:rPr>
          <w:snapToGrid w:val="0"/>
          <w:sz w:val="20"/>
          <w:szCs w:val="22"/>
        </w:rPr>
        <w:t>2</w:t>
      </w:r>
      <w:r w:rsidR="001028B8" w:rsidRPr="001028B8">
        <w:rPr>
          <w:snapToGrid w:val="0"/>
          <w:sz w:val="20"/>
          <w:szCs w:val="22"/>
        </w:rPr>
        <w:t>3</w:t>
      </w:r>
      <w:r w:rsidRPr="001028B8">
        <w:rPr>
          <w:snapToGrid w:val="0"/>
          <w:sz w:val="20"/>
          <w:szCs w:val="22"/>
        </w:rPr>
        <w:t>, cumpliendo con las condiciones de las resoluciones de las transferencias concedidas para tal fin, y habiendo sido justifica</w:t>
      </w:r>
      <w:r w:rsidR="006D42A8" w:rsidRPr="001028B8">
        <w:rPr>
          <w:snapToGrid w:val="0"/>
          <w:sz w:val="20"/>
          <w:szCs w:val="22"/>
        </w:rPr>
        <w:t>das en tiempo y forma</w:t>
      </w:r>
      <w:r w:rsidR="00497BBB" w:rsidRPr="001028B8">
        <w:rPr>
          <w:snapToGrid w:val="0"/>
          <w:sz w:val="20"/>
          <w:szCs w:val="22"/>
        </w:rPr>
        <w:t>.</w:t>
      </w:r>
    </w:p>
    <w:p w14:paraId="3359E95D" w14:textId="77777777" w:rsidR="00D67C6B" w:rsidRDefault="00D67C6B">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33A79CC7" w14:textId="7B1F260E" w:rsidR="003D4867" w:rsidRPr="001028B8" w:rsidRDefault="003D4867" w:rsidP="00D67C6B">
      <w:pPr>
        <w:widowControl w:val="0"/>
        <w:spacing w:before="120" w:after="120" w:line="260" w:lineRule="exact"/>
        <w:jc w:val="both"/>
        <w:outlineLvl w:val="9"/>
        <w:rPr>
          <w:snapToGrid w:val="0"/>
          <w:sz w:val="20"/>
          <w:szCs w:val="22"/>
        </w:rPr>
      </w:pPr>
      <w:r w:rsidRPr="001028B8">
        <w:rPr>
          <w:snapToGrid w:val="0"/>
          <w:sz w:val="20"/>
          <w:szCs w:val="22"/>
        </w:rPr>
        <w:lastRenderedPageBreak/>
        <w:t>En el ejercicio 202</w:t>
      </w:r>
      <w:r w:rsidR="001028B8" w:rsidRPr="001028B8">
        <w:rPr>
          <w:snapToGrid w:val="0"/>
          <w:sz w:val="20"/>
          <w:szCs w:val="22"/>
        </w:rPr>
        <w:t>3 y 2022</w:t>
      </w:r>
      <w:r w:rsidRPr="001028B8">
        <w:rPr>
          <w:snapToGrid w:val="0"/>
          <w:sz w:val="20"/>
          <w:szCs w:val="22"/>
        </w:rPr>
        <w:t xml:space="preserve"> la Sociedad ha ejecutado un gasto inferior al esperado correspondiente a las subvenciones de la Consejería de Turismo</w:t>
      </w:r>
      <w:r w:rsidR="001028B8" w:rsidRPr="001028B8">
        <w:rPr>
          <w:snapToGrid w:val="0"/>
          <w:sz w:val="20"/>
          <w:szCs w:val="22"/>
        </w:rPr>
        <w:t xml:space="preserve"> y Empleo</w:t>
      </w:r>
      <w:r w:rsidRPr="001028B8">
        <w:rPr>
          <w:snapToGrid w:val="0"/>
          <w:sz w:val="20"/>
          <w:szCs w:val="22"/>
        </w:rPr>
        <w:t xml:space="preserve"> para los proyectos:</w:t>
      </w:r>
    </w:p>
    <w:tbl>
      <w:tblPr>
        <w:tblW w:w="5000" w:type="pct"/>
        <w:tblCellMar>
          <w:left w:w="70" w:type="dxa"/>
          <w:right w:w="70" w:type="dxa"/>
        </w:tblCellMar>
        <w:tblLook w:val="04A0" w:firstRow="1" w:lastRow="0" w:firstColumn="1" w:lastColumn="0" w:noHBand="0" w:noVBand="1"/>
      </w:tblPr>
      <w:tblGrid>
        <w:gridCol w:w="5488"/>
        <w:gridCol w:w="1646"/>
        <w:gridCol w:w="1647"/>
      </w:tblGrid>
      <w:tr w:rsidR="001028B8" w:rsidRPr="001028B8" w14:paraId="14AAFDB7" w14:textId="017B3291" w:rsidTr="001028B8">
        <w:trPr>
          <w:trHeight w:val="283"/>
        </w:trPr>
        <w:tc>
          <w:tcPr>
            <w:tcW w:w="3125" w:type="pct"/>
            <w:tcBorders>
              <w:top w:val="single" w:sz="4" w:space="0" w:color="auto"/>
              <w:left w:val="nil"/>
              <w:right w:val="nil"/>
            </w:tcBorders>
            <w:shd w:val="clear" w:color="auto" w:fill="auto"/>
            <w:noWrap/>
            <w:vAlign w:val="center"/>
            <w:hideMark/>
          </w:tcPr>
          <w:p w14:paraId="2FAF2B40" w14:textId="77777777" w:rsidR="001028B8" w:rsidRPr="001028B8" w:rsidRDefault="001028B8" w:rsidP="0078666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r w:rsidRPr="001028B8">
              <w:rPr>
                <w:rFonts w:eastAsia="Times New Roman"/>
                <w:sz w:val="17"/>
                <w:szCs w:val="17"/>
                <w:bdr w:val="none" w:sz="0" w:space="0" w:color="auto"/>
                <w:lang w:eastAsia="es-ES"/>
              </w:rPr>
              <w:t> </w:t>
            </w:r>
          </w:p>
        </w:tc>
        <w:tc>
          <w:tcPr>
            <w:tcW w:w="1875" w:type="pct"/>
            <w:gridSpan w:val="2"/>
            <w:tcBorders>
              <w:top w:val="single" w:sz="4" w:space="0" w:color="auto"/>
              <w:left w:val="nil"/>
              <w:bottom w:val="single" w:sz="4" w:space="0" w:color="auto"/>
              <w:right w:val="nil"/>
            </w:tcBorders>
            <w:shd w:val="clear" w:color="auto" w:fill="auto"/>
            <w:vAlign w:val="bottom"/>
            <w:hideMark/>
          </w:tcPr>
          <w:p w14:paraId="6E4F9B99" w14:textId="366A9032"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1028B8">
              <w:rPr>
                <w:rFonts w:eastAsia="Times New Roman"/>
                <w:b/>
                <w:bCs/>
                <w:sz w:val="17"/>
                <w:szCs w:val="17"/>
                <w:bdr w:val="none" w:sz="0" w:space="0" w:color="auto"/>
                <w:lang w:eastAsia="es-ES"/>
              </w:rPr>
              <w:t>Euros</w:t>
            </w:r>
          </w:p>
        </w:tc>
      </w:tr>
      <w:tr w:rsidR="001028B8" w:rsidRPr="006439D4" w14:paraId="6394C775" w14:textId="77777777" w:rsidTr="001028B8">
        <w:trPr>
          <w:trHeight w:val="283"/>
        </w:trPr>
        <w:tc>
          <w:tcPr>
            <w:tcW w:w="3125" w:type="pct"/>
            <w:tcBorders>
              <w:left w:val="nil"/>
              <w:bottom w:val="single" w:sz="4" w:space="0" w:color="auto"/>
              <w:right w:val="nil"/>
            </w:tcBorders>
            <w:shd w:val="clear" w:color="auto" w:fill="auto"/>
            <w:noWrap/>
            <w:vAlign w:val="center"/>
          </w:tcPr>
          <w:p w14:paraId="2AE22F7F" w14:textId="77777777" w:rsidR="001028B8" w:rsidRPr="001028B8" w:rsidRDefault="001028B8" w:rsidP="0078666C">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bdr w:val="none" w:sz="0" w:space="0" w:color="auto"/>
                <w:lang w:eastAsia="es-ES"/>
              </w:rPr>
            </w:pPr>
          </w:p>
        </w:tc>
        <w:tc>
          <w:tcPr>
            <w:tcW w:w="937" w:type="pct"/>
            <w:tcBorders>
              <w:top w:val="single" w:sz="4" w:space="0" w:color="auto"/>
              <w:left w:val="nil"/>
              <w:bottom w:val="single" w:sz="4" w:space="0" w:color="auto"/>
              <w:right w:val="nil"/>
            </w:tcBorders>
            <w:shd w:val="clear" w:color="auto" w:fill="auto"/>
            <w:vAlign w:val="bottom"/>
          </w:tcPr>
          <w:p w14:paraId="4244F367" w14:textId="7020A69E"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1028B8">
              <w:rPr>
                <w:rFonts w:eastAsia="Times New Roman"/>
                <w:b/>
                <w:bCs/>
                <w:sz w:val="17"/>
                <w:szCs w:val="17"/>
                <w:bdr w:val="none" w:sz="0" w:space="0" w:color="auto"/>
                <w:lang w:eastAsia="es-ES"/>
              </w:rPr>
              <w:t>31/12/2023</w:t>
            </w:r>
          </w:p>
        </w:tc>
        <w:tc>
          <w:tcPr>
            <w:tcW w:w="937" w:type="pct"/>
            <w:tcBorders>
              <w:top w:val="single" w:sz="4" w:space="0" w:color="auto"/>
              <w:left w:val="nil"/>
              <w:bottom w:val="single" w:sz="4" w:space="0" w:color="auto"/>
              <w:right w:val="nil"/>
            </w:tcBorders>
            <w:vAlign w:val="bottom"/>
          </w:tcPr>
          <w:p w14:paraId="6A3A8F35" w14:textId="09EF5345"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7"/>
                <w:szCs w:val="17"/>
                <w:bdr w:val="none" w:sz="0" w:space="0" w:color="auto"/>
                <w:lang w:eastAsia="es-ES"/>
              </w:rPr>
            </w:pPr>
            <w:r w:rsidRPr="001028B8">
              <w:rPr>
                <w:rFonts w:eastAsia="Times New Roman"/>
                <w:b/>
                <w:bCs/>
                <w:sz w:val="17"/>
                <w:szCs w:val="17"/>
                <w:bdr w:val="none" w:sz="0" w:space="0" w:color="auto"/>
                <w:lang w:eastAsia="es-ES"/>
              </w:rPr>
              <w:t>31/12/2022</w:t>
            </w:r>
          </w:p>
        </w:tc>
      </w:tr>
      <w:tr w:rsidR="001028B8" w:rsidRPr="006439D4" w14:paraId="4B7D6DEE" w14:textId="7F111BE3" w:rsidTr="001028B8">
        <w:trPr>
          <w:trHeight w:val="454"/>
        </w:trPr>
        <w:tc>
          <w:tcPr>
            <w:tcW w:w="3125" w:type="pct"/>
            <w:tcBorders>
              <w:top w:val="single" w:sz="4" w:space="0" w:color="auto"/>
              <w:left w:val="nil"/>
              <w:bottom w:val="single" w:sz="4" w:space="0" w:color="auto"/>
              <w:right w:val="nil"/>
            </w:tcBorders>
            <w:shd w:val="clear" w:color="auto" w:fill="auto"/>
            <w:vAlign w:val="center"/>
            <w:hideMark/>
          </w:tcPr>
          <w:p w14:paraId="30DAE815"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7B055C07" w14:textId="1BBCB0E4"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para el desarrollo de actividad promocional (NO FEDER) - anualidad 2022</w:t>
            </w:r>
          </w:p>
        </w:tc>
        <w:tc>
          <w:tcPr>
            <w:tcW w:w="937" w:type="pct"/>
            <w:tcBorders>
              <w:top w:val="single" w:sz="4" w:space="0" w:color="auto"/>
              <w:left w:val="nil"/>
              <w:bottom w:val="single" w:sz="4" w:space="0" w:color="auto"/>
              <w:right w:val="nil"/>
            </w:tcBorders>
            <w:shd w:val="clear" w:color="auto" w:fill="auto"/>
            <w:vAlign w:val="center"/>
            <w:hideMark/>
          </w:tcPr>
          <w:p w14:paraId="17A866B1" w14:textId="5157A56C"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1.645.935,64</w:t>
            </w:r>
          </w:p>
        </w:tc>
        <w:tc>
          <w:tcPr>
            <w:tcW w:w="937" w:type="pct"/>
            <w:tcBorders>
              <w:top w:val="single" w:sz="4" w:space="0" w:color="auto"/>
              <w:left w:val="nil"/>
              <w:bottom w:val="single" w:sz="4" w:space="0" w:color="auto"/>
              <w:right w:val="nil"/>
            </w:tcBorders>
            <w:vAlign w:val="center"/>
          </w:tcPr>
          <w:p w14:paraId="4E67E101" w14:textId="2A7209A9"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1.645.935,64</w:t>
            </w:r>
          </w:p>
        </w:tc>
      </w:tr>
      <w:tr w:rsidR="001028B8" w:rsidRPr="006439D4" w14:paraId="7EE0A37C" w14:textId="022FC1DA" w:rsidTr="001028B8">
        <w:trPr>
          <w:trHeight w:val="454"/>
        </w:trPr>
        <w:tc>
          <w:tcPr>
            <w:tcW w:w="3125" w:type="pct"/>
            <w:tcBorders>
              <w:top w:val="nil"/>
              <w:left w:val="nil"/>
              <w:bottom w:val="nil"/>
              <w:right w:val="nil"/>
            </w:tcBorders>
            <w:shd w:val="clear" w:color="auto" w:fill="auto"/>
            <w:vAlign w:val="center"/>
            <w:hideMark/>
          </w:tcPr>
          <w:p w14:paraId="5CC06881"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25EF223F" w14:textId="59062B85"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para el desarrollo de actividad promocional (FEDER)</w:t>
            </w:r>
          </w:p>
        </w:tc>
        <w:tc>
          <w:tcPr>
            <w:tcW w:w="937" w:type="pct"/>
            <w:tcBorders>
              <w:top w:val="nil"/>
              <w:left w:val="nil"/>
              <w:bottom w:val="nil"/>
              <w:right w:val="nil"/>
            </w:tcBorders>
            <w:shd w:val="clear" w:color="auto" w:fill="auto"/>
            <w:vAlign w:val="center"/>
            <w:hideMark/>
          </w:tcPr>
          <w:p w14:paraId="62019C1B" w14:textId="5B54F60C"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470.826,27</w:t>
            </w:r>
          </w:p>
        </w:tc>
        <w:tc>
          <w:tcPr>
            <w:tcW w:w="937" w:type="pct"/>
            <w:tcBorders>
              <w:top w:val="nil"/>
              <w:left w:val="nil"/>
              <w:bottom w:val="nil"/>
              <w:right w:val="nil"/>
            </w:tcBorders>
            <w:vAlign w:val="center"/>
          </w:tcPr>
          <w:p w14:paraId="7D2C7D8A" w14:textId="65702038"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 xml:space="preserve"> -</w:t>
            </w:r>
          </w:p>
        </w:tc>
      </w:tr>
      <w:tr w:rsidR="001028B8" w:rsidRPr="006439D4" w14:paraId="0B01F6F2" w14:textId="2ED923ED" w:rsidTr="006B0821">
        <w:trPr>
          <w:trHeight w:val="680"/>
        </w:trPr>
        <w:tc>
          <w:tcPr>
            <w:tcW w:w="3125" w:type="pct"/>
            <w:tcBorders>
              <w:top w:val="single" w:sz="4" w:space="0" w:color="auto"/>
              <w:left w:val="nil"/>
              <w:bottom w:val="single" w:sz="4" w:space="0" w:color="auto"/>
              <w:right w:val="nil"/>
            </w:tcBorders>
            <w:shd w:val="clear" w:color="auto" w:fill="auto"/>
            <w:vAlign w:val="center"/>
            <w:hideMark/>
          </w:tcPr>
          <w:p w14:paraId="34D98550" w14:textId="77777777" w:rsidR="001B5A15" w:rsidRDefault="0016552F"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sidRPr="006B0821">
              <w:rPr>
                <w:sz w:val="17"/>
                <w:szCs w:val="17"/>
              </w:rPr>
              <w:t xml:space="preserve">Consejería de Turismo y Empleo: </w:t>
            </w:r>
          </w:p>
          <w:p w14:paraId="0AECBC11" w14:textId="5C75F8E0" w:rsidR="001028B8" w:rsidRPr="006B0821" w:rsidRDefault="0016552F"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sidRPr="006B0821">
              <w:rPr>
                <w:sz w:val="17"/>
                <w:szCs w:val="17"/>
              </w:rPr>
              <w:t>para el desarrollo de la actividad promocional para la Cohesión, y los Territorios de Europa (REACT-EU)</w:t>
            </w:r>
          </w:p>
        </w:tc>
        <w:tc>
          <w:tcPr>
            <w:tcW w:w="937" w:type="pct"/>
            <w:tcBorders>
              <w:top w:val="single" w:sz="4" w:space="0" w:color="auto"/>
              <w:left w:val="nil"/>
              <w:bottom w:val="single" w:sz="4" w:space="0" w:color="auto"/>
              <w:right w:val="nil"/>
            </w:tcBorders>
            <w:shd w:val="clear" w:color="auto" w:fill="auto"/>
            <w:vAlign w:val="center"/>
            <w:hideMark/>
          </w:tcPr>
          <w:p w14:paraId="36F7A0EF" w14:textId="69CD3306"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1.369.202,01</w:t>
            </w:r>
          </w:p>
        </w:tc>
        <w:tc>
          <w:tcPr>
            <w:tcW w:w="937" w:type="pct"/>
            <w:tcBorders>
              <w:top w:val="single" w:sz="4" w:space="0" w:color="auto"/>
              <w:left w:val="nil"/>
              <w:bottom w:val="single" w:sz="4" w:space="0" w:color="auto"/>
              <w:right w:val="nil"/>
            </w:tcBorders>
            <w:vAlign w:val="center"/>
          </w:tcPr>
          <w:p w14:paraId="5B441130" w14:textId="002B546F"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 xml:space="preserve"> -</w:t>
            </w:r>
          </w:p>
        </w:tc>
      </w:tr>
      <w:tr w:rsidR="001028B8" w:rsidRPr="006439D4" w14:paraId="583F876B" w14:textId="5D545353" w:rsidTr="006B0821">
        <w:trPr>
          <w:trHeight w:val="680"/>
        </w:trPr>
        <w:tc>
          <w:tcPr>
            <w:tcW w:w="3125" w:type="pct"/>
            <w:tcBorders>
              <w:top w:val="nil"/>
              <w:left w:val="nil"/>
              <w:bottom w:val="nil"/>
              <w:right w:val="nil"/>
            </w:tcBorders>
            <w:shd w:val="clear" w:color="auto" w:fill="auto"/>
            <w:vAlign w:val="center"/>
            <w:hideMark/>
          </w:tcPr>
          <w:p w14:paraId="7338C2FE"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656B6772" w14:textId="17DC2309"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Gestión estructural del fondo de ayuda a la recuperación para la cohesión y los territorios de Europa (REACT-EU)</w:t>
            </w:r>
          </w:p>
        </w:tc>
        <w:tc>
          <w:tcPr>
            <w:tcW w:w="937" w:type="pct"/>
            <w:tcBorders>
              <w:top w:val="nil"/>
              <w:left w:val="nil"/>
              <w:bottom w:val="nil"/>
              <w:right w:val="nil"/>
            </w:tcBorders>
            <w:shd w:val="clear" w:color="auto" w:fill="auto"/>
            <w:vAlign w:val="center"/>
            <w:hideMark/>
          </w:tcPr>
          <w:p w14:paraId="646C6FD5" w14:textId="1C350B3B" w:rsidR="001028B8" w:rsidRP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56.567,83</w:t>
            </w:r>
          </w:p>
        </w:tc>
        <w:tc>
          <w:tcPr>
            <w:tcW w:w="937" w:type="pct"/>
            <w:tcBorders>
              <w:top w:val="nil"/>
              <w:left w:val="nil"/>
              <w:bottom w:val="nil"/>
              <w:right w:val="nil"/>
            </w:tcBorders>
            <w:vAlign w:val="center"/>
          </w:tcPr>
          <w:p w14:paraId="070D7EC8" w14:textId="39FCA95C"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 xml:space="preserve"> -</w:t>
            </w:r>
          </w:p>
        </w:tc>
      </w:tr>
      <w:tr w:rsidR="001028B8" w:rsidRPr="006439D4" w14:paraId="2AD9D514" w14:textId="2BC57A27" w:rsidTr="001028B8">
        <w:trPr>
          <w:trHeight w:val="454"/>
        </w:trPr>
        <w:tc>
          <w:tcPr>
            <w:tcW w:w="3125" w:type="pct"/>
            <w:tcBorders>
              <w:top w:val="single" w:sz="4" w:space="0" w:color="auto"/>
              <w:left w:val="nil"/>
              <w:bottom w:val="single" w:sz="4" w:space="0" w:color="auto"/>
              <w:right w:val="nil"/>
            </w:tcBorders>
            <w:shd w:val="clear" w:color="auto" w:fill="auto"/>
            <w:vAlign w:val="center"/>
            <w:hideMark/>
          </w:tcPr>
          <w:p w14:paraId="2DAB1DEF"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183B0145" w14:textId="639D895A"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para el fomento de la conectividad aérea y paliar los efectos del caso Thomas Cook</w:t>
            </w:r>
          </w:p>
        </w:tc>
        <w:tc>
          <w:tcPr>
            <w:tcW w:w="937" w:type="pct"/>
            <w:tcBorders>
              <w:top w:val="single" w:sz="4" w:space="0" w:color="auto"/>
              <w:left w:val="nil"/>
              <w:bottom w:val="single" w:sz="4" w:space="0" w:color="auto"/>
              <w:right w:val="nil"/>
            </w:tcBorders>
            <w:shd w:val="clear" w:color="auto" w:fill="auto"/>
            <w:vAlign w:val="center"/>
            <w:hideMark/>
          </w:tcPr>
          <w:p w14:paraId="2AAC6F09" w14:textId="10B9B164"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single" w:sz="4" w:space="0" w:color="auto"/>
              <w:left w:val="nil"/>
              <w:bottom w:val="single" w:sz="4" w:space="0" w:color="auto"/>
              <w:right w:val="nil"/>
            </w:tcBorders>
            <w:vAlign w:val="center"/>
          </w:tcPr>
          <w:p w14:paraId="51EBE62F" w14:textId="3ED710BC"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25.185,60</w:t>
            </w:r>
          </w:p>
        </w:tc>
      </w:tr>
      <w:tr w:rsidR="001028B8" w:rsidRPr="006439D4" w14:paraId="0E1C3B46" w14:textId="61EA85DE" w:rsidTr="001028B8">
        <w:trPr>
          <w:trHeight w:val="454"/>
        </w:trPr>
        <w:tc>
          <w:tcPr>
            <w:tcW w:w="3125" w:type="pct"/>
            <w:tcBorders>
              <w:top w:val="nil"/>
              <w:left w:val="nil"/>
              <w:bottom w:val="nil"/>
              <w:right w:val="nil"/>
            </w:tcBorders>
            <w:shd w:val="clear" w:color="auto" w:fill="auto"/>
            <w:vAlign w:val="center"/>
            <w:hideMark/>
          </w:tcPr>
          <w:p w14:paraId="05858CF2"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01D02D99" w14:textId="18A8244E"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Plan de digitalización (para paliar los efectos del caso Thomas Cook)</w:t>
            </w:r>
          </w:p>
        </w:tc>
        <w:tc>
          <w:tcPr>
            <w:tcW w:w="937" w:type="pct"/>
            <w:tcBorders>
              <w:top w:val="nil"/>
              <w:left w:val="nil"/>
              <w:bottom w:val="nil"/>
              <w:right w:val="nil"/>
            </w:tcBorders>
            <w:shd w:val="clear" w:color="auto" w:fill="auto"/>
            <w:vAlign w:val="center"/>
            <w:hideMark/>
          </w:tcPr>
          <w:p w14:paraId="2A71E514" w14:textId="1E212789"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nil"/>
              <w:left w:val="nil"/>
              <w:bottom w:val="nil"/>
              <w:right w:val="nil"/>
            </w:tcBorders>
            <w:vAlign w:val="center"/>
          </w:tcPr>
          <w:p w14:paraId="7D1E8BF5" w14:textId="78F6718E"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18.422,12</w:t>
            </w:r>
          </w:p>
        </w:tc>
      </w:tr>
      <w:tr w:rsidR="001028B8" w:rsidRPr="006439D4" w14:paraId="1E217E7D" w14:textId="17EC2EF1" w:rsidTr="001028B8">
        <w:trPr>
          <w:trHeight w:val="454"/>
        </w:trPr>
        <w:tc>
          <w:tcPr>
            <w:tcW w:w="3125" w:type="pct"/>
            <w:tcBorders>
              <w:top w:val="single" w:sz="4" w:space="0" w:color="auto"/>
              <w:left w:val="nil"/>
              <w:bottom w:val="single" w:sz="4" w:space="0" w:color="auto"/>
              <w:right w:val="nil"/>
            </w:tcBorders>
            <w:shd w:val="clear" w:color="auto" w:fill="auto"/>
            <w:vAlign w:val="center"/>
            <w:hideMark/>
          </w:tcPr>
          <w:p w14:paraId="22D4D45B"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Cultura y Deportes: </w:t>
            </w:r>
          </w:p>
          <w:p w14:paraId="6C1A956A" w14:textId="6F7CD3C3"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Patrocinio de eventos (para paliar los efectos del caso Thomas Cook)</w:t>
            </w:r>
          </w:p>
        </w:tc>
        <w:tc>
          <w:tcPr>
            <w:tcW w:w="937" w:type="pct"/>
            <w:tcBorders>
              <w:top w:val="single" w:sz="4" w:space="0" w:color="auto"/>
              <w:left w:val="nil"/>
              <w:bottom w:val="single" w:sz="4" w:space="0" w:color="auto"/>
              <w:right w:val="nil"/>
            </w:tcBorders>
            <w:shd w:val="clear" w:color="auto" w:fill="auto"/>
            <w:vAlign w:val="center"/>
            <w:hideMark/>
          </w:tcPr>
          <w:p w14:paraId="52E2EB0F" w14:textId="4850CCE7"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single" w:sz="4" w:space="0" w:color="auto"/>
              <w:left w:val="nil"/>
              <w:bottom w:val="single" w:sz="4" w:space="0" w:color="auto"/>
              <w:right w:val="nil"/>
            </w:tcBorders>
            <w:vAlign w:val="center"/>
          </w:tcPr>
          <w:p w14:paraId="5AD18D9E" w14:textId="5ED1A151"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160.901,69</w:t>
            </w:r>
          </w:p>
        </w:tc>
      </w:tr>
      <w:tr w:rsidR="001028B8" w:rsidRPr="006439D4" w14:paraId="0FB1D805" w14:textId="3432DDD6" w:rsidTr="001028B8">
        <w:trPr>
          <w:trHeight w:val="454"/>
        </w:trPr>
        <w:tc>
          <w:tcPr>
            <w:tcW w:w="3125" w:type="pct"/>
            <w:tcBorders>
              <w:top w:val="nil"/>
              <w:left w:val="nil"/>
              <w:bottom w:val="nil"/>
              <w:right w:val="nil"/>
            </w:tcBorders>
            <w:shd w:val="clear" w:color="auto" w:fill="auto"/>
            <w:vAlign w:val="center"/>
            <w:hideMark/>
          </w:tcPr>
          <w:p w14:paraId="04AFED71"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05FE3F3B" w14:textId="59E36BEB"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Desarrollo de acciones para paliar los efectos del caso Thomas Cook</w:t>
            </w:r>
          </w:p>
        </w:tc>
        <w:tc>
          <w:tcPr>
            <w:tcW w:w="937" w:type="pct"/>
            <w:tcBorders>
              <w:top w:val="nil"/>
              <w:left w:val="nil"/>
              <w:bottom w:val="nil"/>
              <w:right w:val="nil"/>
            </w:tcBorders>
            <w:shd w:val="clear" w:color="auto" w:fill="auto"/>
            <w:vAlign w:val="center"/>
            <w:hideMark/>
          </w:tcPr>
          <w:p w14:paraId="05CC684B" w14:textId="01FEA869"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nil"/>
              <w:left w:val="nil"/>
              <w:bottom w:val="nil"/>
              <w:right w:val="nil"/>
            </w:tcBorders>
            <w:vAlign w:val="center"/>
          </w:tcPr>
          <w:p w14:paraId="1E7522C0" w14:textId="218F6318"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423.126,47</w:t>
            </w:r>
          </w:p>
        </w:tc>
      </w:tr>
      <w:tr w:rsidR="001028B8" w:rsidRPr="006439D4" w14:paraId="0D0FC86B" w14:textId="0EC2E895" w:rsidTr="00125C20">
        <w:trPr>
          <w:trHeight w:val="454"/>
        </w:trPr>
        <w:tc>
          <w:tcPr>
            <w:tcW w:w="3125" w:type="pct"/>
            <w:tcBorders>
              <w:top w:val="single" w:sz="4" w:space="0" w:color="auto"/>
              <w:left w:val="nil"/>
              <w:right w:val="nil"/>
            </w:tcBorders>
            <w:shd w:val="clear" w:color="auto" w:fill="auto"/>
            <w:vAlign w:val="center"/>
            <w:hideMark/>
          </w:tcPr>
          <w:p w14:paraId="3E6CB751"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34B8E9F2" w14:textId="6C34BE12"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7"/>
                <w:szCs w:val="17"/>
                <w:highlight w:val="red"/>
                <w:bdr w:val="none" w:sz="0" w:space="0" w:color="auto"/>
                <w:lang w:eastAsia="es-ES"/>
              </w:rPr>
            </w:pPr>
            <w:r>
              <w:rPr>
                <w:sz w:val="17"/>
                <w:szCs w:val="17"/>
              </w:rPr>
              <w:t xml:space="preserve">para un plan de dinamización turística del norte de La Gomera </w:t>
            </w:r>
          </w:p>
        </w:tc>
        <w:tc>
          <w:tcPr>
            <w:tcW w:w="937" w:type="pct"/>
            <w:tcBorders>
              <w:top w:val="single" w:sz="4" w:space="0" w:color="auto"/>
              <w:left w:val="nil"/>
              <w:right w:val="nil"/>
            </w:tcBorders>
            <w:shd w:val="clear" w:color="auto" w:fill="auto"/>
            <w:vAlign w:val="center"/>
            <w:hideMark/>
          </w:tcPr>
          <w:p w14:paraId="34F3B03F" w14:textId="6E0D9CAC"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single" w:sz="4" w:space="0" w:color="auto"/>
              <w:left w:val="nil"/>
              <w:right w:val="nil"/>
            </w:tcBorders>
            <w:vAlign w:val="center"/>
          </w:tcPr>
          <w:p w14:paraId="666164E2" w14:textId="1B406A72"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29.835,60</w:t>
            </w:r>
          </w:p>
        </w:tc>
      </w:tr>
      <w:tr w:rsidR="001028B8" w:rsidRPr="006439D4" w14:paraId="1F1D76F2" w14:textId="41681A41" w:rsidTr="00125C20">
        <w:trPr>
          <w:trHeight w:val="454"/>
        </w:trPr>
        <w:tc>
          <w:tcPr>
            <w:tcW w:w="3125" w:type="pct"/>
            <w:tcBorders>
              <w:top w:val="nil"/>
              <w:left w:val="nil"/>
              <w:bottom w:val="single" w:sz="4" w:space="0" w:color="auto"/>
              <w:right w:val="nil"/>
            </w:tcBorders>
            <w:shd w:val="clear" w:color="auto" w:fill="auto"/>
            <w:vAlign w:val="center"/>
            <w:hideMark/>
          </w:tcPr>
          <w:p w14:paraId="7A1E0421"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31886F4A" w14:textId="6BC18526"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highlight w:val="red"/>
                <w:bdr w:val="none" w:sz="0" w:space="0" w:color="auto"/>
                <w:lang w:eastAsia="es-ES"/>
              </w:rPr>
            </w:pPr>
            <w:r>
              <w:rPr>
                <w:sz w:val="17"/>
                <w:szCs w:val="17"/>
              </w:rPr>
              <w:t>para el desarrollo y mejora del sistema de información del destino (MIS) en su gestión pública incluyendo el Gobierno de Canarias, Cabildos y Ayuntamientos</w:t>
            </w:r>
          </w:p>
        </w:tc>
        <w:tc>
          <w:tcPr>
            <w:tcW w:w="937" w:type="pct"/>
            <w:tcBorders>
              <w:top w:val="nil"/>
              <w:left w:val="nil"/>
              <w:bottom w:val="single" w:sz="4" w:space="0" w:color="auto"/>
              <w:right w:val="nil"/>
            </w:tcBorders>
            <w:shd w:val="clear" w:color="auto" w:fill="auto"/>
            <w:vAlign w:val="center"/>
            <w:hideMark/>
          </w:tcPr>
          <w:p w14:paraId="5A22291F" w14:textId="6F2BE8F5"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nil"/>
              <w:left w:val="nil"/>
              <w:bottom w:val="single" w:sz="4" w:space="0" w:color="auto"/>
              <w:right w:val="nil"/>
            </w:tcBorders>
            <w:vAlign w:val="center"/>
          </w:tcPr>
          <w:p w14:paraId="51C3F585" w14:textId="0294ECA1"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16.871,02</w:t>
            </w:r>
          </w:p>
        </w:tc>
      </w:tr>
      <w:tr w:rsidR="001028B8" w:rsidRPr="006439D4" w14:paraId="5A6ABE60" w14:textId="65AEDB36" w:rsidTr="00125C20">
        <w:trPr>
          <w:trHeight w:val="454"/>
        </w:trPr>
        <w:tc>
          <w:tcPr>
            <w:tcW w:w="3125" w:type="pct"/>
            <w:tcBorders>
              <w:top w:val="single" w:sz="4" w:space="0" w:color="auto"/>
              <w:left w:val="nil"/>
              <w:bottom w:val="single" w:sz="4" w:space="0" w:color="auto"/>
              <w:right w:val="nil"/>
            </w:tcBorders>
            <w:shd w:val="clear" w:color="auto" w:fill="auto"/>
            <w:vAlign w:val="center"/>
          </w:tcPr>
          <w:p w14:paraId="1E41579F"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729EB392" w14:textId="6C91539B"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highlight w:val="red"/>
                <w:bdr w:val="none" w:sz="0" w:space="0" w:color="auto"/>
                <w:lang w:eastAsia="es-ES"/>
              </w:rPr>
            </w:pPr>
            <w:r>
              <w:rPr>
                <w:sz w:val="17"/>
                <w:szCs w:val="17"/>
              </w:rPr>
              <w:t>para la promoción de la red museística de Canarias</w:t>
            </w:r>
          </w:p>
        </w:tc>
        <w:tc>
          <w:tcPr>
            <w:tcW w:w="937" w:type="pct"/>
            <w:tcBorders>
              <w:top w:val="single" w:sz="4" w:space="0" w:color="auto"/>
              <w:left w:val="nil"/>
              <w:bottom w:val="single" w:sz="4" w:space="0" w:color="auto"/>
              <w:right w:val="nil"/>
            </w:tcBorders>
            <w:shd w:val="clear" w:color="auto" w:fill="auto"/>
            <w:vAlign w:val="center"/>
          </w:tcPr>
          <w:p w14:paraId="4D5BEB9D" w14:textId="7A925979"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single" w:sz="4" w:space="0" w:color="auto"/>
              <w:left w:val="nil"/>
              <w:bottom w:val="single" w:sz="4" w:space="0" w:color="auto"/>
              <w:right w:val="nil"/>
            </w:tcBorders>
            <w:vAlign w:val="center"/>
          </w:tcPr>
          <w:p w14:paraId="001C960A" w14:textId="5B7F6E3E"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160.062,73</w:t>
            </w:r>
          </w:p>
        </w:tc>
      </w:tr>
      <w:tr w:rsidR="001028B8" w:rsidRPr="006439D4" w14:paraId="195ADD41" w14:textId="63B4B4EE" w:rsidTr="00125C20">
        <w:trPr>
          <w:trHeight w:val="454"/>
        </w:trPr>
        <w:tc>
          <w:tcPr>
            <w:tcW w:w="3125" w:type="pct"/>
            <w:tcBorders>
              <w:top w:val="single" w:sz="4" w:space="0" w:color="auto"/>
              <w:left w:val="nil"/>
              <w:bottom w:val="single" w:sz="4" w:space="0" w:color="auto"/>
              <w:right w:val="nil"/>
            </w:tcBorders>
            <w:shd w:val="clear" w:color="auto" w:fill="auto"/>
            <w:vAlign w:val="center"/>
          </w:tcPr>
          <w:p w14:paraId="4F991A08"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63D3B6EB" w14:textId="4BCB4168"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highlight w:val="red"/>
                <w:bdr w:val="none" w:sz="0" w:space="0" w:color="auto"/>
                <w:lang w:eastAsia="es-ES"/>
              </w:rPr>
            </w:pPr>
            <w:r>
              <w:rPr>
                <w:sz w:val="17"/>
                <w:szCs w:val="17"/>
              </w:rPr>
              <w:t>Para el desarrollo del sistema de información del destino (para paliar los efectos de la quiebra de Thomas Cook)</w:t>
            </w:r>
          </w:p>
        </w:tc>
        <w:tc>
          <w:tcPr>
            <w:tcW w:w="937" w:type="pct"/>
            <w:tcBorders>
              <w:top w:val="single" w:sz="4" w:space="0" w:color="auto"/>
              <w:left w:val="nil"/>
              <w:bottom w:val="single" w:sz="4" w:space="0" w:color="auto"/>
              <w:right w:val="nil"/>
            </w:tcBorders>
            <w:shd w:val="clear" w:color="auto" w:fill="auto"/>
            <w:vAlign w:val="center"/>
          </w:tcPr>
          <w:p w14:paraId="4C1D4131" w14:textId="39BE2814"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single" w:sz="4" w:space="0" w:color="auto"/>
              <w:left w:val="nil"/>
              <w:bottom w:val="single" w:sz="4" w:space="0" w:color="auto"/>
              <w:right w:val="nil"/>
            </w:tcBorders>
            <w:vAlign w:val="center"/>
          </w:tcPr>
          <w:p w14:paraId="268DEA40" w14:textId="4F144F45"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400.000,00</w:t>
            </w:r>
          </w:p>
        </w:tc>
      </w:tr>
      <w:tr w:rsidR="001028B8" w:rsidRPr="006439D4" w14:paraId="438AA997" w14:textId="2D606EAB" w:rsidTr="00125C20">
        <w:trPr>
          <w:trHeight w:val="454"/>
        </w:trPr>
        <w:tc>
          <w:tcPr>
            <w:tcW w:w="3125" w:type="pct"/>
            <w:tcBorders>
              <w:top w:val="single" w:sz="4" w:space="0" w:color="auto"/>
              <w:left w:val="nil"/>
              <w:bottom w:val="nil"/>
              <w:right w:val="nil"/>
            </w:tcBorders>
            <w:shd w:val="clear" w:color="auto" w:fill="auto"/>
            <w:vAlign w:val="center"/>
          </w:tcPr>
          <w:p w14:paraId="742DE324" w14:textId="77777777" w:rsidR="001B5A15"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7"/>
                <w:szCs w:val="17"/>
              </w:rPr>
            </w:pPr>
            <w:r>
              <w:rPr>
                <w:sz w:val="17"/>
                <w:szCs w:val="17"/>
              </w:rPr>
              <w:t xml:space="preserve">Consejería de Turismo y Empleo: </w:t>
            </w:r>
          </w:p>
          <w:p w14:paraId="4AB07C58" w14:textId="3F888A49"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7"/>
                <w:szCs w:val="17"/>
                <w:highlight w:val="red"/>
                <w:bdr w:val="none" w:sz="0" w:space="0" w:color="auto"/>
                <w:lang w:eastAsia="es-ES"/>
              </w:rPr>
            </w:pPr>
            <w:r>
              <w:rPr>
                <w:sz w:val="17"/>
                <w:szCs w:val="17"/>
              </w:rPr>
              <w:t>Gestión de cartera y productos de eventos</w:t>
            </w:r>
          </w:p>
        </w:tc>
        <w:tc>
          <w:tcPr>
            <w:tcW w:w="937" w:type="pct"/>
            <w:tcBorders>
              <w:top w:val="single" w:sz="4" w:space="0" w:color="auto"/>
              <w:left w:val="nil"/>
              <w:bottom w:val="nil"/>
              <w:right w:val="nil"/>
            </w:tcBorders>
            <w:shd w:val="clear" w:color="auto" w:fill="auto"/>
            <w:vAlign w:val="center"/>
          </w:tcPr>
          <w:p w14:paraId="6F9F0B8A" w14:textId="6D344818"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7"/>
                <w:szCs w:val="17"/>
                <w:highlight w:val="red"/>
                <w:bdr w:val="none" w:sz="0" w:space="0" w:color="auto"/>
                <w:lang w:eastAsia="es-ES"/>
              </w:rPr>
            </w:pPr>
            <w:r>
              <w:rPr>
                <w:sz w:val="17"/>
                <w:szCs w:val="17"/>
              </w:rPr>
              <w:t xml:space="preserve"> -</w:t>
            </w:r>
          </w:p>
        </w:tc>
        <w:tc>
          <w:tcPr>
            <w:tcW w:w="937" w:type="pct"/>
            <w:tcBorders>
              <w:top w:val="single" w:sz="4" w:space="0" w:color="auto"/>
              <w:left w:val="nil"/>
              <w:bottom w:val="nil"/>
              <w:right w:val="nil"/>
            </w:tcBorders>
            <w:vAlign w:val="center"/>
          </w:tcPr>
          <w:p w14:paraId="678272A8" w14:textId="09BEA8DF"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7"/>
                <w:szCs w:val="17"/>
              </w:rPr>
            </w:pPr>
            <w:r>
              <w:rPr>
                <w:sz w:val="17"/>
                <w:szCs w:val="17"/>
              </w:rPr>
              <w:t>360.000,00</w:t>
            </w:r>
          </w:p>
        </w:tc>
      </w:tr>
      <w:tr w:rsidR="001028B8" w:rsidRPr="006439D4" w14:paraId="44211EF6" w14:textId="12757D63" w:rsidTr="001028B8">
        <w:trPr>
          <w:trHeight w:val="283"/>
        </w:trPr>
        <w:tc>
          <w:tcPr>
            <w:tcW w:w="3125" w:type="pct"/>
            <w:tcBorders>
              <w:top w:val="single" w:sz="4" w:space="0" w:color="auto"/>
              <w:left w:val="nil"/>
              <w:bottom w:val="single" w:sz="4" w:space="0" w:color="auto"/>
              <w:right w:val="nil"/>
            </w:tcBorders>
            <w:shd w:val="clear" w:color="auto" w:fill="auto"/>
            <w:noWrap/>
            <w:vAlign w:val="center"/>
            <w:hideMark/>
          </w:tcPr>
          <w:p w14:paraId="4868DE62" w14:textId="34788DDB"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7"/>
                <w:szCs w:val="17"/>
                <w:highlight w:val="red"/>
                <w:bdr w:val="none" w:sz="0" w:space="0" w:color="auto"/>
                <w:lang w:eastAsia="es-ES"/>
              </w:rPr>
            </w:pPr>
            <w:r>
              <w:rPr>
                <w:b/>
                <w:bCs/>
                <w:sz w:val="17"/>
                <w:szCs w:val="17"/>
              </w:rPr>
              <w:t>Total</w:t>
            </w:r>
          </w:p>
        </w:tc>
        <w:tc>
          <w:tcPr>
            <w:tcW w:w="937" w:type="pct"/>
            <w:tcBorders>
              <w:top w:val="single" w:sz="4" w:space="0" w:color="auto"/>
              <w:left w:val="nil"/>
              <w:bottom w:val="single" w:sz="4" w:space="0" w:color="auto"/>
              <w:right w:val="nil"/>
            </w:tcBorders>
            <w:shd w:val="clear" w:color="auto" w:fill="auto"/>
            <w:vAlign w:val="center"/>
            <w:hideMark/>
          </w:tcPr>
          <w:p w14:paraId="7A281F7A" w14:textId="16D73B03" w:rsidR="001028B8" w:rsidRPr="006439D4"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7"/>
                <w:szCs w:val="17"/>
                <w:highlight w:val="red"/>
                <w:bdr w:val="none" w:sz="0" w:space="0" w:color="auto"/>
                <w:lang w:eastAsia="es-ES"/>
              </w:rPr>
            </w:pPr>
            <w:r>
              <w:rPr>
                <w:b/>
                <w:bCs/>
                <w:sz w:val="17"/>
                <w:szCs w:val="17"/>
              </w:rPr>
              <w:t>3.542.531,75</w:t>
            </w:r>
          </w:p>
        </w:tc>
        <w:tc>
          <w:tcPr>
            <w:tcW w:w="937" w:type="pct"/>
            <w:tcBorders>
              <w:top w:val="single" w:sz="4" w:space="0" w:color="auto"/>
              <w:left w:val="nil"/>
              <w:bottom w:val="single" w:sz="4" w:space="0" w:color="auto"/>
              <w:right w:val="nil"/>
            </w:tcBorders>
            <w:vAlign w:val="center"/>
          </w:tcPr>
          <w:p w14:paraId="4057F716" w14:textId="59FFA30D" w:rsidR="001028B8" w:rsidRDefault="001028B8" w:rsidP="001028B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b/>
                <w:bCs/>
                <w:sz w:val="17"/>
                <w:szCs w:val="17"/>
              </w:rPr>
            </w:pPr>
            <w:r>
              <w:rPr>
                <w:b/>
                <w:bCs/>
                <w:sz w:val="17"/>
                <w:szCs w:val="17"/>
              </w:rPr>
              <w:t>3.240.340,87</w:t>
            </w:r>
          </w:p>
        </w:tc>
      </w:tr>
    </w:tbl>
    <w:p w14:paraId="311FD9E4" w14:textId="514638C6" w:rsidR="003D4867" w:rsidRPr="00125C20" w:rsidRDefault="003D4867" w:rsidP="00EE7F26">
      <w:pPr>
        <w:widowControl w:val="0"/>
        <w:spacing w:before="240" w:after="120" w:line="260" w:lineRule="exact"/>
        <w:jc w:val="both"/>
        <w:outlineLvl w:val="9"/>
        <w:rPr>
          <w:snapToGrid w:val="0"/>
          <w:sz w:val="20"/>
          <w:szCs w:val="22"/>
        </w:rPr>
      </w:pPr>
      <w:r w:rsidRPr="00125C20">
        <w:rPr>
          <w:snapToGrid w:val="0"/>
          <w:sz w:val="20"/>
          <w:szCs w:val="22"/>
        </w:rPr>
        <w:t>La parte no ejecutada por la Sociedad en 202</w:t>
      </w:r>
      <w:r w:rsidR="00125C20" w:rsidRPr="00125C20">
        <w:rPr>
          <w:snapToGrid w:val="0"/>
          <w:sz w:val="20"/>
          <w:szCs w:val="22"/>
        </w:rPr>
        <w:t>3</w:t>
      </w:r>
      <w:r w:rsidRPr="00125C20">
        <w:rPr>
          <w:snapToGrid w:val="0"/>
          <w:sz w:val="20"/>
          <w:szCs w:val="22"/>
        </w:rPr>
        <w:t xml:space="preserve"> ha sido registrada como ingresos anticipados por importe de </w:t>
      </w:r>
      <w:r w:rsidR="00125C20" w:rsidRPr="00125C20">
        <w:rPr>
          <w:snapToGrid w:val="0"/>
          <w:sz w:val="20"/>
          <w:szCs w:val="22"/>
        </w:rPr>
        <w:t xml:space="preserve">38.985.647,69 </w:t>
      </w:r>
      <w:r w:rsidR="00907E84" w:rsidRPr="00125C20">
        <w:rPr>
          <w:snapToGrid w:val="0"/>
          <w:sz w:val="20"/>
          <w:szCs w:val="22"/>
        </w:rPr>
        <w:t>(</w:t>
      </w:r>
      <w:r w:rsidR="00125C20" w:rsidRPr="00125C20">
        <w:rPr>
          <w:snapToGrid w:val="0"/>
          <w:sz w:val="20"/>
          <w:szCs w:val="22"/>
        </w:rPr>
        <w:t>17.084.799,03</w:t>
      </w:r>
      <w:r w:rsidR="00907E84" w:rsidRPr="00125C20">
        <w:rPr>
          <w:snapToGrid w:val="0"/>
          <w:sz w:val="20"/>
          <w:szCs w:val="22"/>
        </w:rPr>
        <w:t xml:space="preserve"> euros en el ejercicio anterior) </w:t>
      </w:r>
      <w:r w:rsidRPr="00125C20">
        <w:rPr>
          <w:snapToGrid w:val="0"/>
          <w:sz w:val="20"/>
          <w:szCs w:val="22"/>
        </w:rPr>
        <w:t>(Nota 8.3.c).</w:t>
      </w:r>
    </w:p>
    <w:p w14:paraId="6462613B" w14:textId="77777777" w:rsidR="00125C20" w:rsidRPr="006439D4" w:rsidRDefault="00125C20" w:rsidP="00064105">
      <w:pPr>
        <w:widowControl w:val="0"/>
        <w:spacing w:before="120" w:after="120" w:line="260" w:lineRule="exact"/>
        <w:jc w:val="both"/>
        <w:outlineLvl w:val="9"/>
        <w:rPr>
          <w:snapToGrid w:val="0"/>
          <w:sz w:val="20"/>
          <w:szCs w:val="22"/>
          <w:highlight w:val="red"/>
        </w:rPr>
      </w:pPr>
    </w:p>
    <w:p w14:paraId="25EBD574" w14:textId="77777777" w:rsidR="001C58A9" w:rsidRPr="006439D4" w:rsidRDefault="001C58A9" w:rsidP="009C7621">
      <w:pPr>
        <w:widowControl w:val="0"/>
        <w:spacing w:before="120" w:line="276" w:lineRule="auto"/>
        <w:jc w:val="both"/>
        <w:rPr>
          <w:sz w:val="20"/>
          <w:szCs w:val="20"/>
          <w:highlight w:val="red"/>
        </w:rPr>
      </w:pPr>
    </w:p>
    <w:p w14:paraId="3B366A94" w14:textId="7EB87DEE" w:rsidR="001C58A9" w:rsidRPr="006439D4" w:rsidRDefault="001C58A9" w:rsidP="0045288C">
      <w:pPr>
        <w:keepNext/>
        <w:keepLines/>
        <w:widowControl w:val="0"/>
        <w:spacing w:before="120" w:after="120" w:line="276" w:lineRule="auto"/>
        <w:jc w:val="both"/>
        <w:rPr>
          <w:sz w:val="20"/>
          <w:szCs w:val="20"/>
          <w:highlight w:val="red"/>
        </w:rPr>
        <w:sectPr w:rsidR="001C58A9" w:rsidRPr="006439D4" w:rsidSect="004A41D6">
          <w:pgSz w:w="11900" w:h="16840" w:code="9"/>
          <w:pgMar w:top="1701" w:right="1418" w:bottom="1418" w:left="1701" w:header="1020" w:footer="680" w:gutter="0"/>
          <w:cols w:space="708"/>
          <w:docGrid w:linePitch="360"/>
        </w:sectPr>
      </w:pPr>
    </w:p>
    <w:p w14:paraId="461FA6A3" w14:textId="5B9C1D8F" w:rsidR="000778A8" w:rsidRPr="00125C20" w:rsidRDefault="001C58A9" w:rsidP="00C003BB">
      <w:pPr>
        <w:keepNext/>
        <w:keepLines/>
        <w:widowControl w:val="0"/>
        <w:spacing w:before="120" w:after="120" w:line="276" w:lineRule="auto"/>
        <w:jc w:val="both"/>
        <w:rPr>
          <w:sz w:val="20"/>
          <w:szCs w:val="20"/>
        </w:rPr>
      </w:pPr>
      <w:r w:rsidRPr="00125C20">
        <w:rPr>
          <w:sz w:val="20"/>
          <w:szCs w:val="20"/>
        </w:rPr>
        <w:lastRenderedPageBreak/>
        <w:t>Las subvenciones de explota</w:t>
      </w:r>
      <w:r w:rsidR="00646619" w:rsidRPr="00125C20">
        <w:rPr>
          <w:sz w:val="20"/>
          <w:szCs w:val="20"/>
        </w:rPr>
        <w:t>ción concedidas en 202</w:t>
      </w:r>
      <w:r w:rsidR="00125C20" w:rsidRPr="00125C20">
        <w:rPr>
          <w:sz w:val="20"/>
          <w:szCs w:val="20"/>
        </w:rPr>
        <w:t>3</w:t>
      </w:r>
      <w:r w:rsidR="00646619" w:rsidRPr="00125C20">
        <w:rPr>
          <w:sz w:val="20"/>
          <w:szCs w:val="20"/>
        </w:rPr>
        <w:t xml:space="preserve"> y </w:t>
      </w:r>
      <w:r w:rsidR="000778A8" w:rsidRPr="00125C20">
        <w:rPr>
          <w:sz w:val="20"/>
          <w:szCs w:val="20"/>
        </w:rPr>
        <w:t>prorrogadas al ejercicio 20</w:t>
      </w:r>
      <w:r w:rsidR="00125C20" w:rsidRPr="00125C20">
        <w:rPr>
          <w:sz w:val="20"/>
          <w:szCs w:val="20"/>
        </w:rPr>
        <w:t>24</w:t>
      </w:r>
      <w:r w:rsidR="000778A8" w:rsidRPr="00125C20">
        <w:rPr>
          <w:sz w:val="20"/>
          <w:szCs w:val="20"/>
        </w:rPr>
        <w:t xml:space="preserve"> son las siguientes:</w:t>
      </w:r>
    </w:p>
    <w:tbl>
      <w:tblPr>
        <w:tblW w:w="5000" w:type="pct"/>
        <w:tblCellMar>
          <w:left w:w="70" w:type="dxa"/>
          <w:right w:w="70" w:type="dxa"/>
        </w:tblCellMar>
        <w:tblLook w:val="04A0" w:firstRow="1" w:lastRow="0" w:firstColumn="1" w:lastColumn="0" w:noHBand="0" w:noVBand="1"/>
      </w:tblPr>
      <w:tblGrid>
        <w:gridCol w:w="4800"/>
        <w:gridCol w:w="1336"/>
        <w:gridCol w:w="88"/>
        <w:gridCol w:w="1424"/>
        <w:gridCol w:w="110"/>
        <w:gridCol w:w="1314"/>
        <w:gridCol w:w="1408"/>
        <w:gridCol w:w="1622"/>
        <w:gridCol w:w="1413"/>
        <w:gridCol w:w="206"/>
      </w:tblGrid>
      <w:tr w:rsidR="00DB1E0F" w:rsidRPr="00125C20" w14:paraId="382D13A1" w14:textId="77777777" w:rsidTr="00452BC9">
        <w:trPr>
          <w:gridAfter w:val="1"/>
          <w:wAfter w:w="75" w:type="pct"/>
          <w:trHeight w:val="227"/>
          <w:tblHeader/>
        </w:trPr>
        <w:tc>
          <w:tcPr>
            <w:tcW w:w="1749" w:type="pct"/>
            <w:tcBorders>
              <w:top w:val="single" w:sz="4" w:space="0" w:color="auto"/>
              <w:left w:val="nil"/>
              <w:bottom w:val="nil"/>
              <w:right w:val="nil"/>
            </w:tcBorders>
            <w:shd w:val="clear" w:color="auto" w:fill="auto"/>
            <w:noWrap/>
            <w:vAlign w:val="center"/>
            <w:hideMark/>
          </w:tcPr>
          <w:p w14:paraId="47488AF0" w14:textId="77777777" w:rsidR="00DB1E0F" w:rsidRPr="00125C20" w:rsidRDefault="00DB1E0F"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6"/>
                <w:szCs w:val="16"/>
                <w:bdr w:val="none" w:sz="0" w:space="0" w:color="auto"/>
                <w:lang w:eastAsia="es-ES"/>
              </w:rPr>
            </w:pPr>
          </w:p>
        </w:tc>
        <w:tc>
          <w:tcPr>
            <w:tcW w:w="487" w:type="pct"/>
            <w:tcBorders>
              <w:top w:val="single" w:sz="4" w:space="0" w:color="auto"/>
              <w:left w:val="nil"/>
              <w:bottom w:val="nil"/>
              <w:right w:val="nil"/>
            </w:tcBorders>
          </w:tcPr>
          <w:p w14:paraId="333EBA3E" w14:textId="77777777" w:rsidR="00DB1E0F" w:rsidRPr="00125C20" w:rsidRDefault="00DB1E0F"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591" w:type="pct"/>
            <w:gridSpan w:val="3"/>
            <w:tcBorders>
              <w:top w:val="single" w:sz="4" w:space="0" w:color="auto"/>
              <w:left w:val="nil"/>
              <w:bottom w:val="nil"/>
              <w:right w:val="nil"/>
            </w:tcBorders>
          </w:tcPr>
          <w:p w14:paraId="2FF35F54" w14:textId="77777777" w:rsidR="00DB1E0F" w:rsidRPr="00125C20" w:rsidRDefault="00DB1E0F"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p>
        </w:tc>
        <w:tc>
          <w:tcPr>
            <w:tcW w:w="2098" w:type="pct"/>
            <w:gridSpan w:val="4"/>
            <w:tcBorders>
              <w:top w:val="single" w:sz="4" w:space="0" w:color="auto"/>
              <w:left w:val="nil"/>
              <w:bottom w:val="nil"/>
              <w:right w:val="nil"/>
            </w:tcBorders>
            <w:shd w:val="clear" w:color="auto" w:fill="auto"/>
            <w:vAlign w:val="bottom"/>
            <w:hideMark/>
          </w:tcPr>
          <w:p w14:paraId="4506FD37" w14:textId="1DE3319F" w:rsidR="00DB1E0F" w:rsidRPr="00125C20" w:rsidRDefault="00DB1E0F" w:rsidP="0045288C">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Euros</w:t>
            </w:r>
          </w:p>
        </w:tc>
      </w:tr>
      <w:tr w:rsidR="00DB1E0F" w:rsidRPr="00125C20" w14:paraId="2D0CEFBD" w14:textId="77777777" w:rsidTr="00452BC9">
        <w:trPr>
          <w:trHeight w:val="227"/>
          <w:tblHeader/>
        </w:trPr>
        <w:tc>
          <w:tcPr>
            <w:tcW w:w="1749" w:type="pct"/>
            <w:tcBorders>
              <w:top w:val="nil"/>
              <w:left w:val="nil"/>
              <w:bottom w:val="single" w:sz="4" w:space="0" w:color="auto"/>
              <w:right w:val="nil"/>
            </w:tcBorders>
            <w:shd w:val="clear" w:color="auto" w:fill="auto"/>
            <w:noWrap/>
            <w:vAlign w:val="bottom"/>
            <w:hideMark/>
          </w:tcPr>
          <w:p w14:paraId="3456C980" w14:textId="2868DB80" w:rsidR="00DB1E0F" w:rsidRPr="00125C20" w:rsidRDefault="00DB1E0F" w:rsidP="001C58A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Subvención</w:t>
            </w:r>
          </w:p>
        </w:tc>
        <w:tc>
          <w:tcPr>
            <w:tcW w:w="519" w:type="pct"/>
            <w:gridSpan w:val="2"/>
            <w:tcBorders>
              <w:top w:val="single" w:sz="4" w:space="0" w:color="auto"/>
              <w:left w:val="nil"/>
              <w:bottom w:val="single" w:sz="4" w:space="0" w:color="auto"/>
              <w:right w:val="nil"/>
            </w:tcBorders>
            <w:shd w:val="clear" w:color="auto" w:fill="auto"/>
            <w:vAlign w:val="bottom"/>
            <w:hideMark/>
          </w:tcPr>
          <w:p w14:paraId="007D0E51" w14:textId="331B6B5A" w:rsidR="00DB1E0F" w:rsidRPr="00125C20" w:rsidRDefault="00DB1E0F" w:rsidP="00DB1E0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Importe concedido en 202</w:t>
            </w:r>
            <w:r w:rsidR="00125C20">
              <w:rPr>
                <w:rFonts w:eastAsia="Times New Roman"/>
                <w:b/>
                <w:bCs/>
                <w:sz w:val="16"/>
                <w:szCs w:val="16"/>
                <w:bdr w:val="none" w:sz="0" w:space="0" w:color="auto"/>
                <w:lang w:eastAsia="es-ES"/>
              </w:rPr>
              <w:t>3</w:t>
            </w:r>
          </w:p>
        </w:tc>
        <w:tc>
          <w:tcPr>
            <w:tcW w:w="519" w:type="pct"/>
            <w:tcBorders>
              <w:top w:val="single" w:sz="4" w:space="0" w:color="auto"/>
              <w:left w:val="nil"/>
              <w:bottom w:val="single" w:sz="4" w:space="0" w:color="auto"/>
              <w:right w:val="nil"/>
            </w:tcBorders>
            <w:vAlign w:val="bottom"/>
          </w:tcPr>
          <w:p w14:paraId="0CF600A0" w14:textId="19F1361A" w:rsidR="00DB1E0F" w:rsidRPr="00125C20" w:rsidRDefault="00DB1E0F" w:rsidP="00DB1E0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Importe concedido en 202</w:t>
            </w:r>
            <w:r w:rsidR="00125C20">
              <w:rPr>
                <w:rFonts w:eastAsia="Times New Roman"/>
                <w:b/>
                <w:bCs/>
                <w:sz w:val="16"/>
                <w:szCs w:val="16"/>
                <w:bdr w:val="none" w:sz="0" w:space="0" w:color="auto"/>
                <w:lang w:eastAsia="es-ES"/>
              </w:rPr>
              <w:t>1/2022</w:t>
            </w:r>
          </w:p>
        </w:tc>
        <w:tc>
          <w:tcPr>
            <w:tcW w:w="519" w:type="pct"/>
            <w:gridSpan w:val="2"/>
            <w:tcBorders>
              <w:top w:val="single" w:sz="4" w:space="0" w:color="auto"/>
              <w:left w:val="nil"/>
              <w:bottom w:val="single" w:sz="4" w:space="0" w:color="auto"/>
              <w:right w:val="nil"/>
            </w:tcBorders>
            <w:shd w:val="clear" w:color="auto" w:fill="auto"/>
            <w:vAlign w:val="bottom"/>
            <w:hideMark/>
          </w:tcPr>
          <w:p w14:paraId="589AF298" w14:textId="27D74191" w:rsidR="00DB1E0F" w:rsidRPr="00125C20" w:rsidRDefault="00DB1E0F" w:rsidP="00DB1E0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Importe ejecutado en 202</w:t>
            </w:r>
            <w:r w:rsidR="00125C20">
              <w:rPr>
                <w:rFonts w:eastAsia="Times New Roman"/>
                <w:b/>
                <w:bCs/>
                <w:sz w:val="16"/>
                <w:szCs w:val="16"/>
                <w:bdr w:val="none" w:sz="0" w:space="0" w:color="auto"/>
                <w:lang w:eastAsia="es-ES"/>
              </w:rPr>
              <w:t>3</w:t>
            </w:r>
          </w:p>
        </w:tc>
        <w:tc>
          <w:tcPr>
            <w:tcW w:w="513" w:type="pct"/>
            <w:tcBorders>
              <w:top w:val="single" w:sz="4" w:space="0" w:color="auto"/>
              <w:left w:val="nil"/>
              <w:bottom w:val="single" w:sz="4" w:space="0" w:color="auto"/>
              <w:right w:val="nil"/>
            </w:tcBorders>
            <w:shd w:val="clear" w:color="auto" w:fill="auto"/>
            <w:vAlign w:val="bottom"/>
            <w:hideMark/>
          </w:tcPr>
          <w:p w14:paraId="4B59A1C3" w14:textId="37E4B5DE" w:rsidR="00DB1E0F" w:rsidRPr="00125C20" w:rsidRDefault="00DB1E0F" w:rsidP="00DB1E0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Importe a reintegrar</w:t>
            </w:r>
          </w:p>
        </w:tc>
        <w:tc>
          <w:tcPr>
            <w:tcW w:w="591" w:type="pct"/>
            <w:tcBorders>
              <w:top w:val="single" w:sz="4" w:space="0" w:color="auto"/>
              <w:left w:val="nil"/>
              <w:bottom w:val="single" w:sz="4" w:space="0" w:color="auto"/>
              <w:right w:val="nil"/>
            </w:tcBorders>
            <w:vAlign w:val="bottom"/>
          </w:tcPr>
          <w:p w14:paraId="6C4AF196" w14:textId="36DA46F0" w:rsidR="00DB1E0F" w:rsidRPr="00125C20" w:rsidRDefault="00DB1E0F" w:rsidP="00DB1E0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Importe no ejecutado y no cobrado</w:t>
            </w:r>
          </w:p>
        </w:tc>
        <w:tc>
          <w:tcPr>
            <w:tcW w:w="590" w:type="pct"/>
            <w:gridSpan w:val="2"/>
            <w:tcBorders>
              <w:top w:val="single" w:sz="4" w:space="0" w:color="auto"/>
              <w:left w:val="nil"/>
              <w:bottom w:val="single" w:sz="4" w:space="0" w:color="auto"/>
              <w:right w:val="nil"/>
            </w:tcBorders>
            <w:shd w:val="clear" w:color="auto" w:fill="auto"/>
            <w:vAlign w:val="bottom"/>
            <w:hideMark/>
          </w:tcPr>
          <w:p w14:paraId="375BC122" w14:textId="77777777" w:rsidR="00064105" w:rsidRPr="00125C20" w:rsidRDefault="00DB1E0F" w:rsidP="00DB1E0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 xml:space="preserve">Importe </w:t>
            </w:r>
          </w:p>
          <w:p w14:paraId="489F9466" w14:textId="3018D0B9" w:rsidR="00DB1E0F" w:rsidRPr="00125C20" w:rsidRDefault="00DB1E0F" w:rsidP="00DB1E0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 xml:space="preserve">pendiente de ejecutar </w:t>
            </w:r>
            <w:r w:rsidR="00C060F2" w:rsidRPr="00125C20">
              <w:rPr>
                <w:rFonts w:eastAsia="Times New Roman"/>
                <w:b/>
                <w:bCs/>
                <w:sz w:val="16"/>
                <w:szCs w:val="16"/>
                <w:bdr w:val="none" w:sz="0" w:space="0" w:color="auto"/>
                <w:lang w:eastAsia="es-ES"/>
              </w:rPr>
              <w:t>en</w:t>
            </w:r>
            <w:r w:rsidRPr="00125C20">
              <w:rPr>
                <w:rFonts w:eastAsia="Times New Roman"/>
                <w:b/>
                <w:bCs/>
                <w:sz w:val="16"/>
                <w:szCs w:val="16"/>
                <w:bdr w:val="none" w:sz="0" w:space="0" w:color="auto"/>
                <w:lang w:eastAsia="es-ES"/>
              </w:rPr>
              <w:t xml:space="preserve"> 202</w:t>
            </w:r>
            <w:r w:rsidR="00125C20">
              <w:rPr>
                <w:rFonts w:eastAsia="Times New Roman"/>
                <w:b/>
                <w:bCs/>
                <w:sz w:val="16"/>
                <w:szCs w:val="16"/>
                <w:bdr w:val="none" w:sz="0" w:space="0" w:color="auto"/>
                <w:lang w:eastAsia="es-ES"/>
              </w:rPr>
              <w:t>4</w:t>
            </w:r>
          </w:p>
        </w:tc>
      </w:tr>
      <w:tr w:rsidR="00452BC9" w:rsidRPr="00125C20" w14:paraId="3A3936D6"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1E322CA2"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w:t>
            </w:r>
            <w:r w:rsidRPr="006B0821">
              <w:rPr>
                <w:sz w:val="16"/>
                <w:szCs w:val="16"/>
              </w:rPr>
              <w:t xml:space="preserve">de </w:t>
            </w:r>
            <w:r w:rsidR="006B0821" w:rsidRPr="006B0821">
              <w:rPr>
                <w:sz w:val="16"/>
                <w:szCs w:val="16"/>
              </w:rPr>
              <w:t>Turismo y Empleo</w:t>
            </w:r>
            <w:r w:rsidRPr="006B0821">
              <w:rPr>
                <w:sz w:val="16"/>
                <w:szCs w:val="16"/>
              </w:rPr>
              <w:t xml:space="preserve">: </w:t>
            </w:r>
          </w:p>
          <w:p w14:paraId="6455E19A" w14:textId="1F6FC70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6B0821">
              <w:rPr>
                <w:sz w:val="16"/>
                <w:szCs w:val="16"/>
              </w:rPr>
              <w:t>para el</w:t>
            </w:r>
            <w:r>
              <w:rPr>
                <w:sz w:val="16"/>
                <w:szCs w:val="16"/>
              </w:rPr>
              <w:t xml:space="preserve"> desarrollo de actividad promocional (FEDER)</w:t>
            </w:r>
          </w:p>
        </w:tc>
        <w:tc>
          <w:tcPr>
            <w:tcW w:w="519" w:type="pct"/>
            <w:gridSpan w:val="2"/>
            <w:tcBorders>
              <w:top w:val="single" w:sz="4" w:space="0" w:color="auto"/>
              <w:left w:val="nil"/>
              <w:bottom w:val="single" w:sz="4" w:space="0" w:color="auto"/>
              <w:right w:val="nil"/>
            </w:tcBorders>
            <w:shd w:val="clear" w:color="auto" w:fill="auto"/>
            <w:vAlign w:val="center"/>
          </w:tcPr>
          <w:p w14:paraId="4DBCB6C6" w14:textId="161DFA0F"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10.600.000,00</w:t>
            </w:r>
          </w:p>
        </w:tc>
        <w:tc>
          <w:tcPr>
            <w:tcW w:w="519" w:type="pct"/>
            <w:tcBorders>
              <w:top w:val="single" w:sz="4" w:space="0" w:color="auto"/>
              <w:left w:val="nil"/>
              <w:bottom w:val="single" w:sz="4" w:space="0" w:color="auto"/>
              <w:right w:val="nil"/>
            </w:tcBorders>
            <w:vAlign w:val="center"/>
          </w:tcPr>
          <w:p w14:paraId="3408A198" w14:textId="2DA83E22"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5BBC9DFF" w14:textId="677B6E7A"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10.129.173,73</w:t>
            </w:r>
          </w:p>
        </w:tc>
        <w:tc>
          <w:tcPr>
            <w:tcW w:w="513" w:type="pct"/>
            <w:tcBorders>
              <w:top w:val="single" w:sz="4" w:space="0" w:color="auto"/>
              <w:left w:val="nil"/>
              <w:bottom w:val="single" w:sz="4" w:space="0" w:color="auto"/>
              <w:right w:val="nil"/>
            </w:tcBorders>
            <w:shd w:val="clear" w:color="auto" w:fill="auto"/>
            <w:vAlign w:val="center"/>
          </w:tcPr>
          <w:p w14:paraId="6E063832" w14:textId="08AFD600"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(470.826,27)</w:t>
            </w:r>
          </w:p>
        </w:tc>
        <w:tc>
          <w:tcPr>
            <w:tcW w:w="591" w:type="pct"/>
            <w:tcBorders>
              <w:top w:val="single" w:sz="4" w:space="0" w:color="auto"/>
              <w:left w:val="nil"/>
              <w:bottom w:val="single" w:sz="4" w:space="0" w:color="auto"/>
              <w:right w:val="nil"/>
            </w:tcBorders>
            <w:vAlign w:val="center"/>
          </w:tcPr>
          <w:p w14:paraId="5FFD221C" w14:textId="1BEE42EE"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7FA6B9F7" w14:textId="3D761730"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33F8063E"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0C6A3951"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Consejería de</w:t>
            </w:r>
            <w:r w:rsidR="006B0821" w:rsidRPr="006B0821">
              <w:rPr>
                <w:sz w:val="16"/>
                <w:szCs w:val="16"/>
              </w:rPr>
              <w:t xml:space="preserve"> Turismo y Empleo</w:t>
            </w:r>
            <w:r>
              <w:rPr>
                <w:sz w:val="16"/>
                <w:szCs w:val="16"/>
              </w:rPr>
              <w:t xml:space="preserve">: </w:t>
            </w:r>
          </w:p>
          <w:p w14:paraId="3FF97E31" w14:textId="05E71055"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para el desarrollo de actividad promocional (NO FEDER) - 2023</w:t>
            </w:r>
          </w:p>
        </w:tc>
        <w:tc>
          <w:tcPr>
            <w:tcW w:w="519" w:type="pct"/>
            <w:gridSpan w:val="2"/>
            <w:tcBorders>
              <w:top w:val="single" w:sz="4" w:space="0" w:color="auto"/>
              <w:left w:val="nil"/>
              <w:bottom w:val="single" w:sz="4" w:space="0" w:color="auto"/>
              <w:right w:val="nil"/>
            </w:tcBorders>
            <w:shd w:val="clear" w:color="auto" w:fill="auto"/>
            <w:vAlign w:val="center"/>
          </w:tcPr>
          <w:p w14:paraId="616AFE75" w14:textId="019B272A"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8.407.361,00</w:t>
            </w:r>
          </w:p>
        </w:tc>
        <w:tc>
          <w:tcPr>
            <w:tcW w:w="519" w:type="pct"/>
            <w:tcBorders>
              <w:top w:val="single" w:sz="4" w:space="0" w:color="auto"/>
              <w:left w:val="nil"/>
              <w:bottom w:val="single" w:sz="4" w:space="0" w:color="auto"/>
              <w:right w:val="nil"/>
            </w:tcBorders>
            <w:vAlign w:val="center"/>
          </w:tcPr>
          <w:p w14:paraId="166DBAF2" w14:textId="284EFAC5"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60B0B47B" w14:textId="38BD132D"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8.407.361,00</w:t>
            </w:r>
          </w:p>
        </w:tc>
        <w:tc>
          <w:tcPr>
            <w:tcW w:w="513" w:type="pct"/>
            <w:tcBorders>
              <w:top w:val="single" w:sz="4" w:space="0" w:color="auto"/>
              <w:left w:val="nil"/>
              <w:bottom w:val="single" w:sz="4" w:space="0" w:color="auto"/>
              <w:right w:val="nil"/>
            </w:tcBorders>
            <w:shd w:val="clear" w:color="auto" w:fill="auto"/>
            <w:vAlign w:val="center"/>
          </w:tcPr>
          <w:p w14:paraId="7608B4B0" w14:textId="2AC1602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16B7E911" w14:textId="38BCA0DE"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4708B441" w14:textId="7E29FA23"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2DF25B98"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53CE619A"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Consejería de</w:t>
            </w:r>
            <w:r w:rsidR="006B0821" w:rsidRPr="006B0821">
              <w:rPr>
                <w:sz w:val="16"/>
                <w:szCs w:val="16"/>
              </w:rPr>
              <w:t xml:space="preserve"> Turismo y Empleo</w:t>
            </w:r>
            <w:r>
              <w:rPr>
                <w:sz w:val="16"/>
                <w:szCs w:val="16"/>
              </w:rPr>
              <w:t>: p</w:t>
            </w:r>
          </w:p>
          <w:p w14:paraId="2AB1DEDA" w14:textId="622580E3"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ara el desarrollo de actividad promocional (NO FEDER) - 2022</w:t>
            </w:r>
          </w:p>
        </w:tc>
        <w:tc>
          <w:tcPr>
            <w:tcW w:w="519" w:type="pct"/>
            <w:gridSpan w:val="2"/>
            <w:tcBorders>
              <w:top w:val="single" w:sz="4" w:space="0" w:color="auto"/>
              <w:left w:val="nil"/>
              <w:bottom w:val="single" w:sz="4" w:space="0" w:color="auto"/>
              <w:right w:val="nil"/>
            </w:tcBorders>
            <w:shd w:val="clear" w:color="auto" w:fill="auto"/>
            <w:vAlign w:val="center"/>
          </w:tcPr>
          <w:p w14:paraId="04BF0B45" w14:textId="35447EE2"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tcBorders>
              <w:top w:val="single" w:sz="4" w:space="0" w:color="auto"/>
              <w:left w:val="nil"/>
              <w:bottom w:val="single" w:sz="4" w:space="0" w:color="auto"/>
              <w:right w:val="nil"/>
            </w:tcBorders>
            <w:vAlign w:val="center"/>
          </w:tcPr>
          <w:p w14:paraId="54D267CE" w14:textId="4D7716DF"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302000C7" w14:textId="0364B94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3" w:type="pct"/>
            <w:tcBorders>
              <w:top w:val="single" w:sz="4" w:space="0" w:color="auto"/>
              <w:left w:val="nil"/>
              <w:bottom w:val="single" w:sz="4" w:space="0" w:color="auto"/>
              <w:right w:val="nil"/>
            </w:tcBorders>
            <w:shd w:val="clear" w:color="auto" w:fill="auto"/>
            <w:vAlign w:val="center"/>
          </w:tcPr>
          <w:p w14:paraId="56CA9A4C" w14:textId="56E6782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(1.645.935,64)</w:t>
            </w:r>
          </w:p>
        </w:tc>
        <w:tc>
          <w:tcPr>
            <w:tcW w:w="591" w:type="pct"/>
            <w:tcBorders>
              <w:top w:val="single" w:sz="4" w:space="0" w:color="auto"/>
              <w:left w:val="nil"/>
              <w:bottom w:val="single" w:sz="4" w:space="0" w:color="auto"/>
              <w:right w:val="nil"/>
            </w:tcBorders>
            <w:vAlign w:val="center"/>
          </w:tcPr>
          <w:p w14:paraId="271010DE" w14:textId="2F351A9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358E44CE" w14:textId="78DBE195"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7D131D45"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54C8614E"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Consejería de Tu</w:t>
            </w:r>
            <w:r w:rsidR="006B0821">
              <w:rPr>
                <w:sz w:val="16"/>
                <w:szCs w:val="16"/>
              </w:rPr>
              <w:t>rismo</w:t>
            </w:r>
            <w:r w:rsidR="006B0821" w:rsidRPr="006B0821">
              <w:rPr>
                <w:sz w:val="16"/>
                <w:szCs w:val="16"/>
              </w:rPr>
              <w:t xml:space="preserve"> y Empleo</w:t>
            </w:r>
            <w:r>
              <w:rPr>
                <w:sz w:val="16"/>
                <w:szCs w:val="16"/>
              </w:rPr>
              <w:t xml:space="preserve">: </w:t>
            </w:r>
          </w:p>
          <w:p w14:paraId="5B9132EA" w14:textId="2F832252"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 xml:space="preserve">para un plan de dinamización turística del norte de La Gomera </w:t>
            </w:r>
          </w:p>
        </w:tc>
        <w:tc>
          <w:tcPr>
            <w:tcW w:w="519" w:type="pct"/>
            <w:gridSpan w:val="2"/>
            <w:tcBorders>
              <w:top w:val="single" w:sz="4" w:space="0" w:color="auto"/>
              <w:left w:val="nil"/>
              <w:bottom w:val="single" w:sz="4" w:space="0" w:color="auto"/>
              <w:right w:val="nil"/>
            </w:tcBorders>
            <w:shd w:val="clear" w:color="auto" w:fill="auto"/>
            <w:vAlign w:val="center"/>
          </w:tcPr>
          <w:p w14:paraId="6C5B1764" w14:textId="4DDCFEFD"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tcBorders>
              <w:top w:val="single" w:sz="4" w:space="0" w:color="auto"/>
              <w:left w:val="nil"/>
              <w:bottom w:val="single" w:sz="4" w:space="0" w:color="auto"/>
              <w:right w:val="nil"/>
            </w:tcBorders>
            <w:vAlign w:val="center"/>
          </w:tcPr>
          <w:p w14:paraId="694B5E9D" w14:textId="515F3EE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422.000,00</w:t>
            </w:r>
          </w:p>
        </w:tc>
        <w:tc>
          <w:tcPr>
            <w:tcW w:w="519" w:type="pct"/>
            <w:gridSpan w:val="2"/>
            <w:tcBorders>
              <w:top w:val="single" w:sz="4" w:space="0" w:color="auto"/>
              <w:left w:val="nil"/>
              <w:bottom w:val="single" w:sz="4" w:space="0" w:color="auto"/>
              <w:right w:val="nil"/>
            </w:tcBorders>
            <w:shd w:val="clear" w:color="auto" w:fill="auto"/>
            <w:vAlign w:val="center"/>
          </w:tcPr>
          <w:p w14:paraId="7D9D561A" w14:textId="5B4C787F"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245.569,32</w:t>
            </w:r>
          </w:p>
        </w:tc>
        <w:tc>
          <w:tcPr>
            <w:tcW w:w="513" w:type="pct"/>
            <w:tcBorders>
              <w:top w:val="single" w:sz="4" w:space="0" w:color="auto"/>
              <w:left w:val="nil"/>
              <w:bottom w:val="single" w:sz="4" w:space="0" w:color="auto"/>
              <w:right w:val="nil"/>
            </w:tcBorders>
            <w:shd w:val="clear" w:color="auto" w:fill="auto"/>
            <w:vAlign w:val="center"/>
          </w:tcPr>
          <w:p w14:paraId="17FD308A" w14:textId="5EFA0488"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494E33C4" w14:textId="09A4649F"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673BD2CE" w14:textId="6ECFEA64"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176.430,68</w:t>
            </w:r>
          </w:p>
        </w:tc>
      </w:tr>
      <w:tr w:rsidR="00452BC9" w:rsidRPr="00125C20" w14:paraId="49232957" w14:textId="77777777" w:rsidTr="006B0821">
        <w:trPr>
          <w:trHeight w:val="624"/>
        </w:trPr>
        <w:tc>
          <w:tcPr>
            <w:tcW w:w="1749" w:type="pct"/>
            <w:tcBorders>
              <w:top w:val="single" w:sz="4" w:space="0" w:color="auto"/>
              <w:left w:val="nil"/>
              <w:bottom w:val="single" w:sz="4" w:space="0" w:color="auto"/>
              <w:right w:val="nil"/>
            </w:tcBorders>
            <w:shd w:val="clear" w:color="auto" w:fill="auto"/>
            <w:vAlign w:val="center"/>
          </w:tcPr>
          <w:p w14:paraId="7825B29C" w14:textId="77777777" w:rsidR="001B5A15" w:rsidRDefault="006B0821"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sidRPr="006B0821">
              <w:rPr>
                <w:sz w:val="16"/>
                <w:szCs w:val="16"/>
              </w:rPr>
              <w:t xml:space="preserve">Consejería de Turismo y Empleo: </w:t>
            </w:r>
          </w:p>
          <w:p w14:paraId="6156EA9B" w14:textId="2649CC0C" w:rsidR="00452BC9" w:rsidRPr="006B0821" w:rsidRDefault="006B0821"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sidRPr="006B0821">
              <w:rPr>
                <w:sz w:val="16"/>
                <w:szCs w:val="16"/>
              </w:rPr>
              <w:t>para el desarrollo de la actividad promocional para la Cohesión, y los Territorios de Europa (REACT-EU)</w:t>
            </w:r>
          </w:p>
        </w:tc>
        <w:tc>
          <w:tcPr>
            <w:tcW w:w="519" w:type="pct"/>
            <w:gridSpan w:val="2"/>
            <w:tcBorders>
              <w:top w:val="single" w:sz="4" w:space="0" w:color="auto"/>
              <w:left w:val="nil"/>
              <w:bottom w:val="single" w:sz="4" w:space="0" w:color="auto"/>
              <w:right w:val="nil"/>
            </w:tcBorders>
            <w:shd w:val="clear" w:color="auto" w:fill="auto"/>
            <w:vAlign w:val="center"/>
          </w:tcPr>
          <w:p w14:paraId="5E7336F7" w14:textId="3072CA27"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tcBorders>
              <w:top w:val="single" w:sz="4" w:space="0" w:color="auto"/>
              <w:left w:val="nil"/>
              <w:bottom w:val="single" w:sz="4" w:space="0" w:color="auto"/>
              <w:right w:val="nil"/>
            </w:tcBorders>
            <w:vAlign w:val="center"/>
          </w:tcPr>
          <w:p w14:paraId="5537377F" w14:textId="33CBE1D3"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15.366.168,14</w:t>
            </w:r>
          </w:p>
        </w:tc>
        <w:tc>
          <w:tcPr>
            <w:tcW w:w="519" w:type="pct"/>
            <w:gridSpan w:val="2"/>
            <w:tcBorders>
              <w:top w:val="single" w:sz="4" w:space="0" w:color="auto"/>
              <w:left w:val="nil"/>
              <w:bottom w:val="single" w:sz="4" w:space="0" w:color="auto"/>
              <w:right w:val="nil"/>
            </w:tcBorders>
            <w:shd w:val="clear" w:color="auto" w:fill="auto"/>
            <w:vAlign w:val="center"/>
          </w:tcPr>
          <w:p w14:paraId="051088D6" w14:textId="23CF0E5E"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13.996.966,13</w:t>
            </w:r>
          </w:p>
        </w:tc>
        <w:tc>
          <w:tcPr>
            <w:tcW w:w="513" w:type="pct"/>
            <w:tcBorders>
              <w:top w:val="single" w:sz="4" w:space="0" w:color="auto"/>
              <w:left w:val="nil"/>
              <w:bottom w:val="single" w:sz="4" w:space="0" w:color="auto"/>
              <w:right w:val="nil"/>
            </w:tcBorders>
            <w:shd w:val="clear" w:color="auto" w:fill="auto"/>
            <w:vAlign w:val="center"/>
          </w:tcPr>
          <w:p w14:paraId="665E2AD1" w14:textId="60047097"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(1.369.202,01)</w:t>
            </w:r>
          </w:p>
        </w:tc>
        <w:tc>
          <w:tcPr>
            <w:tcW w:w="591" w:type="pct"/>
            <w:tcBorders>
              <w:top w:val="single" w:sz="4" w:space="0" w:color="auto"/>
              <w:left w:val="nil"/>
              <w:bottom w:val="single" w:sz="4" w:space="0" w:color="auto"/>
              <w:right w:val="nil"/>
            </w:tcBorders>
            <w:vAlign w:val="center"/>
          </w:tcPr>
          <w:p w14:paraId="140521E3" w14:textId="77274B4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459D9327" w14:textId="54B63220"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1D3CE9F4"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55B0A4CF"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w:t>
            </w:r>
            <w:r w:rsidR="006B0821" w:rsidRPr="006B0821">
              <w:rPr>
                <w:sz w:val="16"/>
                <w:szCs w:val="16"/>
              </w:rPr>
              <w:t>Turismo y Empleo</w:t>
            </w:r>
            <w:r>
              <w:rPr>
                <w:sz w:val="16"/>
                <w:szCs w:val="16"/>
              </w:rPr>
              <w:t xml:space="preserve">: </w:t>
            </w:r>
          </w:p>
          <w:p w14:paraId="01AD7357" w14:textId="59420B1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Para el proyecto "Bonos La Palma"</w:t>
            </w:r>
          </w:p>
        </w:tc>
        <w:tc>
          <w:tcPr>
            <w:tcW w:w="519" w:type="pct"/>
            <w:gridSpan w:val="2"/>
            <w:tcBorders>
              <w:top w:val="single" w:sz="4" w:space="0" w:color="auto"/>
              <w:left w:val="nil"/>
              <w:bottom w:val="single" w:sz="4" w:space="0" w:color="auto"/>
              <w:right w:val="nil"/>
            </w:tcBorders>
            <w:shd w:val="clear" w:color="auto" w:fill="auto"/>
            <w:vAlign w:val="center"/>
          </w:tcPr>
          <w:p w14:paraId="762E7086" w14:textId="66D6CD8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tcBorders>
              <w:top w:val="single" w:sz="4" w:space="0" w:color="auto"/>
              <w:left w:val="nil"/>
              <w:bottom w:val="single" w:sz="4" w:space="0" w:color="auto"/>
              <w:right w:val="nil"/>
            </w:tcBorders>
            <w:vAlign w:val="center"/>
          </w:tcPr>
          <w:p w14:paraId="6E9FAD0E" w14:textId="3DFE9658"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1.147.925,77</w:t>
            </w:r>
          </w:p>
        </w:tc>
        <w:tc>
          <w:tcPr>
            <w:tcW w:w="519" w:type="pct"/>
            <w:gridSpan w:val="2"/>
            <w:tcBorders>
              <w:top w:val="single" w:sz="4" w:space="0" w:color="auto"/>
              <w:left w:val="nil"/>
              <w:bottom w:val="single" w:sz="4" w:space="0" w:color="auto"/>
              <w:right w:val="nil"/>
            </w:tcBorders>
            <w:shd w:val="clear" w:color="auto" w:fill="auto"/>
            <w:vAlign w:val="center"/>
          </w:tcPr>
          <w:p w14:paraId="7EBEE3E6" w14:textId="5CD25F48"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1.147.925,77</w:t>
            </w:r>
          </w:p>
        </w:tc>
        <w:tc>
          <w:tcPr>
            <w:tcW w:w="513" w:type="pct"/>
            <w:tcBorders>
              <w:top w:val="single" w:sz="4" w:space="0" w:color="auto"/>
              <w:left w:val="nil"/>
              <w:bottom w:val="single" w:sz="4" w:space="0" w:color="auto"/>
              <w:right w:val="nil"/>
            </w:tcBorders>
            <w:shd w:val="clear" w:color="auto" w:fill="auto"/>
            <w:vAlign w:val="center"/>
          </w:tcPr>
          <w:p w14:paraId="7C39EB75" w14:textId="0C249E7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0D71D3CD" w14:textId="51AF8E2D"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550ADFEA" w14:textId="0A4C3AAA"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3A47BB1D" w14:textId="77777777" w:rsidTr="00452BC9">
        <w:trPr>
          <w:trHeight w:val="624"/>
        </w:trPr>
        <w:tc>
          <w:tcPr>
            <w:tcW w:w="1749" w:type="pct"/>
            <w:tcBorders>
              <w:top w:val="single" w:sz="4" w:space="0" w:color="auto"/>
              <w:left w:val="nil"/>
              <w:bottom w:val="single" w:sz="4" w:space="0" w:color="auto"/>
              <w:right w:val="nil"/>
            </w:tcBorders>
            <w:shd w:val="clear" w:color="auto" w:fill="auto"/>
            <w:vAlign w:val="center"/>
          </w:tcPr>
          <w:p w14:paraId="0A08365E"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w:t>
            </w:r>
            <w:r w:rsidR="006B0821" w:rsidRPr="006B0821">
              <w:rPr>
                <w:sz w:val="16"/>
                <w:szCs w:val="16"/>
              </w:rPr>
              <w:t>Turismo y Empleo</w:t>
            </w:r>
            <w:r>
              <w:rPr>
                <w:sz w:val="16"/>
                <w:szCs w:val="16"/>
              </w:rPr>
              <w:t xml:space="preserve">: </w:t>
            </w:r>
          </w:p>
          <w:p w14:paraId="64F5D734" w14:textId="74AF742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Gestión estructural del fondo de ayuda a la recuperación para la cohesión y los territorios de Europa (REACT-EU)</w:t>
            </w:r>
          </w:p>
        </w:tc>
        <w:tc>
          <w:tcPr>
            <w:tcW w:w="519" w:type="pct"/>
            <w:gridSpan w:val="2"/>
            <w:tcBorders>
              <w:top w:val="single" w:sz="4" w:space="0" w:color="auto"/>
              <w:left w:val="nil"/>
              <w:bottom w:val="single" w:sz="4" w:space="0" w:color="auto"/>
              <w:right w:val="nil"/>
            </w:tcBorders>
            <w:shd w:val="clear" w:color="auto" w:fill="auto"/>
            <w:vAlign w:val="center"/>
          </w:tcPr>
          <w:p w14:paraId="464DD59C" w14:textId="46E5E01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tcBorders>
              <w:top w:val="single" w:sz="4" w:space="0" w:color="auto"/>
              <w:left w:val="nil"/>
              <w:bottom w:val="single" w:sz="4" w:space="0" w:color="auto"/>
              <w:right w:val="nil"/>
            </w:tcBorders>
            <w:vAlign w:val="center"/>
          </w:tcPr>
          <w:p w14:paraId="67334834" w14:textId="719CD490"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148.705,12</w:t>
            </w:r>
          </w:p>
        </w:tc>
        <w:tc>
          <w:tcPr>
            <w:tcW w:w="519" w:type="pct"/>
            <w:gridSpan w:val="2"/>
            <w:tcBorders>
              <w:top w:val="single" w:sz="4" w:space="0" w:color="auto"/>
              <w:left w:val="nil"/>
              <w:bottom w:val="single" w:sz="4" w:space="0" w:color="auto"/>
              <w:right w:val="nil"/>
            </w:tcBorders>
            <w:shd w:val="clear" w:color="auto" w:fill="auto"/>
            <w:vAlign w:val="center"/>
          </w:tcPr>
          <w:p w14:paraId="330894D8" w14:textId="3F046C15"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92.137,29</w:t>
            </w:r>
          </w:p>
        </w:tc>
        <w:tc>
          <w:tcPr>
            <w:tcW w:w="513" w:type="pct"/>
            <w:tcBorders>
              <w:top w:val="single" w:sz="4" w:space="0" w:color="auto"/>
              <w:left w:val="nil"/>
              <w:bottom w:val="single" w:sz="4" w:space="0" w:color="auto"/>
              <w:right w:val="nil"/>
            </w:tcBorders>
            <w:shd w:val="clear" w:color="auto" w:fill="auto"/>
            <w:vAlign w:val="center"/>
          </w:tcPr>
          <w:p w14:paraId="6B42EDC5" w14:textId="2278D6B5"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(56.567,83)</w:t>
            </w:r>
          </w:p>
        </w:tc>
        <w:tc>
          <w:tcPr>
            <w:tcW w:w="591" w:type="pct"/>
            <w:tcBorders>
              <w:top w:val="single" w:sz="4" w:space="0" w:color="auto"/>
              <w:left w:val="nil"/>
              <w:bottom w:val="single" w:sz="4" w:space="0" w:color="auto"/>
              <w:right w:val="nil"/>
            </w:tcBorders>
            <w:vAlign w:val="center"/>
          </w:tcPr>
          <w:p w14:paraId="6F552D94" w14:textId="54DC9DA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01A88D77" w14:textId="4AB36013"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36D84D31" w14:textId="77777777" w:rsidTr="00452BC9">
        <w:trPr>
          <w:trHeight w:val="624"/>
        </w:trPr>
        <w:tc>
          <w:tcPr>
            <w:tcW w:w="1749" w:type="pct"/>
            <w:tcBorders>
              <w:top w:val="single" w:sz="4" w:space="0" w:color="auto"/>
              <w:left w:val="nil"/>
              <w:bottom w:val="single" w:sz="4" w:space="0" w:color="auto"/>
              <w:right w:val="nil"/>
            </w:tcBorders>
            <w:shd w:val="clear" w:color="auto" w:fill="auto"/>
            <w:vAlign w:val="center"/>
          </w:tcPr>
          <w:p w14:paraId="2A33DDB6"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6CE219CE" w14:textId="781A7628"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Gestión estructural del fondo de ayuda a la Recuperación para la Cohesión y los Territorios de Europa (REACT-EU) - Ampliación</w:t>
            </w:r>
          </w:p>
        </w:tc>
        <w:tc>
          <w:tcPr>
            <w:tcW w:w="519" w:type="pct"/>
            <w:gridSpan w:val="2"/>
            <w:tcBorders>
              <w:top w:val="single" w:sz="4" w:space="0" w:color="auto"/>
              <w:left w:val="nil"/>
              <w:bottom w:val="single" w:sz="4" w:space="0" w:color="auto"/>
              <w:right w:val="nil"/>
            </w:tcBorders>
            <w:shd w:val="clear" w:color="auto" w:fill="auto"/>
            <w:vAlign w:val="center"/>
          </w:tcPr>
          <w:p w14:paraId="3904EA13" w14:textId="7AA021F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8.000,00</w:t>
            </w:r>
          </w:p>
        </w:tc>
        <w:tc>
          <w:tcPr>
            <w:tcW w:w="519" w:type="pct"/>
            <w:tcBorders>
              <w:top w:val="single" w:sz="4" w:space="0" w:color="auto"/>
              <w:left w:val="nil"/>
              <w:bottom w:val="single" w:sz="4" w:space="0" w:color="auto"/>
              <w:right w:val="nil"/>
            </w:tcBorders>
            <w:vAlign w:val="center"/>
          </w:tcPr>
          <w:p w14:paraId="21EC9FBF" w14:textId="6204F6DC"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0C94A6A9" w14:textId="754BEFFC"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8.000,00</w:t>
            </w:r>
          </w:p>
        </w:tc>
        <w:tc>
          <w:tcPr>
            <w:tcW w:w="513" w:type="pct"/>
            <w:tcBorders>
              <w:top w:val="single" w:sz="4" w:space="0" w:color="auto"/>
              <w:left w:val="nil"/>
              <w:bottom w:val="single" w:sz="4" w:space="0" w:color="auto"/>
              <w:right w:val="nil"/>
            </w:tcBorders>
            <w:shd w:val="clear" w:color="auto" w:fill="auto"/>
            <w:vAlign w:val="center"/>
          </w:tcPr>
          <w:p w14:paraId="3DCA4702" w14:textId="7FA68998"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0AE0F689" w14:textId="2C3649D8"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1412F89D" w14:textId="6E2A219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694B3C25"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385B0910"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23162672" w14:textId="22CD484A"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Bonos La Palma - Anualidad 2023 (Plan La Palma Renace)</w:t>
            </w:r>
          </w:p>
        </w:tc>
        <w:tc>
          <w:tcPr>
            <w:tcW w:w="519" w:type="pct"/>
            <w:gridSpan w:val="2"/>
            <w:tcBorders>
              <w:top w:val="single" w:sz="4" w:space="0" w:color="auto"/>
              <w:left w:val="nil"/>
              <w:bottom w:val="single" w:sz="4" w:space="0" w:color="auto"/>
              <w:right w:val="nil"/>
            </w:tcBorders>
            <w:shd w:val="clear" w:color="auto" w:fill="auto"/>
            <w:vAlign w:val="center"/>
          </w:tcPr>
          <w:p w14:paraId="23CDAE7F" w14:textId="10A9CA84"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582.991,00</w:t>
            </w:r>
          </w:p>
        </w:tc>
        <w:tc>
          <w:tcPr>
            <w:tcW w:w="519" w:type="pct"/>
            <w:tcBorders>
              <w:top w:val="single" w:sz="4" w:space="0" w:color="auto"/>
              <w:left w:val="nil"/>
              <w:bottom w:val="single" w:sz="4" w:space="0" w:color="auto"/>
              <w:right w:val="nil"/>
            </w:tcBorders>
            <w:vAlign w:val="center"/>
          </w:tcPr>
          <w:p w14:paraId="15C6F491" w14:textId="6CE2BF0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24ABF1C4" w14:textId="766B219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582.991,00</w:t>
            </w:r>
          </w:p>
        </w:tc>
        <w:tc>
          <w:tcPr>
            <w:tcW w:w="513" w:type="pct"/>
            <w:tcBorders>
              <w:top w:val="single" w:sz="4" w:space="0" w:color="auto"/>
              <w:left w:val="nil"/>
              <w:bottom w:val="single" w:sz="4" w:space="0" w:color="auto"/>
              <w:right w:val="nil"/>
            </w:tcBorders>
            <w:shd w:val="clear" w:color="auto" w:fill="auto"/>
            <w:vAlign w:val="center"/>
          </w:tcPr>
          <w:p w14:paraId="7366A572" w14:textId="4C94BF12"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11885C46" w14:textId="337B3536"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43E5FDED" w14:textId="775292B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7CD3DF96"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5E2617FA"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064F497C" w14:textId="17777DE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Promoción de la red museística de Canarias</w:t>
            </w:r>
          </w:p>
        </w:tc>
        <w:tc>
          <w:tcPr>
            <w:tcW w:w="519" w:type="pct"/>
            <w:gridSpan w:val="2"/>
            <w:tcBorders>
              <w:top w:val="single" w:sz="4" w:space="0" w:color="auto"/>
              <w:left w:val="nil"/>
              <w:bottom w:val="single" w:sz="4" w:space="0" w:color="auto"/>
              <w:right w:val="nil"/>
            </w:tcBorders>
            <w:shd w:val="clear" w:color="auto" w:fill="auto"/>
            <w:vAlign w:val="center"/>
          </w:tcPr>
          <w:p w14:paraId="2AC2DF0F" w14:textId="1501373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180.000,00</w:t>
            </w:r>
          </w:p>
        </w:tc>
        <w:tc>
          <w:tcPr>
            <w:tcW w:w="519" w:type="pct"/>
            <w:tcBorders>
              <w:top w:val="single" w:sz="4" w:space="0" w:color="auto"/>
              <w:left w:val="nil"/>
              <w:bottom w:val="single" w:sz="4" w:space="0" w:color="auto"/>
              <w:right w:val="nil"/>
            </w:tcBorders>
            <w:vAlign w:val="center"/>
          </w:tcPr>
          <w:p w14:paraId="193C9F9C" w14:textId="5B031BC3"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10F40118" w14:textId="1D89013D"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180.000,00</w:t>
            </w:r>
          </w:p>
        </w:tc>
        <w:tc>
          <w:tcPr>
            <w:tcW w:w="513" w:type="pct"/>
            <w:tcBorders>
              <w:top w:val="single" w:sz="4" w:space="0" w:color="auto"/>
              <w:left w:val="nil"/>
              <w:bottom w:val="single" w:sz="4" w:space="0" w:color="auto"/>
              <w:right w:val="nil"/>
            </w:tcBorders>
            <w:shd w:val="clear" w:color="auto" w:fill="auto"/>
            <w:vAlign w:val="center"/>
          </w:tcPr>
          <w:p w14:paraId="7BDAA37F" w14:textId="47E52503"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79956C7B" w14:textId="2387F9A0"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0DBF3EAB" w14:textId="7B31C34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35BBCF53" w14:textId="77777777" w:rsidTr="00452BC9">
        <w:trPr>
          <w:trHeight w:val="340"/>
        </w:trPr>
        <w:tc>
          <w:tcPr>
            <w:tcW w:w="1749" w:type="pct"/>
            <w:tcBorders>
              <w:top w:val="single" w:sz="4" w:space="0" w:color="auto"/>
              <w:left w:val="nil"/>
              <w:bottom w:val="single" w:sz="4" w:space="0" w:color="auto"/>
              <w:right w:val="nil"/>
            </w:tcBorders>
            <w:shd w:val="clear" w:color="auto" w:fill="auto"/>
            <w:vAlign w:val="center"/>
          </w:tcPr>
          <w:p w14:paraId="4AA9CD9E" w14:textId="7F0CAFA1"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Consejería de Turismo y Empleo: Conectividad aérea</w:t>
            </w:r>
          </w:p>
        </w:tc>
        <w:tc>
          <w:tcPr>
            <w:tcW w:w="519" w:type="pct"/>
            <w:gridSpan w:val="2"/>
            <w:tcBorders>
              <w:top w:val="single" w:sz="4" w:space="0" w:color="auto"/>
              <w:left w:val="nil"/>
              <w:bottom w:val="single" w:sz="4" w:space="0" w:color="auto"/>
              <w:right w:val="nil"/>
            </w:tcBorders>
            <w:shd w:val="clear" w:color="auto" w:fill="auto"/>
            <w:vAlign w:val="center"/>
          </w:tcPr>
          <w:p w14:paraId="6F4205EE" w14:textId="7CECD503"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150.000,00</w:t>
            </w:r>
          </w:p>
        </w:tc>
        <w:tc>
          <w:tcPr>
            <w:tcW w:w="519" w:type="pct"/>
            <w:tcBorders>
              <w:top w:val="single" w:sz="4" w:space="0" w:color="auto"/>
              <w:left w:val="nil"/>
              <w:bottom w:val="single" w:sz="4" w:space="0" w:color="auto"/>
              <w:right w:val="nil"/>
            </w:tcBorders>
            <w:vAlign w:val="center"/>
          </w:tcPr>
          <w:p w14:paraId="58F69E9F" w14:textId="458C523C"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52EA6C01" w14:textId="13164BFC"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150.000,00</w:t>
            </w:r>
          </w:p>
        </w:tc>
        <w:tc>
          <w:tcPr>
            <w:tcW w:w="513" w:type="pct"/>
            <w:tcBorders>
              <w:top w:val="single" w:sz="4" w:space="0" w:color="auto"/>
              <w:left w:val="nil"/>
              <w:bottom w:val="single" w:sz="4" w:space="0" w:color="auto"/>
              <w:right w:val="nil"/>
            </w:tcBorders>
            <w:shd w:val="clear" w:color="auto" w:fill="auto"/>
            <w:vAlign w:val="center"/>
          </w:tcPr>
          <w:p w14:paraId="063E359D" w14:textId="5FA244B9"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7BE18DDD" w14:textId="1F307267"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1B9B73F2" w14:textId="71C0B230"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r>
      <w:tr w:rsidR="00452BC9" w:rsidRPr="00125C20" w14:paraId="610E8DAB"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2BF6189D" w14:textId="77777777" w:rsidR="001B5A15"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40CBD816" w14:textId="7672C4D5"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 xml:space="preserve">Sistema de información en destino - Remote </w:t>
            </w:r>
            <w:proofErr w:type="spellStart"/>
            <w:r>
              <w:rPr>
                <w:sz w:val="16"/>
                <w:szCs w:val="16"/>
              </w:rPr>
              <w:t>Wor</w:t>
            </w:r>
            <w:r w:rsidR="006B0821">
              <w:rPr>
                <w:sz w:val="16"/>
                <w:szCs w:val="16"/>
              </w:rPr>
              <w:t>k</w:t>
            </w:r>
            <w:r>
              <w:rPr>
                <w:sz w:val="16"/>
                <w:szCs w:val="16"/>
              </w:rPr>
              <w:t>ers</w:t>
            </w:r>
            <w:proofErr w:type="spellEnd"/>
          </w:p>
        </w:tc>
        <w:tc>
          <w:tcPr>
            <w:tcW w:w="519" w:type="pct"/>
            <w:gridSpan w:val="2"/>
            <w:tcBorders>
              <w:top w:val="single" w:sz="4" w:space="0" w:color="auto"/>
              <w:left w:val="nil"/>
              <w:bottom w:val="single" w:sz="4" w:space="0" w:color="auto"/>
              <w:right w:val="nil"/>
            </w:tcBorders>
            <w:shd w:val="clear" w:color="auto" w:fill="auto"/>
            <w:vAlign w:val="center"/>
          </w:tcPr>
          <w:p w14:paraId="672D9FDA" w14:textId="4F5D9805"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400.000,00</w:t>
            </w:r>
          </w:p>
        </w:tc>
        <w:tc>
          <w:tcPr>
            <w:tcW w:w="519" w:type="pct"/>
            <w:tcBorders>
              <w:top w:val="single" w:sz="4" w:space="0" w:color="auto"/>
              <w:left w:val="nil"/>
              <w:bottom w:val="single" w:sz="4" w:space="0" w:color="auto"/>
              <w:right w:val="nil"/>
            </w:tcBorders>
            <w:vAlign w:val="center"/>
          </w:tcPr>
          <w:p w14:paraId="5C5A628F" w14:textId="447597B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1283E52A" w14:textId="43CC7106"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26.534,22</w:t>
            </w:r>
          </w:p>
        </w:tc>
        <w:tc>
          <w:tcPr>
            <w:tcW w:w="513" w:type="pct"/>
            <w:tcBorders>
              <w:top w:val="single" w:sz="4" w:space="0" w:color="auto"/>
              <w:left w:val="nil"/>
              <w:bottom w:val="single" w:sz="4" w:space="0" w:color="auto"/>
              <w:right w:val="nil"/>
            </w:tcBorders>
            <w:shd w:val="clear" w:color="auto" w:fill="auto"/>
            <w:vAlign w:val="center"/>
          </w:tcPr>
          <w:p w14:paraId="68FB2E3C" w14:textId="747AFF1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4D184417" w14:textId="792FB69D"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0729938F" w14:textId="0BB4D84B" w:rsidR="00452BC9" w:rsidRPr="00125C20" w:rsidRDefault="00452BC9" w:rsidP="00452BC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373.465,78</w:t>
            </w:r>
          </w:p>
        </w:tc>
      </w:tr>
      <w:tr w:rsidR="00452BC9" w:rsidRPr="00125C20" w14:paraId="0E7B3615" w14:textId="77777777" w:rsidTr="006B0821">
        <w:trPr>
          <w:trHeight w:val="340"/>
        </w:trPr>
        <w:tc>
          <w:tcPr>
            <w:tcW w:w="1749" w:type="pct"/>
            <w:tcBorders>
              <w:top w:val="single" w:sz="4" w:space="0" w:color="auto"/>
              <w:left w:val="nil"/>
              <w:bottom w:val="single" w:sz="4" w:space="0" w:color="auto"/>
              <w:right w:val="nil"/>
            </w:tcBorders>
            <w:shd w:val="clear" w:color="auto" w:fill="auto"/>
            <w:vAlign w:val="center"/>
          </w:tcPr>
          <w:p w14:paraId="010D76C7" w14:textId="3A9AAACA"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 xml:space="preserve">Consejería de Turismo y Empleo: MRR </w:t>
            </w:r>
            <w:proofErr w:type="spellStart"/>
            <w:r>
              <w:rPr>
                <w:sz w:val="16"/>
                <w:szCs w:val="16"/>
              </w:rPr>
              <w:t>Extrapeninsular</w:t>
            </w:r>
            <w:proofErr w:type="spellEnd"/>
          </w:p>
        </w:tc>
        <w:tc>
          <w:tcPr>
            <w:tcW w:w="519" w:type="pct"/>
            <w:gridSpan w:val="2"/>
            <w:tcBorders>
              <w:top w:val="single" w:sz="4" w:space="0" w:color="auto"/>
              <w:left w:val="nil"/>
              <w:bottom w:val="single" w:sz="4" w:space="0" w:color="auto"/>
              <w:right w:val="nil"/>
            </w:tcBorders>
            <w:shd w:val="clear" w:color="auto" w:fill="auto"/>
            <w:vAlign w:val="center"/>
          </w:tcPr>
          <w:p w14:paraId="7C9258AD" w14:textId="5FC1D26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41.713.000,00</w:t>
            </w:r>
          </w:p>
        </w:tc>
        <w:tc>
          <w:tcPr>
            <w:tcW w:w="519" w:type="pct"/>
            <w:tcBorders>
              <w:top w:val="single" w:sz="4" w:space="0" w:color="auto"/>
              <w:left w:val="nil"/>
              <w:bottom w:val="single" w:sz="4" w:space="0" w:color="auto"/>
              <w:right w:val="nil"/>
            </w:tcBorders>
            <w:vAlign w:val="center"/>
          </w:tcPr>
          <w:p w14:paraId="3BAE3B9A" w14:textId="338F721C"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1560E162" w14:textId="66785DCA"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11.188.394,36</w:t>
            </w:r>
          </w:p>
        </w:tc>
        <w:tc>
          <w:tcPr>
            <w:tcW w:w="513" w:type="pct"/>
            <w:tcBorders>
              <w:top w:val="single" w:sz="4" w:space="0" w:color="auto"/>
              <w:left w:val="nil"/>
              <w:bottom w:val="single" w:sz="4" w:space="0" w:color="auto"/>
              <w:right w:val="nil"/>
            </w:tcBorders>
            <w:shd w:val="clear" w:color="auto" w:fill="auto"/>
            <w:vAlign w:val="center"/>
          </w:tcPr>
          <w:p w14:paraId="40B32745" w14:textId="170A6749"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0BAE5723" w14:textId="1225CA57"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33F66486" w14:textId="21259BBA"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30.524.605,64</w:t>
            </w:r>
          </w:p>
        </w:tc>
      </w:tr>
      <w:tr w:rsidR="00452BC9" w:rsidRPr="00125C20" w14:paraId="5419D160" w14:textId="77777777" w:rsidTr="00452BC9">
        <w:trPr>
          <w:trHeight w:val="454"/>
        </w:trPr>
        <w:tc>
          <w:tcPr>
            <w:tcW w:w="1749" w:type="pct"/>
            <w:tcBorders>
              <w:top w:val="single" w:sz="4" w:space="0" w:color="auto"/>
              <w:left w:val="nil"/>
              <w:bottom w:val="single" w:sz="4" w:space="0" w:color="auto"/>
              <w:right w:val="nil"/>
            </w:tcBorders>
            <w:shd w:val="clear" w:color="auto" w:fill="auto"/>
            <w:vAlign w:val="center"/>
          </w:tcPr>
          <w:p w14:paraId="7900A1C5" w14:textId="77777777" w:rsidR="001B5A15"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27D68F75" w14:textId="1B1B14F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sz w:val="16"/>
                <w:szCs w:val="16"/>
                <w:bdr w:val="none" w:sz="0" w:space="0" w:color="auto"/>
                <w:lang w:eastAsia="es-ES"/>
              </w:rPr>
            </w:pPr>
            <w:r>
              <w:rPr>
                <w:sz w:val="16"/>
                <w:szCs w:val="16"/>
              </w:rPr>
              <w:t>Cohesión en destino convocatoria 2021</w:t>
            </w:r>
          </w:p>
        </w:tc>
        <w:tc>
          <w:tcPr>
            <w:tcW w:w="519" w:type="pct"/>
            <w:gridSpan w:val="2"/>
            <w:tcBorders>
              <w:top w:val="single" w:sz="4" w:space="0" w:color="auto"/>
              <w:left w:val="nil"/>
              <w:bottom w:val="single" w:sz="4" w:space="0" w:color="auto"/>
              <w:right w:val="nil"/>
            </w:tcBorders>
            <w:shd w:val="clear" w:color="auto" w:fill="auto"/>
            <w:vAlign w:val="center"/>
          </w:tcPr>
          <w:p w14:paraId="6D4A4E72" w14:textId="6E8DCCC7"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1.829.028,00</w:t>
            </w:r>
          </w:p>
        </w:tc>
        <w:tc>
          <w:tcPr>
            <w:tcW w:w="519" w:type="pct"/>
            <w:tcBorders>
              <w:top w:val="single" w:sz="4" w:space="0" w:color="auto"/>
              <w:left w:val="nil"/>
              <w:bottom w:val="single" w:sz="4" w:space="0" w:color="auto"/>
              <w:right w:val="nil"/>
            </w:tcBorders>
            <w:vAlign w:val="center"/>
          </w:tcPr>
          <w:p w14:paraId="5056AA75" w14:textId="03BD477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9" w:type="pct"/>
            <w:gridSpan w:val="2"/>
            <w:tcBorders>
              <w:top w:val="single" w:sz="4" w:space="0" w:color="auto"/>
              <w:left w:val="nil"/>
              <w:bottom w:val="single" w:sz="4" w:space="0" w:color="auto"/>
              <w:right w:val="nil"/>
            </w:tcBorders>
            <w:shd w:val="clear" w:color="auto" w:fill="auto"/>
            <w:vAlign w:val="center"/>
          </w:tcPr>
          <w:p w14:paraId="56B06E8A" w14:textId="386DC6FA"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13" w:type="pct"/>
            <w:tcBorders>
              <w:top w:val="single" w:sz="4" w:space="0" w:color="auto"/>
              <w:left w:val="nil"/>
              <w:bottom w:val="single" w:sz="4" w:space="0" w:color="auto"/>
              <w:right w:val="nil"/>
            </w:tcBorders>
            <w:shd w:val="clear" w:color="auto" w:fill="auto"/>
            <w:vAlign w:val="center"/>
          </w:tcPr>
          <w:p w14:paraId="498D792D" w14:textId="046730B4"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1" w:type="pct"/>
            <w:tcBorders>
              <w:top w:val="single" w:sz="4" w:space="0" w:color="auto"/>
              <w:left w:val="nil"/>
              <w:bottom w:val="single" w:sz="4" w:space="0" w:color="auto"/>
              <w:right w:val="nil"/>
            </w:tcBorders>
            <w:vAlign w:val="center"/>
          </w:tcPr>
          <w:p w14:paraId="6857234E" w14:textId="510151E5"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vAlign w:val="center"/>
          </w:tcPr>
          <w:p w14:paraId="536E9368" w14:textId="7F6505AF"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6"/>
                <w:szCs w:val="16"/>
                <w:bdr w:val="none" w:sz="0" w:space="0" w:color="auto"/>
                <w:lang w:eastAsia="es-ES"/>
              </w:rPr>
            </w:pPr>
            <w:r>
              <w:rPr>
                <w:sz w:val="16"/>
                <w:szCs w:val="16"/>
              </w:rPr>
              <w:t>1.829.028,00</w:t>
            </w:r>
          </w:p>
        </w:tc>
      </w:tr>
      <w:tr w:rsidR="00452BC9" w:rsidRPr="00125C20" w14:paraId="14F64A68" w14:textId="77777777" w:rsidTr="00452BC9">
        <w:trPr>
          <w:trHeight w:val="454"/>
        </w:trPr>
        <w:tc>
          <w:tcPr>
            <w:tcW w:w="1749" w:type="pct"/>
            <w:tcBorders>
              <w:top w:val="single" w:sz="4" w:space="0" w:color="auto"/>
              <w:left w:val="nil"/>
              <w:bottom w:val="nil"/>
              <w:right w:val="nil"/>
            </w:tcBorders>
            <w:shd w:val="clear" w:color="auto" w:fill="auto"/>
            <w:vAlign w:val="center"/>
          </w:tcPr>
          <w:p w14:paraId="5E436D81" w14:textId="77777777" w:rsidR="001B5A15"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439671CF" w14:textId="284AF270"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Cohesión en destino convocatoria 2022</w:t>
            </w:r>
          </w:p>
        </w:tc>
        <w:tc>
          <w:tcPr>
            <w:tcW w:w="519" w:type="pct"/>
            <w:gridSpan w:val="2"/>
            <w:tcBorders>
              <w:top w:val="single" w:sz="4" w:space="0" w:color="auto"/>
              <w:left w:val="nil"/>
              <w:bottom w:val="nil"/>
              <w:right w:val="nil"/>
            </w:tcBorders>
            <w:shd w:val="clear" w:color="auto" w:fill="auto"/>
            <w:vAlign w:val="center"/>
          </w:tcPr>
          <w:p w14:paraId="7D98F6D3" w14:textId="20BCE7CC"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4.499.959,05</w:t>
            </w:r>
          </w:p>
        </w:tc>
        <w:tc>
          <w:tcPr>
            <w:tcW w:w="519" w:type="pct"/>
            <w:tcBorders>
              <w:top w:val="single" w:sz="4" w:space="0" w:color="auto"/>
              <w:left w:val="nil"/>
              <w:bottom w:val="nil"/>
              <w:right w:val="nil"/>
            </w:tcBorders>
            <w:vAlign w:val="center"/>
          </w:tcPr>
          <w:p w14:paraId="7041FAAE" w14:textId="0A154D49"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9" w:type="pct"/>
            <w:gridSpan w:val="2"/>
            <w:tcBorders>
              <w:top w:val="single" w:sz="4" w:space="0" w:color="auto"/>
              <w:left w:val="nil"/>
              <w:bottom w:val="nil"/>
              <w:right w:val="nil"/>
            </w:tcBorders>
            <w:shd w:val="clear" w:color="auto" w:fill="auto"/>
            <w:vAlign w:val="center"/>
          </w:tcPr>
          <w:p w14:paraId="2E3AD322" w14:textId="6E42AAA1"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376.841,46</w:t>
            </w:r>
          </w:p>
        </w:tc>
        <w:tc>
          <w:tcPr>
            <w:tcW w:w="513" w:type="pct"/>
            <w:tcBorders>
              <w:top w:val="single" w:sz="4" w:space="0" w:color="auto"/>
              <w:left w:val="nil"/>
              <w:bottom w:val="nil"/>
              <w:right w:val="nil"/>
            </w:tcBorders>
            <w:shd w:val="clear" w:color="auto" w:fill="auto"/>
            <w:vAlign w:val="center"/>
          </w:tcPr>
          <w:p w14:paraId="21C284D0" w14:textId="0E98DCC6"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1" w:type="pct"/>
            <w:tcBorders>
              <w:top w:val="single" w:sz="4" w:space="0" w:color="auto"/>
              <w:left w:val="nil"/>
              <w:bottom w:val="nil"/>
              <w:right w:val="nil"/>
            </w:tcBorders>
            <w:vAlign w:val="center"/>
          </w:tcPr>
          <w:p w14:paraId="3E6DE1A6" w14:textId="195A5C31"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0" w:type="pct"/>
            <w:gridSpan w:val="2"/>
            <w:tcBorders>
              <w:top w:val="single" w:sz="4" w:space="0" w:color="auto"/>
              <w:left w:val="nil"/>
              <w:bottom w:val="nil"/>
              <w:right w:val="nil"/>
            </w:tcBorders>
            <w:shd w:val="clear" w:color="auto" w:fill="auto"/>
            <w:vAlign w:val="center"/>
          </w:tcPr>
          <w:p w14:paraId="18767F17" w14:textId="3A8F897C"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4.123.117,59</w:t>
            </w:r>
          </w:p>
        </w:tc>
      </w:tr>
      <w:tr w:rsidR="00452BC9" w:rsidRPr="00125C20" w14:paraId="33F25AA6" w14:textId="77777777" w:rsidTr="00452BC9">
        <w:trPr>
          <w:trHeight w:val="454"/>
        </w:trPr>
        <w:tc>
          <w:tcPr>
            <w:tcW w:w="1749" w:type="pct"/>
            <w:tcBorders>
              <w:top w:val="single" w:sz="4" w:space="0" w:color="auto"/>
              <w:left w:val="nil"/>
              <w:bottom w:val="nil"/>
              <w:right w:val="nil"/>
            </w:tcBorders>
            <w:shd w:val="clear" w:color="auto" w:fill="auto"/>
            <w:vAlign w:val="center"/>
          </w:tcPr>
          <w:p w14:paraId="5D774F22" w14:textId="77777777" w:rsidR="001B5A15"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lastRenderedPageBreak/>
              <w:t xml:space="preserve">Consejería de Turismo y Empleo: </w:t>
            </w:r>
          </w:p>
          <w:p w14:paraId="070E2437" w14:textId="5BCCDE41"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Cohesión en destino convocatoria 2023</w:t>
            </w:r>
          </w:p>
        </w:tc>
        <w:tc>
          <w:tcPr>
            <w:tcW w:w="519" w:type="pct"/>
            <w:gridSpan w:val="2"/>
            <w:tcBorders>
              <w:top w:val="single" w:sz="4" w:space="0" w:color="auto"/>
              <w:left w:val="nil"/>
              <w:bottom w:val="nil"/>
              <w:right w:val="nil"/>
            </w:tcBorders>
            <w:shd w:val="clear" w:color="auto" w:fill="auto"/>
            <w:vAlign w:val="center"/>
          </w:tcPr>
          <w:p w14:paraId="44900289" w14:textId="4958220D"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909.000,00</w:t>
            </w:r>
          </w:p>
        </w:tc>
        <w:tc>
          <w:tcPr>
            <w:tcW w:w="519" w:type="pct"/>
            <w:tcBorders>
              <w:top w:val="single" w:sz="4" w:space="0" w:color="auto"/>
              <w:left w:val="nil"/>
              <w:bottom w:val="nil"/>
              <w:right w:val="nil"/>
            </w:tcBorders>
            <w:vAlign w:val="center"/>
          </w:tcPr>
          <w:p w14:paraId="63BE1038" w14:textId="551F2942"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9" w:type="pct"/>
            <w:gridSpan w:val="2"/>
            <w:tcBorders>
              <w:top w:val="single" w:sz="4" w:space="0" w:color="auto"/>
              <w:left w:val="nil"/>
              <w:bottom w:val="nil"/>
              <w:right w:val="nil"/>
            </w:tcBorders>
            <w:shd w:val="clear" w:color="auto" w:fill="auto"/>
            <w:vAlign w:val="center"/>
          </w:tcPr>
          <w:p w14:paraId="0D811501" w14:textId="277EAF55"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3" w:type="pct"/>
            <w:tcBorders>
              <w:top w:val="single" w:sz="4" w:space="0" w:color="auto"/>
              <w:left w:val="nil"/>
              <w:bottom w:val="nil"/>
              <w:right w:val="nil"/>
            </w:tcBorders>
            <w:shd w:val="clear" w:color="auto" w:fill="auto"/>
            <w:vAlign w:val="center"/>
          </w:tcPr>
          <w:p w14:paraId="2C0F86FB" w14:textId="42190800"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1" w:type="pct"/>
            <w:tcBorders>
              <w:top w:val="single" w:sz="4" w:space="0" w:color="auto"/>
              <w:left w:val="nil"/>
              <w:bottom w:val="nil"/>
              <w:right w:val="nil"/>
            </w:tcBorders>
            <w:vAlign w:val="center"/>
          </w:tcPr>
          <w:p w14:paraId="6ABA06D3" w14:textId="5554C3B6"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0" w:type="pct"/>
            <w:gridSpan w:val="2"/>
            <w:tcBorders>
              <w:top w:val="single" w:sz="4" w:space="0" w:color="auto"/>
              <w:left w:val="nil"/>
              <w:bottom w:val="nil"/>
              <w:right w:val="nil"/>
            </w:tcBorders>
            <w:shd w:val="clear" w:color="auto" w:fill="auto"/>
            <w:vAlign w:val="center"/>
          </w:tcPr>
          <w:p w14:paraId="7DA4BCF7" w14:textId="2FE5038C"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909.000,00</w:t>
            </w:r>
          </w:p>
        </w:tc>
      </w:tr>
      <w:tr w:rsidR="00452BC9" w:rsidRPr="00125C20" w14:paraId="43813731" w14:textId="77777777" w:rsidTr="00452BC9">
        <w:trPr>
          <w:trHeight w:val="454"/>
        </w:trPr>
        <w:tc>
          <w:tcPr>
            <w:tcW w:w="1749" w:type="pct"/>
            <w:tcBorders>
              <w:top w:val="single" w:sz="4" w:space="0" w:color="auto"/>
              <w:left w:val="nil"/>
              <w:bottom w:val="nil"/>
              <w:right w:val="nil"/>
            </w:tcBorders>
            <w:shd w:val="clear" w:color="auto" w:fill="auto"/>
            <w:vAlign w:val="center"/>
          </w:tcPr>
          <w:p w14:paraId="07480F27" w14:textId="77777777" w:rsidR="001B5A15"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14B5160E" w14:textId="4523BE4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Prevención riesgos laborales en la </w:t>
            </w:r>
            <w:r w:rsidR="006B0821">
              <w:rPr>
                <w:sz w:val="16"/>
                <w:szCs w:val="16"/>
              </w:rPr>
              <w:t>hostelería</w:t>
            </w:r>
          </w:p>
        </w:tc>
        <w:tc>
          <w:tcPr>
            <w:tcW w:w="519" w:type="pct"/>
            <w:gridSpan w:val="2"/>
            <w:tcBorders>
              <w:top w:val="single" w:sz="4" w:space="0" w:color="auto"/>
              <w:left w:val="nil"/>
              <w:bottom w:val="nil"/>
              <w:right w:val="nil"/>
            </w:tcBorders>
            <w:shd w:val="clear" w:color="auto" w:fill="auto"/>
            <w:vAlign w:val="center"/>
          </w:tcPr>
          <w:p w14:paraId="021BE28B" w14:textId="62EDD1DE"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212.000,00</w:t>
            </w:r>
          </w:p>
        </w:tc>
        <w:tc>
          <w:tcPr>
            <w:tcW w:w="519" w:type="pct"/>
            <w:tcBorders>
              <w:top w:val="single" w:sz="4" w:space="0" w:color="auto"/>
              <w:left w:val="nil"/>
              <w:bottom w:val="nil"/>
              <w:right w:val="nil"/>
            </w:tcBorders>
            <w:vAlign w:val="center"/>
          </w:tcPr>
          <w:p w14:paraId="02CE9E9B" w14:textId="58991886"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9" w:type="pct"/>
            <w:gridSpan w:val="2"/>
            <w:tcBorders>
              <w:top w:val="single" w:sz="4" w:space="0" w:color="auto"/>
              <w:left w:val="nil"/>
              <w:bottom w:val="nil"/>
              <w:right w:val="nil"/>
            </w:tcBorders>
            <w:shd w:val="clear" w:color="auto" w:fill="auto"/>
            <w:vAlign w:val="center"/>
          </w:tcPr>
          <w:p w14:paraId="4BA744F3" w14:textId="044EB595"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212.000,00</w:t>
            </w:r>
          </w:p>
        </w:tc>
        <w:tc>
          <w:tcPr>
            <w:tcW w:w="513" w:type="pct"/>
            <w:tcBorders>
              <w:top w:val="single" w:sz="4" w:space="0" w:color="auto"/>
              <w:left w:val="nil"/>
              <w:bottom w:val="nil"/>
              <w:right w:val="nil"/>
            </w:tcBorders>
            <w:shd w:val="clear" w:color="auto" w:fill="auto"/>
            <w:vAlign w:val="center"/>
          </w:tcPr>
          <w:p w14:paraId="6B0D084B" w14:textId="5A98D3FE"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1" w:type="pct"/>
            <w:tcBorders>
              <w:top w:val="single" w:sz="4" w:space="0" w:color="auto"/>
              <w:left w:val="nil"/>
              <w:bottom w:val="nil"/>
              <w:right w:val="nil"/>
            </w:tcBorders>
            <w:vAlign w:val="center"/>
          </w:tcPr>
          <w:p w14:paraId="6E041EA1" w14:textId="3409A053"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0" w:type="pct"/>
            <w:gridSpan w:val="2"/>
            <w:tcBorders>
              <w:top w:val="single" w:sz="4" w:space="0" w:color="auto"/>
              <w:left w:val="nil"/>
              <w:bottom w:val="nil"/>
              <w:right w:val="nil"/>
            </w:tcBorders>
            <w:shd w:val="clear" w:color="auto" w:fill="auto"/>
            <w:vAlign w:val="center"/>
          </w:tcPr>
          <w:p w14:paraId="2F17EA38" w14:textId="70585CF4"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r>
      <w:tr w:rsidR="00452BC9" w:rsidRPr="00125C20" w14:paraId="2612D006" w14:textId="77777777" w:rsidTr="00452BC9">
        <w:trPr>
          <w:trHeight w:val="454"/>
        </w:trPr>
        <w:tc>
          <w:tcPr>
            <w:tcW w:w="1749" w:type="pct"/>
            <w:tcBorders>
              <w:top w:val="single" w:sz="4" w:space="0" w:color="auto"/>
              <w:left w:val="nil"/>
              <w:bottom w:val="nil"/>
              <w:right w:val="nil"/>
            </w:tcBorders>
            <w:shd w:val="clear" w:color="auto" w:fill="auto"/>
            <w:vAlign w:val="center"/>
          </w:tcPr>
          <w:p w14:paraId="4D2DB17C" w14:textId="77777777" w:rsidR="001B5A15"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0647123F" w14:textId="7279FEB7"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Sistemas de información en destino</w:t>
            </w:r>
          </w:p>
        </w:tc>
        <w:tc>
          <w:tcPr>
            <w:tcW w:w="519" w:type="pct"/>
            <w:gridSpan w:val="2"/>
            <w:tcBorders>
              <w:top w:val="single" w:sz="4" w:space="0" w:color="auto"/>
              <w:left w:val="nil"/>
              <w:bottom w:val="nil"/>
              <w:right w:val="nil"/>
            </w:tcBorders>
            <w:shd w:val="clear" w:color="auto" w:fill="auto"/>
            <w:vAlign w:val="center"/>
          </w:tcPr>
          <w:p w14:paraId="6F93BA93" w14:textId="68265253"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1.000.000,00</w:t>
            </w:r>
          </w:p>
        </w:tc>
        <w:tc>
          <w:tcPr>
            <w:tcW w:w="519" w:type="pct"/>
            <w:tcBorders>
              <w:top w:val="single" w:sz="4" w:space="0" w:color="auto"/>
              <w:left w:val="nil"/>
              <w:bottom w:val="nil"/>
              <w:right w:val="nil"/>
            </w:tcBorders>
            <w:vAlign w:val="center"/>
          </w:tcPr>
          <w:p w14:paraId="11698261" w14:textId="21313A48"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9" w:type="pct"/>
            <w:gridSpan w:val="2"/>
            <w:tcBorders>
              <w:top w:val="single" w:sz="4" w:space="0" w:color="auto"/>
              <w:left w:val="nil"/>
              <w:bottom w:val="nil"/>
              <w:right w:val="nil"/>
            </w:tcBorders>
            <w:shd w:val="clear" w:color="auto" w:fill="auto"/>
            <w:vAlign w:val="center"/>
          </w:tcPr>
          <w:p w14:paraId="17BB8926" w14:textId="7895A6D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3" w:type="pct"/>
            <w:tcBorders>
              <w:top w:val="single" w:sz="4" w:space="0" w:color="auto"/>
              <w:left w:val="nil"/>
              <w:bottom w:val="nil"/>
              <w:right w:val="nil"/>
            </w:tcBorders>
            <w:shd w:val="clear" w:color="auto" w:fill="auto"/>
            <w:vAlign w:val="center"/>
          </w:tcPr>
          <w:p w14:paraId="10893C57" w14:textId="202F236F"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1" w:type="pct"/>
            <w:tcBorders>
              <w:top w:val="single" w:sz="4" w:space="0" w:color="auto"/>
              <w:left w:val="nil"/>
              <w:bottom w:val="nil"/>
              <w:right w:val="nil"/>
            </w:tcBorders>
            <w:vAlign w:val="center"/>
          </w:tcPr>
          <w:p w14:paraId="7BDC9EA8" w14:textId="4B6F272D"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0" w:type="pct"/>
            <w:gridSpan w:val="2"/>
            <w:tcBorders>
              <w:top w:val="single" w:sz="4" w:space="0" w:color="auto"/>
              <w:left w:val="nil"/>
              <w:bottom w:val="nil"/>
              <w:right w:val="nil"/>
            </w:tcBorders>
            <w:shd w:val="clear" w:color="auto" w:fill="auto"/>
            <w:vAlign w:val="center"/>
          </w:tcPr>
          <w:p w14:paraId="59BF970E" w14:textId="023EB8A0"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1.000.000,00</w:t>
            </w:r>
          </w:p>
        </w:tc>
      </w:tr>
      <w:tr w:rsidR="00452BC9" w:rsidRPr="00125C20" w14:paraId="077F3B44" w14:textId="77777777" w:rsidTr="00452BC9">
        <w:trPr>
          <w:trHeight w:val="454"/>
        </w:trPr>
        <w:tc>
          <w:tcPr>
            <w:tcW w:w="1749" w:type="pct"/>
            <w:tcBorders>
              <w:top w:val="single" w:sz="4" w:space="0" w:color="auto"/>
              <w:left w:val="nil"/>
              <w:bottom w:val="nil"/>
              <w:right w:val="nil"/>
            </w:tcBorders>
            <w:shd w:val="clear" w:color="auto" w:fill="auto"/>
            <w:vAlign w:val="center"/>
          </w:tcPr>
          <w:p w14:paraId="02CE4CE6" w14:textId="77777777" w:rsidR="001B5A15"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23C1FADB" w14:textId="6CFEB763"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Fomento del turismo de cruceros en la provincia de Las Palmas</w:t>
            </w:r>
          </w:p>
        </w:tc>
        <w:tc>
          <w:tcPr>
            <w:tcW w:w="519" w:type="pct"/>
            <w:gridSpan w:val="2"/>
            <w:tcBorders>
              <w:top w:val="single" w:sz="4" w:space="0" w:color="auto"/>
              <w:left w:val="nil"/>
              <w:bottom w:val="nil"/>
              <w:right w:val="nil"/>
            </w:tcBorders>
            <w:shd w:val="clear" w:color="auto" w:fill="auto"/>
            <w:vAlign w:val="center"/>
          </w:tcPr>
          <w:p w14:paraId="63C1680B" w14:textId="433DEAF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25.000,00</w:t>
            </w:r>
          </w:p>
        </w:tc>
        <w:tc>
          <w:tcPr>
            <w:tcW w:w="519" w:type="pct"/>
            <w:tcBorders>
              <w:top w:val="single" w:sz="4" w:space="0" w:color="auto"/>
              <w:left w:val="nil"/>
              <w:bottom w:val="nil"/>
              <w:right w:val="nil"/>
            </w:tcBorders>
            <w:vAlign w:val="center"/>
          </w:tcPr>
          <w:p w14:paraId="0DC14896" w14:textId="396C75F4"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9" w:type="pct"/>
            <w:gridSpan w:val="2"/>
            <w:tcBorders>
              <w:top w:val="single" w:sz="4" w:space="0" w:color="auto"/>
              <w:left w:val="nil"/>
              <w:bottom w:val="nil"/>
              <w:right w:val="nil"/>
            </w:tcBorders>
            <w:shd w:val="clear" w:color="auto" w:fill="auto"/>
            <w:vAlign w:val="center"/>
          </w:tcPr>
          <w:p w14:paraId="4B0A6D1F" w14:textId="10F5D228"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3" w:type="pct"/>
            <w:tcBorders>
              <w:top w:val="single" w:sz="4" w:space="0" w:color="auto"/>
              <w:left w:val="nil"/>
              <w:bottom w:val="nil"/>
              <w:right w:val="nil"/>
            </w:tcBorders>
            <w:shd w:val="clear" w:color="auto" w:fill="auto"/>
            <w:vAlign w:val="center"/>
          </w:tcPr>
          <w:p w14:paraId="6A0914CD" w14:textId="418C0B11"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1" w:type="pct"/>
            <w:tcBorders>
              <w:top w:val="single" w:sz="4" w:space="0" w:color="auto"/>
              <w:left w:val="nil"/>
              <w:bottom w:val="nil"/>
              <w:right w:val="nil"/>
            </w:tcBorders>
            <w:vAlign w:val="center"/>
          </w:tcPr>
          <w:p w14:paraId="796FF4CE" w14:textId="34917068"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0" w:type="pct"/>
            <w:gridSpan w:val="2"/>
            <w:tcBorders>
              <w:top w:val="single" w:sz="4" w:space="0" w:color="auto"/>
              <w:left w:val="nil"/>
              <w:bottom w:val="nil"/>
              <w:right w:val="nil"/>
            </w:tcBorders>
            <w:shd w:val="clear" w:color="auto" w:fill="auto"/>
            <w:vAlign w:val="center"/>
          </w:tcPr>
          <w:p w14:paraId="570F7819" w14:textId="4A920878"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25.000,00</w:t>
            </w:r>
          </w:p>
        </w:tc>
      </w:tr>
      <w:tr w:rsidR="00452BC9" w:rsidRPr="00125C20" w14:paraId="2DFD8080" w14:textId="77777777" w:rsidTr="00452BC9">
        <w:trPr>
          <w:trHeight w:val="454"/>
        </w:trPr>
        <w:tc>
          <w:tcPr>
            <w:tcW w:w="1749" w:type="pct"/>
            <w:tcBorders>
              <w:top w:val="single" w:sz="4" w:space="0" w:color="auto"/>
              <w:left w:val="nil"/>
              <w:bottom w:val="nil"/>
              <w:right w:val="nil"/>
            </w:tcBorders>
            <w:shd w:val="clear" w:color="auto" w:fill="auto"/>
            <w:vAlign w:val="center"/>
          </w:tcPr>
          <w:p w14:paraId="342C329D" w14:textId="77777777" w:rsidR="001B5A15"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 xml:space="preserve">Consejería de Turismo y Empleo: </w:t>
            </w:r>
          </w:p>
          <w:p w14:paraId="2E6F88F3" w14:textId="3F68D7D1"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sz w:val="16"/>
                <w:szCs w:val="16"/>
              </w:rPr>
            </w:pPr>
            <w:r>
              <w:rPr>
                <w:sz w:val="16"/>
                <w:szCs w:val="16"/>
              </w:rPr>
              <w:t>Fomento del turismo de cruceros en la provincia de Santa Cruz de Tenerife</w:t>
            </w:r>
          </w:p>
        </w:tc>
        <w:tc>
          <w:tcPr>
            <w:tcW w:w="519" w:type="pct"/>
            <w:gridSpan w:val="2"/>
            <w:tcBorders>
              <w:top w:val="single" w:sz="4" w:space="0" w:color="auto"/>
              <w:left w:val="nil"/>
              <w:bottom w:val="nil"/>
              <w:right w:val="nil"/>
            </w:tcBorders>
            <w:shd w:val="clear" w:color="auto" w:fill="auto"/>
            <w:vAlign w:val="center"/>
          </w:tcPr>
          <w:p w14:paraId="07E59198" w14:textId="5B8AF37F"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25.000,00</w:t>
            </w:r>
          </w:p>
        </w:tc>
        <w:tc>
          <w:tcPr>
            <w:tcW w:w="519" w:type="pct"/>
            <w:tcBorders>
              <w:top w:val="single" w:sz="4" w:space="0" w:color="auto"/>
              <w:left w:val="nil"/>
              <w:bottom w:val="nil"/>
              <w:right w:val="nil"/>
            </w:tcBorders>
            <w:vAlign w:val="center"/>
          </w:tcPr>
          <w:p w14:paraId="0D0F3A5B" w14:textId="7CAC430C"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9" w:type="pct"/>
            <w:gridSpan w:val="2"/>
            <w:tcBorders>
              <w:top w:val="single" w:sz="4" w:space="0" w:color="auto"/>
              <w:left w:val="nil"/>
              <w:bottom w:val="nil"/>
              <w:right w:val="nil"/>
            </w:tcBorders>
            <w:shd w:val="clear" w:color="auto" w:fill="auto"/>
            <w:vAlign w:val="center"/>
          </w:tcPr>
          <w:p w14:paraId="1C3E6923" w14:textId="7795237C"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13" w:type="pct"/>
            <w:tcBorders>
              <w:top w:val="single" w:sz="4" w:space="0" w:color="auto"/>
              <w:left w:val="nil"/>
              <w:bottom w:val="nil"/>
              <w:right w:val="nil"/>
            </w:tcBorders>
            <w:shd w:val="clear" w:color="auto" w:fill="auto"/>
            <w:vAlign w:val="center"/>
          </w:tcPr>
          <w:p w14:paraId="21542069" w14:textId="2F7F3D44"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1" w:type="pct"/>
            <w:tcBorders>
              <w:top w:val="single" w:sz="4" w:space="0" w:color="auto"/>
              <w:left w:val="nil"/>
              <w:bottom w:val="nil"/>
              <w:right w:val="nil"/>
            </w:tcBorders>
            <w:vAlign w:val="center"/>
          </w:tcPr>
          <w:p w14:paraId="336C1491" w14:textId="3F5E1EDD"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 xml:space="preserve"> -</w:t>
            </w:r>
          </w:p>
        </w:tc>
        <w:tc>
          <w:tcPr>
            <w:tcW w:w="590" w:type="pct"/>
            <w:gridSpan w:val="2"/>
            <w:tcBorders>
              <w:top w:val="single" w:sz="4" w:space="0" w:color="auto"/>
              <w:left w:val="nil"/>
              <w:bottom w:val="nil"/>
              <w:right w:val="nil"/>
            </w:tcBorders>
            <w:shd w:val="clear" w:color="auto" w:fill="auto"/>
            <w:vAlign w:val="center"/>
          </w:tcPr>
          <w:p w14:paraId="545DCFE6" w14:textId="18D2D0DD"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sz w:val="16"/>
                <w:szCs w:val="16"/>
              </w:rPr>
            </w:pPr>
            <w:r>
              <w:rPr>
                <w:sz w:val="16"/>
                <w:szCs w:val="16"/>
              </w:rPr>
              <w:t>25.000,00</w:t>
            </w:r>
          </w:p>
        </w:tc>
      </w:tr>
      <w:tr w:rsidR="00452BC9" w:rsidRPr="006439D4" w14:paraId="70F4F329" w14:textId="77777777" w:rsidTr="00F62F4D">
        <w:trPr>
          <w:trHeight w:val="340"/>
        </w:trPr>
        <w:tc>
          <w:tcPr>
            <w:tcW w:w="1749" w:type="pct"/>
            <w:tcBorders>
              <w:top w:val="single" w:sz="4" w:space="0" w:color="auto"/>
              <w:left w:val="nil"/>
              <w:bottom w:val="single" w:sz="4" w:space="0" w:color="auto"/>
              <w:right w:val="nil"/>
            </w:tcBorders>
            <w:shd w:val="clear" w:color="auto" w:fill="auto"/>
            <w:noWrap/>
            <w:vAlign w:val="center"/>
            <w:hideMark/>
          </w:tcPr>
          <w:p w14:paraId="7D822C7C" w14:textId="77777777"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sz w:val="16"/>
                <w:szCs w:val="16"/>
                <w:bdr w:val="none" w:sz="0" w:space="0" w:color="auto"/>
                <w:lang w:eastAsia="es-ES"/>
              </w:rPr>
            </w:pPr>
            <w:r w:rsidRPr="00125C20">
              <w:rPr>
                <w:rFonts w:eastAsia="Times New Roman"/>
                <w:b/>
                <w:bCs/>
                <w:sz w:val="16"/>
                <w:szCs w:val="16"/>
                <w:bdr w:val="none" w:sz="0" w:space="0" w:color="auto"/>
                <w:lang w:eastAsia="es-ES"/>
              </w:rPr>
              <w:t>Total</w:t>
            </w:r>
          </w:p>
        </w:tc>
        <w:tc>
          <w:tcPr>
            <w:tcW w:w="519" w:type="pct"/>
            <w:gridSpan w:val="2"/>
            <w:tcBorders>
              <w:top w:val="single" w:sz="4" w:space="0" w:color="auto"/>
              <w:left w:val="nil"/>
              <w:bottom w:val="single" w:sz="4" w:space="0" w:color="auto"/>
              <w:right w:val="nil"/>
            </w:tcBorders>
            <w:shd w:val="clear" w:color="auto" w:fill="auto"/>
            <w:noWrap/>
            <w:vAlign w:val="center"/>
          </w:tcPr>
          <w:p w14:paraId="05F17E5F" w14:textId="1C935D5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70.541.339,05</w:t>
            </w:r>
          </w:p>
        </w:tc>
        <w:tc>
          <w:tcPr>
            <w:tcW w:w="519" w:type="pct"/>
            <w:tcBorders>
              <w:top w:val="single" w:sz="4" w:space="0" w:color="auto"/>
              <w:left w:val="nil"/>
              <w:bottom w:val="single" w:sz="4" w:space="0" w:color="auto"/>
              <w:right w:val="nil"/>
            </w:tcBorders>
            <w:vAlign w:val="center"/>
          </w:tcPr>
          <w:p w14:paraId="5C54401D" w14:textId="7AA59E82"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17.084.799,03</w:t>
            </w:r>
          </w:p>
        </w:tc>
        <w:tc>
          <w:tcPr>
            <w:tcW w:w="519" w:type="pct"/>
            <w:gridSpan w:val="2"/>
            <w:tcBorders>
              <w:top w:val="single" w:sz="4" w:space="0" w:color="auto"/>
              <w:left w:val="nil"/>
              <w:bottom w:val="single" w:sz="4" w:space="0" w:color="auto"/>
              <w:right w:val="nil"/>
            </w:tcBorders>
            <w:shd w:val="clear" w:color="auto" w:fill="auto"/>
            <w:noWrap/>
            <w:vAlign w:val="center"/>
          </w:tcPr>
          <w:p w14:paraId="1C89B697" w14:textId="3A2BDE1B"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46.743.894,28</w:t>
            </w:r>
          </w:p>
        </w:tc>
        <w:tc>
          <w:tcPr>
            <w:tcW w:w="513" w:type="pct"/>
            <w:tcBorders>
              <w:top w:val="single" w:sz="4" w:space="0" w:color="auto"/>
              <w:left w:val="nil"/>
              <w:bottom w:val="single" w:sz="4" w:space="0" w:color="auto"/>
              <w:right w:val="nil"/>
            </w:tcBorders>
            <w:shd w:val="clear" w:color="auto" w:fill="auto"/>
            <w:noWrap/>
            <w:vAlign w:val="center"/>
          </w:tcPr>
          <w:p w14:paraId="6A2E7B8C" w14:textId="253EFE3A"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(3.542.531,75)</w:t>
            </w:r>
          </w:p>
        </w:tc>
        <w:tc>
          <w:tcPr>
            <w:tcW w:w="591" w:type="pct"/>
            <w:tcBorders>
              <w:top w:val="single" w:sz="4" w:space="0" w:color="auto"/>
              <w:left w:val="nil"/>
              <w:bottom w:val="single" w:sz="4" w:space="0" w:color="auto"/>
              <w:right w:val="nil"/>
            </w:tcBorders>
            <w:vAlign w:val="center"/>
          </w:tcPr>
          <w:p w14:paraId="1094D43B" w14:textId="6319133E"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 xml:space="preserve"> -</w:t>
            </w:r>
          </w:p>
        </w:tc>
        <w:tc>
          <w:tcPr>
            <w:tcW w:w="590" w:type="pct"/>
            <w:gridSpan w:val="2"/>
            <w:tcBorders>
              <w:top w:val="single" w:sz="4" w:space="0" w:color="auto"/>
              <w:left w:val="nil"/>
              <w:bottom w:val="single" w:sz="4" w:space="0" w:color="auto"/>
              <w:right w:val="nil"/>
            </w:tcBorders>
            <w:shd w:val="clear" w:color="auto" w:fill="auto"/>
            <w:noWrap/>
            <w:vAlign w:val="center"/>
          </w:tcPr>
          <w:p w14:paraId="144688A6" w14:textId="3C11EAFD" w:rsidR="00452BC9" w:rsidRPr="00125C20" w:rsidRDefault="00452BC9" w:rsidP="00452BC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6"/>
                <w:szCs w:val="16"/>
                <w:bdr w:val="none" w:sz="0" w:space="0" w:color="auto"/>
                <w:lang w:eastAsia="es-ES"/>
              </w:rPr>
            </w:pPr>
            <w:r>
              <w:rPr>
                <w:b/>
                <w:bCs/>
                <w:sz w:val="16"/>
                <w:szCs w:val="16"/>
              </w:rPr>
              <w:t>38.985.647,69</w:t>
            </w:r>
          </w:p>
        </w:tc>
      </w:tr>
    </w:tbl>
    <w:p w14:paraId="00216834" w14:textId="2FE2FB47" w:rsidR="002109C5" w:rsidRPr="006439D4" w:rsidRDefault="002109C5" w:rsidP="006220A2">
      <w:pPr>
        <w:rPr>
          <w:sz w:val="20"/>
          <w:szCs w:val="22"/>
          <w:highlight w:val="red"/>
        </w:rPr>
      </w:pPr>
    </w:p>
    <w:p w14:paraId="54D85C68" w14:textId="55BC8769" w:rsidR="001C58A9" w:rsidRPr="006439D4" w:rsidRDefault="001C58A9" w:rsidP="006220A2">
      <w:pPr>
        <w:rPr>
          <w:sz w:val="20"/>
          <w:szCs w:val="22"/>
          <w:highlight w:val="red"/>
        </w:rPr>
        <w:sectPr w:rsidR="001C58A9" w:rsidRPr="006439D4" w:rsidSect="001C58A9">
          <w:pgSz w:w="16840" w:h="11900" w:orient="landscape" w:code="9"/>
          <w:pgMar w:top="1701" w:right="1701" w:bottom="1418" w:left="1418" w:header="1134" w:footer="680" w:gutter="0"/>
          <w:cols w:space="708"/>
          <w:docGrid w:linePitch="360"/>
        </w:sectPr>
      </w:pPr>
    </w:p>
    <w:p w14:paraId="31CEACEF" w14:textId="646766FC" w:rsidR="00297CBF" w:rsidRPr="00176BA0" w:rsidRDefault="001C58A9" w:rsidP="00064105">
      <w:pPr>
        <w:widowControl w:val="0"/>
        <w:spacing w:before="120" w:line="260" w:lineRule="exact"/>
        <w:jc w:val="both"/>
        <w:outlineLvl w:val="9"/>
        <w:rPr>
          <w:snapToGrid w:val="0"/>
          <w:sz w:val="20"/>
          <w:szCs w:val="22"/>
        </w:rPr>
      </w:pPr>
      <w:r w:rsidRPr="002A61B3">
        <w:rPr>
          <w:snapToGrid w:val="0"/>
          <w:sz w:val="20"/>
          <w:szCs w:val="22"/>
        </w:rPr>
        <w:lastRenderedPageBreak/>
        <w:t>Dur</w:t>
      </w:r>
      <w:r w:rsidR="00297CBF" w:rsidRPr="002A61B3">
        <w:rPr>
          <w:snapToGrid w:val="0"/>
          <w:sz w:val="20"/>
          <w:szCs w:val="22"/>
        </w:rPr>
        <w:t>ante el ejercicio 202</w:t>
      </w:r>
      <w:r w:rsidR="002A61B3" w:rsidRPr="002A61B3">
        <w:rPr>
          <w:snapToGrid w:val="0"/>
          <w:sz w:val="20"/>
          <w:szCs w:val="22"/>
        </w:rPr>
        <w:t>3</w:t>
      </w:r>
      <w:r w:rsidR="00297CBF" w:rsidRPr="002A61B3">
        <w:rPr>
          <w:snapToGrid w:val="0"/>
          <w:sz w:val="20"/>
          <w:szCs w:val="22"/>
        </w:rPr>
        <w:t xml:space="preserve"> la Sociedad ha ejecutado </w:t>
      </w:r>
      <w:r w:rsidR="00C003BB" w:rsidRPr="002A61B3">
        <w:rPr>
          <w:snapToGrid w:val="0"/>
          <w:sz w:val="20"/>
          <w:szCs w:val="22"/>
        </w:rPr>
        <w:t>las subvenciones concedidas en 202</w:t>
      </w:r>
      <w:r w:rsidR="002A61B3" w:rsidRPr="002A61B3">
        <w:rPr>
          <w:snapToGrid w:val="0"/>
          <w:sz w:val="20"/>
          <w:szCs w:val="22"/>
        </w:rPr>
        <w:t>1</w:t>
      </w:r>
      <w:r w:rsidR="00C003BB" w:rsidRPr="002A61B3">
        <w:rPr>
          <w:snapToGrid w:val="0"/>
          <w:sz w:val="20"/>
          <w:szCs w:val="22"/>
        </w:rPr>
        <w:t xml:space="preserve"> </w:t>
      </w:r>
      <w:r w:rsidR="00380D81" w:rsidRPr="002A61B3">
        <w:rPr>
          <w:snapToGrid w:val="0"/>
          <w:sz w:val="20"/>
          <w:szCs w:val="22"/>
        </w:rPr>
        <w:t>y 202</w:t>
      </w:r>
      <w:r w:rsidR="002A61B3">
        <w:rPr>
          <w:snapToGrid w:val="0"/>
          <w:sz w:val="20"/>
          <w:szCs w:val="22"/>
        </w:rPr>
        <w:t>2</w:t>
      </w:r>
      <w:r w:rsidR="00380D81" w:rsidRPr="002A61B3">
        <w:rPr>
          <w:snapToGrid w:val="0"/>
          <w:sz w:val="20"/>
          <w:szCs w:val="22"/>
        </w:rPr>
        <w:t xml:space="preserve"> </w:t>
      </w:r>
      <w:r w:rsidR="00C003BB" w:rsidRPr="002A61B3">
        <w:rPr>
          <w:snapToGrid w:val="0"/>
          <w:sz w:val="20"/>
          <w:szCs w:val="22"/>
        </w:rPr>
        <w:t>y prorrogadas al ejercicio por importe</w:t>
      </w:r>
      <w:r w:rsidR="00297CBF" w:rsidRPr="002A61B3">
        <w:rPr>
          <w:snapToGrid w:val="0"/>
          <w:sz w:val="20"/>
          <w:szCs w:val="22"/>
        </w:rPr>
        <w:t xml:space="preserve"> </w:t>
      </w:r>
      <w:r w:rsidR="00380D81" w:rsidRPr="002A61B3">
        <w:rPr>
          <w:snapToGrid w:val="0"/>
          <w:sz w:val="20"/>
          <w:szCs w:val="22"/>
        </w:rPr>
        <w:t xml:space="preserve">total </w:t>
      </w:r>
      <w:r w:rsidR="00297CBF" w:rsidRPr="002A61B3">
        <w:rPr>
          <w:snapToGrid w:val="0"/>
          <w:sz w:val="20"/>
          <w:szCs w:val="22"/>
        </w:rPr>
        <w:t xml:space="preserve">de </w:t>
      </w:r>
      <w:r w:rsidR="002A61B3" w:rsidRPr="002A61B3">
        <w:rPr>
          <w:snapToGrid w:val="0"/>
          <w:sz w:val="20"/>
          <w:szCs w:val="22"/>
        </w:rPr>
        <w:t>17.084.799,03</w:t>
      </w:r>
      <w:r w:rsidR="00297CBF" w:rsidRPr="002A61B3">
        <w:rPr>
          <w:snapToGrid w:val="0"/>
          <w:sz w:val="20"/>
          <w:szCs w:val="22"/>
        </w:rPr>
        <w:t xml:space="preserve"> euros</w:t>
      </w:r>
      <w:r w:rsidR="00D202F6">
        <w:rPr>
          <w:snapToGrid w:val="0"/>
          <w:sz w:val="20"/>
          <w:szCs w:val="22"/>
        </w:rPr>
        <w:t>, excepto la aportación para el Plan de Dinamización Turística del Norte de La Gomera que se ha prorrogado para el ejercicio 2024.</w:t>
      </w:r>
    </w:p>
    <w:p w14:paraId="5A3D3F0F" w14:textId="41C66F7E" w:rsidR="006220A2" w:rsidRPr="0083433F" w:rsidRDefault="00322E9D" w:rsidP="0006410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80" w:lineRule="exact"/>
        <w:ind w:left="284" w:hanging="284"/>
        <w:outlineLvl w:val="9"/>
        <w:rPr>
          <w:b/>
          <w:snapToGrid w:val="0"/>
          <w:sz w:val="22"/>
          <w:szCs w:val="22"/>
        </w:rPr>
      </w:pPr>
      <w:r>
        <w:rPr>
          <w:b/>
          <w:snapToGrid w:val="0"/>
          <w:sz w:val="22"/>
          <w:szCs w:val="22"/>
        </w:rPr>
        <w:t xml:space="preserve"> </w:t>
      </w:r>
      <w:r w:rsidR="006220A2" w:rsidRPr="0083433F">
        <w:rPr>
          <w:b/>
          <w:snapToGrid w:val="0"/>
          <w:sz w:val="22"/>
          <w:szCs w:val="22"/>
        </w:rPr>
        <w:t>Hechos posteriores al cierre</w:t>
      </w:r>
    </w:p>
    <w:p w14:paraId="7AA90DD1" w14:textId="02E8E366" w:rsidR="000F0BE8" w:rsidRPr="00176BA0" w:rsidRDefault="00646619" w:rsidP="00064105">
      <w:pPr>
        <w:widowControl w:val="0"/>
        <w:spacing w:before="120" w:line="260" w:lineRule="exact"/>
        <w:jc w:val="both"/>
        <w:outlineLvl w:val="9"/>
        <w:rPr>
          <w:snapToGrid w:val="0"/>
          <w:sz w:val="20"/>
          <w:szCs w:val="22"/>
        </w:rPr>
      </w:pPr>
      <w:r w:rsidRPr="00176BA0">
        <w:rPr>
          <w:snapToGrid w:val="0"/>
          <w:sz w:val="20"/>
          <w:szCs w:val="22"/>
        </w:rPr>
        <w:t>D</w:t>
      </w:r>
      <w:r w:rsidR="000F0BE8" w:rsidRPr="00176BA0">
        <w:rPr>
          <w:snapToGrid w:val="0"/>
          <w:sz w:val="20"/>
          <w:szCs w:val="22"/>
        </w:rPr>
        <w:t>esde el 31 de diciembre de 20</w:t>
      </w:r>
      <w:r w:rsidRPr="00176BA0">
        <w:rPr>
          <w:snapToGrid w:val="0"/>
          <w:sz w:val="20"/>
          <w:szCs w:val="22"/>
        </w:rPr>
        <w:t>2</w:t>
      </w:r>
      <w:r w:rsidR="006439D4">
        <w:rPr>
          <w:snapToGrid w:val="0"/>
          <w:sz w:val="20"/>
          <w:szCs w:val="22"/>
        </w:rPr>
        <w:t>3</w:t>
      </w:r>
      <w:r w:rsidR="00C669BB" w:rsidRPr="00176BA0">
        <w:rPr>
          <w:snapToGrid w:val="0"/>
          <w:sz w:val="20"/>
          <w:szCs w:val="22"/>
        </w:rPr>
        <w:t xml:space="preserve"> hasta la fecha de formulación de estas cuentas anuales, no se han producido otros acontecimientos significativos </w:t>
      </w:r>
      <w:r w:rsidR="000F0BE8" w:rsidRPr="00176BA0">
        <w:rPr>
          <w:snapToGrid w:val="0"/>
          <w:sz w:val="20"/>
          <w:szCs w:val="22"/>
        </w:rPr>
        <w:t>que, afectando a las mismas, no se hubiera incluido en ellas, o cuyo conocimiento pudiera resultar útil a un usuario de las mismas.</w:t>
      </w:r>
    </w:p>
    <w:p w14:paraId="60580F64" w14:textId="4C0723C0" w:rsidR="006220A2" w:rsidRPr="00663F02" w:rsidRDefault="00322E9D" w:rsidP="0006410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80" w:lineRule="exact"/>
        <w:ind w:left="284" w:hanging="284"/>
        <w:outlineLvl w:val="9"/>
        <w:rPr>
          <w:b/>
          <w:snapToGrid w:val="0"/>
          <w:sz w:val="22"/>
          <w:szCs w:val="22"/>
        </w:rPr>
      </w:pPr>
      <w:r w:rsidRPr="00663F02">
        <w:rPr>
          <w:b/>
          <w:snapToGrid w:val="0"/>
          <w:sz w:val="22"/>
          <w:szCs w:val="22"/>
        </w:rPr>
        <w:t xml:space="preserve"> </w:t>
      </w:r>
      <w:r w:rsidR="006220A2" w:rsidRPr="00BC7B66">
        <w:rPr>
          <w:b/>
          <w:snapToGrid w:val="0"/>
          <w:sz w:val="22"/>
          <w:szCs w:val="22"/>
        </w:rPr>
        <w:t>Operaciones con partes vinculadas</w:t>
      </w:r>
    </w:p>
    <w:p w14:paraId="2D53487F" w14:textId="2DA2B563" w:rsidR="006220A2" w:rsidRPr="0031018D" w:rsidRDefault="006220A2">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00"/>
        <w:ind w:left="0" w:firstLine="0"/>
        <w:outlineLvl w:val="9"/>
        <w:rPr>
          <w:sz w:val="20"/>
          <w:szCs w:val="22"/>
          <w:u w:val="single"/>
        </w:rPr>
      </w:pPr>
      <w:r w:rsidRPr="00663F02">
        <w:rPr>
          <w:sz w:val="20"/>
          <w:szCs w:val="22"/>
          <w:u w:val="single"/>
        </w:rPr>
        <w:t>Transacciones con la Consejería de T</w:t>
      </w:r>
      <w:r w:rsidRPr="0031018D">
        <w:rPr>
          <w:sz w:val="20"/>
          <w:szCs w:val="22"/>
          <w:u w:val="single"/>
        </w:rPr>
        <w:t>urismo</w:t>
      </w:r>
      <w:r w:rsidR="00D202F6">
        <w:rPr>
          <w:sz w:val="20"/>
          <w:szCs w:val="22"/>
          <w:u w:val="single"/>
        </w:rPr>
        <w:t xml:space="preserve"> y Empleo </w:t>
      </w:r>
      <w:r w:rsidRPr="0031018D">
        <w:rPr>
          <w:sz w:val="20"/>
          <w:szCs w:val="22"/>
          <w:u w:val="single"/>
        </w:rPr>
        <w:t>del Gobierno de Canarias</w:t>
      </w:r>
    </w:p>
    <w:p w14:paraId="6F10E974" w14:textId="4E0EF3AA" w:rsidR="006220A2" w:rsidRPr="00176BA0" w:rsidRDefault="006220A2" w:rsidP="00064105">
      <w:pPr>
        <w:widowControl w:val="0"/>
        <w:spacing w:before="120" w:after="120" w:line="260" w:lineRule="exact"/>
        <w:jc w:val="both"/>
        <w:outlineLvl w:val="9"/>
        <w:rPr>
          <w:snapToGrid w:val="0"/>
          <w:sz w:val="20"/>
          <w:szCs w:val="22"/>
        </w:rPr>
      </w:pPr>
      <w:r w:rsidRPr="00176BA0">
        <w:rPr>
          <w:snapToGrid w:val="0"/>
          <w:sz w:val="20"/>
          <w:szCs w:val="22"/>
        </w:rPr>
        <w:t>Se han recibido</w:t>
      </w:r>
      <w:r w:rsidR="000440E6" w:rsidRPr="00176BA0">
        <w:rPr>
          <w:snapToGrid w:val="0"/>
          <w:sz w:val="20"/>
          <w:szCs w:val="22"/>
        </w:rPr>
        <w:t xml:space="preserve"> en el ejercicio 20</w:t>
      </w:r>
      <w:r w:rsidR="009C7621" w:rsidRPr="00176BA0">
        <w:rPr>
          <w:snapToGrid w:val="0"/>
          <w:sz w:val="20"/>
          <w:szCs w:val="22"/>
        </w:rPr>
        <w:t>2</w:t>
      </w:r>
      <w:r w:rsidR="006439D4">
        <w:rPr>
          <w:snapToGrid w:val="0"/>
          <w:sz w:val="20"/>
          <w:szCs w:val="22"/>
        </w:rPr>
        <w:t>3</w:t>
      </w:r>
      <w:r w:rsidR="00F62799" w:rsidRPr="00176BA0">
        <w:rPr>
          <w:snapToGrid w:val="0"/>
          <w:sz w:val="20"/>
          <w:szCs w:val="22"/>
        </w:rPr>
        <w:t xml:space="preserve"> y 20</w:t>
      </w:r>
      <w:r w:rsidR="00C2117E" w:rsidRPr="00176BA0">
        <w:rPr>
          <w:snapToGrid w:val="0"/>
          <w:sz w:val="20"/>
          <w:szCs w:val="22"/>
        </w:rPr>
        <w:t>2</w:t>
      </w:r>
      <w:r w:rsidR="00694C46">
        <w:rPr>
          <w:snapToGrid w:val="0"/>
          <w:sz w:val="20"/>
          <w:szCs w:val="22"/>
        </w:rPr>
        <w:t>2</w:t>
      </w:r>
      <w:r w:rsidRPr="00176BA0">
        <w:rPr>
          <w:snapToGrid w:val="0"/>
          <w:sz w:val="20"/>
          <w:szCs w:val="22"/>
        </w:rPr>
        <w:t xml:space="preserve"> los siguientes importes por parte de la Consejería de Turismo</w:t>
      </w:r>
      <w:r w:rsidR="00D202F6">
        <w:rPr>
          <w:snapToGrid w:val="0"/>
          <w:sz w:val="20"/>
          <w:szCs w:val="22"/>
        </w:rPr>
        <w:t xml:space="preserve"> y Empleo</w:t>
      </w:r>
      <w:r w:rsidRPr="00176BA0">
        <w:rPr>
          <w:snapToGrid w:val="0"/>
          <w:sz w:val="20"/>
          <w:szCs w:val="22"/>
        </w:rPr>
        <w:t xml:space="preserve"> del Gobierno de Canarias:</w:t>
      </w:r>
    </w:p>
    <w:tbl>
      <w:tblPr>
        <w:tblW w:w="5000" w:type="pct"/>
        <w:jc w:val="center"/>
        <w:tblCellMar>
          <w:left w:w="70" w:type="dxa"/>
          <w:right w:w="70" w:type="dxa"/>
        </w:tblCellMar>
        <w:tblLook w:val="04A0" w:firstRow="1" w:lastRow="0" w:firstColumn="1" w:lastColumn="0" w:noHBand="0" w:noVBand="1"/>
      </w:tblPr>
      <w:tblGrid>
        <w:gridCol w:w="4621"/>
        <w:gridCol w:w="2081"/>
        <w:gridCol w:w="2079"/>
      </w:tblGrid>
      <w:tr w:rsidR="006220A2" w:rsidRPr="00954AA6" w14:paraId="2AFBC58F" w14:textId="77777777" w:rsidTr="00840DE8">
        <w:trPr>
          <w:trHeight w:val="227"/>
          <w:jc w:val="center"/>
        </w:trPr>
        <w:tc>
          <w:tcPr>
            <w:tcW w:w="2631" w:type="pct"/>
            <w:tcBorders>
              <w:top w:val="single" w:sz="4" w:space="0" w:color="auto"/>
              <w:left w:val="nil"/>
              <w:bottom w:val="nil"/>
              <w:right w:val="nil"/>
            </w:tcBorders>
            <w:shd w:val="clear" w:color="auto" w:fill="auto"/>
            <w:vAlign w:val="bottom"/>
            <w:hideMark/>
          </w:tcPr>
          <w:p w14:paraId="76D9059E" w14:textId="77777777" w:rsidR="006220A2" w:rsidRPr="00954AA6" w:rsidRDefault="006220A2" w:rsidP="00954AA6">
            <w:pPr>
              <w:keepNext/>
              <w:keepLines/>
              <w:widowControl w:val="0"/>
              <w:ind w:left="219"/>
              <w:jc w:val="center"/>
              <w:rPr>
                <w:rFonts w:ascii="Times New Roman" w:eastAsia="Times New Roman" w:hAnsi="Times New Roman"/>
                <w:sz w:val="18"/>
                <w:szCs w:val="18"/>
              </w:rPr>
            </w:pPr>
          </w:p>
        </w:tc>
        <w:tc>
          <w:tcPr>
            <w:tcW w:w="2369" w:type="pct"/>
            <w:gridSpan w:val="2"/>
            <w:tcBorders>
              <w:top w:val="single" w:sz="4" w:space="0" w:color="auto"/>
              <w:left w:val="nil"/>
              <w:bottom w:val="single" w:sz="4" w:space="0" w:color="auto"/>
              <w:right w:val="nil"/>
            </w:tcBorders>
            <w:shd w:val="clear" w:color="auto" w:fill="auto"/>
            <w:vAlign w:val="bottom"/>
            <w:hideMark/>
          </w:tcPr>
          <w:p w14:paraId="7EB96F9D" w14:textId="77777777" w:rsidR="006220A2" w:rsidRPr="00954AA6" w:rsidRDefault="006220A2" w:rsidP="00663F02">
            <w:pPr>
              <w:keepNext/>
              <w:keepLines/>
              <w:widowControl w:val="0"/>
              <w:jc w:val="center"/>
              <w:rPr>
                <w:rFonts w:eastAsia="Times New Roman"/>
                <w:b/>
                <w:bCs/>
                <w:sz w:val="18"/>
                <w:szCs w:val="18"/>
              </w:rPr>
            </w:pPr>
            <w:r w:rsidRPr="00954AA6">
              <w:rPr>
                <w:rFonts w:eastAsia="Times New Roman"/>
                <w:b/>
                <w:bCs/>
                <w:sz w:val="18"/>
                <w:szCs w:val="18"/>
              </w:rPr>
              <w:t>Euros</w:t>
            </w:r>
          </w:p>
        </w:tc>
      </w:tr>
      <w:tr w:rsidR="005B7238" w:rsidRPr="00954AA6" w14:paraId="08C423DD" w14:textId="77777777" w:rsidTr="00C2117E">
        <w:trPr>
          <w:trHeight w:val="227"/>
          <w:jc w:val="center"/>
        </w:trPr>
        <w:tc>
          <w:tcPr>
            <w:tcW w:w="2631" w:type="pct"/>
            <w:tcBorders>
              <w:top w:val="nil"/>
              <w:left w:val="nil"/>
              <w:bottom w:val="single" w:sz="4" w:space="0" w:color="auto"/>
              <w:right w:val="nil"/>
            </w:tcBorders>
            <w:shd w:val="clear" w:color="auto" w:fill="auto"/>
            <w:vAlign w:val="bottom"/>
            <w:hideMark/>
          </w:tcPr>
          <w:p w14:paraId="17D6CB9B" w14:textId="77777777" w:rsidR="005B7238" w:rsidRPr="00954AA6" w:rsidRDefault="005B7238" w:rsidP="005B7238">
            <w:pPr>
              <w:keepNext/>
              <w:keepLines/>
              <w:widowControl w:val="0"/>
              <w:ind w:left="219"/>
              <w:jc w:val="center"/>
              <w:rPr>
                <w:rFonts w:eastAsia="Times New Roman" w:cs="Times"/>
                <w:sz w:val="18"/>
                <w:szCs w:val="18"/>
              </w:rPr>
            </w:pPr>
          </w:p>
        </w:tc>
        <w:tc>
          <w:tcPr>
            <w:tcW w:w="1185" w:type="pct"/>
            <w:tcBorders>
              <w:top w:val="nil"/>
              <w:left w:val="nil"/>
              <w:bottom w:val="single" w:sz="4" w:space="0" w:color="auto"/>
              <w:right w:val="nil"/>
            </w:tcBorders>
            <w:shd w:val="clear" w:color="auto" w:fill="auto"/>
            <w:vAlign w:val="bottom"/>
            <w:hideMark/>
          </w:tcPr>
          <w:p w14:paraId="264DA5D1" w14:textId="30DFFD2F" w:rsidR="005B7238" w:rsidRPr="00954AA6" w:rsidRDefault="005B7238" w:rsidP="005B7238">
            <w:pPr>
              <w:keepNext/>
              <w:keepLines/>
              <w:widowControl w:val="0"/>
              <w:jc w:val="center"/>
              <w:rPr>
                <w:rFonts w:eastAsia="Times New Roman"/>
                <w:b/>
                <w:bCs/>
                <w:sz w:val="18"/>
                <w:szCs w:val="18"/>
              </w:rPr>
            </w:pPr>
            <w:r w:rsidRPr="00954AA6">
              <w:rPr>
                <w:rFonts w:eastAsia="Times New Roman"/>
                <w:b/>
                <w:bCs/>
                <w:sz w:val="18"/>
                <w:szCs w:val="18"/>
              </w:rPr>
              <w:t>202</w:t>
            </w:r>
            <w:r w:rsidR="006439D4">
              <w:rPr>
                <w:rFonts w:eastAsia="Times New Roman"/>
                <w:b/>
                <w:bCs/>
                <w:sz w:val="18"/>
                <w:szCs w:val="18"/>
              </w:rPr>
              <w:t>3</w:t>
            </w:r>
          </w:p>
        </w:tc>
        <w:tc>
          <w:tcPr>
            <w:tcW w:w="1184" w:type="pct"/>
            <w:tcBorders>
              <w:top w:val="nil"/>
              <w:left w:val="nil"/>
              <w:bottom w:val="single" w:sz="4" w:space="0" w:color="auto"/>
              <w:right w:val="nil"/>
            </w:tcBorders>
            <w:shd w:val="clear" w:color="auto" w:fill="auto"/>
            <w:vAlign w:val="bottom"/>
            <w:hideMark/>
          </w:tcPr>
          <w:p w14:paraId="0BDF18B9" w14:textId="66DCB0AF" w:rsidR="005B7238" w:rsidRPr="00954AA6" w:rsidRDefault="005B7238" w:rsidP="005B7238">
            <w:pPr>
              <w:keepNext/>
              <w:keepLines/>
              <w:widowControl w:val="0"/>
              <w:jc w:val="center"/>
              <w:rPr>
                <w:rFonts w:eastAsia="Times New Roman"/>
                <w:b/>
                <w:bCs/>
                <w:sz w:val="18"/>
                <w:szCs w:val="18"/>
              </w:rPr>
            </w:pPr>
            <w:r w:rsidRPr="00954AA6">
              <w:rPr>
                <w:rFonts w:eastAsia="Times New Roman"/>
                <w:b/>
                <w:bCs/>
                <w:sz w:val="18"/>
                <w:szCs w:val="18"/>
              </w:rPr>
              <w:t>202</w:t>
            </w:r>
            <w:r w:rsidR="006439D4">
              <w:rPr>
                <w:rFonts w:eastAsia="Times New Roman"/>
                <w:b/>
                <w:bCs/>
                <w:sz w:val="18"/>
                <w:szCs w:val="18"/>
              </w:rPr>
              <w:t>2</w:t>
            </w:r>
          </w:p>
        </w:tc>
      </w:tr>
      <w:tr w:rsidR="00694C46" w:rsidRPr="00954AA6" w14:paraId="3FAF6983" w14:textId="77777777" w:rsidTr="007A7245">
        <w:trPr>
          <w:trHeight w:val="283"/>
          <w:jc w:val="center"/>
        </w:trPr>
        <w:tc>
          <w:tcPr>
            <w:tcW w:w="2631" w:type="pct"/>
            <w:tcBorders>
              <w:top w:val="nil"/>
              <w:left w:val="nil"/>
              <w:bottom w:val="nil"/>
              <w:right w:val="nil"/>
            </w:tcBorders>
            <w:shd w:val="clear" w:color="auto" w:fill="auto"/>
            <w:vAlign w:val="center"/>
            <w:hideMark/>
          </w:tcPr>
          <w:p w14:paraId="67A080AB" w14:textId="77777777" w:rsidR="00694C46" w:rsidRPr="00954AA6" w:rsidRDefault="00694C46" w:rsidP="00694C46">
            <w:pPr>
              <w:keepNext/>
              <w:keepLines/>
              <w:widowControl w:val="0"/>
              <w:ind w:left="219"/>
              <w:jc w:val="both"/>
              <w:rPr>
                <w:rFonts w:eastAsia="Times New Roman"/>
                <w:sz w:val="18"/>
                <w:szCs w:val="18"/>
              </w:rPr>
            </w:pPr>
            <w:r w:rsidRPr="00954AA6">
              <w:rPr>
                <w:rFonts w:eastAsia="Times New Roman"/>
                <w:sz w:val="18"/>
                <w:szCs w:val="18"/>
              </w:rPr>
              <w:t>Encomiendas</w:t>
            </w:r>
          </w:p>
        </w:tc>
        <w:tc>
          <w:tcPr>
            <w:tcW w:w="1185" w:type="pct"/>
            <w:tcBorders>
              <w:top w:val="nil"/>
              <w:left w:val="nil"/>
              <w:bottom w:val="nil"/>
              <w:right w:val="nil"/>
            </w:tcBorders>
            <w:shd w:val="clear" w:color="auto" w:fill="auto"/>
            <w:vAlign w:val="center"/>
          </w:tcPr>
          <w:p w14:paraId="1375007B" w14:textId="460D33D0" w:rsidR="00694C46" w:rsidRPr="00694C46" w:rsidRDefault="00694C46" w:rsidP="007A7245">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694C46">
              <w:rPr>
                <w:sz w:val="18"/>
                <w:szCs w:val="18"/>
              </w:rPr>
              <w:t>278.650,74</w:t>
            </w:r>
          </w:p>
        </w:tc>
        <w:tc>
          <w:tcPr>
            <w:tcW w:w="1184" w:type="pct"/>
            <w:tcBorders>
              <w:top w:val="nil"/>
              <w:left w:val="nil"/>
              <w:bottom w:val="nil"/>
              <w:right w:val="nil"/>
            </w:tcBorders>
            <w:shd w:val="clear" w:color="auto" w:fill="auto"/>
            <w:vAlign w:val="center"/>
          </w:tcPr>
          <w:p w14:paraId="0AA038CB" w14:textId="36F8AB4C" w:rsidR="00694C46" w:rsidRPr="00954AA6" w:rsidRDefault="00694C46" w:rsidP="00694C46">
            <w:pPr>
              <w:keepNext/>
              <w:keepLines/>
              <w:widowControl w:val="0"/>
              <w:jc w:val="right"/>
              <w:rPr>
                <w:sz w:val="18"/>
                <w:szCs w:val="18"/>
              </w:rPr>
            </w:pPr>
            <w:r>
              <w:rPr>
                <w:sz w:val="18"/>
                <w:szCs w:val="18"/>
              </w:rPr>
              <w:t>230.000,00</w:t>
            </w:r>
          </w:p>
        </w:tc>
      </w:tr>
      <w:tr w:rsidR="00694C46" w:rsidRPr="00954AA6" w14:paraId="56329EB5" w14:textId="77777777" w:rsidTr="007A7245">
        <w:trPr>
          <w:trHeight w:val="283"/>
          <w:jc w:val="center"/>
        </w:trPr>
        <w:tc>
          <w:tcPr>
            <w:tcW w:w="2631" w:type="pct"/>
            <w:tcBorders>
              <w:top w:val="nil"/>
              <w:left w:val="nil"/>
              <w:bottom w:val="nil"/>
              <w:right w:val="nil"/>
            </w:tcBorders>
            <w:shd w:val="clear" w:color="auto" w:fill="auto"/>
            <w:vAlign w:val="center"/>
            <w:hideMark/>
          </w:tcPr>
          <w:p w14:paraId="476F8F0C" w14:textId="77777777" w:rsidR="00694C46" w:rsidRPr="00954AA6" w:rsidRDefault="00694C46" w:rsidP="00694C46">
            <w:pPr>
              <w:keepNext/>
              <w:keepLines/>
              <w:widowControl w:val="0"/>
              <w:ind w:left="219"/>
              <w:jc w:val="both"/>
              <w:rPr>
                <w:rFonts w:eastAsia="Times New Roman"/>
                <w:sz w:val="18"/>
                <w:szCs w:val="18"/>
              </w:rPr>
            </w:pPr>
            <w:r w:rsidRPr="00954AA6">
              <w:rPr>
                <w:rFonts w:eastAsia="Times New Roman"/>
                <w:sz w:val="18"/>
                <w:szCs w:val="18"/>
              </w:rPr>
              <w:t>Subvenciones</w:t>
            </w:r>
          </w:p>
        </w:tc>
        <w:tc>
          <w:tcPr>
            <w:tcW w:w="1185" w:type="pct"/>
            <w:tcBorders>
              <w:top w:val="nil"/>
              <w:left w:val="nil"/>
              <w:bottom w:val="nil"/>
              <w:right w:val="nil"/>
            </w:tcBorders>
            <w:shd w:val="clear" w:color="auto" w:fill="auto"/>
            <w:vAlign w:val="center"/>
          </w:tcPr>
          <w:p w14:paraId="1DCF8BA4" w14:textId="5112639D" w:rsidR="00694C46" w:rsidRPr="00694C46" w:rsidRDefault="00694C46" w:rsidP="007A7245">
            <w:pPr>
              <w:keepNext/>
              <w:keepLines/>
              <w:widowControl w:val="0"/>
              <w:jc w:val="right"/>
              <w:rPr>
                <w:sz w:val="18"/>
                <w:szCs w:val="18"/>
              </w:rPr>
            </w:pPr>
            <w:r w:rsidRPr="00694C46">
              <w:rPr>
                <w:sz w:val="18"/>
                <w:szCs w:val="18"/>
              </w:rPr>
              <w:t>46.743.894,28</w:t>
            </w:r>
          </w:p>
        </w:tc>
        <w:tc>
          <w:tcPr>
            <w:tcW w:w="1184" w:type="pct"/>
            <w:tcBorders>
              <w:top w:val="nil"/>
              <w:left w:val="nil"/>
              <w:bottom w:val="nil"/>
              <w:right w:val="nil"/>
            </w:tcBorders>
            <w:shd w:val="clear" w:color="auto" w:fill="auto"/>
            <w:vAlign w:val="center"/>
          </w:tcPr>
          <w:p w14:paraId="3E2CC29C" w14:textId="60241D33" w:rsidR="00694C46" w:rsidRPr="00954AA6" w:rsidRDefault="00694C46" w:rsidP="00694C46">
            <w:pPr>
              <w:keepNext/>
              <w:keepLines/>
              <w:widowControl w:val="0"/>
              <w:jc w:val="right"/>
              <w:rPr>
                <w:sz w:val="18"/>
                <w:szCs w:val="18"/>
              </w:rPr>
            </w:pPr>
            <w:r>
              <w:rPr>
                <w:sz w:val="18"/>
                <w:szCs w:val="18"/>
              </w:rPr>
              <w:t>42.998.433,48</w:t>
            </w:r>
          </w:p>
        </w:tc>
      </w:tr>
      <w:tr w:rsidR="00694C46" w:rsidRPr="00954AA6" w14:paraId="776B5202" w14:textId="77777777" w:rsidTr="007A7245">
        <w:trPr>
          <w:trHeight w:val="283"/>
          <w:jc w:val="center"/>
        </w:trPr>
        <w:tc>
          <w:tcPr>
            <w:tcW w:w="2631" w:type="pct"/>
            <w:tcBorders>
              <w:top w:val="nil"/>
              <w:left w:val="nil"/>
              <w:bottom w:val="single" w:sz="4" w:space="0" w:color="auto"/>
              <w:right w:val="nil"/>
            </w:tcBorders>
            <w:shd w:val="clear" w:color="auto" w:fill="auto"/>
            <w:vAlign w:val="center"/>
            <w:hideMark/>
          </w:tcPr>
          <w:p w14:paraId="6EFF5CE5" w14:textId="77777777" w:rsidR="00694C46" w:rsidRPr="00954AA6" w:rsidRDefault="00694C46" w:rsidP="00694C46">
            <w:pPr>
              <w:keepNext/>
              <w:keepLines/>
              <w:widowControl w:val="0"/>
              <w:ind w:left="219"/>
              <w:jc w:val="both"/>
              <w:rPr>
                <w:rFonts w:eastAsia="Times New Roman"/>
                <w:sz w:val="18"/>
                <w:szCs w:val="18"/>
              </w:rPr>
            </w:pPr>
            <w:r w:rsidRPr="00954AA6">
              <w:rPr>
                <w:rFonts w:eastAsia="Times New Roman"/>
                <w:sz w:val="18"/>
                <w:szCs w:val="18"/>
              </w:rPr>
              <w:t>Aportaciones de socios</w:t>
            </w:r>
          </w:p>
        </w:tc>
        <w:tc>
          <w:tcPr>
            <w:tcW w:w="1185" w:type="pct"/>
            <w:tcBorders>
              <w:top w:val="nil"/>
              <w:left w:val="nil"/>
              <w:bottom w:val="single" w:sz="4" w:space="0" w:color="auto"/>
              <w:right w:val="nil"/>
            </w:tcBorders>
            <w:shd w:val="clear" w:color="auto" w:fill="auto"/>
            <w:vAlign w:val="center"/>
          </w:tcPr>
          <w:p w14:paraId="559BA08C" w14:textId="742C298E" w:rsidR="00694C46" w:rsidRPr="00694C46" w:rsidRDefault="00694C46" w:rsidP="007A7245">
            <w:pPr>
              <w:keepNext/>
              <w:keepLines/>
              <w:widowControl w:val="0"/>
              <w:jc w:val="right"/>
              <w:rPr>
                <w:sz w:val="18"/>
                <w:szCs w:val="18"/>
              </w:rPr>
            </w:pPr>
            <w:r w:rsidRPr="00694C46">
              <w:rPr>
                <w:sz w:val="18"/>
                <w:szCs w:val="18"/>
              </w:rPr>
              <w:t>3.577.139,00</w:t>
            </w:r>
          </w:p>
        </w:tc>
        <w:tc>
          <w:tcPr>
            <w:tcW w:w="1184" w:type="pct"/>
            <w:tcBorders>
              <w:top w:val="nil"/>
              <w:left w:val="nil"/>
              <w:bottom w:val="single" w:sz="4" w:space="0" w:color="auto"/>
              <w:right w:val="nil"/>
            </w:tcBorders>
            <w:shd w:val="clear" w:color="auto" w:fill="auto"/>
            <w:vAlign w:val="center"/>
          </w:tcPr>
          <w:p w14:paraId="4E6AEF4E" w14:textId="459FABD6" w:rsidR="00694C46" w:rsidRPr="00954AA6" w:rsidRDefault="00694C46" w:rsidP="00694C46">
            <w:pPr>
              <w:keepNext/>
              <w:keepLines/>
              <w:widowControl w:val="0"/>
              <w:jc w:val="right"/>
              <w:rPr>
                <w:sz w:val="18"/>
                <w:szCs w:val="18"/>
              </w:rPr>
            </w:pPr>
            <w:r>
              <w:rPr>
                <w:sz w:val="18"/>
                <w:szCs w:val="18"/>
              </w:rPr>
              <w:t>2.327.888,00</w:t>
            </w:r>
          </w:p>
        </w:tc>
      </w:tr>
      <w:tr w:rsidR="00694C46" w:rsidRPr="00954AA6" w14:paraId="58446B37" w14:textId="77777777" w:rsidTr="007A7245">
        <w:trPr>
          <w:trHeight w:val="283"/>
          <w:jc w:val="center"/>
        </w:trPr>
        <w:tc>
          <w:tcPr>
            <w:tcW w:w="2631" w:type="pct"/>
            <w:tcBorders>
              <w:top w:val="nil"/>
              <w:left w:val="nil"/>
              <w:bottom w:val="single" w:sz="4" w:space="0" w:color="auto"/>
              <w:right w:val="nil"/>
            </w:tcBorders>
            <w:shd w:val="clear" w:color="auto" w:fill="auto"/>
            <w:vAlign w:val="center"/>
            <w:hideMark/>
          </w:tcPr>
          <w:p w14:paraId="6B360C49" w14:textId="77777777" w:rsidR="00694C46" w:rsidRPr="00954AA6" w:rsidRDefault="00694C46" w:rsidP="00694C46">
            <w:pPr>
              <w:keepNext/>
              <w:keepLines/>
              <w:widowControl w:val="0"/>
              <w:ind w:left="219"/>
              <w:rPr>
                <w:rFonts w:eastAsia="Times New Roman"/>
                <w:b/>
                <w:bCs/>
                <w:sz w:val="18"/>
                <w:szCs w:val="18"/>
              </w:rPr>
            </w:pPr>
            <w:r w:rsidRPr="00954AA6">
              <w:rPr>
                <w:rFonts w:eastAsia="Times New Roman"/>
                <w:b/>
                <w:bCs/>
                <w:sz w:val="18"/>
                <w:szCs w:val="18"/>
              </w:rPr>
              <w:t>Total</w:t>
            </w:r>
          </w:p>
        </w:tc>
        <w:tc>
          <w:tcPr>
            <w:tcW w:w="1185" w:type="pct"/>
            <w:tcBorders>
              <w:top w:val="nil"/>
              <w:left w:val="nil"/>
              <w:bottom w:val="single" w:sz="4" w:space="0" w:color="auto"/>
              <w:right w:val="nil"/>
            </w:tcBorders>
            <w:shd w:val="clear" w:color="auto" w:fill="auto"/>
            <w:vAlign w:val="center"/>
          </w:tcPr>
          <w:p w14:paraId="13824C93" w14:textId="728210ED" w:rsidR="00694C46" w:rsidRPr="00694C46" w:rsidRDefault="00694C46" w:rsidP="007A7245">
            <w:pPr>
              <w:keepNext/>
              <w:keepLines/>
              <w:widowControl w:val="0"/>
              <w:jc w:val="right"/>
              <w:rPr>
                <w:b/>
                <w:bCs/>
                <w:sz w:val="18"/>
                <w:szCs w:val="18"/>
              </w:rPr>
            </w:pPr>
            <w:r w:rsidRPr="00694C46">
              <w:rPr>
                <w:b/>
                <w:bCs/>
                <w:sz w:val="18"/>
                <w:szCs w:val="18"/>
              </w:rPr>
              <w:t>50.599.684,02</w:t>
            </w:r>
          </w:p>
        </w:tc>
        <w:tc>
          <w:tcPr>
            <w:tcW w:w="1184" w:type="pct"/>
            <w:tcBorders>
              <w:top w:val="nil"/>
              <w:left w:val="nil"/>
              <w:bottom w:val="single" w:sz="4" w:space="0" w:color="auto"/>
              <w:right w:val="nil"/>
            </w:tcBorders>
            <w:shd w:val="clear" w:color="auto" w:fill="auto"/>
            <w:vAlign w:val="center"/>
          </w:tcPr>
          <w:p w14:paraId="08C06737" w14:textId="4706BB63" w:rsidR="00694C46" w:rsidRPr="00954AA6" w:rsidRDefault="00694C46" w:rsidP="00694C46">
            <w:pPr>
              <w:keepNext/>
              <w:keepLines/>
              <w:widowControl w:val="0"/>
              <w:jc w:val="right"/>
              <w:rPr>
                <w:b/>
                <w:bCs/>
                <w:sz w:val="18"/>
                <w:szCs w:val="18"/>
              </w:rPr>
            </w:pPr>
            <w:r>
              <w:rPr>
                <w:b/>
                <w:bCs/>
                <w:sz w:val="18"/>
                <w:szCs w:val="18"/>
              </w:rPr>
              <w:t>45.556.321,48</w:t>
            </w:r>
          </w:p>
        </w:tc>
      </w:tr>
    </w:tbl>
    <w:p w14:paraId="53D20CB3" w14:textId="77777777" w:rsidR="006220A2" w:rsidRPr="0083433F" w:rsidRDefault="006220A2">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40"/>
        <w:ind w:left="0" w:firstLine="0"/>
        <w:outlineLvl w:val="9"/>
        <w:rPr>
          <w:sz w:val="20"/>
          <w:szCs w:val="22"/>
          <w:u w:val="single"/>
        </w:rPr>
      </w:pPr>
      <w:r w:rsidRPr="0083433F">
        <w:rPr>
          <w:sz w:val="20"/>
          <w:szCs w:val="22"/>
          <w:u w:val="single"/>
        </w:rPr>
        <w:t>Otras transacciones con partes vinculadas</w:t>
      </w:r>
    </w:p>
    <w:p w14:paraId="3C3E0233" w14:textId="7D08F0B8" w:rsidR="006220A2" w:rsidRPr="00176BA0" w:rsidRDefault="006220A2" w:rsidP="00064105">
      <w:pPr>
        <w:widowControl w:val="0"/>
        <w:spacing w:before="120" w:after="120" w:line="260" w:lineRule="exact"/>
        <w:jc w:val="both"/>
        <w:outlineLvl w:val="9"/>
        <w:rPr>
          <w:snapToGrid w:val="0"/>
          <w:sz w:val="20"/>
          <w:szCs w:val="22"/>
        </w:rPr>
      </w:pPr>
      <w:r w:rsidRPr="00176BA0">
        <w:rPr>
          <w:snapToGrid w:val="0"/>
          <w:sz w:val="20"/>
          <w:szCs w:val="22"/>
        </w:rPr>
        <w:t>Otras transacciones con partes vinculadas en los ejercicios 20</w:t>
      </w:r>
      <w:r w:rsidR="009C7621" w:rsidRPr="00176BA0">
        <w:rPr>
          <w:snapToGrid w:val="0"/>
          <w:sz w:val="20"/>
          <w:szCs w:val="22"/>
        </w:rPr>
        <w:t>2</w:t>
      </w:r>
      <w:r w:rsidR="00694C46">
        <w:rPr>
          <w:snapToGrid w:val="0"/>
          <w:sz w:val="20"/>
          <w:szCs w:val="22"/>
        </w:rPr>
        <w:t>3</w:t>
      </w:r>
      <w:r w:rsidRPr="00176BA0">
        <w:rPr>
          <w:snapToGrid w:val="0"/>
          <w:sz w:val="20"/>
          <w:szCs w:val="22"/>
        </w:rPr>
        <w:t xml:space="preserve"> y 20</w:t>
      </w:r>
      <w:r w:rsidR="008B1A55" w:rsidRPr="00176BA0">
        <w:rPr>
          <w:snapToGrid w:val="0"/>
          <w:sz w:val="20"/>
          <w:szCs w:val="22"/>
        </w:rPr>
        <w:t>2</w:t>
      </w:r>
      <w:r w:rsidR="00694C46">
        <w:rPr>
          <w:snapToGrid w:val="0"/>
          <w:sz w:val="20"/>
          <w:szCs w:val="22"/>
        </w:rPr>
        <w:t>2</w:t>
      </w:r>
      <w:r w:rsidRPr="00176BA0">
        <w:rPr>
          <w:snapToGrid w:val="0"/>
          <w:sz w:val="20"/>
          <w:szCs w:val="22"/>
        </w:rPr>
        <w:t>:</w:t>
      </w:r>
    </w:p>
    <w:tbl>
      <w:tblPr>
        <w:tblW w:w="5000" w:type="pct"/>
        <w:jc w:val="center"/>
        <w:tblCellMar>
          <w:left w:w="70" w:type="dxa"/>
          <w:right w:w="70" w:type="dxa"/>
        </w:tblCellMar>
        <w:tblLook w:val="04A0" w:firstRow="1" w:lastRow="0" w:firstColumn="1" w:lastColumn="0" w:noHBand="0" w:noVBand="1"/>
      </w:tblPr>
      <w:tblGrid>
        <w:gridCol w:w="4095"/>
        <w:gridCol w:w="1171"/>
        <w:gridCol w:w="1173"/>
        <w:gridCol w:w="1171"/>
        <w:gridCol w:w="1171"/>
      </w:tblGrid>
      <w:tr w:rsidR="00E90EEA" w:rsidRPr="00954AA6" w14:paraId="0BC2F5E5" w14:textId="77777777" w:rsidTr="00694C46">
        <w:trPr>
          <w:trHeight w:val="227"/>
          <w:jc w:val="center"/>
        </w:trPr>
        <w:tc>
          <w:tcPr>
            <w:tcW w:w="2331" w:type="pct"/>
            <w:tcBorders>
              <w:top w:val="single" w:sz="4" w:space="0" w:color="auto"/>
              <w:left w:val="nil"/>
              <w:bottom w:val="nil"/>
              <w:right w:val="nil"/>
            </w:tcBorders>
            <w:shd w:val="clear" w:color="auto" w:fill="auto"/>
            <w:vAlign w:val="center"/>
            <w:hideMark/>
          </w:tcPr>
          <w:p w14:paraId="31E729D5" w14:textId="77777777" w:rsidR="00E90EEA" w:rsidRPr="00954AA6" w:rsidRDefault="00E90EEA"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color w:val="auto"/>
                <w:sz w:val="18"/>
                <w:szCs w:val="18"/>
                <w:bdr w:val="none" w:sz="0" w:space="0" w:color="auto"/>
                <w:lang w:eastAsia="es-ES"/>
              </w:rPr>
            </w:pPr>
          </w:p>
        </w:tc>
        <w:tc>
          <w:tcPr>
            <w:tcW w:w="2669" w:type="pct"/>
            <w:gridSpan w:val="4"/>
            <w:tcBorders>
              <w:top w:val="single" w:sz="4" w:space="0" w:color="auto"/>
              <w:left w:val="nil"/>
              <w:bottom w:val="single" w:sz="4" w:space="0" w:color="auto"/>
              <w:right w:val="nil"/>
            </w:tcBorders>
            <w:shd w:val="clear" w:color="auto" w:fill="auto"/>
            <w:vAlign w:val="bottom"/>
            <w:hideMark/>
          </w:tcPr>
          <w:p w14:paraId="0C3C98EA" w14:textId="77777777" w:rsidR="00E90EEA" w:rsidRPr="00954AA6" w:rsidRDefault="00E90EEA" w:rsidP="005A444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136A7F" w:rsidRPr="00954AA6" w14:paraId="54504B76" w14:textId="77777777" w:rsidTr="00694C46">
        <w:trPr>
          <w:trHeight w:val="227"/>
          <w:jc w:val="center"/>
        </w:trPr>
        <w:tc>
          <w:tcPr>
            <w:tcW w:w="2331" w:type="pct"/>
            <w:tcBorders>
              <w:top w:val="nil"/>
              <w:left w:val="nil"/>
              <w:bottom w:val="nil"/>
              <w:right w:val="nil"/>
            </w:tcBorders>
            <w:shd w:val="clear" w:color="auto" w:fill="auto"/>
            <w:vAlign w:val="center"/>
            <w:hideMark/>
          </w:tcPr>
          <w:p w14:paraId="515FFE19" w14:textId="77777777" w:rsidR="00136A7F" w:rsidRPr="00954AA6" w:rsidRDefault="00136A7F"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b/>
                <w:bCs/>
                <w:sz w:val="18"/>
                <w:szCs w:val="18"/>
                <w:bdr w:val="none" w:sz="0" w:space="0" w:color="auto"/>
                <w:lang w:eastAsia="es-ES"/>
              </w:rPr>
            </w:pPr>
          </w:p>
        </w:tc>
        <w:tc>
          <w:tcPr>
            <w:tcW w:w="1335" w:type="pct"/>
            <w:gridSpan w:val="2"/>
            <w:tcBorders>
              <w:top w:val="single" w:sz="4" w:space="0" w:color="auto"/>
              <w:left w:val="nil"/>
              <w:bottom w:val="single" w:sz="4" w:space="0" w:color="auto"/>
              <w:right w:val="nil"/>
            </w:tcBorders>
            <w:shd w:val="clear" w:color="auto" w:fill="auto"/>
            <w:vAlign w:val="bottom"/>
            <w:hideMark/>
          </w:tcPr>
          <w:p w14:paraId="6AA3EFDA" w14:textId="5456AF28" w:rsidR="00136A7F" w:rsidRPr="00954AA6" w:rsidRDefault="00663F02" w:rsidP="005A444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202</w:t>
            </w:r>
            <w:r w:rsidR="00694C46">
              <w:rPr>
                <w:rFonts w:eastAsia="Times New Roman"/>
                <w:b/>
                <w:bCs/>
                <w:sz w:val="18"/>
                <w:szCs w:val="18"/>
                <w:bdr w:val="none" w:sz="0" w:space="0" w:color="auto"/>
                <w:lang w:eastAsia="es-ES"/>
              </w:rPr>
              <w:t>3</w:t>
            </w:r>
          </w:p>
        </w:tc>
        <w:tc>
          <w:tcPr>
            <w:tcW w:w="1335" w:type="pct"/>
            <w:gridSpan w:val="2"/>
            <w:tcBorders>
              <w:top w:val="single" w:sz="4" w:space="0" w:color="auto"/>
              <w:left w:val="nil"/>
              <w:bottom w:val="single" w:sz="4" w:space="0" w:color="auto"/>
              <w:right w:val="nil"/>
            </w:tcBorders>
            <w:shd w:val="clear" w:color="auto" w:fill="auto"/>
            <w:vAlign w:val="bottom"/>
            <w:hideMark/>
          </w:tcPr>
          <w:p w14:paraId="2E35782E" w14:textId="06963E0E" w:rsidR="00136A7F" w:rsidRPr="00954AA6" w:rsidRDefault="00663F02" w:rsidP="005A444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20</w:t>
            </w:r>
            <w:r w:rsidR="008B1A55" w:rsidRPr="00954AA6">
              <w:rPr>
                <w:rFonts w:eastAsia="Times New Roman"/>
                <w:b/>
                <w:bCs/>
                <w:sz w:val="18"/>
                <w:szCs w:val="18"/>
                <w:bdr w:val="none" w:sz="0" w:space="0" w:color="auto"/>
                <w:lang w:eastAsia="es-ES"/>
              </w:rPr>
              <w:t>2</w:t>
            </w:r>
            <w:r w:rsidR="00694C46">
              <w:rPr>
                <w:rFonts w:eastAsia="Times New Roman"/>
                <w:b/>
                <w:bCs/>
                <w:sz w:val="18"/>
                <w:szCs w:val="18"/>
                <w:bdr w:val="none" w:sz="0" w:space="0" w:color="auto"/>
                <w:lang w:eastAsia="es-ES"/>
              </w:rPr>
              <w:t>2</w:t>
            </w:r>
          </w:p>
        </w:tc>
      </w:tr>
      <w:tr w:rsidR="005A444E" w:rsidRPr="00954AA6" w14:paraId="593FF527" w14:textId="77777777" w:rsidTr="00694C46">
        <w:trPr>
          <w:trHeight w:val="227"/>
          <w:jc w:val="center"/>
        </w:trPr>
        <w:tc>
          <w:tcPr>
            <w:tcW w:w="2331" w:type="pct"/>
            <w:tcBorders>
              <w:top w:val="nil"/>
              <w:left w:val="nil"/>
              <w:bottom w:val="single" w:sz="4" w:space="0" w:color="auto"/>
              <w:right w:val="nil"/>
            </w:tcBorders>
            <w:shd w:val="clear" w:color="auto" w:fill="auto"/>
            <w:vAlign w:val="center"/>
            <w:hideMark/>
          </w:tcPr>
          <w:p w14:paraId="276BC409" w14:textId="77777777" w:rsidR="00136A7F" w:rsidRPr="00954AA6" w:rsidRDefault="00136A7F" w:rsidP="00954AA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 </w:t>
            </w:r>
          </w:p>
        </w:tc>
        <w:tc>
          <w:tcPr>
            <w:tcW w:w="667" w:type="pct"/>
            <w:tcBorders>
              <w:top w:val="nil"/>
              <w:left w:val="nil"/>
              <w:bottom w:val="single" w:sz="4" w:space="0" w:color="auto"/>
              <w:right w:val="nil"/>
            </w:tcBorders>
            <w:shd w:val="clear" w:color="auto" w:fill="auto"/>
            <w:vAlign w:val="bottom"/>
            <w:hideMark/>
          </w:tcPr>
          <w:p w14:paraId="6C4C62C3" w14:textId="77777777" w:rsidR="00136A7F" w:rsidRPr="00954AA6" w:rsidRDefault="00136A7F" w:rsidP="005A444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roofErr w:type="spellStart"/>
            <w:r w:rsidRPr="00954AA6">
              <w:rPr>
                <w:rFonts w:eastAsia="Times New Roman"/>
                <w:b/>
                <w:bCs/>
                <w:sz w:val="18"/>
                <w:szCs w:val="18"/>
                <w:bdr w:val="none" w:sz="0" w:space="0" w:color="auto"/>
                <w:lang w:eastAsia="es-ES"/>
              </w:rPr>
              <w:t>Aprov</w:t>
            </w:r>
            <w:proofErr w:type="spellEnd"/>
            <w:r w:rsidRPr="00954AA6">
              <w:rPr>
                <w:rFonts w:eastAsia="Times New Roman"/>
                <w:b/>
                <w:bCs/>
                <w:sz w:val="18"/>
                <w:szCs w:val="18"/>
                <w:bdr w:val="none" w:sz="0" w:space="0" w:color="auto"/>
                <w:lang w:eastAsia="es-ES"/>
              </w:rPr>
              <w:t>.</w:t>
            </w:r>
          </w:p>
        </w:tc>
        <w:tc>
          <w:tcPr>
            <w:tcW w:w="668" w:type="pct"/>
            <w:tcBorders>
              <w:top w:val="nil"/>
              <w:left w:val="nil"/>
              <w:bottom w:val="single" w:sz="4" w:space="0" w:color="auto"/>
              <w:right w:val="nil"/>
            </w:tcBorders>
            <w:shd w:val="clear" w:color="auto" w:fill="auto"/>
            <w:vAlign w:val="bottom"/>
            <w:hideMark/>
          </w:tcPr>
          <w:p w14:paraId="4975B658" w14:textId="77777777" w:rsidR="00136A7F" w:rsidRPr="00954AA6" w:rsidRDefault="00136A7F" w:rsidP="005A444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Otros Ingresos</w:t>
            </w:r>
          </w:p>
        </w:tc>
        <w:tc>
          <w:tcPr>
            <w:tcW w:w="667" w:type="pct"/>
            <w:tcBorders>
              <w:top w:val="nil"/>
              <w:left w:val="nil"/>
              <w:bottom w:val="single" w:sz="4" w:space="0" w:color="auto"/>
              <w:right w:val="nil"/>
            </w:tcBorders>
            <w:shd w:val="clear" w:color="auto" w:fill="auto"/>
            <w:vAlign w:val="bottom"/>
            <w:hideMark/>
          </w:tcPr>
          <w:p w14:paraId="43E13033" w14:textId="77777777" w:rsidR="00136A7F" w:rsidRPr="00954AA6" w:rsidRDefault="00136A7F" w:rsidP="005A444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proofErr w:type="spellStart"/>
            <w:r w:rsidRPr="00954AA6">
              <w:rPr>
                <w:rFonts w:eastAsia="Times New Roman"/>
                <w:b/>
                <w:bCs/>
                <w:sz w:val="18"/>
                <w:szCs w:val="18"/>
                <w:bdr w:val="none" w:sz="0" w:space="0" w:color="auto"/>
                <w:lang w:eastAsia="es-ES"/>
              </w:rPr>
              <w:t>Aprov</w:t>
            </w:r>
            <w:proofErr w:type="spellEnd"/>
            <w:r w:rsidRPr="00954AA6">
              <w:rPr>
                <w:rFonts w:eastAsia="Times New Roman"/>
                <w:b/>
                <w:bCs/>
                <w:sz w:val="18"/>
                <w:szCs w:val="18"/>
                <w:bdr w:val="none" w:sz="0" w:space="0" w:color="auto"/>
                <w:lang w:eastAsia="es-ES"/>
              </w:rPr>
              <w:t>.</w:t>
            </w:r>
          </w:p>
        </w:tc>
        <w:tc>
          <w:tcPr>
            <w:tcW w:w="668" w:type="pct"/>
            <w:tcBorders>
              <w:top w:val="nil"/>
              <w:left w:val="nil"/>
              <w:bottom w:val="single" w:sz="4" w:space="0" w:color="auto"/>
              <w:right w:val="nil"/>
            </w:tcBorders>
            <w:shd w:val="clear" w:color="auto" w:fill="auto"/>
            <w:vAlign w:val="bottom"/>
            <w:hideMark/>
          </w:tcPr>
          <w:p w14:paraId="3102F363" w14:textId="77777777" w:rsidR="00136A7F" w:rsidRPr="00954AA6" w:rsidRDefault="00136A7F" w:rsidP="005A444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Otros Ingresos</w:t>
            </w:r>
          </w:p>
        </w:tc>
      </w:tr>
      <w:tr w:rsidR="00694C46" w:rsidRPr="00954AA6" w14:paraId="28D6FEF7" w14:textId="77777777" w:rsidTr="00F62F4D">
        <w:trPr>
          <w:trHeight w:val="283"/>
          <w:jc w:val="center"/>
        </w:trPr>
        <w:tc>
          <w:tcPr>
            <w:tcW w:w="2331" w:type="pct"/>
            <w:tcBorders>
              <w:top w:val="nil"/>
              <w:left w:val="nil"/>
              <w:bottom w:val="nil"/>
              <w:right w:val="nil"/>
            </w:tcBorders>
            <w:shd w:val="clear" w:color="auto" w:fill="auto"/>
            <w:vAlign w:val="center"/>
            <w:hideMark/>
          </w:tcPr>
          <w:p w14:paraId="05ACD15B" w14:textId="77777777" w:rsidR="00694C46" w:rsidRPr="00954AA6" w:rsidRDefault="00694C46" w:rsidP="00694C4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Hotel Escuela de Canarias, S.A.</w:t>
            </w:r>
          </w:p>
        </w:tc>
        <w:tc>
          <w:tcPr>
            <w:tcW w:w="667" w:type="pct"/>
            <w:tcBorders>
              <w:top w:val="nil"/>
              <w:left w:val="nil"/>
              <w:bottom w:val="nil"/>
              <w:right w:val="nil"/>
            </w:tcBorders>
            <w:shd w:val="clear" w:color="auto" w:fill="auto"/>
            <w:vAlign w:val="center"/>
          </w:tcPr>
          <w:p w14:paraId="51E85105" w14:textId="46A68EBB" w:rsidR="00694C46" w:rsidRPr="007A7245" w:rsidRDefault="00694C46" w:rsidP="00F62F4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A7245">
              <w:rPr>
                <w:rFonts w:eastAsia="Times New Roman"/>
                <w:sz w:val="18"/>
                <w:szCs w:val="18"/>
                <w:bdr w:val="none" w:sz="0" w:space="0" w:color="auto"/>
                <w:lang w:eastAsia="es-ES"/>
              </w:rPr>
              <w:t>45.741,08</w:t>
            </w:r>
          </w:p>
        </w:tc>
        <w:tc>
          <w:tcPr>
            <w:tcW w:w="668" w:type="pct"/>
            <w:tcBorders>
              <w:top w:val="nil"/>
              <w:left w:val="nil"/>
              <w:bottom w:val="nil"/>
              <w:right w:val="nil"/>
            </w:tcBorders>
            <w:shd w:val="clear" w:color="auto" w:fill="auto"/>
            <w:vAlign w:val="center"/>
          </w:tcPr>
          <w:p w14:paraId="58791929" w14:textId="6D51711B" w:rsidR="00694C46" w:rsidRPr="007A7245" w:rsidRDefault="00694C46" w:rsidP="00F62F4D">
            <w:pPr>
              <w:jc w:val="right"/>
              <w:rPr>
                <w:sz w:val="18"/>
                <w:szCs w:val="18"/>
              </w:rPr>
            </w:pPr>
            <w:r w:rsidRPr="007A7245">
              <w:rPr>
                <w:sz w:val="18"/>
                <w:szCs w:val="18"/>
              </w:rPr>
              <w:t>-</w:t>
            </w:r>
          </w:p>
        </w:tc>
        <w:tc>
          <w:tcPr>
            <w:tcW w:w="667" w:type="pct"/>
            <w:tcBorders>
              <w:top w:val="nil"/>
              <w:left w:val="nil"/>
              <w:bottom w:val="nil"/>
              <w:right w:val="nil"/>
            </w:tcBorders>
            <w:shd w:val="clear" w:color="auto" w:fill="auto"/>
            <w:vAlign w:val="center"/>
            <w:hideMark/>
          </w:tcPr>
          <w:p w14:paraId="38C72CC3" w14:textId="2B73ED77" w:rsidR="00694C46" w:rsidRPr="007A7245" w:rsidRDefault="00694C46" w:rsidP="00F62F4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A7245">
              <w:rPr>
                <w:sz w:val="18"/>
                <w:szCs w:val="18"/>
              </w:rPr>
              <w:t>54.653,93</w:t>
            </w:r>
          </w:p>
        </w:tc>
        <w:tc>
          <w:tcPr>
            <w:tcW w:w="668" w:type="pct"/>
            <w:tcBorders>
              <w:top w:val="nil"/>
              <w:left w:val="nil"/>
              <w:bottom w:val="nil"/>
              <w:right w:val="nil"/>
            </w:tcBorders>
            <w:shd w:val="clear" w:color="auto" w:fill="auto"/>
            <w:vAlign w:val="center"/>
            <w:hideMark/>
          </w:tcPr>
          <w:p w14:paraId="4C0CF9C6" w14:textId="058CE17F" w:rsidR="00694C46" w:rsidRPr="007A7245" w:rsidRDefault="00694C46" w:rsidP="00F62F4D">
            <w:pPr>
              <w:jc w:val="right"/>
              <w:rPr>
                <w:sz w:val="18"/>
                <w:szCs w:val="18"/>
              </w:rPr>
            </w:pPr>
            <w:r w:rsidRPr="007A7245">
              <w:rPr>
                <w:sz w:val="18"/>
                <w:szCs w:val="18"/>
              </w:rPr>
              <w:t>-</w:t>
            </w:r>
          </w:p>
        </w:tc>
      </w:tr>
      <w:tr w:rsidR="00694C46" w:rsidRPr="00954AA6" w14:paraId="05749E23" w14:textId="77777777" w:rsidTr="00F62F4D">
        <w:trPr>
          <w:trHeight w:val="283"/>
          <w:jc w:val="center"/>
        </w:trPr>
        <w:tc>
          <w:tcPr>
            <w:tcW w:w="2331" w:type="pct"/>
            <w:tcBorders>
              <w:top w:val="nil"/>
              <w:left w:val="nil"/>
              <w:bottom w:val="single" w:sz="4" w:space="0" w:color="auto"/>
              <w:right w:val="nil"/>
            </w:tcBorders>
            <w:shd w:val="clear" w:color="auto" w:fill="auto"/>
            <w:vAlign w:val="center"/>
            <w:hideMark/>
          </w:tcPr>
          <w:p w14:paraId="5B0021FF" w14:textId="23BA3D25" w:rsidR="00694C46" w:rsidRPr="00954AA6" w:rsidRDefault="00694C46" w:rsidP="00694C4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Pr>
                <w:rFonts w:eastAsia="Times New Roman"/>
                <w:sz w:val="18"/>
                <w:szCs w:val="18"/>
                <w:bdr w:val="none" w:sz="0" w:space="0" w:color="auto"/>
                <w:lang w:eastAsia="es-ES"/>
              </w:rPr>
              <w:t>Instituto Canario de Desarrollo Cultural, S.A.</w:t>
            </w:r>
          </w:p>
        </w:tc>
        <w:tc>
          <w:tcPr>
            <w:tcW w:w="667" w:type="pct"/>
            <w:tcBorders>
              <w:top w:val="nil"/>
              <w:left w:val="nil"/>
              <w:bottom w:val="nil"/>
              <w:right w:val="nil"/>
            </w:tcBorders>
            <w:shd w:val="clear" w:color="auto" w:fill="auto"/>
            <w:vAlign w:val="center"/>
          </w:tcPr>
          <w:p w14:paraId="2F250C6E" w14:textId="7EBE7F36" w:rsidR="00694C46" w:rsidRPr="007A7245" w:rsidRDefault="00694C46" w:rsidP="00F62F4D">
            <w:pPr>
              <w:jc w:val="right"/>
              <w:rPr>
                <w:sz w:val="18"/>
                <w:szCs w:val="18"/>
              </w:rPr>
            </w:pPr>
            <w:r w:rsidRPr="007A7245">
              <w:rPr>
                <w:sz w:val="18"/>
                <w:szCs w:val="18"/>
              </w:rPr>
              <w:t>-</w:t>
            </w:r>
          </w:p>
        </w:tc>
        <w:tc>
          <w:tcPr>
            <w:tcW w:w="668" w:type="pct"/>
            <w:tcBorders>
              <w:top w:val="nil"/>
              <w:left w:val="nil"/>
              <w:bottom w:val="nil"/>
              <w:right w:val="nil"/>
            </w:tcBorders>
            <w:shd w:val="clear" w:color="auto" w:fill="auto"/>
            <w:vAlign w:val="center"/>
          </w:tcPr>
          <w:p w14:paraId="3B5A94CE" w14:textId="7FAF63CA" w:rsidR="00694C46" w:rsidRPr="007A7245" w:rsidRDefault="00694C46" w:rsidP="00F62F4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A7245">
              <w:rPr>
                <w:sz w:val="18"/>
                <w:szCs w:val="18"/>
              </w:rPr>
              <w:t>3.086,21</w:t>
            </w:r>
          </w:p>
        </w:tc>
        <w:tc>
          <w:tcPr>
            <w:tcW w:w="667" w:type="pct"/>
            <w:tcBorders>
              <w:top w:val="nil"/>
              <w:left w:val="nil"/>
              <w:bottom w:val="single" w:sz="4" w:space="0" w:color="auto"/>
              <w:right w:val="nil"/>
            </w:tcBorders>
            <w:shd w:val="clear" w:color="auto" w:fill="auto"/>
            <w:vAlign w:val="center"/>
            <w:hideMark/>
          </w:tcPr>
          <w:p w14:paraId="1D0B6932" w14:textId="69912069" w:rsidR="00694C46" w:rsidRPr="007A7245" w:rsidRDefault="00694C46" w:rsidP="00F62F4D">
            <w:pPr>
              <w:jc w:val="right"/>
              <w:rPr>
                <w:sz w:val="18"/>
                <w:szCs w:val="18"/>
              </w:rPr>
            </w:pPr>
            <w:r w:rsidRPr="007A7245">
              <w:rPr>
                <w:sz w:val="18"/>
                <w:szCs w:val="18"/>
              </w:rPr>
              <w:t>-</w:t>
            </w:r>
          </w:p>
        </w:tc>
        <w:tc>
          <w:tcPr>
            <w:tcW w:w="668" w:type="pct"/>
            <w:tcBorders>
              <w:top w:val="nil"/>
              <w:left w:val="nil"/>
              <w:bottom w:val="single" w:sz="4" w:space="0" w:color="auto"/>
              <w:right w:val="nil"/>
            </w:tcBorders>
            <w:shd w:val="clear" w:color="auto" w:fill="auto"/>
            <w:vAlign w:val="center"/>
            <w:hideMark/>
          </w:tcPr>
          <w:p w14:paraId="59CF6C25" w14:textId="1CDFB838" w:rsidR="00694C46" w:rsidRPr="007A7245" w:rsidRDefault="00694C46" w:rsidP="00F62F4D">
            <w:pPr>
              <w:jc w:val="right"/>
              <w:rPr>
                <w:sz w:val="18"/>
                <w:szCs w:val="18"/>
              </w:rPr>
            </w:pPr>
            <w:r w:rsidRPr="007A7245">
              <w:rPr>
                <w:rFonts w:eastAsia="Times New Roman"/>
                <w:sz w:val="18"/>
                <w:szCs w:val="18"/>
                <w:bdr w:val="none" w:sz="0" w:space="0" w:color="auto"/>
                <w:lang w:eastAsia="es-ES"/>
              </w:rPr>
              <w:t>-</w:t>
            </w:r>
          </w:p>
        </w:tc>
      </w:tr>
      <w:tr w:rsidR="00694C46" w:rsidRPr="00954AA6" w14:paraId="7041C1C9" w14:textId="77777777" w:rsidTr="00F62F4D">
        <w:trPr>
          <w:trHeight w:val="283"/>
          <w:jc w:val="center"/>
        </w:trPr>
        <w:tc>
          <w:tcPr>
            <w:tcW w:w="2331" w:type="pct"/>
            <w:tcBorders>
              <w:top w:val="nil"/>
              <w:left w:val="nil"/>
              <w:bottom w:val="single" w:sz="4" w:space="0" w:color="auto"/>
              <w:right w:val="nil"/>
            </w:tcBorders>
            <w:shd w:val="clear" w:color="auto" w:fill="auto"/>
            <w:noWrap/>
            <w:vAlign w:val="center"/>
            <w:hideMark/>
          </w:tcPr>
          <w:p w14:paraId="65E35E42" w14:textId="77777777" w:rsidR="00694C46" w:rsidRPr="00954AA6" w:rsidRDefault="00694C46" w:rsidP="00694C4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left="219"/>
              <w:outlineLvl w:val="9"/>
              <w:rPr>
                <w:rFonts w:eastAsia="Times New Roman"/>
                <w:sz w:val="18"/>
                <w:szCs w:val="18"/>
                <w:bdr w:val="none" w:sz="0" w:space="0" w:color="auto"/>
                <w:lang w:eastAsia="es-ES"/>
              </w:rPr>
            </w:pPr>
            <w:r w:rsidRPr="00954AA6">
              <w:rPr>
                <w:rFonts w:eastAsia="Times New Roman"/>
                <w:b/>
                <w:bCs/>
                <w:sz w:val="18"/>
                <w:szCs w:val="18"/>
                <w:bdr w:val="none" w:sz="0" w:space="0" w:color="auto"/>
                <w:lang w:eastAsia="es-ES"/>
              </w:rPr>
              <w:t>Total</w:t>
            </w:r>
          </w:p>
        </w:tc>
        <w:tc>
          <w:tcPr>
            <w:tcW w:w="667" w:type="pct"/>
            <w:tcBorders>
              <w:top w:val="single" w:sz="4" w:space="0" w:color="auto"/>
              <w:left w:val="nil"/>
              <w:bottom w:val="single" w:sz="4" w:space="0" w:color="auto"/>
              <w:right w:val="nil"/>
            </w:tcBorders>
            <w:shd w:val="clear" w:color="auto" w:fill="auto"/>
            <w:vAlign w:val="center"/>
          </w:tcPr>
          <w:p w14:paraId="5EA3F6FF" w14:textId="0EE28356" w:rsidR="00694C46" w:rsidRPr="007A7245" w:rsidRDefault="00694C46" w:rsidP="00F62F4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sz w:val="18"/>
                <w:szCs w:val="18"/>
                <w:bdr w:val="none" w:sz="0" w:space="0" w:color="auto"/>
                <w:lang w:eastAsia="es-ES"/>
              </w:rPr>
            </w:pPr>
            <w:r w:rsidRPr="007A7245">
              <w:rPr>
                <w:rFonts w:eastAsia="Times New Roman"/>
                <w:b/>
                <w:bCs/>
                <w:sz w:val="18"/>
                <w:szCs w:val="18"/>
                <w:bdr w:val="none" w:sz="0" w:space="0" w:color="auto"/>
                <w:lang w:eastAsia="es-ES"/>
              </w:rPr>
              <w:t>45.741,08</w:t>
            </w:r>
          </w:p>
        </w:tc>
        <w:tc>
          <w:tcPr>
            <w:tcW w:w="668" w:type="pct"/>
            <w:tcBorders>
              <w:top w:val="single" w:sz="4" w:space="0" w:color="auto"/>
              <w:left w:val="nil"/>
              <w:bottom w:val="single" w:sz="4" w:space="0" w:color="auto"/>
              <w:right w:val="nil"/>
            </w:tcBorders>
            <w:shd w:val="clear" w:color="auto" w:fill="auto"/>
            <w:vAlign w:val="center"/>
          </w:tcPr>
          <w:p w14:paraId="5347797D" w14:textId="65D26A51" w:rsidR="00694C46" w:rsidRPr="007A7245" w:rsidRDefault="00694C46" w:rsidP="00F62F4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sz w:val="18"/>
                <w:szCs w:val="18"/>
                <w:bdr w:val="none" w:sz="0" w:space="0" w:color="auto"/>
                <w:lang w:eastAsia="es-ES"/>
              </w:rPr>
            </w:pPr>
            <w:r w:rsidRPr="007A7245">
              <w:rPr>
                <w:rFonts w:eastAsia="Times New Roman"/>
                <w:b/>
                <w:sz w:val="18"/>
                <w:szCs w:val="18"/>
                <w:bdr w:val="none" w:sz="0" w:space="0" w:color="auto"/>
                <w:lang w:eastAsia="es-ES"/>
              </w:rPr>
              <w:t>3.086,21</w:t>
            </w:r>
          </w:p>
        </w:tc>
        <w:tc>
          <w:tcPr>
            <w:tcW w:w="667" w:type="pct"/>
            <w:tcBorders>
              <w:top w:val="nil"/>
              <w:left w:val="nil"/>
              <w:bottom w:val="single" w:sz="4" w:space="0" w:color="auto"/>
              <w:right w:val="nil"/>
            </w:tcBorders>
            <w:shd w:val="clear" w:color="auto" w:fill="auto"/>
            <w:vAlign w:val="center"/>
            <w:hideMark/>
          </w:tcPr>
          <w:p w14:paraId="780C9CFA" w14:textId="3226984E" w:rsidR="00694C46" w:rsidRPr="007A7245" w:rsidRDefault="00694C46" w:rsidP="00F62F4D">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sidRPr="007A7245">
              <w:rPr>
                <w:b/>
                <w:bCs/>
                <w:sz w:val="18"/>
                <w:szCs w:val="18"/>
              </w:rPr>
              <w:t>54.653,93</w:t>
            </w:r>
          </w:p>
        </w:tc>
        <w:tc>
          <w:tcPr>
            <w:tcW w:w="668" w:type="pct"/>
            <w:tcBorders>
              <w:top w:val="nil"/>
              <w:left w:val="nil"/>
              <w:bottom w:val="single" w:sz="4" w:space="0" w:color="auto"/>
              <w:right w:val="nil"/>
            </w:tcBorders>
            <w:shd w:val="clear" w:color="auto" w:fill="auto"/>
            <w:vAlign w:val="center"/>
            <w:hideMark/>
          </w:tcPr>
          <w:p w14:paraId="16EF2A98" w14:textId="5EB14200" w:rsidR="00694C46" w:rsidRPr="007A7245" w:rsidRDefault="00694C46" w:rsidP="00F62F4D">
            <w:pPr>
              <w:jc w:val="right"/>
              <w:rPr>
                <w:sz w:val="18"/>
                <w:szCs w:val="18"/>
              </w:rPr>
            </w:pPr>
            <w:r w:rsidRPr="007A7245">
              <w:rPr>
                <w:rFonts w:eastAsia="Times New Roman"/>
                <w:b/>
                <w:sz w:val="18"/>
                <w:szCs w:val="18"/>
                <w:bdr w:val="none" w:sz="0" w:space="0" w:color="auto"/>
                <w:lang w:eastAsia="es-ES"/>
              </w:rPr>
              <w:t>-</w:t>
            </w:r>
          </w:p>
        </w:tc>
      </w:tr>
    </w:tbl>
    <w:p w14:paraId="25B4418B" w14:textId="77777777" w:rsidR="006220A2" w:rsidRPr="00F63441" w:rsidRDefault="006220A2">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84"/>
        </w:tabs>
        <w:spacing w:before="240"/>
        <w:ind w:left="0" w:firstLine="0"/>
        <w:outlineLvl w:val="9"/>
        <w:rPr>
          <w:sz w:val="20"/>
          <w:szCs w:val="22"/>
          <w:u w:val="single"/>
        </w:rPr>
      </w:pPr>
      <w:r w:rsidRPr="00F63441">
        <w:rPr>
          <w:sz w:val="20"/>
          <w:szCs w:val="22"/>
          <w:u w:val="single"/>
        </w:rPr>
        <w:t>Contratos firmados con su Accionista Único</w:t>
      </w:r>
    </w:p>
    <w:p w14:paraId="0F433F5A" w14:textId="3A1C878E" w:rsidR="006220A2" w:rsidRPr="00176BA0" w:rsidRDefault="006220A2" w:rsidP="00064105">
      <w:pPr>
        <w:widowControl w:val="0"/>
        <w:spacing w:before="120" w:after="120" w:line="260" w:lineRule="exact"/>
        <w:jc w:val="both"/>
        <w:outlineLvl w:val="9"/>
        <w:rPr>
          <w:snapToGrid w:val="0"/>
          <w:sz w:val="20"/>
          <w:szCs w:val="22"/>
        </w:rPr>
      </w:pPr>
      <w:r w:rsidRPr="00176BA0">
        <w:rPr>
          <w:snapToGrid w:val="0"/>
          <w:sz w:val="20"/>
          <w:szCs w:val="22"/>
        </w:rPr>
        <w:t>La Sociedad tiene las siguientes encomiendas firmadas afectas al ejercicio 20</w:t>
      </w:r>
      <w:r w:rsidR="009C7621" w:rsidRPr="00176BA0">
        <w:rPr>
          <w:snapToGrid w:val="0"/>
          <w:sz w:val="20"/>
          <w:szCs w:val="22"/>
        </w:rPr>
        <w:t>2</w:t>
      </w:r>
      <w:r w:rsidR="00694C46">
        <w:rPr>
          <w:snapToGrid w:val="0"/>
          <w:sz w:val="20"/>
          <w:szCs w:val="22"/>
        </w:rPr>
        <w:t>3</w:t>
      </w:r>
      <w:r w:rsidRPr="00176BA0">
        <w:rPr>
          <w:snapToGrid w:val="0"/>
          <w:sz w:val="20"/>
          <w:szCs w:val="22"/>
        </w:rPr>
        <w:t xml:space="preserve"> con la Consejería de Turismo</w:t>
      </w:r>
      <w:r w:rsidR="00E13A2F">
        <w:rPr>
          <w:snapToGrid w:val="0"/>
          <w:sz w:val="20"/>
          <w:szCs w:val="22"/>
        </w:rPr>
        <w:t xml:space="preserve"> y Empleo</w:t>
      </w:r>
      <w:r w:rsidRPr="00176BA0">
        <w:rPr>
          <w:snapToGrid w:val="0"/>
          <w:sz w:val="20"/>
          <w:szCs w:val="22"/>
        </w:rPr>
        <w:t xml:space="preserve">: </w:t>
      </w:r>
    </w:p>
    <w:tbl>
      <w:tblPr>
        <w:tblW w:w="5000" w:type="pct"/>
        <w:jc w:val="center"/>
        <w:tblCellMar>
          <w:left w:w="70" w:type="dxa"/>
          <w:right w:w="70" w:type="dxa"/>
        </w:tblCellMar>
        <w:tblLook w:val="01E0" w:firstRow="1" w:lastRow="1" w:firstColumn="1" w:lastColumn="1" w:noHBand="0" w:noVBand="0"/>
      </w:tblPr>
      <w:tblGrid>
        <w:gridCol w:w="5953"/>
        <w:gridCol w:w="1560"/>
        <w:gridCol w:w="1268"/>
      </w:tblGrid>
      <w:tr w:rsidR="006220A2" w:rsidRPr="00840DE8" w14:paraId="2ACDCEDF" w14:textId="77777777" w:rsidTr="00841182">
        <w:trPr>
          <w:trHeight w:val="283"/>
          <w:jc w:val="center"/>
        </w:trPr>
        <w:tc>
          <w:tcPr>
            <w:tcW w:w="3390" w:type="pct"/>
            <w:tcBorders>
              <w:top w:val="single" w:sz="4" w:space="0" w:color="auto"/>
              <w:left w:val="nil"/>
              <w:bottom w:val="single" w:sz="4" w:space="0" w:color="auto"/>
              <w:right w:val="nil"/>
            </w:tcBorders>
            <w:shd w:val="clear" w:color="auto" w:fill="auto"/>
            <w:vAlign w:val="bottom"/>
            <w:hideMark/>
          </w:tcPr>
          <w:p w14:paraId="21E2089C" w14:textId="77777777" w:rsidR="006220A2" w:rsidRPr="00840DE8" w:rsidRDefault="006220A2" w:rsidP="00954AA6">
            <w:pPr>
              <w:keepNext/>
              <w:keepLines/>
              <w:widowControl w:val="0"/>
              <w:ind w:left="219"/>
              <w:jc w:val="center"/>
              <w:rPr>
                <w:rFonts w:eastAsia="Times New Roman"/>
                <w:sz w:val="16"/>
                <w:szCs w:val="16"/>
              </w:rPr>
            </w:pPr>
          </w:p>
        </w:tc>
        <w:tc>
          <w:tcPr>
            <w:tcW w:w="888" w:type="pct"/>
            <w:tcBorders>
              <w:top w:val="single" w:sz="4" w:space="0" w:color="auto"/>
              <w:left w:val="nil"/>
              <w:bottom w:val="single" w:sz="4" w:space="0" w:color="auto"/>
              <w:right w:val="nil"/>
            </w:tcBorders>
            <w:shd w:val="clear" w:color="auto" w:fill="auto"/>
            <w:vAlign w:val="bottom"/>
            <w:hideMark/>
          </w:tcPr>
          <w:p w14:paraId="777102E3" w14:textId="77777777" w:rsidR="006220A2" w:rsidRPr="00840DE8" w:rsidRDefault="006220A2" w:rsidP="007210BA">
            <w:pPr>
              <w:keepNext/>
              <w:keepLines/>
              <w:widowControl w:val="0"/>
              <w:jc w:val="center"/>
              <w:rPr>
                <w:rFonts w:eastAsia="Times New Roman"/>
                <w:b/>
                <w:bCs/>
                <w:sz w:val="16"/>
                <w:szCs w:val="16"/>
              </w:rPr>
            </w:pPr>
            <w:r w:rsidRPr="00840DE8">
              <w:rPr>
                <w:rFonts w:eastAsia="Times New Roman"/>
                <w:b/>
                <w:bCs/>
                <w:sz w:val="16"/>
                <w:szCs w:val="16"/>
              </w:rPr>
              <w:t>Importe</w:t>
            </w:r>
          </w:p>
        </w:tc>
        <w:tc>
          <w:tcPr>
            <w:tcW w:w="722" w:type="pct"/>
            <w:tcBorders>
              <w:top w:val="single" w:sz="4" w:space="0" w:color="auto"/>
              <w:left w:val="nil"/>
              <w:bottom w:val="single" w:sz="4" w:space="0" w:color="auto"/>
              <w:right w:val="nil"/>
            </w:tcBorders>
            <w:shd w:val="clear" w:color="auto" w:fill="auto"/>
            <w:vAlign w:val="bottom"/>
            <w:hideMark/>
          </w:tcPr>
          <w:p w14:paraId="4588C3D6" w14:textId="77777777" w:rsidR="006220A2" w:rsidRPr="00840DE8" w:rsidRDefault="006220A2" w:rsidP="007210BA">
            <w:pPr>
              <w:keepNext/>
              <w:keepLines/>
              <w:widowControl w:val="0"/>
              <w:jc w:val="center"/>
              <w:rPr>
                <w:rFonts w:eastAsia="Times New Roman"/>
                <w:b/>
                <w:bCs/>
                <w:sz w:val="16"/>
                <w:szCs w:val="16"/>
              </w:rPr>
            </w:pPr>
            <w:r w:rsidRPr="00840DE8">
              <w:rPr>
                <w:rFonts w:eastAsia="Times New Roman"/>
                <w:b/>
                <w:bCs/>
                <w:sz w:val="16"/>
                <w:szCs w:val="16"/>
              </w:rPr>
              <w:t>Periodo</w:t>
            </w:r>
          </w:p>
        </w:tc>
      </w:tr>
      <w:tr w:rsidR="00511FA6" w:rsidRPr="00840DE8" w14:paraId="41F012FA" w14:textId="77777777"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14:paraId="1087619B" w14:textId="6BCDAFCE" w:rsidR="00511FA6" w:rsidRPr="00840DE8" w:rsidRDefault="00511FA6" w:rsidP="00F62F4D">
            <w:pPr>
              <w:keepNext/>
              <w:keepLines/>
              <w:widowControl w:val="0"/>
              <w:spacing w:before="40" w:after="40"/>
              <w:ind w:left="221"/>
              <w:rPr>
                <w:sz w:val="16"/>
                <w:szCs w:val="16"/>
              </w:rPr>
            </w:pPr>
            <w:r>
              <w:rPr>
                <w:sz w:val="16"/>
                <w:szCs w:val="16"/>
              </w:rPr>
              <w:t>Para la fase de revisión y ampliación de un sistema de información turística sobre los diferentes perfiles de turistas que visitan las Islas Canarias</w:t>
            </w:r>
          </w:p>
        </w:tc>
        <w:tc>
          <w:tcPr>
            <w:tcW w:w="888" w:type="pct"/>
            <w:tcBorders>
              <w:top w:val="single" w:sz="4" w:space="0" w:color="auto"/>
              <w:left w:val="nil"/>
              <w:bottom w:val="single" w:sz="4" w:space="0" w:color="auto"/>
              <w:right w:val="nil"/>
            </w:tcBorders>
            <w:shd w:val="clear" w:color="auto" w:fill="auto"/>
            <w:vAlign w:val="center"/>
          </w:tcPr>
          <w:p w14:paraId="34B83221" w14:textId="0782227A" w:rsidR="00511FA6" w:rsidRPr="00840DE8" w:rsidRDefault="00694C46" w:rsidP="00511FA6">
            <w:pPr>
              <w:keepNext/>
              <w:keepLines/>
              <w:widowControl w:val="0"/>
              <w:jc w:val="right"/>
              <w:rPr>
                <w:sz w:val="16"/>
                <w:szCs w:val="16"/>
              </w:rPr>
            </w:pPr>
            <w:r>
              <w:rPr>
                <w:sz w:val="16"/>
                <w:szCs w:val="16"/>
              </w:rPr>
              <w:t>60</w:t>
            </w:r>
            <w:r w:rsidR="00511FA6">
              <w:rPr>
                <w:sz w:val="16"/>
                <w:szCs w:val="16"/>
              </w:rPr>
              <w:t>.000,00</w:t>
            </w:r>
          </w:p>
        </w:tc>
        <w:tc>
          <w:tcPr>
            <w:tcW w:w="722" w:type="pct"/>
            <w:tcBorders>
              <w:top w:val="single" w:sz="4" w:space="0" w:color="auto"/>
              <w:left w:val="nil"/>
              <w:bottom w:val="single" w:sz="4" w:space="0" w:color="auto"/>
              <w:right w:val="nil"/>
            </w:tcBorders>
            <w:shd w:val="clear" w:color="auto" w:fill="auto"/>
            <w:vAlign w:val="center"/>
          </w:tcPr>
          <w:p w14:paraId="1967E605" w14:textId="32902230" w:rsidR="00511FA6" w:rsidRPr="00840DE8" w:rsidRDefault="00511FA6" w:rsidP="00511FA6">
            <w:pPr>
              <w:keepNext/>
              <w:keepLines/>
              <w:widowControl w:val="0"/>
              <w:jc w:val="center"/>
              <w:rPr>
                <w:sz w:val="16"/>
                <w:szCs w:val="16"/>
              </w:rPr>
            </w:pPr>
            <w:r>
              <w:rPr>
                <w:sz w:val="16"/>
                <w:szCs w:val="16"/>
              </w:rPr>
              <w:t>2020</w:t>
            </w:r>
          </w:p>
        </w:tc>
      </w:tr>
      <w:tr w:rsidR="00511FA6" w:rsidRPr="00840DE8" w14:paraId="3BB4553D" w14:textId="77777777"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14:paraId="735529DE" w14:textId="6C522E9E" w:rsidR="00511FA6" w:rsidRPr="00170181" w:rsidRDefault="00694C46" w:rsidP="00F62F4D">
            <w:pPr>
              <w:keepNext/>
              <w:keepLines/>
              <w:widowControl w:val="0"/>
              <w:spacing w:before="40" w:after="40"/>
              <w:ind w:left="221"/>
              <w:rPr>
                <w:sz w:val="16"/>
                <w:szCs w:val="16"/>
              </w:rPr>
            </w:pPr>
            <w:r>
              <w:rPr>
                <w:sz w:val="16"/>
                <w:szCs w:val="16"/>
              </w:rPr>
              <w:t xml:space="preserve">Para el proyecto de información tecnológica </w:t>
            </w:r>
            <w:proofErr w:type="spellStart"/>
            <w:r>
              <w:rPr>
                <w:sz w:val="16"/>
                <w:szCs w:val="16"/>
              </w:rPr>
              <w:t>management</w:t>
            </w:r>
            <w:proofErr w:type="spellEnd"/>
            <w:r>
              <w:rPr>
                <w:sz w:val="16"/>
                <w:szCs w:val="16"/>
              </w:rPr>
              <w:t xml:space="preserve"> office (ITMO) del destino turístico Canarias, que dirigirá y gestionará los proyectos para la tecnología de la información en la ejecución de la estrategia promocional </w:t>
            </w:r>
            <w:proofErr w:type="spellStart"/>
            <w:r>
              <w:rPr>
                <w:sz w:val="16"/>
                <w:szCs w:val="16"/>
              </w:rPr>
              <w:t>on</w:t>
            </w:r>
            <w:proofErr w:type="spellEnd"/>
            <w:r>
              <w:rPr>
                <w:sz w:val="16"/>
                <w:szCs w:val="16"/>
              </w:rPr>
              <w:t xml:space="preserve"> line</w:t>
            </w:r>
          </w:p>
        </w:tc>
        <w:tc>
          <w:tcPr>
            <w:tcW w:w="888" w:type="pct"/>
            <w:tcBorders>
              <w:top w:val="single" w:sz="4" w:space="0" w:color="auto"/>
              <w:left w:val="nil"/>
              <w:bottom w:val="single" w:sz="4" w:space="0" w:color="auto"/>
              <w:right w:val="nil"/>
            </w:tcBorders>
            <w:shd w:val="clear" w:color="auto" w:fill="auto"/>
            <w:vAlign w:val="center"/>
          </w:tcPr>
          <w:p w14:paraId="2534243C" w14:textId="2C52A561" w:rsidR="00511FA6" w:rsidRPr="00170181" w:rsidRDefault="00694C46" w:rsidP="00511FA6">
            <w:pPr>
              <w:keepNext/>
              <w:keepLines/>
              <w:widowControl w:val="0"/>
              <w:jc w:val="right"/>
              <w:rPr>
                <w:sz w:val="16"/>
                <w:szCs w:val="16"/>
              </w:rPr>
            </w:pPr>
            <w:r>
              <w:rPr>
                <w:sz w:val="16"/>
                <w:szCs w:val="16"/>
              </w:rPr>
              <w:t>50.000,00</w:t>
            </w:r>
          </w:p>
        </w:tc>
        <w:tc>
          <w:tcPr>
            <w:tcW w:w="722" w:type="pct"/>
            <w:tcBorders>
              <w:top w:val="single" w:sz="4" w:space="0" w:color="auto"/>
              <w:left w:val="nil"/>
              <w:bottom w:val="single" w:sz="4" w:space="0" w:color="auto"/>
              <w:right w:val="nil"/>
            </w:tcBorders>
            <w:shd w:val="clear" w:color="auto" w:fill="auto"/>
            <w:vAlign w:val="center"/>
          </w:tcPr>
          <w:p w14:paraId="5C5ECB91" w14:textId="47B0587F" w:rsidR="00511FA6" w:rsidRPr="00170181" w:rsidRDefault="00694C46" w:rsidP="00511FA6">
            <w:pPr>
              <w:keepNext/>
              <w:keepLines/>
              <w:widowControl w:val="0"/>
              <w:jc w:val="center"/>
              <w:rPr>
                <w:sz w:val="16"/>
                <w:szCs w:val="16"/>
              </w:rPr>
            </w:pPr>
            <w:r>
              <w:rPr>
                <w:sz w:val="16"/>
                <w:szCs w:val="16"/>
              </w:rPr>
              <w:t>2022</w:t>
            </w:r>
          </w:p>
        </w:tc>
      </w:tr>
      <w:tr w:rsidR="00511FA6" w:rsidRPr="00840DE8" w14:paraId="053E95DE" w14:textId="77777777" w:rsidTr="007210BA">
        <w:trPr>
          <w:trHeight w:val="255"/>
          <w:jc w:val="center"/>
        </w:trPr>
        <w:tc>
          <w:tcPr>
            <w:tcW w:w="3390" w:type="pct"/>
            <w:tcBorders>
              <w:top w:val="single" w:sz="4" w:space="0" w:color="auto"/>
              <w:left w:val="nil"/>
              <w:bottom w:val="single" w:sz="4" w:space="0" w:color="auto"/>
              <w:right w:val="nil"/>
            </w:tcBorders>
            <w:shd w:val="clear" w:color="auto" w:fill="auto"/>
            <w:vAlign w:val="center"/>
          </w:tcPr>
          <w:p w14:paraId="26A6684D" w14:textId="152162E8" w:rsidR="00511FA6" w:rsidRPr="00F25A85" w:rsidRDefault="00694C46" w:rsidP="00F62F4D">
            <w:pPr>
              <w:keepNext/>
              <w:keepLines/>
              <w:widowControl w:val="0"/>
              <w:spacing w:before="40" w:after="40"/>
              <w:ind w:left="221"/>
              <w:rPr>
                <w:sz w:val="16"/>
                <w:szCs w:val="16"/>
              </w:rPr>
            </w:pPr>
            <w:r w:rsidRPr="00F25A85">
              <w:rPr>
                <w:sz w:val="16"/>
                <w:szCs w:val="16"/>
              </w:rPr>
              <w:t xml:space="preserve">Para la gestión de las subvenciones encomendadas a </w:t>
            </w:r>
            <w:r w:rsidR="007A7245">
              <w:rPr>
                <w:sz w:val="16"/>
                <w:szCs w:val="16"/>
              </w:rPr>
              <w:t xml:space="preserve">la </w:t>
            </w:r>
            <w:r w:rsidRPr="00F25A85">
              <w:rPr>
                <w:sz w:val="16"/>
                <w:szCs w:val="16"/>
              </w:rPr>
              <w:t>UAP</w:t>
            </w:r>
          </w:p>
        </w:tc>
        <w:tc>
          <w:tcPr>
            <w:tcW w:w="888" w:type="pct"/>
            <w:tcBorders>
              <w:top w:val="single" w:sz="4" w:space="0" w:color="auto"/>
              <w:left w:val="nil"/>
              <w:bottom w:val="single" w:sz="4" w:space="0" w:color="auto"/>
              <w:right w:val="nil"/>
            </w:tcBorders>
            <w:shd w:val="clear" w:color="auto" w:fill="auto"/>
            <w:vAlign w:val="center"/>
          </w:tcPr>
          <w:p w14:paraId="58FC1987" w14:textId="33AE9191" w:rsidR="00511FA6" w:rsidRPr="00F25A85" w:rsidRDefault="00694C46" w:rsidP="00511FA6">
            <w:pPr>
              <w:keepNext/>
              <w:keepLines/>
              <w:widowControl w:val="0"/>
              <w:jc w:val="right"/>
              <w:rPr>
                <w:sz w:val="16"/>
                <w:szCs w:val="16"/>
              </w:rPr>
            </w:pPr>
            <w:r w:rsidRPr="00F25A85">
              <w:rPr>
                <w:sz w:val="16"/>
                <w:szCs w:val="16"/>
              </w:rPr>
              <w:t>168.650,74</w:t>
            </w:r>
          </w:p>
        </w:tc>
        <w:tc>
          <w:tcPr>
            <w:tcW w:w="722" w:type="pct"/>
            <w:tcBorders>
              <w:top w:val="single" w:sz="4" w:space="0" w:color="auto"/>
              <w:left w:val="nil"/>
              <w:bottom w:val="single" w:sz="4" w:space="0" w:color="auto"/>
              <w:right w:val="nil"/>
            </w:tcBorders>
            <w:shd w:val="clear" w:color="auto" w:fill="auto"/>
            <w:vAlign w:val="center"/>
          </w:tcPr>
          <w:p w14:paraId="5A6C3BCA" w14:textId="13BD085E" w:rsidR="00511FA6" w:rsidRPr="00F25A85" w:rsidRDefault="00694C46" w:rsidP="00511FA6">
            <w:pPr>
              <w:keepNext/>
              <w:keepLines/>
              <w:widowControl w:val="0"/>
              <w:jc w:val="center"/>
              <w:rPr>
                <w:sz w:val="16"/>
                <w:szCs w:val="16"/>
              </w:rPr>
            </w:pPr>
            <w:r w:rsidRPr="00F25A85">
              <w:rPr>
                <w:sz w:val="16"/>
                <w:szCs w:val="16"/>
              </w:rPr>
              <w:t>2023</w:t>
            </w:r>
          </w:p>
        </w:tc>
      </w:tr>
    </w:tbl>
    <w:p w14:paraId="3214CD66" w14:textId="77777777" w:rsidR="006220A2" w:rsidRPr="0083433F" w:rsidRDefault="006220A2">
      <w:pPr>
        <w:keepNext/>
        <w:keepLines/>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284"/>
          <w:tab w:val="num" w:pos="644"/>
        </w:tabs>
        <w:spacing w:before="240"/>
        <w:ind w:left="0" w:firstLine="0"/>
        <w:outlineLvl w:val="9"/>
        <w:rPr>
          <w:sz w:val="20"/>
          <w:szCs w:val="22"/>
          <w:u w:val="single"/>
        </w:rPr>
      </w:pPr>
      <w:r w:rsidRPr="0083433F">
        <w:rPr>
          <w:sz w:val="20"/>
          <w:szCs w:val="22"/>
          <w:u w:val="single"/>
        </w:rPr>
        <w:t>Retribución al Consejo de Administración y Alta Dirección</w:t>
      </w:r>
    </w:p>
    <w:p w14:paraId="63188DF5" w14:textId="2587D262" w:rsidR="006220A2" w:rsidRPr="00176BA0" w:rsidRDefault="006220A2" w:rsidP="00064105">
      <w:pPr>
        <w:widowControl w:val="0"/>
        <w:spacing w:before="120" w:after="120" w:line="260" w:lineRule="exact"/>
        <w:jc w:val="both"/>
        <w:outlineLvl w:val="9"/>
        <w:rPr>
          <w:snapToGrid w:val="0"/>
          <w:sz w:val="20"/>
          <w:szCs w:val="22"/>
        </w:rPr>
      </w:pPr>
      <w:r w:rsidRPr="00176BA0">
        <w:rPr>
          <w:snapToGrid w:val="0"/>
          <w:sz w:val="20"/>
          <w:szCs w:val="22"/>
        </w:rPr>
        <w:t xml:space="preserve">No </w:t>
      </w:r>
      <w:r w:rsidRPr="007B50EC">
        <w:rPr>
          <w:snapToGrid w:val="0"/>
          <w:sz w:val="20"/>
          <w:szCs w:val="22"/>
        </w:rPr>
        <w:t xml:space="preserve">se han satisfecho retribuciones, durante el ejercicio </w:t>
      </w:r>
      <w:r w:rsidR="009C7621" w:rsidRPr="007B50EC">
        <w:rPr>
          <w:snapToGrid w:val="0"/>
          <w:sz w:val="20"/>
          <w:szCs w:val="22"/>
        </w:rPr>
        <w:t>202</w:t>
      </w:r>
      <w:r w:rsidR="00694C46">
        <w:rPr>
          <w:snapToGrid w:val="0"/>
          <w:sz w:val="20"/>
          <w:szCs w:val="22"/>
        </w:rPr>
        <w:t>3</w:t>
      </w:r>
      <w:r w:rsidR="009C7621" w:rsidRPr="007B50EC">
        <w:rPr>
          <w:snapToGrid w:val="0"/>
          <w:sz w:val="20"/>
          <w:szCs w:val="22"/>
        </w:rPr>
        <w:t xml:space="preserve"> y 20</w:t>
      </w:r>
      <w:r w:rsidR="00DC4561" w:rsidRPr="007B50EC">
        <w:rPr>
          <w:snapToGrid w:val="0"/>
          <w:sz w:val="20"/>
          <w:szCs w:val="22"/>
        </w:rPr>
        <w:t>2</w:t>
      </w:r>
      <w:r w:rsidR="00694C46">
        <w:rPr>
          <w:snapToGrid w:val="0"/>
          <w:sz w:val="20"/>
          <w:szCs w:val="22"/>
        </w:rPr>
        <w:t>2</w:t>
      </w:r>
      <w:r w:rsidR="009C7621" w:rsidRPr="007B50EC">
        <w:rPr>
          <w:snapToGrid w:val="0"/>
          <w:sz w:val="20"/>
          <w:szCs w:val="22"/>
        </w:rPr>
        <w:t xml:space="preserve"> </w:t>
      </w:r>
      <w:r w:rsidRPr="007B50EC">
        <w:rPr>
          <w:snapToGrid w:val="0"/>
          <w:sz w:val="20"/>
          <w:szCs w:val="22"/>
        </w:rPr>
        <w:t xml:space="preserve">a los Administradores de la Sociedad. Las retribuciones por Alta Dirección ascienden a </w:t>
      </w:r>
      <w:r w:rsidR="0070430A">
        <w:rPr>
          <w:snapToGrid w:val="0"/>
          <w:sz w:val="20"/>
          <w:szCs w:val="22"/>
        </w:rPr>
        <w:t>65.328,36</w:t>
      </w:r>
      <w:r w:rsidR="004208BD" w:rsidRPr="007B50EC">
        <w:rPr>
          <w:snapToGrid w:val="0"/>
          <w:sz w:val="20"/>
          <w:szCs w:val="22"/>
        </w:rPr>
        <w:t xml:space="preserve"> </w:t>
      </w:r>
      <w:r w:rsidRPr="007B50EC">
        <w:rPr>
          <w:snapToGrid w:val="0"/>
          <w:sz w:val="20"/>
          <w:szCs w:val="22"/>
        </w:rPr>
        <w:t>euros (</w:t>
      </w:r>
      <w:r w:rsidR="0070430A">
        <w:rPr>
          <w:snapToGrid w:val="0"/>
          <w:sz w:val="20"/>
          <w:szCs w:val="22"/>
        </w:rPr>
        <w:t xml:space="preserve">el importe en el ejercicio anterior ascendió a </w:t>
      </w:r>
      <w:r w:rsidR="0070430A" w:rsidRPr="007B50EC">
        <w:rPr>
          <w:snapToGrid w:val="0"/>
          <w:sz w:val="20"/>
          <w:szCs w:val="22"/>
        </w:rPr>
        <w:t>62.049,36</w:t>
      </w:r>
      <w:r w:rsidRPr="007B50EC">
        <w:rPr>
          <w:snapToGrid w:val="0"/>
          <w:sz w:val="20"/>
          <w:szCs w:val="22"/>
        </w:rPr>
        <w:t>).</w:t>
      </w:r>
    </w:p>
    <w:p w14:paraId="400AC9EB" w14:textId="77777777" w:rsidR="006220A2" w:rsidRPr="00176BA0" w:rsidRDefault="006220A2" w:rsidP="00064105">
      <w:pPr>
        <w:keepNext/>
        <w:keepLines/>
        <w:widowControl w:val="0"/>
        <w:spacing w:before="120" w:line="260" w:lineRule="exact"/>
        <w:jc w:val="both"/>
        <w:outlineLvl w:val="9"/>
        <w:rPr>
          <w:snapToGrid w:val="0"/>
          <w:sz w:val="20"/>
          <w:szCs w:val="22"/>
        </w:rPr>
      </w:pPr>
      <w:r w:rsidRPr="00176BA0">
        <w:rPr>
          <w:snapToGrid w:val="0"/>
          <w:sz w:val="20"/>
          <w:szCs w:val="22"/>
        </w:rPr>
        <w:lastRenderedPageBreak/>
        <w:t>En el deber de evitar situaciones de conflicto con el interés de la Sociedad, durante el ejercicio los administradores que han ocupado cargos en el Consejo de Administración han cumplido con las obligaciones previstas en el artículo 228 del texto refundido de la Ley de Sociedades de Capital. Asimismo, tanto ellos como las personas a ellos vinculadas, se han abstenido de incurrir en los supuestos de conflicto de interés previstos en el artículo 229 de dicha ley, excepto en los casos en que haya sido obtenida la correspondiente autorización.</w:t>
      </w:r>
    </w:p>
    <w:p w14:paraId="04683D2D" w14:textId="20AE60D7" w:rsidR="006220A2" w:rsidRPr="007A7245" w:rsidRDefault="00052BF5" w:rsidP="0006410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80" w:lineRule="exact"/>
        <w:ind w:left="284" w:hanging="284"/>
        <w:outlineLvl w:val="9"/>
        <w:rPr>
          <w:b/>
          <w:snapToGrid w:val="0"/>
          <w:sz w:val="22"/>
          <w:szCs w:val="22"/>
        </w:rPr>
      </w:pPr>
      <w:bookmarkStart w:id="7" w:name="_Hlk161331624"/>
      <w:r>
        <w:rPr>
          <w:b/>
          <w:snapToGrid w:val="0"/>
          <w:sz w:val="22"/>
          <w:szCs w:val="22"/>
        </w:rPr>
        <w:t xml:space="preserve"> </w:t>
      </w:r>
      <w:r w:rsidR="006220A2" w:rsidRPr="007A7245">
        <w:rPr>
          <w:b/>
          <w:snapToGrid w:val="0"/>
          <w:sz w:val="22"/>
          <w:szCs w:val="22"/>
        </w:rPr>
        <w:t>Otra información</w:t>
      </w:r>
    </w:p>
    <w:p w14:paraId="2DFF9727" w14:textId="77777777" w:rsidR="006220A2" w:rsidRPr="007A7245" w:rsidRDefault="006220A2" w:rsidP="00064105">
      <w:pPr>
        <w:widowControl w:val="0"/>
        <w:spacing w:before="120" w:after="120" w:line="260" w:lineRule="exact"/>
        <w:jc w:val="both"/>
        <w:outlineLvl w:val="9"/>
        <w:rPr>
          <w:snapToGrid w:val="0"/>
          <w:sz w:val="20"/>
          <w:szCs w:val="22"/>
        </w:rPr>
      </w:pPr>
      <w:r w:rsidRPr="007A7245">
        <w:rPr>
          <w:snapToGrid w:val="0"/>
          <w:sz w:val="20"/>
          <w:szCs w:val="22"/>
        </w:rPr>
        <w:t>El número medio de empleados en el curso del ejercicio distribuido por categorías y sexo es el siguiente:</w:t>
      </w:r>
    </w:p>
    <w:tbl>
      <w:tblPr>
        <w:tblW w:w="5000" w:type="pct"/>
        <w:jc w:val="center"/>
        <w:tblCellMar>
          <w:left w:w="70" w:type="dxa"/>
          <w:right w:w="70" w:type="dxa"/>
        </w:tblCellMar>
        <w:tblLook w:val="04A0" w:firstRow="1" w:lastRow="0" w:firstColumn="1" w:lastColumn="0" w:noHBand="0" w:noVBand="1"/>
      </w:tblPr>
      <w:tblGrid>
        <w:gridCol w:w="3587"/>
        <w:gridCol w:w="1298"/>
        <w:gridCol w:w="1300"/>
        <w:gridCol w:w="1298"/>
        <w:gridCol w:w="1298"/>
      </w:tblGrid>
      <w:tr w:rsidR="00734BAD" w:rsidRPr="0070430A" w14:paraId="4C6360E1" w14:textId="77777777" w:rsidTr="00176BA0">
        <w:trPr>
          <w:trHeight w:val="283"/>
          <w:jc w:val="center"/>
        </w:trPr>
        <w:tc>
          <w:tcPr>
            <w:tcW w:w="2042" w:type="pct"/>
            <w:tcBorders>
              <w:top w:val="single" w:sz="4" w:space="0" w:color="auto"/>
              <w:left w:val="nil"/>
              <w:bottom w:val="nil"/>
              <w:right w:val="nil"/>
            </w:tcBorders>
            <w:shd w:val="clear" w:color="auto" w:fill="auto"/>
            <w:vAlign w:val="bottom"/>
            <w:hideMark/>
          </w:tcPr>
          <w:p w14:paraId="415688A9" w14:textId="77777777" w:rsidR="00734BAD" w:rsidRPr="002375AD" w:rsidRDefault="00734BAD" w:rsidP="00176BA0">
            <w:pPr>
              <w:keepNext/>
              <w:keepLines/>
              <w:widowControl w:val="0"/>
              <w:ind w:left="215"/>
              <w:jc w:val="center"/>
              <w:rPr>
                <w:rFonts w:eastAsia="Times New Roman"/>
                <w:sz w:val="18"/>
                <w:szCs w:val="18"/>
              </w:rPr>
            </w:pPr>
          </w:p>
        </w:tc>
        <w:tc>
          <w:tcPr>
            <w:tcW w:w="1479" w:type="pct"/>
            <w:gridSpan w:val="2"/>
            <w:tcBorders>
              <w:top w:val="single" w:sz="4" w:space="0" w:color="auto"/>
              <w:left w:val="nil"/>
              <w:bottom w:val="single" w:sz="4" w:space="0" w:color="auto"/>
              <w:right w:val="nil"/>
            </w:tcBorders>
            <w:shd w:val="clear" w:color="auto" w:fill="auto"/>
            <w:vAlign w:val="bottom"/>
            <w:hideMark/>
          </w:tcPr>
          <w:p w14:paraId="2FC59EE7" w14:textId="60A24E28" w:rsidR="00734BAD" w:rsidRPr="002375AD" w:rsidRDefault="00734BAD" w:rsidP="00734BAD">
            <w:pPr>
              <w:keepNext/>
              <w:keepLines/>
              <w:widowControl w:val="0"/>
              <w:jc w:val="center"/>
              <w:rPr>
                <w:rFonts w:eastAsia="Times New Roman"/>
                <w:b/>
                <w:bCs/>
                <w:sz w:val="18"/>
                <w:szCs w:val="18"/>
              </w:rPr>
            </w:pPr>
            <w:r w:rsidRPr="002375AD">
              <w:rPr>
                <w:rFonts w:eastAsia="Times New Roman"/>
                <w:b/>
                <w:bCs/>
                <w:sz w:val="18"/>
                <w:szCs w:val="18"/>
              </w:rPr>
              <w:t>202</w:t>
            </w:r>
            <w:r w:rsidR="007A7245" w:rsidRPr="002375AD">
              <w:rPr>
                <w:rFonts w:eastAsia="Times New Roman"/>
                <w:b/>
                <w:bCs/>
                <w:sz w:val="18"/>
                <w:szCs w:val="18"/>
              </w:rPr>
              <w:t>3</w:t>
            </w:r>
          </w:p>
        </w:tc>
        <w:tc>
          <w:tcPr>
            <w:tcW w:w="1478" w:type="pct"/>
            <w:gridSpan w:val="2"/>
            <w:tcBorders>
              <w:top w:val="single" w:sz="4" w:space="0" w:color="auto"/>
              <w:left w:val="nil"/>
              <w:bottom w:val="single" w:sz="4" w:space="0" w:color="auto"/>
              <w:right w:val="nil"/>
            </w:tcBorders>
            <w:shd w:val="clear" w:color="auto" w:fill="auto"/>
            <w:vAlign w:val="bottom"/>
            <w:hideMark/>
          </w:tcPr>
          <w:p w14:paraId="4B6DBFC9" w14:textId="207290DE" w:rsidR="00734BAD" w:rsidRPr="007A7245" w:rsidRDefault="007A7245" w:rsidP="00734BAD">
            <w:pPr>
              <w:keepNext/>
              <w:keepLines/>
              <w:widowControl w:val="0"/>
              <w:jc w:val="center"/>
              <w:rPr>
                <w:rFonts w:eastAsia="Times New Roman"/>
                <w:b/>
                <w:bCs/>
                <w:sz w:val="18"/>
                <w:szCs w:val="18"/>
              </w:rPr>
            </w:pPr>
            <w:r w:rsidRPr="007A7245">
              <w:rPr>
                <w:rFonts w:eastAsia="Times New Roman"/>
                <w:b/>
                <w:bCs/>
                <w:sz w:val="18"/>
                <w:szCs w:val="18"/>
              </w:rPr>
              <w:t>2022</w:t>
            </w:r>
          </w:p>
        </w:tc>
      </w:tr>
      <w:tr w:rsidR="00734BAD" w:rsidRPr="0070430A" w14:paraId="1BE40B15" w14:textId="77777777" w:rsidTr="00176BA0">
        <w:trPr>
          <w:trHeight w:val="283"/>
          <w:jc w:val="center"/>
        </w:trPr>
        <w:tc>
          <w:tcPr>
            <w:tcW w:w="2042" w:type="pct"/>
            <w:tcBorders>
              <w:top w:val="nil"/>
              <w:left w:val="nil"/>
              <w:bottom w:val="single" w:sz="4" w:space="0" w:color="auto"/>
              <w:right w:val="nil"/>
            </w:tcBorders>
            <w:shd w:val="clear" w:color="auto" w:fill="auto"/>
            <w:vAlign w:val="bottom"/>
            <w:hideMark/>
          </w:tcPr>
          <w:p w14:paraId="1B886FEE" w14:textId="77777777" w:rsidR="00734BAD" w:rsidRPr="002375AD" w:rsidRDefault="00734BAD" w:rsidP="00176BA0">
            <w:pPr>
              <w:keepNext/>
              <w:keepLines/>
              <w:widowControl w:val="0"/>
              <w:ind w:left="215"/>
              <w:jc w:val="center"/>
              <w:rPr>
                <w:rFonts w:eastAsia="Times New Roman"/>
                <w:b/>
                <w:bCs/>
                <w:sz w:val="18"/>
                <w:szCs w:val="18"/>
              </w:rPr>
            </w:pPr>
            <w:r w:rsidRPr="002375AD">
              <w:rPr>
                <w:rFonts w:eastAsia="Times New Roman"/>
                <w:b/>
                <w:bCs/>
                <w:sz w:val="18"/>
                <w:szCs w:val="18"/>
              </w:rPr>
              <w:t>Categoría</w:t>
            </w:r>
          </w:p>
        </w:tc>
        <w:tc>
          <w:tcPr>
            <w:tcW w:w="739" w:type="pct"/>
            <w:tcBorders>
              <w:top w:val="nil"/>
              <w:left w:val="nil"/>
              <w:bottom w:val="single" w:sz="4" w:space="0" w:color="auto"/>
              <w:right w:val="nil"/>
            </w:tcBorders>
            <w:shd w:val="clear" w:color="auto" w:fill="auto"/>
            <w:vAlign w:val="bottom"/>
            <w:hideMark/>
          </w:tcPr>
          <w:p w14:paraId="5C3ACF48" w14:textId="77777777" w:rsidR="00734BAD" w:rsidRPr="002375AD" w:rsidRDefault="00734BAD" w:rsidP="00734BAD">
            <w:pPr>
              <w:keepNext/>
              <w:keepLines/>
              <w:widowControl w:val="0"/>
              <w:jc w:val="center"/>
              <w:rPr>
                <w:rFonts w:eastAsia="Times New Roman"/>
                <w:b/>
                <w:bCs/>
                <w:sz w:val="18"/>
                <w:szCs w:val="18"/>
              </w:rPr>
            </w:pPr>
            <w:r w:rsidRPr="002375AD">
              <w:rPr>
                <w:rFonts w:eastAsia="Times New Roman"/>
                <w:b/>
                <w:bCs/>
                <w:sz w:val="18"/>
                <w:szCs w:val="18"/>
              </w:rPr>
              <w:t>Hombres</w:t>
            </w:r>
          </w:p>
        </w:tc>
        <w:tc>
          <w:tcPr>
            <w:tcW w:w="740" w:type="pct"/>
            <w:tcBorders>
              <w:top w:val="nil"/>
              <w:left w:val="nil"/>
              <w:bottom w:val="single" w:sz="4" w:space="0" w:color="auto"/>
              <w:right w:val="nil"/>
            </w:tcBorders>
            <w:shd w:val="clear" w:color="auto" w:fill="auto"/>
            <w:vAlign w:val="bottom"/>
            <w:hideMark/>
          </w:tcPr>
          <w:p w14:paraId="572EE47B" w14:textId="77777777" w:rsidR="00734BAD" w:rsidRPr="002375AD" w:rsidRDefault="00734BAD" w:rsidP="00734BAD">
            <w:pPr>
              <w:keepNext/>
              <w:keepLines/>
              <w:widowControl w:val="0"/>
              <w:jc w:val="center"/>
              <w:rPr>
                <w:rFonts w:eastAsia="Times New Roman"/>
                <w:b/>
                <w:bCs/>
                <w:sz w:val="18"/>
                <w:szCs w:val="18"/>
              </w:rPr>
            </w:pPr>
            <w:r w:rsidRPr="002375AD">
              <w:rPr>
                <w:rFonts w:eastAsia="Times New Roman"/>
                <w:b/>
                <w:bCs/>
                <w:sz w:val="18"/>
                <w:szCs w:val="18"/>
              </w:rPr>
              <w:t>Mujeres</w:t>
            </w:r>
          </w:p>
        </w:tc>
        <w:tc>
          <w:tcPr>
            <w:tcW w:w="739" w:type="pct"/>
            <w:tcBorders>
              <w:top w:val="nil"/>
              <w:left w:val="nil"/>
              <w:bottom w:val="single" w:sz="4" w:space="0" w:color="auto"/>
              <w:right w:val="nil"/>
            </w:tcBorders>
            <w:shd w:val="clear" w:color="auto" w:fill="auto"/>
            <w:vAlign w:val="bottom"/>
            <w:hideMark/>
          </w:tcPr>
          <w:p w14:paraId="3D002F08" w14:textId="1B5C6DF5" w:rsidR="00734BAD" w:rsidRPr="007A7245" w:rsidRDefault="00734BAD" w:rsidP="00734BAD">
            <w:pPr>
              <w:keepNext/>
              <w:keepLines/>
              <w:widowControl w:val="0"/>
              <w:jc w:val="center"/>
              <w:rPr>
                <w:rFonts w:eastAsia="Times New Roman"/>
                <w:b/>
                <w:bCs/>
                <w:sz w:val="18"/>
                <w:szCs w:val="18"/>
              </w:rPr>
            </w:pPr>
            <w:r w:rsidRPr="007A7245">
              <w:rPr>
                <w:rFonts w:eastAsia="Times New Roman"/>
                <w:b/>
                <w:bCs/>
                <w:sz w:val="18"/>
                <w:szCs w:val="18"/>
              </w:rPr>
              <w:t>Hombres</w:t>
            </w:r>
          </w:p>
        </w:tc>
        <w:tc>
          <w:tcPr>
            <w:tcW w:w="739" w:type="pct"/>
            <w:tcBorders>
              <w:top w:val="nil"/>
              <w:left w:val="nil"/>
              <w:bottom w:val="single" w:sz="4" w:space="0" w:color="auto"/>
              <w:right w:val="nil"/>
            </w:tcBorders>
            <w:shd w:val="clear" w:color="auto" w:fill="auto"/>
            <w:vAlign w:val="bottom"/>
            <w:hideMark/>
          </w:tcPr>
          <w:p w14:paraId="4B191268" w14:textId="323DF543" w:rsidR="00734BAD" w:rsidRPr="007A7245" w:rsidRDefault="00E13A2F" w:rsidP="00734BAD">
            <w:pPr>
              <w:keepNext/>
              <w:keepLines/>
              <w:widowControl w:val="0"/>
              <w:jc w:val="center"/>
              <w:rPr>
                <w:rFonts w:eastAsia="Times New Roman"/>
                <w:b/>
                <w:bCs/>
                <w:sz w:val="18"/>
                <w:szCs w:val="18"/>
              </w:rPr>
            </w:pPr>
            <w:r>
              <w:rPr>
                <w:rFonts w:eastAsia="Times New Roman"/>
                <w:b/>
                <w:bCs/>
                <w:sz w:val="18"/>
                <w:szCs w:val="18"/>
              </w:rPr>
              <w:t>Mujeres</w:t>
            </w:r>
          </w:p>
        </w:tc>
      </w:tr>
      <w:tr w:rsidR="00B56472" w:rsidRPr="0070430A" w14:paraId="09657CC4" w14:textId="77777777" w:rsidTr="00176BA0">
        <w:trPr>
          <w:trHeight w:val="283"/>
          <w:jc w:val="center"/>
        </w:trPr>
        <w:tc>
          <w:tcPr>
            <w:tcW w:w="2042" w:type="pct"/>
            <w:tcBorders>
              <w:top w:val="nil"/>
              <w:left w:val="nil"/>
              <w:bottom w:val="nil"/>
              <w:right w:val="nil"/>
            </w:tcBorders>
            <w:shd w:val="clear" w:color="auto" w:fill="auto"/>
            <w:vAlign w:val="center"/>
            <w:hideMark/>
          </w:tcPr>
          <w:p w14:paraId="1689DC4E" w14:textId="4F4F50CB" w:rsidR="00B56472" w:rsidRPr="002375AD" w:rsidRDefault="00B56472" w:rsidP="00B56472">
            <w:pPr>
              <w:keepNext/>
              <w:keepLines/>
              <w:widowControl w:val="0"/>
              <w:ind w:left="215"/>
              <w:rPr>
                <w:rFonts w:eastAsia="Times New Roman"/>
                <w:sz w:val="18"/>
                <w:szCs w:val="18"/>
              </w:rPr>
            </w:pPr>
            <w:r w:rsidRPr="002375AD">
              <w:rPr>
                <w:rFonts w:eastAsia="Times New Roman"/>
                <w:sz w:val="18"/>
                <w:szCs w:val="18"/>
              </w:rPr>
              <w:t>Director - Gerente</w:t>
            </w:r>
          </w:p>
        </w:tc>
        <w:tc>
          <w:tcPr>
            <w:tcW w:w="739" w:type="pct"/>
            <w:tcBorders>
              <w:top w:val="nil"/>
              <w:left w:val="nil"/>
              <w:bottom w:val="nil"/>
              <w:right w:val="nil"/>
            </w:tcBorders>
            <w:shd w:val="clear" w:color="auto" w:fill="auto"/>
            <w:vAlign w:val="center"/>
          </w:tcPr>
          <w:p w14:paraId="41D54E3D" w14:textId="69C5B72D" w:rsidR="00B56472" w:rsidRPr="0059131C"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59131C">
              <w:rPr>
                <w:sz w:val="18"/>
                <w:szCs w:val="18"/>
              </w:rPr>
              <w:t>1</w:t>
            </w:r>
          </w:p>
        </w:tc>
        <w:tc>
          <w:tcPr>
            <w:tcW w:w="740" w:type="pct"/>
            <w:tcBorders>
              <w:top w:val="nil"/>
              <w:left w:val="nil"/>
              <w:bottom w:val="nil"/>
              <w:right w:val="nil"/>
            </w:tcBorders>
            <w:shd w:val="clear" w:color="auto" w:fill="auto"/>
            <w:vAlign w:val="center"/>
          </w:tcPr>
          <w:p w14:paraId="2F2752F4" w14:textId="6AE29E86" w:rsidR="00B56472" w:rsidRPr="0059131C" w:rsidRDefault="00B56472" w:rsidP="00B56472">
            <w:pPr>
              <w:keepNext/>
              <w:keepLines/>
              <w:widowControl w:val="0"/>
              <w:jc w:val="center"/>
              <w:rPr>
                <w:sz w:val="18"/>
                <w:szCs w:val="18"/>
              </w:rPr>
            </w:pPr>
            <w:r w:rsidRPr="0059131C">
              <w:rPr>
                <w:sz w:val="18"/>
                <w:szCs w:val="18"/>
              </w:rPr>
              <w:t>-</w:t>
            </w:r>
          </w:p>
        </w:tc>
        <w:tc>
          <w:tcPr>
            <w:tcW w:w="739" w:type="pct"/>
            <w:tcBorders>
              <w:top w:val="nil"/>
              <w:left w:val="nil"/>
              <w:bottom w:val="nil"/>
              <w:right w:val="nil"/>
            </w:tcBorders>
            <w:shd w:val="clear" w:color="auto" w:fill="auto"/>
            <w:vAlign w:val="center"/>
          </w:tcPr>
          <w:p w14:paraId="12A6177C" w14:textId="43AF9642" w:rsidR="00B56472" w:rsidRPr="007A7245"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Pr>
                <w:sz w:val="18"/>
                <w:szCs w:val="18"/>
              </w:rPr>
              <w:t>1</w:t>
            </w:r>
          </w:p>
        </w:tc>
        <w:tc>
          <w:tcPr>
            <w:tcW w:w="739" w:type="pct"/>
            <w:tcBorders>
              <w:top w:val="nil"/>
              <w:left w:val="nil"/>
              <w:bottom w:val="nil"/>
              <w:right w:val="nil"/>
            </w:tcBorders>
            <w:shd w:val="clear" w:color="auto" w:fill="auto"/>
            <w:vAlign w:val="center"/>
          </w:tcPr>
          <w:p w14:paraId="08DFB669" w14:textId="03738E77" w:rsidR="00B56472" w:rsidRPr="007A7245" w:rsidRDefault="00B56472" w:rsidP="00B56472">
            <w:pPr>
              <w:keepNext/>
              <w:keepLines/>
              <w:widowControl w:val="0"/>
              <w:jc w:val="center"/>
              <w:rPr>
                <w:sz w:val="18"/>
                <w:szCs w:val="18"/>
              </w:rPr>
            </w:pPr>
            <w:r>
              <w:rPr>
                <w:sz w:val="18"/>
                <w:szCs w:val="18"/>
              </w:rPr>
              <w:t>-</w:t>
            </w:r>
          </w:p>
        </w:tc>
      </w:tr>
      <w:tr w:rsidR="00B56472" w:rsidRPr="0070430A" w14:paraId="4662657B" w14:textId="77777777" w:rsidTr="00176BA0">
        <w:trPr>
          <w:trHeight w:val="283"/>
          <w:jc w:val="center"/>
        </w:trPr>
        <w:tc>
          <w:tcPr>
            <w:tcW w:w="2042" w:type="pct"/>
            <w:tcBorders>
              <w:top w:val="nil"/>
              <w:left w:val="nil"/>
              <w:bottom w:val="nil"/>
              <w:right w:val="nil"/>
            </w:tcBorders>
            <w:shd w:val="clear" w:color="auto" w:fill="auto"/>
            <w:vAlign w:val="center"/>
          </w:tcPr>
          <w:p w14:paraId="535B5F7F" w14:textId="04B7D949" w:rsidR="00B56472" w:rsidRPr="002375AD" w:rsidRDefault="00B56472" w:rsidP="00B56472">
            <w:pPr>
              <w:keepNext/>
              <w:keepLines/>
              <w:widowControl w:val="0"/>
              <w:ind w:left="215"/>
              <w:rPr>
                <w:rFonts w:eastAsia="Times New Roman"/>
                <w:sz w:val="18"/>
                <w:szCs w:val="18"/>
              </w:rPr>
            </w:pPr>
            <w:r w:rsidRPr="002375AD">
              <w:rPr>
                <w:rFonts w:eastAsia="Times New Roman"/>
                <w:sz w:val="18"/>
                <w:szCs w:val="18"/>
              </w:rPr>
              <w:t>Directivos</w:t>
            </w:r>
          </w:p>
        </w:tc>
        <w:tc>
          <w:tcPr>
            <w:tcW w:w="739" w:type="pct"/>
            <w:tcBorders>
              <w:top w:val="nil"/>
              <w:left w:val="nil"/>
              <w:bottom w:val="nil"/>
              <w:right w:val="nil"/>
            </w:tcBorders>
            <w:shd w:val="clear" w:color="auto" w:fill="auto"/>
            <w:vAlign w:val="center"/>
          </w:tcPr>
          <w:p w14:paraId="736B614D" w14:textId="7A85B004" w:rsidR="00B56472" w:rsidRPr="0059131C"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59131C">
              <w:rPr>
                <w:sz w:val="18"/>
                <w:szCs w:val="18"/>
              </w:rPr>
              <w:t>-</w:t>
            </w:r>
          </w:p>
        </w:tc>
        <w:tc>
          <w:tcPr>
            <w:tcW w:w="740" w:type="pct"/>
            <w:tcBorders>
              <w:top w:val="nil"/>
              <w:left w:val="nil"/>
              <w:bottom w:val="nil"/>
              <w:right w:val="nil"/>
            </w:tcBorders>
            <w:shd w:val="clear" w:color="auto" w:fill="auto"/>
            <w:vAlign w:val="center"/>
          </w:tcPr>
          <w:p w14:paraId="7980C2D3" w14:textId="2A0CDFD8" w:rsidR="00B56472" w:rsidRPr="0059131C" w:rsidRDefault="00B56472" w:rsidP="00B56472">
            <w:pPr>
              <w:keepNext/>
              <w:keepLines/>
              <w:widowControl w:val="0"/>
              <w:jc w:val="center"/>
              <w:rPr>
                <w:sz w:val="18"/>
                <w:szCs w:val="18"/>
              </w:rPr>
            </w:pPr>
            <w:r w:rsidRPr="0059131C">
              <w:rPr>
                <w:sz w:val="18"/>
                <w:szCs w:val="18"/>
              </w:rPr>
              <w:t>3</w:t>
            </w:r>
          </w:p>
        </w:tc>
        <w:tc>
          <w:tcPr>
            <w:tcW w:w="739" w:type="pct"/>
            <w:tcBorders>
              <w:top w:val="nil"/>
              <w:left w:val="nil"/>
              <w:bottom w:val="nil"/>
              <w:right w:val="nil"/>
            </w:tcBorders>
            <w:shd w:val="clear" w:color="auto" w:fill="auto"/>
            <w:vAlign w:val="center"/>
          </w:tcPr>
          <w:p w14:paraId="5BBF2298" w14:textId="1C177B19" w:rsidR="00B56472" w:rsidRPr="007A7245"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sz w:val="18"/>
                <w:szCs w:val="18"/>
              </w:rPr>
            </w:pPr>
            <w:r>
              <w:rPr>
                <w:sz w:val="18"/>
                <w:szCs w:val="18"/>
              </w:rPr>
              <w:t>1</w:t>
            </w:r>
          </w:p>
        </w:tc>
        <w:tc>
          <w:tcPr>
            <w:tcW w:w="739" w:type="pct"/>
            <w:tcBorders>
              <w:top w:val="nil"/>
              <w:left w:val="nil"/>
              <w:bottom w:val="nil"/>
              <w:right w:val="nil"/>
            </w:tcBorders>
            <w:shd w:val="clear" w:color="auto" w:fill="auto"/>
            <w:vAlign w:val="center"/>
          </w:tcPr>
          <w:p w14:paraId="4E9F0A7E" w14:textId="4BDA1CB0" w:rsidR="00B56472" w:rsidRPr="007A7245" w:rsidRDefault="00B56472" w:rsidP="00B56472">
            <w:pPr>
              <w:keepNext/>
              <w:keepLines/>
              <w:widowControl w:val="0"/>
              <w:jc w:val="center"/>
              <w:rPr>
                <w:sz w:val="18"/>
                <w:szCs w:val="18"/>
              </w:rPr>
            </w:pPr>
            <w:r>
              <w:rPr>
                <w:sz w:val="18"/>
                <w:szCs w:val="18"/>
              </w:rPr>
              <w:t>3</w:t>
            </w:r>
          </w:p>
        </w:tc>
      </w:tr>
      <w:tr w:rsidR="00B56472" w:rsidRPr="0070430A" w14:paraId="342D2A05" w14:textId="77777777" w:rsidTr="00176BA0">
        <w:trPr>
          <w:trHeight w:val="283"/>
          <w:jc w:val="center"/>
        </w:trPr>
        <w:tc>
          <w:tcPr>
            <w:tcW w:w="2042" w:type="pct"/>
            <w:tcBorders>
              <w:top w:val="nil"/>
              <w:left w:val="nil"/>
              <w:bottom w:val="nil"/>
              <w:right w:val="nil"/>
            </w:tcBorders>
            <w:shd w:val="clear" w:color="auto" w:fill="auto"/>
            <w:vAlign w:val="center"/>
            <w:hideMark/>
          </w:tcPr>
          <w:p w14:paraId="15701B89" w14:textId="77777777" w:rsidR="00B56472" w:rsidRPr="002375AD" w:rsidRDefault="00B56472" w:rsidP="00B56472">
            <w:pPr>
              <w:keepNext/>
              <w:keepLines/>
              <w:widowControl w:val="0"/>
              <w:ind w:left="215"/>
              <w:rPr>
                <w:rFonts w:eastAsia="Times New Roman"/>
                <w:sz w:val="18"/>
                <w:szCs w:val="18"/>
              </w:rPr>
            </w:pPr>
            <w:r w:rsidRPr="002375AD">
              <w:rPr>
                <w:rFonts w:eastAsia="Times New Roman"/>
                <w:sz w:val="18"/>
                <w:szCs w:val="18"/>
              </w:rPr>
              <w:t>Técnicos superiores</w:t>
            </w:r>
          </w:p>
        </w:tc>
        <w:tc>
          <w:tcPr>
            <w:tcW w:w="739" w:type="pct"/>
            <w:tcBorders>
              <w:top w:val="nil"/>
              <w:left w:val="nil"/>
              <w:bottom w:val="nil"/>
              <w:right w:val="nil"/>
            </w:tcBorders>
            <w:shd w:val="clear" w:color="auto" w:fill="auto"/>
            <w:vAlign w:val="center"/>
          </w:tcPr>
          <w:p w14:paraId="08DD1051" w14:textId="16B695D2" w:rsidR="00B56472" w:rsidRPr="0059131C" w:rsidRDefault="00B56472" w:rsidP="00B56472">
            <w:pPr>
              <w:keepNext/>
              <w:keepLines/>
              <w:widowControl w:val="0"/>
              <w:jc w:val="center"/>
              <w:rPr>
                <w:sz w:val="18"/>
                <w:szCs w:val="18"/>
              </w:rPr>
            </w:pPr>
            <w:r w:rsidRPr="0059131C">
              <w:rPr>
                <w:sz w:val="18"/>
                <w:szCs w:val="18"/>
              </w:rPr>
              <w:t>5</w:t>
            </w:r>
          </w:p>
        </w:tc>
        <w:tc>
          <w:tcPr>
            <w:tcW w:w="740" w:type="pct"/>
            <w:tcBorders>
              <w:top w:val="nil"/>
              <w:left w:val="nil"/>
              <w:bottom w:val="nil"/>
              <w:right w:val="nil"/>
            </w:tcBorders>
            <w:shd w:val="clear" w:color="auto" w:fill="auto"/>
            <w:vAlign w:val="center"/>
          </w:tcPr>
          <w:p w14:paraId="23C7BA16" w14:textId="58F8DE93" w:rsidR="00B56472" w:rsidRPr="0059131C" w:rsidRDefault="00B56472" w:rsidP="00B56472">
            <w:pPr>
              <w:keepNext/>
              <w:keepLines/>
              <w:widowControl w:val="0"/>
              <w:jc w:val="center"/>
              <w:rPr>
                <w:sz w:val="18"/>
                <w:szCs w:val="18"/>
              </w:rPr>
            </w:pPr>
            <w:r w:rsidRPr="0059131C">
              <w:rPr>
                <w:sz w:val="18"/>
                <w:szCs w:val="18"/>
              </w:rPr>
              <w:t>15</w:t>
            </w:r>
          </w:p>
        </w:tc>
        <w:tc>
          <w:tcPr>
            <w:tcW w:w="739" w:type="pct"/>
            <w:tcBorders>
              <w:top w:val="nil"/>
              <w:left w:val="nil"/>
              <w:bottom w:val="nil"/>
              <w:right w:val="nil"/>
            </w:tcBorders>
            <w:shd w:val="clear" w:color="auto" w:fill="auto"/>
            <w:vAlign w:val="center"/>
          </w:tcPr>
          <w:p w14:paraId="403A9C7C" w14:textId="4A6D9AF4" w:rsidR="00B56472" w:rsidRPr="007A7245" w:rsidRDefault="00B56472" w:rsidP="00B56472">
            <w:pPr>
              <w:keepNext/>
              <w:keepLines/>
              <w:widowControl w:val="0"/>
              <w:jc w:val="center"/>
              <w:rPr>
                <w:sz w:val="18"/>
                <w:szCs w:val="18"/>
              </w:rPr>
            </w:pPr>
            <w:r w:rsidRPr="007A7245">
              <w:rPr>
                <w:sz w:val="18"/>
                <w:szCs w:val="18"/>
              </w:rPr>
              <w:t>5</w:t>
            </w:r>
          </w:p>
        </w:tc>
        <w:tc>
          <w:tcPr>
            <w:tcW w:w="739" w:type="pct"/>
            <w:tcBorders>
              <w:top w:val="nil"/>
              <w:left w:val="nil"/>
              <w:bottom w:val="nil"/>
              <w:right w:val="nil"/>
            </w:tcBorders>
            <w:shd w:val="clear" w:color="auto" w:fill="auto"/>
            <w:vAlign w:val="center"/>
          </w:tcPr>
          <w:p w14:paraId="23920742" w14:textId="14F010F1" w:rsidR="00B56472" w:rsidRPr="007A7245" w:rsidRDefault="00B56472" w:rsidP="00B56472">
            <w:pPr>
              <w:keepNext/>
              <w:keepLines/>
              <w:widowControl w:val="0"/>
              <w:jc w:val="center"/>
              <w:rPr>
                <w:sz w:val="18"/>
                <w:szCs w:val="18"/>
              </w:rPr>
            </w:pPr>
            <w:r w:rsidRPr="007A7245">
              <w:rPr>
                <w:sz w:val="18"/>
                <w:szCs w:val="18"/>
              </w:rPr>
              <w:t>12</w:t>
            </w:r>
          </w:p>
        </w:tc>
      </w:tr>
      <w:tr w:rsidR="00B56472" w:rsidRPr="0070430A" w14:paraId="55AD752C" w14:textId="77777777" w:rsidTr="00176BA0">
        <w:trPr>
          <w:trHeight w:val="283"/>
          <w:jc w:val="center"/>
        </w:trPr>
        <w:tc>
          <w:tcPr>
            <w:tcW w:w="2042" w:type="pct"/>
            <w:tcBorders>
              <w:top w:val="nil"/>
              <w:left w:val="nil"/>
              <w:bottom w:val="nil"/>
              <w:right w:val="nil"/>
            </w:tcBorders>
            <w:shd w:val="clear" w:color="auto" w:fill="auto"/>
            <w:vAlign w:val="center"/>
            <w:hideMark/>
          </w:tcPr>
          <w:p w14:paraId="43B1E0C0" w14:textId="77777777" w:rsidR="00B56472" w:rsidRPr="002375AD" w:rsidRDefault="00B56472" w:rsidP="00B56472">
            <w:pPr>
              <w:keepNext/>
              <w:keepLines/>
              <w:widowControl w:val="0"/>
              <w:ind w:left="215"/>
              <w:rPr>
                <w:rFonts w:eastAsia="Times New Roman"/>
                <w:sz w:val="18"/>
                <w:szCs w:val="18"/>
              </w:rPr>
            </w:pPr>
            <w:r w:rsidRPr="002375AD">
              <w:rPr>
                <w:rFonts w:eastAsia="Times New Roman"/>
                <w:sz w:val="18"/>
                <w:szCs w:val="18"/>
              </w:rPr>
              <w:t>Técnicos medios</w:t>
            </w:r>
          </w:p>
        </w:tc>
        <w:tc>
          <w:tcPr>
            <w:tcW w:w="739" w:type="pct"/>
            <w:tcBorders>
              <w:top w:val="nil"/>
              <w:left w:val="nil"/>
              <w:bottom w:val="nil"/>
              <w:right w:val="nil"/>
            </w:tcBorders>
            <w:shd w:val="clear" w:color="auto" w:fill="auto"/>
            <w:vAlign w:val="center"/>
          </w:tcPr>
          <w:p w14:paraId="1A0804E9" w14:textId="60820404" w:rsidR="00B56472" w:rsidRPr="0059131C" w:rsidRDefault="00B56472" w:rsidP="00B56472">
            <w:pPr>
              <w:keepNext/>
              <w:keepLines/>
              <w:widowControl w:val="0"/>
              <w:jc w:val="center"/>
              <w:rPr>
                <w:sz w:val="18"/>
                <w:szCs w:val="18"/>
              </w:rPr>
            </w:pPr>
            <w:r w:rsidRPr="0059131C">
              <w:rPr>
                <w:sz w:val="18"/>
                <w:szCs w:val="18"/>
              </w:rPr>
              <w:t>3</w:t>
            </w:r>
          </w:p>
        </w:tc>
        <w:tc>
          <w:tcPr>
            <w:tcW w:w="740" w:type="pct"/>
            <w:tcBorders>
              <w:top w:val="nil"/>
              <w:left w:val="nil"/>
              <w:bottom w:val="nil"/>
              <w:right w:val="nil"/>
            </w:tcBorders>
            <w:shd w:val="clear" w:color="auto" w:fill="auto"/>
            <w:vAlign w:val="center"/>
          </w:tcPr>
          <w:p w14:paraId="40B12C58" w14:textId="318286F7" w:rsidR="00B56472" w:rsidRPr="0059131C" w:rsidRDefault="00B56472" w:rsidP="00B56472">
            <w:pPr>
              <w:keepNext/>
              <w:keepLines/>
              <w:widowControl w:val="0"/>
              <w:jc w:val="center"/>
              <w:rPr>
                <w:sz w:val="18"/>
                <w:szCs w:val="18"/>
              </w:rPr>
            </w:pPr>
            <w:r w:rsidRPr="0059131C">
              <w:rPr>
                <w:sz w:val="18"/>
                <w:szCs w:val="18"/>
              </w:rPr>
              <w:t>17</w:t>
            </w:r>
          </w:p>
        </w:tc>
        <w:tc>
          <w:tcPr>
            <w:tcW w:w="739" w:type="pct"/>
            <w:tcBorders>
              <w:top w:val="nil"/>
              <w:left w:val="nil"/>
              <w:bottom w:val="nil"/>
              <w:right w:val="nil"/>
            </w:tcBorders>
            <w:shd w:val="clear" w:color="auto" w:fill="auto"/>
            <w:vAlign w:val="center"/>
          </w:tcPr>
          <w:p w14:paraId="67FF13AB" w14:textId="58588CFD" w:rsidR="00B56472" w:rsidRPr="007A7245" w:rsidRDefault="00B56472" w:rsidP="00B56472">
            <w:pPr>
              <w:keepNext/>
              <w:keepLines/>
              <w:widowControl w:val="0"/>
              <w:jc w:val="center"/>
              <w:rPr>
                <w:sz w:val="18"/>
                <w:szCs w:val="18"/>
              </w:rPr>
            </w:pPr>
            <w:r w:rsidRPr="007A7245">
              <w:rPr>
                <w:sz w:val="18"/>
                <w:szCs w:val="18"/>
              </w:rPr>
              <w:t>2</w:t>
            </w:r>
          </w:p>
        </w:tc>
        <w:tc>
          <w:tcPr>
            <w:tcW w:w="739" w:type="pct"/>
            <w:tcBorders>
              <w:top w:val="nil"/>
              <w:left w:val="nil"/>
              <w:bottom w:val="nil"/>
              <w:right w:val="nil"/>
            </w:tcBorders>
            <w:shd w:val="clear" w:color="auto" w:fill="auto"/>
            <w:vAlign w:val="center"/>
          </w:tcPr>
          <w:p w14:paraId="3FA26FF2" w14:textId="376B4F0B" w:rsidR="00B56472" w:rsidRPr="007A7245" w:rsidRDefault="00B56472" w:rsidP="00B56472">
            <w:pPr>
              <w:keepNext/>
              <w:keepLines/>
              <w:widowControl w:val="0"/>
              <w:jc w:val="center"/>
              <w:rPr>
                <w:sz w:val="18"/>
                <w:szCs w:val="18"/>
              </w:rPr>
            </w:pPr>
            <w:r w:rsidRPr="007A7245">
              <w:rPr>
                <w:sz w:val="18"/>
                <w:szCs w:val="18"/>
              </w:rPr>
              <w:t>17</w:t>
            </w:r>
          </w:p>
        </w:tc>
      </w:tr>
      <w:tr w:rsidR="00B56472" w:rsidRPr="0070430A" w14:paraId="21B38E40" w14:textId="77777777" w:rsidTr="00176BA0">
        <w:trPr>
          <w:trHeight w:val="283"/>
          <w:jc w:val="center"/>
        </w:trPr>
        <w:tc>
          <w:tcPr>
            <w:tcW w:w="2042" w:type="pct"/>
            <w:tcBorders>
              <w:top w:val="nil"/>
              <w:left w:val="nil"/>
              <w:bottom w:val="nil"/>
              <w:right w:val="nil"/>
            </w:tcBorders>
            <w:shd w:val="clear" w:color="auto" w:fill="auto"/>
            <w:vAlign w:val="center"/>
            <w:hideMark/>
          </w:tcPr>
          <w:p w14:paraId="7A750627" w14:textId="77777777" w:rsidR="00B56472" w:rsidRPr="002375AD" w:rsidRDefault="00B56472" w:rsidP="00B56472">
            <w:pPr>
              <w:keepNext/>
              <w:keepLines/>
              <w:widowControl w:val="0"/>
              <w:ind w:left="215"/>
              <w:rPr>
                <w:rFonts w:eastAsia="Times New Roman"/>
                <w:sz w:val="18"/>
                <w:szCs w:val="18"/>
              </w:rPr>
            </w:pPr>
            <w:r w:rsidRPr="002375AD">
              <w:rPr>
                <w:rFonts w:eastAsia="Times New Roman"/>
                <w:sz w:val="18"/>
                <w:szCs w:val="18"/>
              </w:rPr>
              <w:t>Administrativos/Coordinadores</w:t>
            </w:r>
          </w:p>
        </w:tc>
        <w:tc>
          <w:tcPr>
            <w:tcW w:w="739" w:type="pct"/>
            <w:tcBorders>
              <w:top w:val="nil"/>
              <w:left w:val="nil"/>
              <w:bottom w:val="nil"/>
              <w:right w:val="nil"/>
            </w:tcBorders>
            <w:shd w:val="clear" w:color="auto" w:fill="auto"/>
            <w:vAlign w:val="center"/>
          </w:tcPr>
          <w:p w14:paraId="7679F8F5" w14:textId="1788C7F5" w:rsidR="00B56472" w:rsidRPr="0059131C" w:rsidRDefault="00B56472" w:rsidP="00B56472">
            <w:pPr>
              <w:keepNext/>
              <w:keepLines/>
              <w:widowControl w:val="0"/>
              <w:jc w:val="center"/>
              <w:rPr>
                <w:sz w:val="18"/>
                <w:szCs w:val="18"/>
              </w:rPr>
            </w:pPr>
            <w:r w:rsidRPr="0059131C">
              <w:rPr>
                <w:sz w:val="18"/>
                <w:szCs w:val="18"/>
              </w:rPr>
              <w:t>2</w:t>
            </w:r>
          </w:p>
        </w:tc>
        <w:tc>
          <w:tcPr>
            <w:tcW w:w="740" w:type="pct"/>
            <w:tcBorders>
              <w:top w:val="nil"/>
              <w:left w:val="nil"/>
              <w:bottom w:val="nil"/>
              <w:right w:val="nil"/>
            </w:tcBorders>
            <w:shd w:val="clear" w:color="auto" w:fill="auto"/>
            <w:vAlign w:val="center"/>
          </w:tcPr>
          <w:p w14:paraId="4050B355" w14:textId="42CFE251" w:rsidR="00B56472" w:rsidRPr="0059131C" w:rsidRDefault="00B56472" w:rsidP="00B56472">
            <w:pPr>
              <w:keepNext/>
              <w:keepLines/>
              <w:widowControl w:val="0"/>
              <w:jc w:val="center"/>
              <w:rPr>
                <w:sz w:val="18"/>
                <w:szCs w:val="18"/>
              </w:rPr>
            </w:pPr>
            <w:r w:rsidRPr="0059131C">
              <w:rPr>
                <w:sz w:val="18"/>
                <w:szCs w:val="18"/>
              </w:rPr>
              <w:t>7</w:t>
            </w:r>
          </w:p>
        </w:tc>
        <w:tc>
          <w:tcPr>
            <w:tcW w:w="739" w:type="pct"/>
            <w:tcBorders>
              <w:top w:val="nil"/>
              <w:left w:val="nil"/>
              <w:bottom w:val="nil"/>
              <w:right w:val="nil"/>
            </w:tcBorders>
            <w:shd w:val="clear" w:color="auto" w:fill="auto"/>
            <w:vAlign w:val="center"/>
          </w:tcPr>
          <w:p w14:paraId="72FCA61B" w14:textId="4132EC32" w:rsidR="00B56472" w:rsidRPr="007A7245" w:rsidRDefault="00B56472" w:rsidP="00B56472">
            <w:pPr>
              <w:keepNext/>
              <w:keepLines/>
              <w:widowControl w:val="0"/>
              <w:jc w:val="center"/>
              <w:rPr>
                <w:sz w:val="18"/>
                <w:szCs w:val="18"/>
              </w:rPr>
            </w:pPr>
            <w:r w:rsidRPr="007A7245">
              <w:rPr>
                <w:sz w:val="18"/>
                <w:szCs w:val="18"/>
              </w:rPr>
              <w:t>2</w:t>
            </w:r>
          </w:p>
        </w:tc>
        <w:tc>
          <w:tcPr>
            <w:tcW w:w="739" w:type="pct"/>
            <w:tcBorders>
              <w:top w:val="nil"/>
              <w:left w:val="nil"/>
              <w:bottom w:val="nil"/>
              <w:right w:val="nil"/>
            </w:tcBorders>
            <w:shd w:val="clear" w:color="auto" w:fill="auto"/>
            <w:vAlign w:val="center"/>
          </w:tcPr>
          <w:p w14:paraId="617D5F08" w14:textId="5128D985" w:rsidR="00B56472" w:rsidRPr="007A7245" w:rsidRDefault="00B56472" w:rsidP="00B56472">
            <w:pPr>
              <w:keepNext/>
              <w:keepLines/>
              <w:widowControl w:val="0"/>
              <w:jc w:val="center"/>
              <w:rPr>
                <w:sz w:val="18"/>
                <w:szCs w:val="18"/>
              </w:rPr>
            </w:pPr>
            <w:r w:rsidRPr="007A7245">
              <w:rPr>
                <w:sz w:val="18"/>
                <w:szCs w:val="18"/>
              </w:rPr>
              <w:t>10</w:t>
            </w:r>
          </w:p>
        </w:tc>
      </w:tr>
      <w:tr w:rsidR="00B56472" w:rsidRPr="0070430A" w14:paraId="549589B0" w14:textId="77777777" w:rsidTr="00176BA0">
        <w:trPr>
          <w:trHeight w:val="283"/>
          <w:jc w:val="center"/>
        </w:trPr>
        <w:tc>
          <w:tcPr>
            <w:tcW w:w="2042" w:type="pct"/>
            <w:tcBorders>
              <w:top w:val="nil"/>
              <w:left w:val="nil"/>
              <w:bottom w:val="single" w:sz="4" w:space="0" w:color="auto"/>
              <w:right w:val="nil"/>
            </w:tcBorders>
            <w:shd w:val="clear" w:color="auto" w:fill="auto"/>
            <w:vAlign w:val="center"/>
            <w:hideMark/>
          </w:tcPr>
          <w:p w14:paraId="0064E6A6" w14:textId="77777777" w:rsidR="00B56472" w:rsidRPr="002375AD" w:rsidRDefault="00B56472" w:rsidP="00B56472">
            <w:pPr>
              <w:keepNext/>
              <w:keepLines/>
              <w:widowControl w:val="0"/>
              <w:ind w:left="215"/>
              <w:rPr>
                <w:rFonts w:eastAsia="Times New Roman"/>
                <w:sz w:val="18"/>
                <w:szCs w:val="18"/>
              </w:rPr>
            </w:pPr>
            <w:r w:rsidRPr="002375AD">
              <w:rPr>
                <w:rFonts w:eastAsia="Times New Roman"/>
                <w:sz w:val="18"/>
                <w:szCs w:val="18"/>
              </w:rPr>
              <w:t>Otros</w:t>
            </w:r>
          </w:p>
        </w:tc>
        <w:tc>
          <w:tcPr>
            <w:tcW w:w="739" w:type="pct"/>
            <w:tcBorders>
              <w:top w:val="nil"/>
              <w:left w:val="nil"/>
              <w:bottom w:val="single" w:sz="4" w:space="0" w:color="auto"/>
              <w:right w:val="nil"/>
            </w:tcBorders>
            <w:shd w:val="clear" w:color="auto" w:fill="auto"/>
            <w:vAlign w:val="center"/>
          </w:tcPr>
          <w:p w14:paraId="39F12707" w14:textId="3701CF69" w:rsidR="00B56472" w:rsidRPr="0059131C" w:rsidRDefault="00B56472" w:rsidP="00B56472">
            <w:pPr>
              <w:keepNext/>
              <w:keepLines/>
              <w:widowControl w:val="0"/>
              <w:jc w:val="center"/>
              <w:rPr>
                <w:sz w:val="18"/>
                <w:szCs w:val="18"/>
              </w:rPr>
            </w:pPr>
            <w:r w:rsidRPr="0059131C">
              <w:rPr>
                <w:sz w:val="18"/>
                <w:szCs w:val="18"/>
              </w:rPr>
              <w:t>1</w:t>
            </w:r>
          </w:p>
        </w:tc>
        <w:tc>
          <w:tcPr>
            <w:tcW w:w="740" w:type="pct"/>
            <w:tcBorders>
              <w:top w:val="nil"/>
              <w:left w:val="nil"/>
              <w:bottom w:val="single" w:sz="4" w:space="0" w:color="auto"/>
              <w:right w:val="nil"/>
            </w:tcBorders>
            <w:shd w:val="clear" w:color="auto" w:fill="auto"/>
            <w:vAlign w:val="center"/>
          </w:tcPr>
          <w:p w14:paraId="7372FE46" w14:textId="266AA5D4" w:rsidR="00B56472" w:rsidRPr="0059131C" w:rsidRDefault="00B56472" w:rsidP="00B56472">
            <w:pPr>
              <w:keepNext/>
              <w:keepLines/>
              <w:widowControl w:val="0"/>
              <w:jc w:val="center"/>
              <w:rPr>
                <w:sz w:val="18"/>
                <w:szCs w:val="18"/>
              </w:rPr>
            </w:pPr>
            <w:r w:rsidRPr="0059131C">
              <w:rPr>
                <w:sz w:val="18"/>
                <w:szCs w:val="18"/>
              </w:rPr>
              <w:t>-</w:t>
            </w:r>
          </w:p>
        </w:tc>
        <w:tc>
          <w:tcPr>
            <w:tcW w:w="739" w:type="pct"/>
            <w:tcBorders>
              <w:top w:val="nil"/>
              <w:left w:val="nil"/>
              <w:bottom w:val="single" w:sz="4" w:space="0" w:color="auto"/>
              <w:right w:val="nil"/>
            </w:tcBorders>
            <w:shd w:val="clear" w:color="auto" w:fill="auto"/>
            <w:vAlign w:val="center"/>
          </w:tcPr>
          <w:p w14:paraId="1D91BDA4" w14:textId="1EB5F964" w:rsidR="00B56472" w:rsidRPr="007A7245" w:rsidRDefault="00B56472" w:rsidP="00B56472">
            <w:pPr>
              <w:keepNext/>
              <w:keepLines/>
              <w:widowControl w:val="0"/>
              <w:jc w:val="center"/>
              <w:rPr>
                <w:sz w:val="18"/>
                <w:szCs w:val="18"/>
              </w:rPr>
            </w:pPr>
            <w:r w:rsidRPr="007A7245">
              <w:rPr>
                <w:sz w:val="18"/>
                <w:szCs w:val="18"/>
              </w:rPr>
              <w:t>1</w:t>
            </w:r>
          </w:p>
        </w:tc>
        <w:tc>
          <w:tcPr>
            <w:tcW w:w="739" w:type="pct"/>
            <w:tcBorders>
              <w:top w:val="nil"/>
              <w:left w:val="nil"/>
              <w:bottom w:val="single" w:sz="4" w:space="0" w:color="auto"/>
              <w:right w:val="nil"/>
            </w:tcBorders>
            <w:shd w:val="clear" w:color="auto" w:fill="auto"/>
            <w:vAlign w:val="center"/>
          </w:tcPr>
          <w:p w14:paraId="7B24F9F1" w14:textId="50259F43" w:rsidR="00B56472" w:rsidRPr="007A7245" w:rsidRDefault="00B56472" w:rsidP="00B56472">
            <w:pPr>
              <w:keepNext/>
              <w:keepLines/>
              <w:widowControl w:val="0"/>
              <w:jc w:val="center"/>
              <w:rPr>
                <w:sz w:val="18"/>
                <w:szCs w:val="18"/>
              </w:rPr>
            </w:pPr>
            <w:r w:rsidRPr="007A7245">
              <w:rPr>
                <w:sz w:val="18"/>
                <w:szCs w:val="18"/>
              </w:rPr>
              <w:t>1</w:t>
            </w:r>
          </w:p>
        </w:tc>
      </w:tr>
      <w:tr w:rsidR="00B56472" w:rsidRPr="00176BA0" w14:paraId="63EDE037" w14:textId="77777777" w:rsidTr="00176BA0">
        <w:trPr>
          <w:trHeight w:val="283"/>
          <w:jc w:val="center"/>
        </w:trPr>
        <w:tc>
          <w:tcPr>
            <w:tcW w:w="2042" w:type="pct"/>
            <w:tcBorders>
              <w:top w:val="nil"/>
              <w:left w:val="nil"/>
              <w:bottom w:val="single" w:sz="4" w:space="0" w:color="auto"/>
              <w:right w:val="nil"/>
            </w:tcBorders>
            <w:shd w:val="clear" w:color="auto" w:fill="auto"/>
            <w:vAlign w:val="center"/>
            <w:hideMark/>
          </w:tcPr>
          <w:p w14:paraId="07CFF796" w14:textId="77777777" w:rsidR="00B56472" w:rsidRPr="002375AD" w:rsidRDefault="00B56472" w:rsidP="00B56472">
            <w:pPr>
              <w:keepNext/>
              <w:keepLines/>
              <w:widowControl w:val="0"/>
              <w:ind w:left="215"/>
              <w:rPr>
                <w:rFonts w:eastAsia="Times New Roman"/>
                <w:b/>
                <w:sz w:val="18"/>
                <w:szCs w:val="18"/>
              </w:rPr>
            </w:pPr>
            <w:r w:rsidRPr="002375AD">
              <w:rPr>
                <w:rFonts w:eastAsia="Times New Roman"/>
                <w:sz w:val="18"/>
                <w:szCs w:val="18"/>
              </w:rPr>
              <w:t> </w:t>
            </w:r>
            <w:r w:rsidRPr="002375AD">
              <w:rPr>
                <w:rFonts w:eastAsia="Times New Roman"/>
                <w:b/>
                <w:sz w:val="18"/>
                <w:szCs w:val="18"/>
              </w:rPr>
              <w:t>Total</w:t>
            </w:r>
          </w:p>
        </w:tc>
        <w:tc>
          <w:tcPr>
            <w:tcW w:w="739" w:type="pct"/>
            <w:tcBorders>
              <w:top w:val="nil"/>
              <w:left w:val="nil"/>
              <w:bottom w:val="single" w:sz="4" w:space="0" w:color="auto"/>
              <w:right w:val="nil"/>
            </w:tcBorders>
            <w:shd w:val="clear" w:color="auto" w:fill="auto"/>
            <w:vAlign w:val="center"/>
          </w:tcPr>
          <w:p w14:paraId="5059F661" w14:textId="18C5A8DB" w:rsidR="00B56472" w:rsidRPr="0059131C" w:rsidRDefault="00B56472" w:rsidP="00B56472">
            <w:pPr>
              <w:keepNext/>
              <w:keepLines/>
              <w:widowControl w:val="0"/>
              <w:jc w:val="center"/>
              <w:rPr>
                <w:b/>
                <w:bCs/>
                <w:sz w:val="18"/>
                <w:szCs w:val="18"/>
              </w:rPr>
            </w:pPr>
            <w:r w:rsidRPr="0059131C">
              <w:rPr>
                <w:b/>
                <w:bCs/>
                <w:sz w:val="18"/>
                <w:szCs w:val="18"/>
              </w:rPr>
              <w:t>12</w:t>
            </w:r>
          </w:p>
        </w:tc>
        <w:tc>
          <w:tcPr>
            <w:tcW w:w="740" w:type="pct"/>
            <w:tcBorders>
              <w:top w:val="nil"/>
              <w:left w:val="nil"/>
              <w:bottom w:val="single" w:sz="4" w:space="0" w:color="auto"/>
              <w:right w:val="nil"/>
            </w:tcBorders>
            <w:shd w:val="clear" w:color="auto" w:fill="auto"/>
            <w:vAlign w:val="center"/>
          </w:tcPr>
          <w:p w14:paraId="264DCC9E" w14:textId="772F05AD" w:rsidR="00B56472" w:rsidRPr="0059131C" w:rsidRDefault="00B56472" w:rsidP="00B56472">
            <w:pPr>
              <w:keepNext/>
              <w:keepLines/>
              <w:widowControl w:val="0"/>
              <w:jc w:val="center"/>
              <w:rPr>
                <w:b/>
                <w:bCs/>
                <w:sz w:val="18"/>
                <w:szCs w:val="18"/>
              </w:rPr>
            </w:pPr>
            <w:r w:rsidRPr="0059131C">
              <w:rPr>
                <w:b/>
                <w:bCs/>
                <w:sz w:val="18"/>
                <w:szCs w:val="18"/>
              </w:rPr>
              <w:t>42</w:t>
            </w:r>
          </w:p>
        </w:tc>
        <w:tc>
          <w:tcPr>
            <w:tcW w:w="739" w:type="pct"/>
            <w:tcBorders>
              <w:top w:val="nil"/>
              <w:left w:val="nil"/>
              <w:bottom w:val="single" w:sz="4" w:space="0" w:color="auto"/>
              <w:right w:val="nil"/>
            </w:tcBorders>
            <w:shd w:val="clear" w:color="auto" w:fill="auto"/>
            <w:vAlign w:val="center"/>
          </w:tcPr>
          <w:p w14:paraId="11AF9A06" w14:textId="2D741E06" w:rsidR="00B56472" w:rsidRPr="007A7245" w:rsidRDefault="00B56472" w:rsidP="00B56472">
            <w:pPr>
              <w:keepNext/>
              <w:keepLines/>
              <w:widowControl w:val="0"/>
              <w:jc w:val="center"/>
              <w:rPr>
                <w:b/>
                <w:bCs/>
                <w:sz w:val="18"/>
                <w:szCs w:val="18"/>
              </w:rPr>
            </w:pPr>
            <w:r w:rsidRPr="007A7245">
              <w:rPr>
                <w:b/>
                <w:bCs/>
                <w:sz w:val="18"/>
                <w:szCs w:val="18"/>
              </w:rPr>
              <w:t>12</w:t>
            </w:r>
          </w:p>
        </w:tc>
        <w:tc>
          <w:tcPr>
            <w:tcW w:w="739" w:type="pct"/>
            <w:tcBorders>
              <w:top w:val="nil"/>
              <w:left w:val="nil"/>
              <w:bottom w:val="single" w:sz="4" w:space="0" w:color="auto"/>
              <w:right w:val="nil"/>
            </w:tcBorders>
            <w:shd w:val="clear" w:color="auto" w:fill="auto"/>
            <w:vAlign w:val="center"/>
          </w:tcPr>
          <w:p w14:paraId="18B49CBE" w14:textId="413D94C5" w:rsidR="00B56472" w:rsidRPr="007A7245" w:rsidRDefault="00B56472" w:rsidP="00B56472">
            <w:pPr>
              <w:keepNext/>
              <w:keepLines/>
              <w:widowControl w:val="0"/>
              <w:jc w:val="center"/>
              <w:rPr>
                <w:b/>
                <w:bCs/>
                <w:sz w:val="18"/>
                <w:szCs w:val="18"/>
              </w:rPr>
            </w:pPr>
            <w:r w:rsidRPr="007A7245">
              <w:rPr>
                <w:b/>
                <w:bCs/>
                <w:sz w:val="18"/>
                <w:szCs w:val="18"/>
              </w:rPr>
              <w:t>43</w:t>
            </w:r>
          </w:p>
        </w:tc>
      </w:tr>
    </w:tbl>
    <w:p w14:paraId="37BF8ADA" w14:textId="375DFF59" w:rsidR="006220A2" w:rsidRPr="00176BA0" w:rsidRDefault="006220A2" w:rsidP="00064105">
      <w:pPr>
        <w:widowControl w:val="0"/>
        <w:spacing w:before="120" w:after="120" w:line="260" w:lineRule="exact"/>
        <w:jc w:val="both"/>
        <w:outlineLvl w:val="9"/>
        <w:rPr>
          <w:snapToGrid w:val="0"/>
          <w:sz w:val="20"/>
          <w:szCs w:val="22"/>
        </w:rPr>
      </w:pPr>
      <w:r w:rsidRPr="00176BA0">
        <w:rPr>
          <w:snapToGrid w:val="0"/>
          <w:sz w:val="20"/>
          <w:szCs w:val="22"/>
        </w:rPr>
        <w:t>El total de empleados medios del ejercicio 20</w:t>
      </w:r>
      <w:r w:rsidR="00322E9D" w:rsidRPr="00176BA0">
        <w:rPr>
          <w:snapToGrid w:val="0"/>
          <w:sz w:val="20"/>
          <w:szCs w:val="22"/>
        </w:rPr>
        <w:t>2</w:t>
      </w:r>
      <w:r w:rsidR="0070430A">
        <w:rPr>
          <w:snapToGrid w:val="0"/>
          <w:sz w:val="20"/>
          <w:szCs w:val="22"/>
        </w:rPr>
        <w:t>3</w:t>
      </w:r>
      <w:r w:rsidRPr="00176BA0">
        <w:rPr>
          <w:snapToGrid w:val="0"/>
          <w:sz w:val="20"/>
          <w:szCs w:val="22"/>
        </w:rPr>
        <w:t xml:space="preserve"> ascendió </w:t>
      </w:r>
      <w:r w:rsidR="009E1CF7" w:rsidRPr="00176BA0">
        <w:rPr>
          <w:snapToGrid w:val="0"/>
          <w:sz w:val="20"/>
          <w:szCs w:val="22"/>
        </w:rPr>
        <w:t xml:space="preserve">a </w:t>
      </w:r>
      <w:r w:rsidR="00910001">
        <w:rPr>
          <w:snapToGrid w:val="0"/>
          <w:sz w:val="20"/>
          <w:szCs w:val="22"/>
        </w:rPr>
        <w:t>5</w:t>
      </w:r>
      <w:r w:rsidR="0070430A">
        <w:rPr>
          <w:snapToGrid w:val="0"/>
          <w:sz w:val="20"/>
          <w:szCs w:val="22"/>
        </w:rPr>
        <w:t>4</w:t>
      </w:r>
      <w:r w:rsidR="00E721DC" w:rsidRPr="00176BA0">
        <w:rPr>
          <w:snapToGrid w:val="0"/>
          <w:sz w:val="20"/>
          <w:szCs w:val="22"/>
        </w:rPr>
        <w:t xml:space="preserve"> </w:t>
      </w:r>
      <w:r w:rsidR="00A14949" w:rsidRPr="00176BA0">
        <w:rPr>
          <w:snapToGrid w:val="0"/>
          <w:sz w:val="20"/>
          <w:szCs w:val="22"/>
        </w:rPr>
        <w:t>(</w:t>
      </w:r>
      <w:r w:rsidR="00910001">
        <w:rPr>
          <w:snapToGrid w:val="0"/>
          <w:sz w:val="20"/>
          <w:szCs w:val="22"/>
        </w:rPr>
        <w:t>5</w:t>
      </w:r>
      <w:r w:rsidR="0070430A">
        <w:rPr>
          <w:snapToGrid w:val="0"/>
          <w:sz w:val="20"/>
          <w:szCs w:val="22"/>
        </w:rPr>
        <w:t>5</w:t>
      </w:r>
      <w:r w:rsidR="00A14949" w:rsidRPr="00176BA0">
        <w:rPr>
          <w:snapToGrid w:val="0"/>
          <w:sz w:val="20"/>
          <w:szCs w:val="22"/>
        </w:rPr>
        <w:t xml:space="preserve"> en </w:t>
      </w:r>
      <w:r w:rsidR="00954AA6">
        <w:rPr>
          <w:snapToGrid w:val="0"/>
          <w:sz w:val="20"/>
          <w:szCs w:val="22"/>
        </w:rPr>
        <w:t>el ejercicio anterior</w:t>
      </w:r>
      <w:r w:rsidRPr="00176BA0">
        <w:rPr>
          <w:snapToGrid w:val="0"/>
          <w:sz w:val="20"/>
          <w:szCs w:val="22"/>
        </w:rPr>
        <w:t xml:space="preserve">). </w:t>
      </w:r>
    </w:p>
    <w:p w14:paraId="4A3EA41D" w14:textId="77777777" w:rsidR="006220A2" w:rsidRPr="00176BA0" w:rsidRDefault="006220A2" w:rsidP="00064105">
      <w:pPr>
        <w:widowControl w:val="0"/>
        <w:spacing w:before="120" w:after="120" w:line="260" w:lineRule="exact"/>
        <w:jc w:val="both"/>
        <w:outlineLvl w:val="9"/>
        <w:rPr>
          <w:snapToGrid w:val="0"/>
          <w:sz w:val="20"/>
          <w:szCs w:val="22"/>
        </w:rPr>
      </w:pPr>
      <w:r w:rsidRPr="00176BA0">
        <w:rPr>
          <w:snapToGrid w:val="0"/>
          <w:sz w:val="20"/>
          <w:szCs w:val="22"/>
        </w:rPr>
        <w:t xml:space="preserve">Incluidas en el cuadro anterior, el desglose de las personas empleadas en el curso del ejercicio con discapacidad mayor o igual del 33% por categorías, es el siguiente: </w:t>
      </w:r>
    </w:p>
    <w:tbl>
      <w:tblPr>
        <w:tblW w:w="5001" w:type="pct"/>
        <w:jc w:val="center"/>
        <w:tblCellMar>
          <w:left w:w="70" w:type="dxa"/>
          <w:right w:w="70" w:type="dxa"/>
        </w:tblCellMar>
        <w:tblLook w:val="04A0" w:firstRow="1" w:lastRow="0" w:firstColumn="1" w:lastColumn="0" w:noHBand="0" w:noVBand="1"/>
      </w:tblPr>
      <w:tblGrid>
        <w:gridCol w:w="4983"/>
        <w:gridCol w:w="1901"/>
        <w:gridCol w:w="1899"/>
      </w:tblGrid>
      <w:tr w:rsidR="007A7245" w:rsidRPr="007A7245" w14:paraId="2DCE7CA8" w14:textId="77777777" w:rsidTr="007A7245">
        <w:trPr>
          <w:trHeight w:val="283"/>
          <w:jc w:val="center"/>
        </w:trPr>
        <w:tc>
          <w:tcPr>
            <w:tcW w:w="2837" w:type="pct"/>
            <w:tcBorders>
              <w:top w:val="single" w:sz="4" w:space="0" w:color="auto"/>
              <w:left w:val="nil"/>
              <w:bottom w:val="single" w:sz="4" w:space="0" w:color="auto"/>
              <w:right w:val="nil"/>
            </w:tcBorders>
            <w:shd w:val="clear" w:color="auto" w:fill="auto"/>
            <w:vAlign w:val="bottom"/>
            <w:hideMark/>
          </w:tcPr>
          <w:p w14:paraId="602ABAFC" w14:textId="77777777" w:rsidR="007A7245" w:rsidRPr="007A7245" w:rsidRDefault="007A7245" w:rsidP="007A7245">
            <w:pPr>
              <w:keepNext/>
              <w:keepLines/>
              <w:ind w:left="215"/>
              <w:jc w:val="center"/>
              <w:rPr>
                <w:rFonts w:eastAsia="Times New Roman"/>
                <w:b/>
                <w:bCs/>
                <w:sz w:val="18"/>
                <w:szCs w:val="18"/>
              </w:rPr>
            </w:pPr>
            <w:r w:rsidRPr="007A7245">
              <w:rPr>
                <w:rFonts w:eastAsia="Times New Roman"/>
                <w:b/>
                <w:bCs/>
                <w:sz w:val="18"/>
                <w:szCs w:val="18"/>
              </w:rPr>
              <w:t>Categoría</w:t>
            </w:r>
          </w:p>
        </w:tc>
        <w:tc>
          <w:tcPr>
            <w:tcW w:w="1082" w:type="pct"/>
            <w:tcBorders>
              <w:top w:val="single" w:sz="4" w:space="0" w:color="auto"/>
              <w:left w:val="nil"/>
              <w:bottom w:val="single" w:sz="4" w:space="0" w:color="auto"/>
              <w:right w:val="nil"/>
            </w:tcBorders>
            <w:shd w:val="clear" w:color="auto" w:fill="auto"/>
            <w:vAlign w:val="bottom"/>
            <w:hideMark/>
          </w:tcPr>
          <w:p w14:paraId="62543634" w14:textId="0D4C7FC2" w:rsidR="007A7245" w:rsidRPr="007A7245" w:rsidRDefault="007A7245" w:rsidP="007A7245">
            <w:pPr>
              <w:keepNext/>
              <w:keepLines/>
              <w:jc w:val="center"/>
              <w:rPr>
                <w:rFonts w:eastAsia="Times New Roman"/>
                <w:b/>
                <w:bCs/>
                <w:sz w:val="18"/>
                <w:szCs w:val="18"/>
              </w:rPr>
            </w:pPr>
            <w:r w:rsidRPr="007A7245">
              <w:rPr>
                <w:rFonts w:eastAsia="Times New Roman"/>
                <w:b/>
                <w:bCs/>
                <w:sz w:val="18"/>
                <w:szCs w:val="18"/>
              </w:rPr>
              <w:t>2023</w:t>
            </w:r>
          </w:p>
        </w:tc>
        <w:tc>
          <w:tcPr>
            <w:tcW w:w="1081" w:type="pct"/>
            <w:tcBorders>
              <w:top w:val="single" w:sz="4" w:space="0" w:color="auto"/>
              <w:left w:val="nil"/>
              <w:bottom w:val="single" w:sz="4" w:space="0" w:color="auto"/>
              <w:right w:val="nil"/>
            </w:tcBorders>
            <w:vAlign w:val="bottom"/>
          </w:tcPr>
          <w:p w14:paraId="3F7CAD13" w14:textId="651D93CE" w:rsidR="007A7245" w:rsidRPr="007A7245" w:rsidRDefault="007A7245" w:rsidP="007A7245">
            <w:pPr>
              <w:keepNext/>
              <w:keepLines/>
              <w:jc w:val="center"/>
              <w:rPr>
                <w:rFonts w:eastAsia="Times New Roman"/>
                <w:b/>
                <w:bCs/>
                <w:sz w:val="18"/>
                <w:szCs w:val="18"/>
              </w:rPr>
            </w:pPr>
            <w:r w:rsidRPr="007A7245">
              <w:rPr>
                <w:rFonts w:eastAsia="Times New Roman"/>
                <w:b/>
                <w:bCs/>
                <w:sz w:val="18"/>
                <w:szCs w:val="18"/>
              </w:rPr>
              <w:t>2022</w:t>
            </w:r>
          </w:p>
        </w:tc>
      </w:tr>
      <w:tr w:rsidR="007A7245" w:rsidRPr="007A7245" w14:paraId="6F5B66F7" w14:textId="77777777" w:rsidTr="007A7245">
        <w:trPr>
          <w:trHeight w:val="283"/>
          <w:jc w:val="center"/>
        </w:trPr>
        <w:tc>
          <w:tcPr>
            <w:tcW w:w="2837" w:type="pct"/>
            <w:tcBorders>
              <w:top w:val="nil"/>
              <w:left w:val="nil"/>
              <w:bottom w:val="nil"/>
              <w:right w:val="nil"/>
            </w:tcBorders>
            <w:shd w:val="clear" w:color="auto" w:fill="auto"/>
            <w:vAlign w:val="center"/>
            <w:hideMark/>
          </w:tcPr>
          <w:p w14:paraId="659102FC" w14:textId="77777777" w:rsidR="007A7245" w:rsidRPr="007A7245" w:rsidRDefault="007A7245" w:rsidP="007A7245">
            <w:pPr>
              <w:keepNext/>
              <w:keepLines/>
              <w:ind w:left="215"/>
              <w:rPr>
                <w:rFonts w:eastAsia="Times New Roman"/>
                <w:sz w:val="18"/>
                <w:szCs w:val="18"/>
              </w:rPr>
            </w:pPr>
            <w:r w:rsidRPr="007A7245">
              <w:rPr>
                <w:rFonts w:eastAsia="Times New Roman"/>
                <w:sz w:val="18"/>
                <w:szCs w:val="18"/>
              </w:rPr>
              <w:t>Técnicos medios</w:t>
            </w:r>
          </w:p>
        </w:tc>
        <w:tc>
          <w:tcPr>
            <w:tcW w:w="1082" w:type="pct"/>
            <w:tcBorders>
              <w:top w:val="nil"/>
              <w:left w:val="nil"/>
              <w:bottom w:val="nil"/>
              <w:right w:val="nil"/>
            </w:tcBorders>
            <w:shd w:val="clear" w:color="auto" w:fill="auto"/>
            <w:vAlign w:val="center"/>
            <w:hideMark/>
          </w:tcPr>
          <w:p w14:paraId="072C621B" w14:textId="77777777" w:rsidR="007A7245" w:rsidRPr="007A7245" w:rsidRDefault="007A7245" w:rsidP="007A7245">
            <w:pPr>
              <w:keepNext/>
              <w:keepLines/>
              <w:jc w:val="center"/>
              <w:rPr>
                <w:rFonts w:eastAsia="Times New Roman"/>
                <w:sz w:val="18"/>
                <w:szCs w:val="18"/>
              </w:rPr>
            </w:pPr>
            <w:r w:rsidRPr="007A7245">
              <w:rPr>
                <w:rFonts w:eastAsia="Times New Roman"/>
                <w:sz w:val="18"/>
                <w:szCs w:val="18"/>
              </w:rPr>
              <w:t>1</w:t>
            </w:r>
          </w:p>
        </w:tc>
        <w:tc>
          <w:tcPr>
            <w:tcW w:w="1081" w:type="pct"/>
            <w:tcBorders>
              <w:top w:val="nil"/>
              <w:left w:val="nil"/>
              <w:bottom w:val="nil"/>
              <w:right w:val="nil"/>
            </w:tcBorders>
            <w:vAlign w:val="center"/>
          </w:tcPr>
          <w:p w14:paraId="3A677AE5" w14:textId="3ABC255F" w:rsidR="007A7245" w:rsidRPr="007A7245" w:rsidRDefault="007A7245" w:rsidP="007A7245">
            <w:pPr>
              <w:keepNext/>
              <w:keepLines/>
              <w:jc w:val="center"/>
              <w:rPr>
                <w:rFonts w:eastAsia="Times New Roman"/>
                <w:sz w:val="18"/>
                <w:szCs w:val="18"/>
              </w:rPr>
            </w:pPr>
            <w:r w:rsidRPr="007A7245">
              <w:rPr>
                <w:rFonts w:eastAsia="Times New Roman"/>
                <w:sz w:val="18"/>
                <w:szCs w:val="18"/>
              </w:rPr>
              <w:t>1</w:t>
            </w:r>
          </w:p>
        </w:tc>
      </w:tr>
      <w:tr w:rsidR="007A7245" w:rsidRPr="007A7245" w14:paraId="5F74C10A" w14:textId="77777777" w:rsidTr="007A7245">
        <w:trPr>
          <w:trHeight w:val="283"/>
          <w:jc w:val="center"/>
        </w:trPr>
        <w:tc>
          <w:tcPr>
            <w:tcW w:w="2837" w:type="pct"/>
            <w:tcBorders>
              <w:top w:val="single" w:sz="4" w:space="0" w:color="auto"/>
              <w:left w:val="nil"/>
              <w:bottom w:val="single" w:sz="4" w:space="0" w:color="auto"/>
              <w:right w:val="nil"/>
            </w:tcBorders>
            <w:shd w:val="clear" w:color="auto" w:fill="auto"/>
            <w:vAlign w:val="center"/>
            <w:hideMark/>
          </w:tcPr>
          <w:p w14:paraId="208A1588" w14:textId="77777777" w:rsidR="007A7245" w:rsidRPr="007A7245" w:rsidRDefault="007A7245" w:rsidP="007A7245">
            <w:pPr>
              <w:ind w:left="215"/>
              <w:rPr>
                <w:rFonts w:eastAsia="Times New Roman"/>
                <w:b/>
                <w:sz w:val="18"/>
                <w:szCs w:val="18"/>
              </w:rPr>
            </w:pPr>
            <w:r w:rsidRPr="007A7245">
              <w:rPr>
                <w:rFonts w:eastAsia="Times New Roman"/>
                <w:sz w:val="18"/>
                <w:szCs w:val="18"/>
              </w:rPr>
              <w:t> </w:t>
            </w:r>
            <w:r w:rsidRPr="007A7245">
              <w:rPr>
                <w:rFonts w:eastAsia="Times New Roman"/>
                <w:b/>
                <w:sz w:val="18"/>
                <w:szCs w:val="18"/>
              </w:rPr>
              <w:t>Total</w:t>
            </w:r>
          </w:p>
        </w:tc>
        <w:tc>
          <w:tcPr>
            <w:tcW w:w="1082" w:type="pct"/>
            <w:tcBorders>
              <w:top w:val="single" w:sz="4" w:space="0" w:color="auto"/>
              <w:left w:val="nil"/>
              <w:bottom w:val="single" w:sz="4" w:space="0" w:color="auto"/>
              <w:right w:val="nil"/>
            </w:tcBorders>
            <w:shd w:val="clear" w:color="auto" w:fill="auto"/>
            <w:vAlign w:val="center"/>
            <w:hideMark/>
          </w:tcPr>
          <w:p w14:paraId="6C68C95C" w14:textId="77777777" w:rsidR="007A7245" w:rsidRPr="007A7245" w:rsidRDefault="007A7245" w:rsidP="007A7245">
            <w:pPr>
              <w:jc w:val="center"/>
              <w:rPr>
                <w:rFonts w:eastAsia="Times New Roman"/>
                <w:b/>
                <w:bCs/>
                <w:sz w:val="18"/>
                <w:szCs w:val="18"/>
              </w:rPr>
            </w:pPr>
            <w:r w:rsidRPr="007A7245">
              <w:rPr>
                <w:rFonts w:eastAsia="Times New Roman"/>
                <w:b/>
                <w:bCs/>
                <w:sz w:val="18"/>
                <w:szCs w:val="18"/>
              </w:rPr>
              <w:t>1</w:t>
            </w:r>
          </w:p>
        </w:tc>
        <w:tc>
          <w:tcPr>
            <w:tcW w:w="1081" w:type="pct"/>
            <w:tcBorders>
              <w:top w:val="single" w:sz="4" w:space="0" w:color="auto"/>
              <w:left w:val="nil"/>
              <w:bottom w:val="single" w:sz="4" w:space="0" w:color="auto"/>
              <w:right w:val="nil"/>
            </w:tcBorders>
            <w:vAlign w:val="center"/>
          </w:tcPr>
          <w:p w14:paraId="4378BB58" w14:textId="5EF277B0" w:rsidR="007A7245" w:rsidRPr="007A7245" w:rsidRDefault="007A7245" w:rsidP="007A7245">
            <w:pPr>
              <w:jc w:val="center"/>
              <w:rPr>
                <w:rFonts w:eastAsia="Times New Roman"/>
                <w:b/>
                <w:bCs/>
                <w:sz w:val="18"/>
                <w:szCs w:val="18"/>
              </w:rPr>
            </w:pPr>
            <w:r w:rsidRPr="007A7245">
              <w:rPr>
                <w:rFonts w:eastAsia="Times New Roman"/>
                <w:b/>
                <w:bCs/>
                <w:sz w:val="18"/>
                <w:szCs w:val="18"/>
              </w:rPr>
              <w:t>1</w:t>
            </w:r>
          </w:p>
        </w:tc>
      </w:tr>
    </w:tbl>
    <w:p w14:paraId="1D1E8D7A" w14:textId="77777777" w:rsidR="006220A2" w:rsidRPr="00B47627" w:rsidRDefault="006220A2" w:rsidP="00064105">
      <w:pPr>
        <w:widowControl w:val="0"/>
        <w:spacing w:before="120" w:after="120" w:line="260" w:lineRule="exact"/>
        <w:jc w:val="both"/>
        <w:outlineLvl w:val="9"/>
        <w:rPr>
          <w:snapToGrid w:val="0"/>
          <w:sz w:val="20"/>
          <w:szCs w:val="22"/>
        </w:rPr>
      </w:pPr>
      <w:r w:rsidRPr="00B47627">
        <w:rPr>
          <w:snapToGrid w:val="0"/>
          <w:sz w:val="20"/>
          <w:szCs w:val="22"/>
        </w:rPr>
        <w:t>El número de empleados al cierre del ejercicio en curso distribuido por categorías y sexo es el siguiente:</w:t>
      </w:r>
    </w:p>
    <w:tbl>
      <w:tblPr>
        <w:tblW w:w="5000" w:type="pct"/>
        <w:jc w:val="center"/>
        <w:tblCellMar>
          <w:left w:w="70" w:type="dxa"/>
          <w:right w:w="70" w:type="dxa"/>
        </w:tblCellMar>
        <w:tblLook w:val="04A0" w:firstRow="1" w:lastRow="0" w:firstColumn="1" w:lastColumn="0" w:noHBand="0" w:noVBand="1"/>
      </w:tblPr>
      <w:tblGrid>
        <w:gridCol w:w="3585"/>
        <w:gridCol w:w="1298"/>
        <w:gridCol w:w="1300"/>
        <w:gridCol w:w="1298"/>
        <w:gridCol w:w="1300"/>
      </w:tblGrid>
      <w:tr w:rsidR="000612E0" w:rsidRPr="00B47627" w14:paraId="7E5FFCC3" w14:textId="77777777" w:rsidTr="00176BA0">
        <w:trPr>
          <w:trHeight w:val="283"/>
          <w:jc w:val="center"/>
        </w:trPr>
        <w:tc>
          <w:tcPr>
            <w:tcW w:w="2041" w:type="pct"/>
            <w:tcBorders>
              <w:top w:val="single" w:sz="4" w:space="0" w:color="auto"/>
              <w:left w:val="nil"/>
              <w:bottom w:val="nil"/>
              <w:right w:val="nil"/>
            </w:tcBorders>
            <w:shd w:val="clear" w:color="auto" w:fill="auto"/>
            <w:vAlign w:val="bottom"/>
            <w:hideMark/>
          </w:tcPr>
          <w:p w14:paraId="382649ED" w14:textId="77777777" w:rsidR="000612E0" w:rsidRPr="00B47627" w:rsidRDefault="000612E0" w:rsidP="00176BA0">
            <w:pPr>
              <w:keepNext/>
              <w:keepLines/>
              <w:widowControl w:val="0"/>
              <w:ind w:left="215"/>
              <w:jc w:val="center"/>
              <w:rPr>
                <w:rFonts w:eastAsia="Times New Roman"/>
                <w:sz w:val="18"/>
                <w:szCs w:val="18"/>
              </w:rPr>
            </w:pPr>
          </w:p>
        </w:tc>
        <w:tc>
          <w:tcPr>
            <w:tcW w:w="1479" w:type="pct"/>
            <w:gridSpan w:val="2"/>
            <w:tcBorders>
              <w:top w:val="single" w:sz="4" w:space="0" w:color="auto"/>
              <w:left w:val="nil"/>
              <w:bottom w:val="single" w:sz="4" w:space="0" w:color="auto"/>
              <w:right w:val="nil"/>
            </w:tcBorders>
            <w:shd w:val="clear" w:color="auto" w:fill="auto"/>
            <w:vAlign w:val="bottom"/>
            <w:hideMark/>
          </w:tcPr>
          <w:p w14:paraId="2FEEE350" w14:textId="5D14808C" w:rsidR="000612E0" w:rsidRPr="00B47627" w:rsidRDefault="000612E0" w:rsidP="000612E0">
            <w:pPr>
              <w:keepNext/>
              <w:keepLines/>
              <w:widowControl w:val="0"/>
              <w:jc w:val="center"/>
              <w:rPr>
                <w:rFonts w:eastAsia="Times New Roman"/>
                <w:b/>
                <w:bCs/>
                <w:sz w:val="18"/>
                <w:szCs w:val="18"/>
              </w:rPr>
            </w:pPr>
            <w:r w:rsidRPr="00B47627">
              <w:rPr>
                <w:rFonts w:eastAsia="Times New Roman"/>
                <w:b/>
                <w:bCs/>
                <w:sz w:val="18"/>
                <w:szCs w:val="18"/>
              </w:rPr>
              <w:t>31/12/202</w:t>
            </w:r>
            <w:r w:rsidR="007A7245" w:rsidRPr="00B47627">
              <w:rPr>
                <w:rFonts w:eastAsia="Times New Roman"/>
                <w:b/>
                <w:bCs/>
                <w:sz w:val="18"/>
                <w:szCs w:val="18"/>
              </w:rPr>
              <w:t>3</w:t>
            </w:r>
          </w:p>
        </w:tc>
        <w:tc>
          <w:tcPr>
            <w:tcW w:w="1479" w:type="pct"/>
            <w:gridSpan w:val="2"/>
            <w:tcBorders>
              <w:top w:val="single" w:sz="4" w:space="0" w:color="auto"/>
              <w:left w:val="nil"/>
              <w:bottom w:val="single" w:sz="4" w:space="0" w:color="auto"/>
              <w:right w:val="nil"/>
            </w:tcBorders>
            <w:shd w:val="clear" w:color="auto" w:fill="auto"/>
            <w:vAlign w:val="bottom"/>
            <w:hideMark/>
          </w:tcPr>
          <w:p w14:paraId="7A934236" w14:textId="4C5E7702" w:rsidR="000612E0" w:rsidRPr="00B47627" w:rsidRDefault="000612E0" w:rsidP="000612E0">
            <w:pPr>
              <w:keepNext/>
              <w:keepLines/>
              <w:widowControl w:val="0"/>
              <w:jc w:val="center"/>
              <w:rPr>
                <w:rFonts w:eastAsia="Times New Roman"/>
                <w:b/>
                <w:bCs/>
                <w:sz w:val="18"/>
                <w:szCs w:val="18"/>
              </w:rPr>
            </w:pPr>
            <w:r w:rsidRPr="00B47627">
              <w:rPr>
                <w:rFonts w:eastAsia="Times New Roman"/>
                <w:b/>
                <w:bCs/>
                <w:sz w:val="18"/>
                <w:szCs w:val="18"/>
              </w:rPr>
              <w:t>31/12/20</w:t>
            </w:r>
            <w:r w:rsidR="00F80C42" w:rsidRPr="00B47627">
              <w:rPr>
                <w:rFonts w:eastAsia="Times New Roman"/>
                <w:b/>
                <w:bCs/>
                <w:sz w:val="18"/>
                <w:szCs w:val="18"/>
              </w:rPr>
              <w:t>2</w:t>
            </w:r>
            <w:r w:rsidR="00F75CC0" w:rsidRPr="00B47627">
              <w:rPr>
                <w:rFonts w:eastAsia="Times New Roman"/>
                <w:b/>
                <w:bCs/>
                <w:sz w:val="18"/>
                <w:szCs w:val="18"/>
              </w:rPr>
              <w:t>2</w:t>
            </w:r>
          </w:p>
        </w:tc>
      </w:tr>
      <w:tr w:rsidR="000612E0" w:rsidRPr="00B47627" w14:paraId="296FD789" w14:textId="77777777" w:rsidTr="00176BA0">
        <w:trPr>
          <w:trHeight w:val="283"/>
          <w:jc w:val="center"/>
        </w:trPr>
        <w:tc>
          <w:tcPr>
            <w:tcW w:w="2041" w:type="pct"/>
            <w:tcBorders>
              <w:top w:val="nil"/>
              <w:left w:val="nil"/>
              <w:bottom w:val="single" w:sz="4" w:space="0" w:color="auto"/>
              <w:right w:val="nil"/>
            </w:tcBorders>
            <w:shd w:val="clear" w:color="auto" w:fill="auto"/>
            <w:vAlign w:val="bottom"/>
            <w:hideMark/>
          </w:tcPr>
          <w:p w14:paraId="4370BB74" w14:textId="77777777" w:rsidR="000612E0" w:rsidRPr="00B47627" w:rsidRDefault="000612E0" w:rsidP="00176BA0">
            <w:pPr>
              <w:keepNext/>
              <w:keepLines/>
              <w:widowControl w:val="0"/>
              <w:ind w:left="215"/>
              <w:jc w:val="center"/>
              <w:rPr>
                <w:rFonts w:eastAsia="Times New Roman"/>
                <w:b/>
                <w:bCs/>
                <w:sz w:val="18"/>
                <w:szCs w:val="18"/>
              </w:rPr>
            </w:pPr>
            <w:r w:rsidRPr="00B47627">
              <w:rPr>
                <w:rFonts w:eastAsia="Times New Roman"/>
                <w:b/>
                <w:bCs/>
                <w:sz w:val="18"/>
                <w:szCs w:val="18"/>
              </w:rPr>
              <w:t>Categoría</w:t>
            </w:r>
          </w:p>
        </w:tc>
        <w:tc>
          <w:tcPr>
            <w:tcW w:w="739" w:type="pct"/>
            <w:tcBorders>
              <w:top w:val="nil"/>
              <w:left w:val="nil"/>
              <w:bottom w:val="single" w:sz="4" w:space="0" w:color="auto"/>
              <w:right w:val="nil"/>
            </w:tcBorders>
            <w:shd w:val="clear" w:color="auto" w:fill="auto"/>
            <w:vAlign w:val="bottom"/>
            <w:hideMark/>
          </w:tcPr>
          <w:p w14:paraId="56D4194C" w14:textId="77777777" w:rsidR="000612E0" w:rsidRPr="00B47627" w:rsidRDefault="000612E0" w:rsidP="000612E0">
            <w:pPr>
              <w:keepNext/>
              <w:keepLines/>
              <w:widowControl w:val="0"/>
              <w:jc w:val="center"/>
              <w:rPr>
                <w:rFonts w:eastAsia="Times New Roman"/>
                <w:b/>
                <w:bCs/>
                <w:sz w:val="18"/>
                <w:szCs w:val="18"/>
              </w:rPr>
            </w:pPr>
            <w:r w:rsidRPr="00B47627">
              <w:rPr>
                <w:rFonts w:eastAsia="Times New Roman"/>
                <w:b/>
                <w:bCs/>
                <w:sz w:val="18"/>
                <w:szCs w:val="18"/>
              </w:rPr>
              <w:t>Hombres</w:t>
            </w:r>
          </w:p>
        </w:tc>
        <w:tc>
          <w:tcPr>
            <w:tcW w:w="740" w:type="pct"/>
            <w:tcBorders>
              <w:top w:val="nil"/>
              <w:left w:val="nil"/>
              <w:bottom w:val="single" w:sz="4" w:space="0" w:color="auto"/>
              <w:right w:val="nil"/>
            </w:tcBorders>
            <w:shd w:val="clear" w:color="auto" w:fill="auto"/>
            <w:vAlign w:val="bottom"/>
            <w:hideMark/>
          </w:tcPr>
          <w:p w14:paraId="21DB4F61" w14:textId="54C1420F" w:rsidR="000612E0" w:rsidRPr="00B47627" w:rsidRDefault="00411C50" w:rsidP="000612E0">
            <w:pPr>
              <w:keepNext/>
              <w:keepLines/>
              <w:widowControl w:val="0"/>
              <w:jc w:val="center"/>
              <w:rPr>
                <w:rFonts w:eastAsia="Times New Roman"/>
                <w:b/>
                <w:bCs/>
                <w:sz w:val="18"/>
                <w:szCs w:val="18"/>
              </w:rPr>
            </w:pPr>
            <w:r w:rsidRPr="00B47627">
              <w:rPr>
                <w:rFonts w:eastAsia="Times New Roman"/>
                <w:b/>
                <w:bCs/>
                <w:sz w:val="18"/>
                <w:szCs w:val="18"/>
              </w:rPr>
              <w:t>Mujere</w:t>
            </w:r>
            <w:r w:rsidR="000612E0" w:rsidRPr="00B47627">
              <w:rPr>
                <w:rFonts w:eastAsia="Times New Roman"/>
                <w:b/>
                <w:bCs/>
                <w:sz w:val="18"/>
                <w:szCs w:val="18"/>
              </w:rPr>
              <w:t>s</w:t>
            </w:r>
          </w:p>
        </w:tc>
        <w:tc>
          <w:tcPr>
            <w:tcW w:w="739" w:type="pct"/>
            <w:tcBorders>
              <w:top w:val="nil"/>
              <w:left w:val="nil"/>
              <w:bottom w:val="single" w:sz="4" w:space="0" w:color="auto"/>
              <w:right w:val="nil"/>
            </w:tcBorders>
            <w:shd w:val="clear" w:color="auto" w:fill="auto"/>
            <w:vAlign w:val="bottom"/>
            <w:hideMark/>
          </w:tcPr>
          <w:p w14:paraId="7580FCC0" w14:textId="77777777" w:rsidR="000612E0" w:rsidRPr="00B47627" w:rsidRDefault="000612E0" w:rsidP="000612E0">
            <w:pPr>
              <w:keepNext/>
              <w:keepLines/>
              <w:widowControl w:val="0"/>
              <w:jc w:val="center"/>
              <w:rPr>
                <w:rFonts w:eastAsia="Times New Roman"/>
                <w:b/>
                <w:bCs/>
                <w:sz w:val="18"/>
                <w:szCs w:val="18"/>
              </w:rPr>
            </w:pPr>
            <w:r w:rsidRPr="00B47627">
              <w:rPr>
                <w:rFonts w:eastAsia="Times New Roman"/>
                <w:b/>
                <w:bCs/>
                <w:sz w:val="18"/>
                <w:szCs w:val="18"/>
              </w:rPr>
              <w:t>Hombres</w:t>
            </w:r>
          </w:p>
        </w:tc>
        <w:tc>
          <w:tcPr>
            <w:tcW w:w="740" w:type="pct"/>
            <w:tcBorders>
              <w:top w:val="nil"/>
              <w:left w:val="nil"/>
              <w:bottom w:val="single" w:sz="4" w:space="0" w:color="auto"/>
              <w:right w:val="nil"/>
            </w:tcBorders>
            <w:shd w:val="clear" w:color="auto" w:fill="auto"/>
            <w:vAlign w:val="bottom"/>
            <w:hideMark/>
          </w:tcPr>
          <w:p w14:paraId="706D3AA6" w14:textId="77777777" w:rsidR="000612E0" w:rsidRPr="00B47627" w:rsidRDefault="000612E0" w:rsidP="000612E0">
            <w:pPr>
              <w:keepNext/>
              <w:keepLines/>
              <w:widowControl w:val="0"/>
              <w:jc w:val="center"/>
              <w:rPr>
                <w:rFonts w:eastAsia="Times New Roman"/>
                <w:b/>
                <w:bCs/>
                <w:sz w:val="18"/>
                <w:szCs w:val="18"/>
              </w:rPr>
            </w:pPr>
            <w:r w:rsidRPr="00B47627">
              <w:rPr>
                <w:rFonts w:eastAsia="Times New Roman"/>
                <w:b/>
                <w:bCs/>
                <w:sz w:val="18"/>
                <w:szCs w:val="18"/>
              </w:rPr>
              <w:t>Mujeres</w:t>
            </w:r>
          </w:p>
        </w:tc>
      </w:tr>
      <w:tr w:rsidR="00B56472" w:rsidRPr="00B47627" w14:paraId="758D6251" w14:textId="77777777" w:rsidTr="00176BA0">
        <w:trPr>
          <w:trHeight w:val="283"/>
          <w:jc w:val="center"/>
        </w:trPr>
        <w:tc>
          <w:tcPr>
            <w:tcW w:w="2041" w:type="pct"/>
            <w:tcBorders>
              <w:top w:val="nil"/>
              <w:left w:val="nil"/>
              <w:bottom w:val="nil"/>
              <w:right w:val="nil"/>
            </w:tcBorders>
            <w:shd w:val="clear" w:color="auto" w:fill="auto"/>
            <w:vAlign w:val="center"/>
            <w:hideMark/>
          </w:tcPr>
          <w:p w14:paraId="42AC6588" w14:textId="7E42D139" w:rsidR="00B56472" w:rsidRPr="00B47627" w:rsidRDefault="00B56472" w:rsidP="00B56472">
            <w:pPr>
              <w:keepNext/>
              <w:keepLines/>
              <w:widowControl w:val="0"/>
              <w:ind w:left="215"/>
              <w:rPr>
                <w:rFonts w:eastAsia="Times New Roman"/>
                <w:sz w:val="18"/>
                <w:szCs w:val="18"/>
              </w:rPr>
            </w:pPr>
            <w:r w:rsidRPr="00B47627">
              <w:rPr>
                <w:rFonts w:eastAsia="Times New Roman"/>
                <w:sz w:val="18"/>
                <w:szCs w:val="18"/>
              </w:rPr>
              <w:t>Director- Gerente</w:t>
            </w:r>
          </w:p>
        </w:tc>
        <w:tc>
          <w:tcPr>
            <w:tcW w:w="739" w:type="pct"/>
            <w:tcBorders>
              <w:top w:val="nil"/>
              <w:left w:val="nil"/>
              <w:bottom w:val="nil"/>
              <w:right w:val="nil"/>
            </w:tcBorders>
            <w:shd w:val="clear" w:color="auto" w:fill="auto"/>
            <w:vAlign w:val="center"/>
          </w:tcPr>
          <w:p w14:paraId="6ABFE62C" w14:textId="3BB6D213" w:rsidR="00B56472" w:rsidRPr="0059131C"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59131C">
              <w:rPr>
                <w:sz w:val="18"/>
                <w:szCs w:val="18"/>
              </w:rPr>
              <w:t>1</w:t>
            </w:r>
          </w:p>
        </w:tc>
        <w:tc>
          <w:tcPr>
            <w:tcW w:w="740" w:type="pct"/>
            <w:tcBorders>
              <w:top w:val="nil"/>
              <w:left w:val="nil"/>
              <w:bottom w:val="nil"/>
              <w:right w:val="nil"/>
            </w:tcBorders>
            <w:shd w:val="clear" w:color="auto" w:fill="auto"/>
            <w:vAlign w:val="center"/>
          </w:tcPr>
          <w:p w14:paraId="5EEE2908" w14:textId="4BD2AE3B" w:rsidR="00B56472" w:rsidRPr="0059131C" w:rsidRDefault="00B56472" w:rsidP="00B56472">
            <w:pPr>
              <w:keepNext/>
              <w:keepLines/>
              <w:widowControl w:val="0"/>
              <w:jc w:val="center"/>
              <w:rPr>
                <w:sz w:val="18"/>
                <w:szCs w:val="18"/>
              </w:rPr>
            </w:pPr>
            <w:r w:rsidRPr="0059131C">
              <w:rPr>
                <w:sz w:val="18"/>
                <w:szCs w:val="18"/>
              </w:rPr>
              <w:t>-</w:t>
            </w:r>
          </w:p>
        </w:tc>
        <w:tc>
          <w:tcPr>
            <w:tcW w:w="739" w:type="pct"/>
            <w:tcBorders>
              <w:top w:val="nil"/>
              <w:left w:val="nil"/>
              <w:bottom w:val="nil"/>
              <w:right w:val="nil"/>
            </w:tcBorders>
            <w:shd w:val="clear" w:color="auto" w:fill="auto"/>
            <w:vAlign w:val="center"/>
          </w:tcPr>
          <w:p w14:paraId="71A90C31" w14:textId="3B621327" w:rsidR="00B56472" w:rsidRPr="00B47627"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B47627">
              <w:rPr>
                <w:sz w:val="18"/>
                <w:szCs w:val="18"/>
              </w:rPr>
              <w:t>1</w:t>
            </w:r>
          </w:p>
        </w:tc>
        <w:tc>
          <w:tcPr>
            <w:tcW w:w="740" w:type="pct"/>
            <w:tcBorders>
              <w:top w:val="nil"/>
              <w:left w:val="nil"/>
              <w:bottom w:val="nil"/>
              <w:right w:val="nil"/>
            </w:tcBorders>
            <w:shd w:val="clear" w:color="auto" w:fill="auto"/>
            <w:vAlign w:val="center"/>
          </w:tcPr>
          <w:p w14:paraId="7D45B067" w14:textId="692F7738" w:rsidR="00B56472" w:rsidRPr="00B47627" w:rsidRDefault="00B56472" w:rsidP="00B56472">
            <w:pPr>
              <w:keepNext/>
              <w:keepLines/>
              <w:widowControl w:val="0"/>
              <w:jc w:val="center"/>
              <w:rPr>
                <w:sz w:val="18"/>
                <w:szCs w:val="18"/>
              </w:rPr>
            </w:pPr>
            <w:r w:rsidRPr="00B47627">
              <w:rPr>
                <w:sz w:val="18"/>
                <w:szCs w:val="18"/>
              </w:rPr>
              <w:t>-</w:t>
            </w:r>
          </w:p>
        </w:tc>
      </w:tr>
      <w:tr w:rsidR="00B56472" w:rsidRPr="00B47627" w14:paraId="31072EC5" w14:textId="77777777" w:rsidTr="00176BA0">
        <w:trPr>
          <w:trHeight w:val="283"/>
          <w:jc w:val="center"/>
        </w:trPr>
        <w:tc>
          <w:tcPr>
            <w:tcW w:w="2041" w:type="pct"/>
            <w:tcBorders>
              <w:top w:val="nil"/>
              <w:left w:val="nil"/>
              <w:bottom w:val="nil"/>
              <w:right w:val="nil"/>
            </w:tcBorders>
            <w:shd w:val="clear" w:color="auto" w:fill="auto"/>
            <w:vAlign w:val="center"/>
          </w:tcPr>
          <w:p w14:paraId="787536C3" w14:textId="2C728136" w:rsidR="00B56472" w:rsidRPr="00B47627" w:rsidRDefault="00B56472" w:rsidP="00B56472">
            <w:pPr>
              <w:keepNext/>
              <w:keepLines/>
              <w:widowControl w:val="0"/>
              <w:ind w:left="215"/>
              <w:rPr>
                <w:rFonts w:eastAsia="Times New Roman"/>
                <w:sz w:val="18"/>
                <w:szCs w:val="18"/>
              </w:rPr>
            </w:pPr>
            <w:r w:rsidRPr="00B47627">
              <w:rPr>
                <w:rFonts w:eastAsia="Times New Roman"/>
                <w:sz w:val="18"/>
                <w:szCs w:val="18"/>
              </w:rPr>
              <w:t>Directivos</w:t>
            </w:r>
          </w:p>
        </w:tc>
        <w:tc>
          <w:tcPr>
            <w:tcW w:w="739" w:type="pct"/>
            <w:tcBorders>
              <w:top w:val="nil"/>
              <w:left w:val="nil"/>
              <w:bottom w:val="nil"/>
              <w:right w:val="nil"/>
            </w:tcBorders>
            <w:shd w:val="clear" w:color="auto" w:fill="auto"/>
            <w:vAlign w:val="center"/>
          </w:tcPr>
          <w:p w14:paraId="43C2CE20" w14:textId="12389669" w:rsidR="00B56472" w:rsidRPr="0059131C"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sz w:val="18"/>
                <w:szCs w:val="18"/>
                <w:bdr w:val="none" w:sz="0" w:space="0" w:color="auto"/>
                <w:lang w:eastAsia="es-ES"/>
              </w:rPr>
            </w:pPr>
            <w:r w:rsidRPr="0059131C">
              <w:rPr>
                <w:sz w:val="18"/>
                <w:szCs w:val="18"/>
              </w:rPr>
              <w:t>-</w:t>
            </w:r>
          </w:p>
        </w:tc>
        <w:tc>
          <w:tcPr>
            <w:tcW w:w="740" w:type="pct"/>
            <w:tcBorders>
              <w:top w:val="nil"/>
              <w:left w:val="nil"/>
              <w:bottom w:val="nil"/>
              <w:right w:val="nil"/>
            </w:tcBorders>
            <w:shd w:val="clear" w:color="auto" w:fill="auto"/>
            <w:vAlign w:val="center"/>
          </w:tcPr>
          <w:p w14:paraId="236A820F" w14:textId="2E18A7AC" w:rsidR="00B56472" w:rsidRPr="0059131C" w:rsidRDefault="00B56472" w:rsidP="00B56472">
            <w:pPr>
              <w:keepNext/>
              <w:keepLines/>
              <w:widowControl w:val="0"/>
              <w:jc w:val="center"/>
              <w:rPr>
                <w:sz w:val="18"/>
                <w:szCs w:val="18"/>
              </w:rPr>
            </w:pPr>
            <w:r w:rsidRPr="0059131C">
              <w:rPr>
                <w:sz w:val="18"/>
                <w:szCs w:val="18"/>
              </w:rPr>
              <w:t>3</w:t>
            </w:r>
          </w:p>
        </w:tc>
        <w:tc>
          <w:tcPr>
            <w:tcW w:w="739" w:type="pct"/>
            <w:tcBorders>
              <w:top w:val="nil"/>
              <w:left w:val="nil"/>
              <w:bottom w:val="nil"/>
              <w:right w:val="nil"/>
            </w:tcBorders>
            <w:shd w:val="clear" w:color="auto" w:fill="auto"/>
            <w:vAlign w:val="center"/>
          </w:tcPr>
          <w:p w14:paraId="480C4A85" w14:textId="5CFD95BB" w:rsidR="00B56472" w:rsidRPr="00B47627" w:rsidRDefault="00B56472" w:rsidP="00B56472">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sz w:val="18"/>
                <w:szCs w:val="18"/>
              </w:rPr>
            </w:pPr>
            <w:r w:rsidRPr="00B47627">
              <w:rPr>
                <w:sz w:val="18"/>
                <w:szCs w:val="18"/>
              </w:rPr>
              <w:t>1</w:t>
            </w:r>
          </w:p>
        </w:tc>
        <w:tc>
          <w:tcPr>
            <w:tcW w:w="740" w:type="pct"/>
            <w:tcBorders>
              <w:top w:val="nil"/>
              <w:left w:val="nil"/>
              <w:bottom w:val="nil"/>
              <w:right w:val="nil"/>
            </w:tcBorders>
            <w:shd w:val="clear" w:color="auto" w:fill="auto"/>
            <w:vAlign w:val="center"/>
          </w:tcPr>
          <w:p w14:paraId="1A93BEB0" w14:textId="0766007A" w:rsidR="00B56472" w:rsidRPr="00B47627" w:rsidRDefault="00B56472" w:rsidP="00B56472">
            <w:pPr>
              <w:keepNext/>
              <w:keepLines/>
              <w:widowControl w:val="0"/>
              <w:jc w:val="center"/>
              <w:rPr>
                <w:sz w:val="18"/>
                <w:szCs w:val="18"/>
              </w:rPr>
            </w:pPr>
            <w:r w:rsidRPr="00B47627">
              <w:rPr>
                <w:sz w:val="18"/>
                <w:szCs w:val="18"/>
              </w:rPr>
              <w:t>3</w:t>
            </w:r>
          </w:p>
        </w:tc>
      </w:tr>
      <w:tr w:rsidR="00B56472" w:rsidRPr="00B47627" w14:paraId="606C8263" w14:textId="77777777" w:rsidTr="00176BA0">
        <w:trPr>
          <w:trHeight w:val="283"/>
          <w:jc w:val="center"/>
        </w:trPr>
        <w:tc>
          <w:tcPr>
            <w:tcW w:w="2041" w:type="pct"/>
            <w:tcBorders>
              <w:top w:val="nil"/>
              <w:left w:val="nil"/>
              <w:bottom w:val="nil"/>
              <w:right w:val="nil"/>
            </w:tcBorders>
            <w:shd w:val="clear" w:color="auto" w:fill="auto"/>
            <w:vAlign w:val="center"/>
            <w:hideMark/>
          </w:tcPr>
          <w:p w14:paraId="4C01A3DA" w14:textId="77777777" w:rsidR="00B56472" w:rsidRPr="00B47627" w:rsidRDefault="00B56472" w:rsidP="00B56472">
            <w:pPr>
              <w:keepNext/>
              <w:keepLines/>
              <w:widowControl w:val="0"/>
              <w:ind w:left="215"/>
              <w:rPr>
                <w:rFonts w:eastAsia="Times New Roman"/>
                <w:sz w:val="18"/>
                <w:szCs w:val="18"/>
              </w:rPr>
            </w:pPr>
            <w:r w:rsidRPr="00B47627">
              <w:rPr>
                <w:rFonts w:eastAsia="Times New Roman"/>
                <w:sz w:val="18"/>
                <w:szCs w:val="18"/>
              </w:rPr>
              <w:t>Técnicos superiores</w:t>
            </w:r>
          </w:p>
        </w:tc>
        <w:tc>
          <w:tcPr>
            <w:tcW w:w="739" w:type="pct"/>
            <w:tcBorders>
              <w:top w:val="nil"/>
              <w:left w:val="nil"/>
              <w:bottom w:val="nil"/>
              <w:right w:val="nil"/>
            </w:tcBorders>
            <w:shd w:val="clear" w:color="auto" w:fill="auto"/>
            <w:vAlign w:val="center"/>
          </w:tcPr>
          <w:p w14:paraId="75F7C7B8" w14:textId="32003B65" w:rsidR="00B56472" w:rsidRPr="0059131C" w:rsidRDefault="00B56472" w:rsidP="00B56472">
            <w:pPr>
              <w:keepNext/>
              <w:keepLines/>
              <w:widowControl w:val="0"/>
              <w:jc w:val="center"/>
              <w:rPr>
                <w:sz w:val="18"/>
                <w:szCs w:val="18"/>
              </w:rPr>
            </w:pPr>
            <w:r w:rsidRPr="0059131C">
              <w:rPr>
                <w:sz w:val="18"/>
                <w:szCs w:val="18"/>
              </w:rPr>
              <w:t>10</w:t>
            </w:r>
          </w:p>
        </w:tc>
        <w:tc>
          <w:tcPr>
            <w:tcW w:w="740" w:type="pct"/>
            <w:tcBorders>
              <w:top w:val="nil"/>
              <w:left w:val="nil"/>
              <w:bottom w:val="nil"/>
              <w:right w:val="nil"/>
            </w:tcBorders>
            <w:shd w:val="clear" w:color="auto" w:fill="auto"/>
            <w:vAlign w:val="center"/>
          </w:tcPr>
          <w:p w14:paraId="3DB5E2C4" w14:textId="0B6ECBBE" w:rsidR="00B56472" w:rsidRPr="0059131C" w:rsidRDefault="00B56472" w:rsidP="00B56472">
            <w:pPr>
              <w:keepNext/>
              <w:keepLines/>
              <w:widowControl w:val="0"/>
              <w:jc w:val="center"/>
              <w:rPr>
                <w:sz w:val="18"/>
                <w:szCs w:val="18"/>
              </w:rPr>
            </w:pPr>
            <w:r w:rsidRPr="0059131C">
              <w:rPr>
                <w:sz w:val="18"/>
                <w:szCs w:val="18"/>
              </w:rPr>
              <w:t>20</w:t>
            </w:r>
          </w:p>
        </w:tc>
        <w:tc>
          <w:tcPr>
            <w:tcW w:w="739" w:type="pct"/>
            <w:tcBorders>
              <w:top w:val="nil"/>
              <w:left w:val="nil"/>
              <w:bottom w:val="nil"/>
              <w:right w:val="nil"/>
            </w:tcBorders>
            <w:shd w:val="clear" w:color="auto" w:fill="auto"/>
            <w:vAlign w:val="center"/>
          </w:tcPr>
          <w:p w14:paraId="05C95C0A" w14:textId="1ABB21E5" w:rsidR="00B56472" w:rsidRPr="00B47627" w:rsidRDefault="00B56472" w:rsidP="00B56472">
            <w:pPr>
              <w:keepNext/>
              <w:keepLines/>
              <w:widowControl w:val="0"/>
              <w:jc w:val="center"/>
              <w:rPr>
                <w:sz w:val="18"/>
                <w:szCs w:val="18"/>
              </w:rPr>
            </w:pPr>
            <w:r w:rsidRPr="00B47627">
              <w:rPr>
                <w:sz w:val="18"/>
                <w:szCs w:val="18"/>
              </w:rPr>
              <w:t>5</w:t>
            </w:r>
          </w:p>
        </w:tc>
        <w:tc>
          <w:tcPr>
            <w:tcW w:w="740" w:type="pct"/>
            <w:tcBorders>
              <w:top w:val="nil"/>
              <w:left w:val="nil"/>
              <w:bottom w:val="nil"/>
              <w:right w:val="nil"/>
            </w:tcBorders>
            <w:shd w:val="clear" w:color="auto" w:fill="auto"/>
            <w:vAlign w:val="center"/>
          </w:tcPr>
          <w:p w14:paraId="18DC8F27" w14:textId="3C2D8B7D" w:rsidR="00B56472" w:rsidRPr="00B47627" w:rsidRDefault="00B56472" w:rsidP="00B56472">
            <w:pPr>
              <w:keepNext/>
              <w:keepLines/>
              <w:widowControl w:val="0"/>
              <w:jc w:val="center"/>
              <w:rPr>
                <w:sz w:val="18"/>
                <w:szCs w:val="18"/>
              </w:rPr>
            </w:pPr>
            <w:r w:rsidRPr="00B47627">
              <w:rPr>
                <w:sz w:val="18"/>
                <w:szCs w:val="18"/>
              </w:rPr>
              <w:t>11</w:t>
            </w:r>
          </w:p>
        </w:tc>
      </w:tr>
      <w:tr w:rsidR="00B56472" w:rsidRPr="00B47627" w14:paraId="0F17FE16" w14:textId="77777777" w:rsidTr="00176BA0">
        <w:trPr>
          <w:trHeight w:val="283"/>
          <w:jc w:val="center"/>
        </w:trPr>
        <w:tc>
          <w:tcPr>
            <w:tcW w:w="2041" w:type="pct"/>
            <w:tcBorders>
              <w:top w:val="nil"/>
              <w:left w:val="nil"/>
              <w:bottom w:val="nil"/>
              <w:right w:val="nil"/>
            </w:tcBorders>
            <w:shd w:val="clear" w:color="auto" w:fill="auto"/>
            <w:vAlign w:val="center"/>
            <w:hideMark/>
          </w:tcPr>
          <w:p w14:paraId="3DD30B26" w14:textId="77777777" w:rsidR="00B56472" w:rsidRPr="00B47627" w:rsidRDefault="00B56472" w:rsidP="00B56472">
            <w:pPr>
              <w:keepNext/>
              <w:keepLines/>
              <w:widowControl w:val="0"/>
              <w:ind w:left="215"/>
              <w:rPr>
                <w:rFonts w:eastAsia="Times New Roman"/>
                <w:sz w:val="18"/>
                <w:szCs w:val="18"/>
              </w:rPr>
            </w:pPr>
            <w:r w:rsidRPr="00B47627">
              <w:rPr>
                <w:rFonts w:eastAsia="Times New Roman"/>
                <w:sz w:val="18"/>
                <w:szCs w:val="18"/>
              </w:rPr>
              <w:t>Técnicos medios</w:t>
            </w:r>
          </w:p>
        </w:tc>
        <w:tc>
          <w:tcPr>
            <w:tcW w:w="739" w:type="pct"/>
            <w:tcBorders>
              <w:top w:val="nil"/>
              <w:left w:val="nil"/>
              <w:bottom w:val="nil"/>
              <w:right w:val="nil"/>
            </w:tcBorders>
            <w:shd w:val="clear" w:color="auto" w:fill="auto"/>
            <w:vAlign w:val="center"/>
          </w:tcPr>
          <w:p w14:paraId="645F7BF5" w14:textId="53959B59" w:rsidR="00B56472" w:rsidRPr="0059131C" w:rsidRDefault="00B56472" w:rsidP="00B56472">
            <w:pPr>
              <w:keepNext/>
              <w:keepLines/>
              <w:widowControl w:val="0"/>
              <w:jc w:val="center"/>
              <w:rPr>
                <w:sz w:val="18"/>
                <w:szCs w:val="18"/>
              </w:rPr>
            </w:pPr>
            <w:r w:rsidRPr="0059131C">
              <w:rPr>
                <w:sz w:val="18"/>
                <w:szCs w:val="18"/>
              </w:rPr>
              <w:t>3</w:t>
            </w:r>
          </w:p>
        </w:tc>
        <w:tc>
          <w:tcPr>
            <w:tcW w:w="740" w:type="pct"/>
            <w:tcBorders>
              <w:top w:val="nil"/>
              <w:left w:val="nil"/>
              <w:bottom w:val="nil"/>
              <w:right w:val="nil"/>
            </w:tcBorders>
            <w:shd w:val="clear" w:color="auto" w:fill="auto"/>
            <w:vAlign w:val="center"/>
          </w:tcPr>
          <w:p w14:paraId="3E2346F6" w14:textId="10F29D45" w:rsidR="00B56472" w:rsidRPr="0059131C" w:rsidRDefault="00B56472" w:rsidP="00B56472">
            <w:pPr>
              <w:keepNext/>
              <w:keepLines/>
              <w:widowControl w:val="0"/>
              <w:jc w:val="center"/>
              <w:rPr>
                <w:sz w:val="18"/>
                <w:szCs w:val="18"/>
              </w:rPr>
            </w:pPr>
            <w:r w:rsidRPr="0059131C">
              <w:rPr>
                <w:sz w:val="18"/>
                <w:szCs w:val="18"/>
              </w:rPr>
              <w:t>19</w:t>
            </w:r>
          </w:p>
        </w:tc>
        <w:tc>
          <w:tcPr>
            <w:tcW w:w="739" w:type="pct"/>
            <w:tcBorders>
              <w:top w:val="nil"/>
              <w:left w:val="nil"/>
              <w:bottom w:val="nil"/>
              <w:right w:val="nil"/>
            </w:tcBorders>
            <w:shd w:val="clear" w:color="auto" w:fill="auto"/>
            <w:vAlign w:val="center"/>
          </w:tcPr>
          <w:p w14:paraId="6A6626DA" w14:textId="381D634C" w:rsidR="00B56472" w:rsidRPr="00B47627" w:rsidRDefault="00B56472" w:rsidP="00B56472">
            <w:pPr>
              <w:keepNext/>
              <w:keepLines/>
              <w:widowControl w:val="0"/>
              <w:jc w:val="center"/>
              <w:rPr>
                <w:sz w:val="18"/>
                <w:szCs w:val="18"/>
              </w:rPr>
            </w:pPr>
            <w:r w:rsidRPr="00B47627">
              <w:rPr>
                <w:sz w:val="18"/>
                <w:szCs w:val="18"/>
              </w:rPr>
              <w:t>2</w:t>
            </w:r>
          </w:p>
        </w:tc>
        <w:tc>
          <w:tcPr>
            <w:tcW w:w="740" w:type="pct"/>
            <w:tcBorders>
              <w:top w:val="nil"/>
              <w:left w:val="nil"/>
              <w:bottom w:val="nil"/>
              <w:right w:val="nil"/>
            </w:tcBorders>
            <w:shd w:val="clear" w:color="auto" w:fill="auto"/>
            <w:vAlign w:val="center"/>
          </w:tcPr>
          <w:p w14:paraId="6BED7114" w14:textId="27AE6DC6" w:rsidR="00B56472" w:rsidRPr="00B47627" w:rsidRDefault="00B56472" w:rsidP="00B56472">
            <w:pPr>
              <w:keepNext/>
              <w:keepLines/>
              <w:widowControl w:val="0"/>
              <w:jc w:val="center"/>
              <w:rPr>
                <w:sz w:val="18"/>
                <w:szCs w:val="18"/>
              </w:rPr>
            </w:pPr>
            <w:r w:rsidRPr="00B47627">
              <w:rPr>
                <w:sz w:val="18"/>
                <w:szCs w:val="18"/>
              </w:rPr>
              <w:t>16</w:t>
            </w:r>
          </w:p>
        </w:tc>
      </w:tr>
      <w:tr w:rsidR="00B56472" w:rsidRPr="00B47627" w14:paraId="427BE537" w14:textId="77777777" w:rsidTr="00176BA0">
        <w:trPr>
          <w:trHeight w:val="283"/>
          <w:jc w:val="center"/>
        </w:trPr>
        <w:tc>
          <w:tcPr>
            <w:tcW w:w="2041" w:type="pct"/>
            <w:tcBorders>
              <w:top w:val="nil"/>
              <w:left w:val="nil"/>
              <w:bottom w:val="nil"/>
              <w:right w:val="nil"/>
            </w:tcBorders>
            <w:shd w:val="clear" w:color="auto" w:fill="auto"/>
            <w:vAlign w:val="center"/>
            <w:hideMark/>
          </w:tcPr>
          <w:p w14:paraId="267B422C" w14:textId="77777777" w:rsidR="00B56472" w:rsidRPr="00B47627" w:rsidRDefault="00B56472" w:rsidP="00B56472">
            <w:pPr>
              <w:keepNext/>
              <w:keepLines/>
              <w:widowControl w:val="0"/>
              <w:ind w:left="215"/>
              <w:rPr>
                <w:rFonts w:eastAsia="Times New Roman"/>
                <w:sz w:val="18"/>
                <w:szCs w:val="18"/>
              </w:rPr>
            </w:pPr>
            <w:r w:rsidRPr="00B47627">
              <w:rPr>
                <w:rFonts w:eastAsia="Times New Roman"/>
                <w:sz w:val="18"/>
                <w:szCs w:val="18"/>
              </w:rPr>
              <w:t>Administrativos/Coordinadores</w:t>
            </w:r>
          </w:p>
        </w:tc>
        <w:tc>
          <w:tcPr>
            <w:tcW w:w="739" w:type="pct"/>
            <w:tcBorders>
              <w:top w:val="nil"/>
              <w:left w:val="nil"/>
              <w:bottom w:val="nil"/>
              <w:right w:val="nil"/>
            </w:tcBorders>
            <w:shd w:val="clear" w:color="auto" w:fill="auto"/>
            <w:vAlign w:val="center"/>
          </w:tcPr>
          <w:p w14:paraId="61A663F4" w14:textId="6E905F96" w:rsidR="00B56472" w:rsidRPr="0059131C" w:rsidRDefault="00B56472" w:rsidP="00B56472">
            <w:pPr>
              <w:keepNext/>
              <w:keepLines/>
              <w:widowControl w:val="0"/>
              <w:jc w:val="center"/>
              <w:rPr>
                <w:sz w:val="18"/>
                <w:szCs w:val="18"/>
              </w:rPr>
            </w:pPr>
            <w:r w:rsidRPr="0059131C">
              <w:rPr>
                <w:sz w:val="18"/>
                <w:szCs w:val="18"/>
              </w:rPr>
              <w:t>2</w:t>
            </w:r>
          </w:p>
        </w:tc>
        <w:tc>
          <w:tcPr>
            <w:tcW w:w="740" w:type="pct"/>
            <w:tcBorders>
              <w:top w:val="nil"/>
              <w:left w:val="nil"/>
              <w:bottom w:val="nil"/>
              <w:right w:val="nil"/>
            </w:tcBorders>
            <w:shd w:val="clear" w:color="auto" w:fill="auto"/>
            <w:vAlign w:val="center"/>
          </w:tcPr>
          <w:p w14:paraId="47557CE7" w14:textId="7FF81AC0" w:rsidR="00B56472" w:rsidRPr="0059131C" w:rsidRDefault="00B56472" w:rsidP="00B56472">
            <w:pPr>
              <w:keepNext/>
              <w:keepLines/>
              <w:widowControl w:val="0"/>
              <w:jc w:val="center"/>
              <w:rPr>
                <w:sz w:val="18"/>
                <w:szCs w:val="18"/>
              </w:rPr>
            </w:pPr>
            <w:r w:rsidRPr="0059131C">
              <w:rPr>
                <w:sz w:val="18"/>
                <w:szCs w:val="18"/>
              </w:rPr>
              <w:t>7</w:t>
            </w:r>
          </w:p>
        </w:tc>
        <w:tc>
          <w:tcPr>
            <w:tcW w:w="739" w:type="pct"/>
            <w:tcBorders>
              <w:top w:val="nil"/>
              <w:left w:val="nil"/>
              <w:bottom w:val="nil"/>
              <w:right w:val="nil"/>
            </w:tcBorders>
            <w:shd w:val="clear" w:color="auto" w:fill="auto"/>
            <w:vAlign w:val="center"/>
          </w:tcPr>
          <w:p w14:paraId="35A58E06" w14:textId="07FB7D72" w:rsidR="00B56472" w:rsidRPr="00B47627" w:rsidRDefault="00B56472" w:rsidP="00B56472">
            <w:pPr>
              <w:keepNext/>
              <w:keepLines/>
              <w:widowControl w:val="0"/>
              <w:jc w:val="center"/>
              <w:rPr>
                <w:sz w:val="18"/>
                <w:szCs w:val="18"/>
              </w:rPr>
            </w:pPr>
            <w:r w:rsidRPr="00B47627">
              <w:rPr>
                <w:sz w:val="18"/>
                <w:szCs w:val="18"/>
              </w:rPr>
              <w:t>2</w:t>
            </w:r>
          </w:p>
        </w:tc>
        <w:tc>
          <w:tcPr>
            <w:tcW w:w="740" w:type="pct"/>
            <w:tcBorders>
              <w:top w:val="nil"/>
              <w:left w:val="nil"/>
              <w:bottom w:val="nil"/>
              <w:right w:val="nil"/>
            </w:tcBorders>
            <w:shd w:val="clear" w:color="auto" w:fill="auto"/>
            <w:vAlign w:val="center"/>
          </w:tcPr>
          <w:p w14:paraId="2B46496F" w14:textId="11EABAF6" w:rsidR="00B56472" w:rsidRPr="00B47627" w:rsidRDefault="00B56472" w:rsidP="00B56472">
            <w:pPr>
              <w:keepNext/>
              <w:keepLines/>
              <w:widowControl w:val="0"/>
              <w:jc w:val="center"/>
              <w:rPr>
                <w:sz w:val="18"/>
                <w:szCs w:val="18"/>
              </w:rPr>
            </w:pPr>
            <w:r w:rsidRPr="00B47627">
              <w:rPr>
                <w:sz w:val="18"/>
                <w:szCs w:val="18"/>
              </w:rPr>
              <w:t>8</w:t>
            </w:r>
          </w:p>
        </w:tc>
      </w:tr>
      <w:tr w:rsidR="00B56472" w:rsidRPr="00B47627" w14:paraId="28774BBD" w14:textId="77777777" w:rsidTr="00176BA0">
        <w:trPr>
          <w:trHeight w:val="283"/>
          <w:jc w:val="center"/>
        </w:trPr>
        <w:tc>
          <w:tcPr>
            <w:tcW w:w="2041" w:type="pct"/>
            <w:tcBorders>
              <w:top w:val="nil"/>
              <w:left w:val="nil"/>
              <w:bottom w:val="single" w:sz="4" w:space="0" w:color="auto"/>
              <w:right w:val="nil"/>
            </w:tcBorders>
            <w:shd w:val="clear" w:color="auto" w:fill="auto"/>
            <w:vAlign w:val="center"/>
            <w:hideMark/>
          </w:tcPr>
          <w:p w14:paraId="26154A2C" w14:textId="77777777" w:rsidR="00B56472" w:rsidRPr="00B47627" w:rsidRDefault="00B56472" w:rsidP="00B56472">
            <w:pPr>
              <w:keepNext/>
              <w:keepLines/>
              <w:widowControl w:val="0"/>
              <w:ind w:left="215"/>
              <w:rPr>
                <w:rFonts w:eastAsia="Times New Roman"/>
                <w:sz w:val="18"/>
                <w:szCs w:val="18"/>
              </w:rPr>
            </w:pPr>
            <w:r w:rsidRPr="00B47627">
              <w:rPr>
                <w:rFonts w:eastAsia="Times New Roman"/>
                <w:sz w:val="18"/>
                <w:szCs w:val="18"/>
              </w:rPr>
              <w:t>Otros</w:t>
            </w:r>
          </w:p>
        </w:tc>
        <w:tc>
          <w:tcPr>
            <w:tcW w:w="739" w:type="pct"/>
            <w:tcBorders>
              <w:top w:val="nil"/>
              <w:left w:val="nil"/>
              <w:bottom w:val="single" w:sz="4" w:space="0" w:color="auto"/>
              <w:right w:val="nil"/>
            </w:tcBorders>
            <w:shd w:val="clear" w:color="auto" w:fill="auto"/>
            <w:vAlign w:val="center"/>
          </w:tcPr>
          <w:p w14:paraId="19CB2FA3" w14:textId="39A865CC" w:rsidR="00B56472" w:rsidRPr="0059131C" w:rsidRDefault="00B56472" w:rsidP="00B56472">
            <w:pPr>
              <w:keepNext/>
              <w:keepLines/>
              <w:widowControl w:val="0"/>
              <w:jc w:val="center"/>
              <w:rPr>
                <w:sz w:val="18"/>
                <w:szCs w:val="18"/>
              </w:rPr>
            </w:pPr>
            <w:r w:rsidRPr="0059131C">
              <w:rPr>
                <w:sz w:val="18"/>
                <w:szCs w:val="18"/>
              </w:rPr>
              <w:t>1</w:t>
            </w:r>
          </w:p>
        </w:tc>
        <w:tc>
          <w:tcPr>
            <w:tcW w:w="740" w:type="pct"/>
            <w:tcBorders>
              <w:top w:val="nil"/>
              <w:left w:val="nil"/>
              <w:bottom w:val="single" w:sz="4" w:space="0" w:color="auto"/>
              <w:right w:val="nil"/>
            </w:tcBorders>
            <w:shd w:val="clear" w:color="auto" w:fill="auto"/>
            <w:vAlign w:val="center"/>
          </w:tcPr>
          <w:p w14:paraId="22EF35CA" w14:textId="5CE0FC1F" w:rsidR="00B56472" w:rsidRPr="0059131C" w:rsidRDefault="00B56472" w:rsidP="00B56472">
            <w:pPr>
              <w:keepNext/>
              <w:keepLines/>
              <w:widowControl w:val="0"/>
              <w:jc w:val="center"/>
              <w:rPr>
                <w:sz w:val="18"/>
                <w:szCs w:val="18"/>
              </w:rPr>
            </w:pPr>
            <w:r w:rsidRPr="0059131C">
              <w:rPr>
                <w:sz w:val="18"/>
                <w:szCs w:val="18"/>
              </w:rPr>
              <w:t>-</w:t>
            </w:r>
          </w:p>
        </w:tc>
        <w:tc>
          <w:tcPr>
            <w:tcW w:w="739" w:type="pct"/>
            <w:tcBorders>
              <w:top w:val="nil"/>
              <w:left w:val="nil"/>
              <w:bottom w:val="single" w:sz="4" w:space="0" w:color="auto"/>
              <w:right w:val="nil"/>
            </w:tcBorders>
            <w:shd w:val="clear" w:color="auto" w:fill="auto"/>
            <w:vAlign w:val="center"/>
          </w:tcPr>
          <w:p w14:paraId="4DEF5B5A" w14:textId="7CFE09AD" w:rsidR="00B56472" w:rsidRPr="00B47627" w:rsidRDefault="00B56472" w:rsidP="00B56472">
            <w:pPr>
              <w:keepNext/>
              <w:keepLines/>
              <w:widowControl w:val="0"/>
              <w:jc w:val="center"/>
              <w:rPr>
                <w:sz w:val="18"/>
                <w:szCs w:val="18"/>
              </w:rPr>
            </w:pPr>
            <w:r w:rsidRPr="00B47627">
              <w:rPr>
                <w:sz w:val="18"/>
                <w:szCs w:val="18"/>
              </w:rPr>
              <w:t>1</w:t>
            </w:r>
          </w:p>
        </w:tc>
        <w:tc>
          <w:tcPr>
            <w:tcW w:w="740" w:type="pct"/>
            <w:tcBorders>
              <w:top w:val="nil"/>
              <w:left w:val="nil"/>
              <w:bottom w:val="single" w:sz="4" w:space="0" w:color="auto"/>
              <w:right w:val="nil"/>
            </w:tcBorders>
            <w:shd w:val="clear" w:color="auto" w:fill="auto"/>
            <w:vAlign w:val="center"/>
          </w:tcPr>
          <w:p w14:paraId="729064C8" w14:textId="26A32CA9" w:rsidR="00B56472" w:rsidRPr="00B47627" w:rsidRDefault="00B56472" w:rsidP="00B56472">
            <w:pPr>
              <w:keepNext/>
              <w:keepLines/>
              <w:widowControl w:val="0"/>
              <w:jc w:val="center"/>
              <w:rPr>
                <w:sz w:val="18"/>
                <w:szCs w:val="18"/>
              </w:rPr>
            </w:pPr>
            <w:r w:rsidRPr="00B47627">
              <w:rPr>
                <w:sz w:val="18"/>
                <w:szCs w:val="18"/>
              </w:rPr>
              <w:t>1</w:t>
            </w:r>
          </w:p>
        </w:tc>
      </w:tr>
      <w:tr w:rsidR="00B56472" w:rsidRPr="00176BA0" w14:paraId="1601077E" w14:textId="77777777" w:rsidTr="00176BA0">
        <w:trPr>
          <w:trHeight w:val="283"/>
          <w:jc w:val="center"/>
        </w:trPr>
        <w:tc>
          <w:tcPr>
            <w:tcW w:w="2041" w:type="pct"/>
            <w:tcBorders>
              <w:top w:val="nil"/>
              <w:left w:val="nil"/>
              <w:bottom w:val="single" w:sz="4" w:space="0" w:color="auto"/>
              <w:right w:val="nil"/>
            </w:tcBorders>
            <w:shd w:val="clear" w:color="auto" w:fill="auto"/>
            <w:vAlign w:val="center"/>
            <w:hideMark/>
          </w:tcPr>
          <w:p w14:paraId="03A1478A" w14:textId="77777777" w:rsidR="00B56472" w:rsidRPr="00B47627" w:rsidRDefault="00B56472" w:rsidP="00B56472">
            <w:pPr>
              <w:ind w:left="215"/>
              <w:rPr>
                <w:rFonts w:eastAsia="Times New Roman"/>
                <w:b/>
                <w:sz w:val="18"/>
                <w:szCs w:val="18"/>
              </w:rPr>
            </w:pPr>
            <w:r w:rsidRPr="00B47627">
              <w:rPr>
                <w:rFonts w:eastAsia="Times New Roman"/>
                <w:sz w:val="18"/>
                <w:szCs w:val="18"/>
              </w:rPr>
              <w:t> </w:t>
            </w:r>
            <w:r w:rsidRPr="00B47627">
              <w:rPr>
                <w:rFonts w:eastAsia="Times New Roman"/>
                <w:b/>
                <w:sz w:val="18"/>
                <w:szCs w:val="18"/>
              </w:rPr>
              <w:t>Total</w:t>
            </w:r>
          </w:p>
        </w:tc>
        <w:tc>
          <w:tcPr>
            <w:tcW w:w="739" w:type="pct"/>
            <w:tcBorders>
              <w:top w:val="nil"/>
              <w:left w:val="nil"/>
              <w:bottom w:val="single" w:sz="4" w:space="0" w:color="auto"/>
              <w:right w:val="nil"/>
            </w:tcBorders>
            <w:shd w:val="clear" w:color="auto" w:fill="auto"/>
            <w:vAlign w:val="center"/>
          </w:tcPr>
          <w:p w14:paraId="5D421D3F" w14:textId="1841C4B8" w:rsidR="00B56472" w:rsidRPr="0059131C" w:rsidRDefault="00B56472" w:rsidP="00B56472">
            <w:pPr>
              <w:jc w:val="center"/>
              <w:rPr>
                <w:b/>
                <w:bCs/>
                <w:sz w:val="18"/>
                <w:szCs w:val="18"/>
              </w:rPr>
            </w:pPr>
            <w:r w:rsidRPr="0059131C">
              <w:rPr>
                <w:b/>
                <w:bCs/>
                <w:sz w:val="18"/>
                <w:szCs w:val="18"/>
              </w:rPr>
              <w:t>17</w:t>
            </w:r>
          </w:p>
        </w:tc>
        <w:tc>
          <w:tcPr>
            <w:tcW w:w="740" w:type="pct"/>
            <w:tcBorders>
              <w:top w:val="nil"/>
              <w:left w:val="nil"/>
              <w:bottom w:val="single" w:sz="4" w:space="0" w:color="auto"/>
              <w:right w:val="nil"/>
            </w:tcBorders>
            <w:shd w:val="clear" w:color="auto" w:fill="auto"/>
            <w:vAlign w:val="center"/>
          </w:tcPr>
          <w:p w14:paraId="4C68E8DB" w14:textId="48307091" w:rsidR="00B56472" w:rsidRPr="0059131C" w:rsidRDefault="00B56472" w:rsidP="00B56472">
            <w:pPr>
              <w:jc w:val="center"/>
              <w:rPr>
                <w:b/>
                <w:bCs/>
                <w:sz w:val="18"/>
                <w:szCs w:val="18"/>
              </w:rPr>
            </w:pPr>
            <w:r w:rsidRPr="0059131C">
              <w:rPr>
                <w:b/>
                <w:bCs/>
                <w:sz w:val="18"/>
                <w:szCs w:val="18"/>
              </w:rPr>
              <w:t>49</w:t>
            </w:r>
          </w:p>
        </w:tc>
        <w:tc>
          <w:tcPr>
            <w:tcW w:w="739" w:type="pct"/>
            <w:tcBorders>
              <w:top w:val="nil"/>
              <w:left w:val="nil"/>
              <w:bottom w:val="single" w:sz="4" w:space="0" w:color="auto"/>
              <w:right w:val="nil"/>
            </w:tcBorders>
            <w:shd w:val="clear" w:color="auto" w:fill="auto"/>
            <w:vAlign w:val="center"/>
          </w:tcPr>
          <w:p w14:paraId="6FB9F3C5" w14:textId="42502A95" w:rsidR="00B56472" w:rsidRPr="00B47627" w:rsidRDefault="00B56472" w:rsidP="00B56472">
            <w:pPr>
              <w:jc w:val="center"/>
              <w:rPr>
                <w:b/>
                <w:bCs/>
                <w:sz w:val="18"/>
                <w:szCs w:val="18"/>
              </w:rPr>
            </w:pPr>
            <w:r w:rsidRPr="00B47627">
              <w:rPr>
                <w:b/>
                <w:bCs/>
                <w:sz w:val="18"/>
                <w:szCs w:val="18"/>
              </w:rPr>
              <w:t>12</w:t>
            </w:r>
          </w:p>
        </w:tc>
        <w:tc>
          <w:tcPr>
            <w:tcW w:w="740" w:type="pct"/>
            <w:tcBorders>
              <w:top w:val="nil"/>
              <w:left w:val="nil"/>
              <w:bottom w:val="single" w:sz="4" w:space="0" w:color="auto"/>
              <w:right w:val="nil"/>
            </w:tcBorders>
            <w:shd w:val="clear" w:color="auto" w:fill="auto"/>
            <w:vAlign w:val="center"/>
          </w:tcPr>
          <w:p w14:paraId="4BC9C114" w14:textId="47A85719" w:rsidR="00B56472" w:rsidRPr="007A7245" w:rsidRDefault="00B56472" w:rsidP="00B56472">
            <w:pPr>
              <w:jc w:val="center"/>
              <w:rPr>
                <w:b/>
                <w:bCs/>
                <w:sz w:val="18"/>
                <w:szCs w:val="18"/>
              </w:rPr>
            </w:pPr>
            <w:r w:rsidRPr="00B47627">
              <w:rPr>
                <w:b/>
                <w:bCs/>
                <w:sz w:val="18"/>
                <w:szCs w:val="18"/>
              </w:rPr>
              <w:t>39</w:t>
            </w:r>
          </w:p>
        </w:tc>
      </w:tr>
    </w:tbl>
    <w:p w14:paraId="40891D7A" w14:textId="411594C5" w:rsidR="006220A2" w:rsidRPr="00176BA0" w:rsidRDefault="006220A2" w:rsidP="00064105">
      <w:pPr>
        <w:widowControl w:val="0"/>
        <w:spacing w:before="120" w:after="120" w:line="260" w:lineRule="exact"/>
        <w:jc w:val="both"/>
        <w:outlineLvl w:val="9"/>
        <w:rPr>
          <w:snapToGrid w:val="0"/>
          <w:sz w:val="20"/>
          <w:szCs w:val="22"/>
        </w:rPr>
      </w:pPr>
      <w:r w:rsidRPr="00176BA0">
        <w:rPr>
          <w:snapToGrid w:val="0"/>
          <w:sz w:val="20"/>
          <w:szCs w:val="22"/>
        </w:rPr>
        <w:t>El total de emp</w:t>
      </w:r>
      <w:r w:rsidR="00792C0E" w:rsidRPr="00176BA0">
        <w:rPr>
          <w:snapToGrid w:val="0"/>
          <w:sz w:val="20"/>
          <w:szCs w:val="22"/>
        </w:rPr>
        <w:t>leados del ejercicio 20</w:t>
      </w:r>
      <w:r w:rsidR="00322E9D" w:rsidRPr="00176BA0">
        <w:rPr>
          <w:snapToGrid w:val="0"/>
          <w:sz w:val="20"/>
          <w:szCs w:val="22"/>
        </w:rPr>
        <w:t>2</w:t>
      </w:r>
      <w:r w:rsidR="00B055D7">
        <w:rPr>
          <w:snapToGrid w:val="0"/>
          <w:sz w:val="20"/>
          <w:szCs w:val="22"/>
        </w:rPr>
        <w:t>3</w:t>
      </w:r>
      <w:r w:rsidR="003801D3" w:rsidRPr="00176BA0">
        <w:rPr>
          <w:snapToGrid w:val="0"/>
          <w:sz w:val="20"/>
          <w:szCs w:val="22"/>
        </w:rPr>
        <w:t xml:space="preserve"> ascendió a</w:t>
      </w:r>
      <w:r w:rsidR="00B055D7">
        <w:rPr>
          <w:snapToGrid w:val="0"/>
          <w:sz w:val="20"/>
          <w:szCs w:val="22"/>
        </w:rPr>
        <w:t xml:space="preserve"> 6</w:t>
      </w:r>
      <w:r w:rsidR="00F75CC0">
        <w:rPr>
          <w:snapToGrid w:val="0"/>
          <w:sz w:val="20"/>
          <w:szCs w:val="22"/>
        </w:rPr>
        <w:t>6</w:t>
      </w:r>
      <w:r w:rsidRPr="00176BA0">
        <w:rPr>
          <w:snapToGrid w:val="0"/>
          <w:sz w:val="20"/>
          <w:szCs w:val="22"/>
        </w:rPr>
        <w:t xml:space="preserve"> (</w:t>
      </w:r>
      <w:r w:rsidR="00B055D7">
        <w:rPr>
          <w:snapToGrid w:val="0"/>
          <w:sz w:val="20"/>
          <w:szCs w:val="22"/>
        </w:rPr>
        <w:t>51</w:t>
      </w:r>
      <w:r w:rsidRPr="00176BA0">
        <w:rPr>
          <w:snapToGrid w:val="0"/>
          <w:sz w:val="20"/>
          <w:szCs w:val="22"/>
        </w:rPr>
        <w:t xml:space="preserve"> en </w:t>
      </w:r>
      <w:r w:rsidR="00954AA6">
        <w:rPr>
          <w:snapToGrid w:val="0"/>
          <w:sz w:val="20"/>
          <w:szCs w:val="22"/>
        </w:rPr>
        <w:t>el ejercicio anterior</w:t>
      </w:r>
      <w:r w:rsidRPr="00176BA0">
        <w:rPr>
          <w:snapToGrid w:val="0"/>
          <w:sz w:val="20"/>
          <w:szCs w:val="22"/>
        </w:rPr>
        <w:t xml:space="preserve">). </w:t>
      </w:r>
    </w:p>
    <w:bookmarkEnd w:id="7"/>
    <w:p w14:paraId="673CADB4" w14:textId="1311F645" w:rsidR="006220A2" w:rsidRPr="0083433F" w:rsidRDefault="006220A2" w:rsidP="00064105">
      <w:pPr>
        <w:widowControl w:val="0"/>
        <w:spacing w:before="200"/>
        <w:rPr>
          <w:sz w:val="20"/>
          <w:u w:val="single"/>
        </w:rPr>
      </w:pPr>
      <w:r w:rsidRPr="0083433F">
        <w:rPr>
          <w:sz w:val="20"/>
          <w:u w:val="single"/>
        </w:rPr>
        <w:t xml:space="preserve">Honorarios </w:t>
      </w:r>
      <w:r w:rsidR="00F75CC0">
        <w:rPr>
          <w:sz w:val="20"/>
          <w:u w:val="single"/>
        </w:rPr>
        <w:t xml:space="preserve">anuales </w:t>
      </w:r>
      <w:r w:rsidRPr="0083433F">
        <w:rPr>
          <w:sz w:val="20"/>
          <w:u w:val="single"/>
        </w:rPr>
        <w:t>de auditores de cuentas</w:t>
      </w:r>
    </w:p>
    <w:p w14:paraId="1DE0D12C" w14:textId="6C2593B0" w:rsidR="00954AA6" w:rsidRDefault="006220A2" w:rsidP="00064105">
      <w:pPr>
        <w:widowControl w:val="0"/>
        <w:spacing w:before="120" w:after="120" w:line="260" w:lineRule="exact"/>
        <w:jc w:val="both"/>
        <w:outlineLvl w:val="9"/>
        <w:rPr>
          <w:snapToGrid w:val="0"/>
          <w:sz w:val="20"/>
          <w:szCs w:val="22"/>
        </w:rPr>
      </w:pPr>
      <w:r w:rsidRPr="00176BA0">
        <w:rPr>
          <w:snapToGrid w:val="0"/>
          <w:sz w:val="20"/>
          <w:szCs w:val="22"/>
        </w:rPr>
        <w:t xml:space="preserve">Los honorarios devengados durante el ejercicio por los servicios de auditoría de cuentas ascendieron </w:t>
      </w:r>
      <w:r w:rsidR="00797DBD" w:rsidRPr="00176BA0">
        <w:rPr>
          <w:snapToGrid w:val="0"/>
          <w:sz w:val="20"/>
          <w:szCs w:val="22"/>
        </w:rPr>
        <w:t>a 8.</w:t>
      </w:r>
      <w:r w:rsidR="00841182" w:rsidRPr="00176BA0">
        <w:rPr>
          <w:snapToGrid w:val="0"/>
          <w:sz w:val="20"/>
          <w:szCs w:val="22"/>
        </w:rPr>
        <w:t>000</w:t>
      </w:r>
      <w:r w:rsidRPr="00176BA0">
        <w:rPr>
          <w:snapToGrid w:val="0"/>
          <w:sz w:val="20"/>
          <w:szCs w:val="22"/>
        </w:rPr>
        <w:t>,</w:t>
      </w:r>
      <w:r w:rsidR="00797DBD" w:rsidRPr="00176BA0">
        <w:rPr>
          <w:snapToGrid w:val="0"/>
          <w:sz w:val="20"/>
          <w:szCs w:val="22"/>
        </w:rPr>
        <w:t xml:space="preserve">00 euros (8.000,00 euros en </w:t>
      </w:r>
      <w:r w:rsidR="00954AA6">
        <w:rPr>
          <w:snapToGrid w:val="0"/>
          <w:sz w:val="20"/>
          <w:szCs w:val="22"/>
        </w:rPr>
        <w:t>el ejercicio anterior)</w:t>
      </w:r>
      <w:r w:rsidRPr="00176BA0">
        <w:rPr>
          <w:snapToGrid w:val="0"/>
          <w:sz w:val="20"/>
          <w:szCs w:val="22"/>
        </w:rPr>
        <w:t xml:space="preserve">. </w:t>
      </w:r>
    </w:p>
    <w:p w14:paraId="0BEE03BF" w14:textId="77777777" w:rsidR="00B56472" w:rsidRDefault="00B56472" w:rsidP="00064105">
      <w:pPr>
        <w:widowControl w:val="0"/>
        <w:spacing w:before="120" w:after="120" w:line="260" w:lineRule="exact"/>
        <w:jc w:val="both"/>
        <w:outlineLvl w:val="9"/>
        <w:rPr>
          <w:snapToGrid w:val="0"/>
          <w:sz w:val="20"/>
          <w:szCs w:val="22"/>
        </w:rPr>
      </w:pPr>
    </w:p>
    <w:p w14:paraId="789FBC46" w14:textId="77777777" w:rsidR="00954AA6" w:rsidRDefault="00954AA6">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04B624B8" w14:textId="5838D4A6" w:rsidR="00D357B3" w:rsidRPr="0083433F" w:rsidRDefault="00052BF5"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D357B3" w:rsidRPr="0083433F">
        <w:rPr>
          <w:b/>
          <w:snapToGrid w:val="0"/>
          <w:sz w:val="22"/>
          <w:szCs w:val="22"/>
        </w:rPr>
        <w:t>Cumplimiento requisito para la consideración de medio propio</w:t>
      </w:r>
    </w:p>
    <w:p w14:paraId="5AAB68C8" w14:textId="77777777" w:rsidR="00D357B3" w:rsidRPr="0083433F" w:rsidRDefault="00D357B3" w:rsidP="00064105">
      <w:pPr>
        <w:widowControl w:val="0"/>
        <w:spacing w:before="120" w:after="120" w:line="260" w:lineRule="exact"/>
        <w:jc w:val="both"/>
        <w:outlineLvl w:val="9"/>
        <w:rPr>
          <w:snapToGrid w:val="0"/>
          <w:sz w:val="20"/>
          <w:szCs w:val="22"/>
        </w:rPr>
      </w:pPr>
      <w:r w:rsidRPr="0083433F">
        <w:rPr>
          <w:snapToGrid w:val="0"/>
          <w:sz w:val="20"/>
          <w:szCs w:val="22"/>
        </w:rPr>
        <w:t xml:space="preserve">El artículo 32.2.b) de la Ley 9/2017, de 8 de noviembre, de Contratos del Sector Público, por la que se transponen al ordenamiento </w:t>
      </w:r>
      <w:r w:rsidR="00DF4BF7" w:rsidRPr="0083433F">
        <w:rPr>
          <w:snapToGrid w:val="0"/>
          <w:sz w:val="20"/>
          <w:szCs w:val="22"/>
        </w:rPr>
        <w:t>jurídico</w:t>
      </w:r>
      <w:r w:rsidRPr="0083433F">
        <w:rPr>
          <w:snapToGrid w:val="0"/>
          <w:sz w:val="20"/>
          <w:szCs w:val="22"/>
        </w:rPr>
        <w:t xml:space="preserve"> español las Directivas del parlamento Europeo y del consejo 2014/23/UE y 2014/24/UE, de 26 de febrero de 2014, establece respecto a los encargos de los poderes adjudicadores a medios propios personificados que para tener la consideración de medio propio es necesario que más del 80</w:t>
      </w:r>
      <w:r w:rsidR="00497BBB" w:rsidRPr="0083433F">
        <w:rPr>
          <w:snapToGrid w:val="0"/>
          <w:sz w:val="20"/>
          <w:szCs w:val="22"/>
        </w:rPr>
        <w:t>%</w:t>
      </w:r>
      <w:r w:rsidRPr="0083433F">
        <w:rPr>
          <w:snapToGrid w:val="0"/>
          <w:sz w:val="20"/>
          <w:szCs w:val="22"/>
        </w:rPr>
        <w:t xml:space="preserve">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 Y a tal efecto prevé, entre otros cri</w:t>
      </w:r>
      <w:r w:rsidR="00497BBB" w:rsidRPr="0083433F">
        <w:rPr>
          <w:snapToGrid w:val="0"/>
          <w:sz w:val="20"/>
          <w:szCs w:val="22"/>
        </w:rPr>
        <w:t>terios, que para calcular el 80%</w:t>
      </w:r>
      <w:r w:rsidRPr="0083433F">
        <w:rPr>
          <w:snapToGrid w:val="0"/>
          <w:sz w:val="20"/>
          <w:szCs w:val="22"/>
        </w:rPr>
        <w:t xml:space="preserve"> de las actividades del ente destinatario del encargo se tomarán en consideración el promedio del volumen global de negocios por los servicios prestados al poder adjudicador en relación con la totalidad de los prestados a cualquier entidad, y todo ello referido a los tres ejercicios anteriores al de formalización del encargo.</w:t>
      </w:r>
    </w:p>
    <w:p w14:paraId="7CDF947F" w14:textId="77777777" w:rsidR="00D357B3" w:rsidRPr="0083433F" w:rsidRDefault="00D357B3" w:rsidP="00064105">
      <w:pPr>
        <w:widowControl w:val="0"/>
        <w:spacing w:before="120" w:after="120" w:line="260" w:lineRule="exact"/>
        <w:jc w:val="both"/>
        <w:outlineLvl w:val="9"/>
        <w:rPr>
          <w:snapToGrid w:val="0"/>
          <w:sz w:val="20"/>
          <w:szCs w:val="22"/>
        </w:rPr>
      </w:pPr>
      <w:r w:rsidRPr="0083433F">
        <w:rPr>
          <w:snapToGrid w:val="0"/>
          <w:sz w:val="20"/>
          <w:szCs w:val="22"/>
        </w:rPr>
        <w:t>La Sociedad de acuerdo con la normativa vigente actúa en condición de ente instrumental de la Comunidad Autónoma de Canarias que controla el 100% de su capital social.</w:t>
      </w:r>
    </w:p>
    <w:p w14:paraId="2850D628" w14:textId="77777777" w:rsidR="00D357B3" w:rsidRPr="0083433F" w:rsidRDefault="00D357B3" w:rsidP="00064105">
      <w:pPr>
        <w:widowControl w:val="0"/>
        <w:spacing w:before="120" w:after="120" w:line="260" w:lineRule="exact"/>
        <w:jc w:val="both"/>
        <w:outlineLvl w:val="9"/>
        <w:rPr>
          <w:snapToGrid w:val="0"/>
          <w:sz w:val="20"/>
          <w:szCs w:val="22"/>
        </w:rPr>
      </w:pPr>
      <w:r w:rsidRPr="0083433F">
        <w:rPr>
          <w:snapToGrid w:val="0"/>
          <w:sz w:val="20"/>
          <w:szCs w:val="22"/>
        </w:rPr>
        <w:t xml:space="preserve">De acuerdo con dicho criterio de promedio el volumen de negocios se adjunta el siguiente cuadro donde se recoge el importe neto de la cifra de negocios </w:t>
      </w:r>
      <w:r w:rsidR="00A8074D" w:rsidRPr="0083433F">
        <w:rPr>
          <w:snapToGrid w:val="0"/>
          <w:sz w:val="20"/>
          <w:szCs w:val="22"/>
        </w:rPr>
        <w:t xml:space="preserve">y las subvenciones de explotación, </w:t>
      </w:r>
      <w:r w:rsidRPr="0083433F">
        <w:rPr>
          <w:snapToGrid w:val="0"/>
          <w:sz w:val="20"/>
          <w:szCs w:val="22"/>
        </w:rPr>
        <w:t>que tiene</w:t>
      </w:r>
      <w:r w:rsidR="00A8074D" w:rsidRPr="0083433F">
        <w:rPr>
          <w:snapToGrid w:val="0"/>
          <w:sz w:val="20"/>
          <w:szCs w:val="22"/>
        </w:rPr>
        <w:t>n</w:t>
      </w:r>
      <w:r w:rsidRPr="0083433F">
        <w:rPr>
          <w:snapToGrid w:val="0"/>
          <w:sz w:val="20"/>
          <w:szCs w:val="22"/>
        </w:rPr>
        <w:t xml:space="preserve"> su origen en el ejercicio de los cometidos que le han sido confiados por el poder </w:t>
      </w:r>
      <w:r w:rsidR="00382980" w:rsidRPr="0083433F">
        <w:rPr>
          <w:snapToGrid w:val="0"/>
          <w:sz w:val="20"/>
          <w:szCs w:val="22"/>
        </w:rPr>
        <w:t>adjudicador</w:t>
      </w:r>
      <w:r w:rsidR="00A8074D" w:rsidRPr="0083433F">
        <w:rPr>
          <w:snapToGrid w:val="0"/>
          <w:sz w:val="20"/>
          <w:szCs w:val="22"/>
        </w:rPr>
        <w:t xml:space="preserve"> y</w:t>
      </w:r>
      <w:r w:rsidRPr="0083433F">
        <w:rPr>
          <w:snapToGrid w:val="0"/>
          <w:sz w:val="20"/>
          <w:szCs w:val="22"/>
        </w:rPr>
        <w:t xml:space="preserve"> </w:t>
      </w:r>
      <w:r w:rsidR="00A8074D" w:rsidRPr="0083433F">
        <w:rPr>
          <w:snapToGrid w:val="0"/>
          <w:sz w:val="20"/>
          <w:szCs w:val="22"/>
        </w:rPr>
        <w:t>los ingresos accesorios</w:t>
      </w:r>
      <w:r w:rsidRPr="0083433F">
        <w:rPr>
          <w:snapToGrid w:val="0"/>
          <w:sz w:val="20"/>
          <w:szCs w:val="22"/>
        </w:rPr>
        <w:t xml:space="preserve"> que tienen su origen en el ejercicio de cometidos distinto</w:t>
      </w:r>
      <w:r w:rsidR="002D73E2" w:rsidRPr="0083433F">
        <w:rPr>
          <w:snapToGrid w:val="0"/>
          <w:sz w:val="20"/>
          <w:szCs w:val="22"/>
        </w:rPr>
        <w:t>s a los confiados por el poder</w:t>
      </w:r>
      <w:r w:rsidRPr="0083433F">
        <w:rPr>
          <w:snapToGrid w:val="0"/>
          <w:sz w:val="20"/>
          <w:szCs w:val="22"/>
        </w:rPr>
        <w:t xml:space="preserve"> adjudicado</w:t>
      </w:r>
      <w:r w:rsidR="002D73E2" w:rsidRPr="0083433F">
        <w:rPr>
          <w:snapToGrid w:val="0"/>
          <w:sz w:val="20"/>
          <w:szCs w:val="22"/>
        </w:rPr>
        <w:t>r que hace</w:t>
      </w:r>
      <w:r w:rsidRPr="0083433F">
        <w:rPr>
          <w:snapToGrid w:val="0"/>
          <w:sz w:val="20"/>
          <w:szCs w:val="22"/>
        </w:rPr>
        <w:t xml:space="preserve"> el encargo, y el correspondiente porcentaje para los tres ejercicios anteriores:</w:t>
      </w:r>
    </w:p>
    <w:tbl>
      <w:tblPr>
        <w:tblW w:w="5000" w:type="pct"/>
        <w:tblCellMar>
          <w:left w:w="70" w:type="dxa"/>
          <w:right w:w="70" w:type="dxa"/>
        </w:tblCellMar>
        <w:tblLook w:val="04A0" w:firstRow="1" w:lastRow="0" w:firstColumn="1" w:lastColumn="0" w:noHBand="0" w:noVBand="1"/>
      </w:tblPr>
      <w:tblGrid>
        <w:gridCol w:w="3492"/>
        <w:gridCol w:w="1297"/>
        <w:gridCol w:w="1300"/>
        <w:gridCol w:w="1300"/>
        <w:gridCol w:w="1392"/>
      </w:tblGrid>
      <w:tr w:rsidR="000612E0" w:rsidRPr="00954AA6" w14:paraId="4BB40FA5" w14:textId="77777777" w:rsidTr="007F7378">
        <w:trPr>
          <w:trHeight w:val="227"/>
        </w:trPr>
        <w:tc>
          <w:tcPr>
            <w:tcW w:w="1989" w:type="pct"/>
            <w:tcBorders>
              <w:top w:val="single" w:sz="4" w:space="0" w:color="auto"/>
              <w:left w:val="nil"/>
              <w:right w:val="nil"/>
            </w:tcBorders>
            <w:shd w:val="clear" w:color="auto" w:fill="auto"/>
            <w:vAlign w:val="bottom"/>
          </w:tcPr>
          <w:p w14:paraId="4034867C" w14:textId="77777777" w:rsidR="000612E0" w:rsidRPr="00954AA6" w:rsidRDefault="000612E0" w:rsidP="00954AA6">
            <w:pPr>
              <w:pBdr>
                <w:top w:val="none" w:sz="0" w:space="0" w:color="auto"/>
                <w:left w:val="none" w:sz="0" w:space="0" w:color="auto"/>
                <w:bottom w:val="none" w:sz="0" w:space="0" w:color="auto"/>
                <w:right w:val="none" w:sz="0" w:space="0" w:color="auto"/>
                <w:between w:val="none" w:sz="0" w:space="0" w:color="auto"/>
                <w:bar w:val="none" w:sz="0" w:color="auto"/>
              </w:pBdr>
              <w:ind w:left="77"/>
              <w:jc w:val="center"/>
              <w:outlineLvl w:val="9"/>
              <w:rPr>
                <w:rFonts w:eastAsia="Times New Roman"/>
                <w:sz w:val="18"/>
                <w:szCs w:val="18"/>
                <w:bdr w:val="none" w:sz="0" w:space="0" w:color="auto"/>
                <w:lang w:eastAsia="es-ES"/>
              </w:rPr>
            </w:pPr>
          </w:p>
        </w:tc>
        <w:tc>
          <w:tcPr>
            <w:tcW w:w="3011" w:type="pct"/>
            <w:gridSpan w:val="4"/>
            <w:tcBorders>
              <w:top w:val="single" w:sz="4" w:space="0" w:color="auto"/>
              <w:left w:val="nil"/>
              <w:bottom w:val="single" w:sz="4" w:space="0" w:color="auto"/>
              <w:right w:val="nil"/>
            </w:tcBorders>
            <w:shd w:val="clear" w:color="auto" w:fill="auto"/>
            <w:vAlign w:val="bottom"/>
          </w:tcPr>
          <w:p w14:paraId="3A18279A" w14:textId="77777777" w:rsidR="000612E0" w:rsidRPr="00954AA6" w:rsidRDefault="000612E0" w:rsidP="00F13C6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Euros</w:t>
            </w:r>
          </w:p>
        </w:tc>
      </w:tr>
      <w:tr w:rsidR="007F7378" w:rsidRPr="00954AA6" w14:paraId="49163108" w14:textId="77777777" w:rsidTr="00F62F4D">
        <w:trPr>
          <w:trHeight w:val="283"/>
        </w:trPr>
        <w:tc>
          <w:tcPr>
            <w:tcW w:w="1989" w:type="pct"/>
            <w:tcBorders>
              <w:left w:val="nil"/>
              <w:bottom w:val="single" w:sz="4" w:space="0" w:color="auto"/>
              <w:right w:val="nil"/>
            </w:tcBorders>
            <w:shd w:val="clear" w:color="auto" w:fill="auto"/>
            <w:vAlign w:val="bottom"/>
            <w:hideMark/>
          </w:tcPr>
          <w:p w14:paraId="55C8F878" w14:textId="77777777" w:rsidR="007F7378" w:rsidRPr="00954AA6"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ind w:left="77"/>
              <w:jc w:val="center"/>
              <w:outlineLvl w:val="9"/>
              <w:rPr>
                <w:rFonts w:eastAsia="Times New Roman"/>
                <w:sz w:val="18"/>
                <w:szCs w:val="18"/>
                <w:bdr w:val="none" w:sz="0" w:space="0" w:color="auto"/>
                <w:lang w:eastAsia="es-ES"/>
              </w:rPr>
            </w:pPr>
          </w:p>
        </w:tc>
        <w:tc>
          <w:tcPr>
            <w:tcW w:w="739" w:type="pct"/>
            <w:tcBorders>
              <w:top w:val="single" w:sz="4" w:space="0" w:color="auto"/>
              <w:left w:val="nil"/>
              <w:bottom w:val="single" w:sz="4" w:space="0" w:color="auto"/>
              <w:right w:val="nil"/>
            </w:tcBorders>
            <w:shd w:val="clear" w:color="auto" w:fill="auto"/>
            <w:vAlign w:val="bottom"/>
          </w:tcPr>
          <w:p w14:paraId="19F0F108" w14:textId="36E4FD26" w:rsidR="007F7378" w:rsidRPr="00C56E74"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Pr>
                <w:rFonts w:eastAsia="Times New Roman"/>
                <w:b/>
                <w:bCs/>
                <w:sz w:val="18"/>
                <w:szCs w:val="18"/>
                <w:bdr w:val="none" w:sz="0" w:space="0" w:color="auto"/>
                <w:lang w:eastAsia="es-ES"/>
              </w:rPr>
              <w:t>2023</w:t>
            </w:r>
          </w:p>
        </w:tc>
        <w:tc>
          <w:tcPr>
            <w:tcW w:w="740" w:type="pct"/>
            <w:tcBorders>
              <w:top w:val="single" w:sz="4" w:space="0" w:color="auto"/>
              <w:left w:val="nil"/>
              <w:bottom w:val="single" w:sz="4" w:space="0" w:color="auto"/>
              <w:right w:val="nil"/>
            </w:tcBorders>
            <w:shd w:val="clear" w:color="auto" w:fill="auto"/>
            <w:vAlign w:val="bottom"/>
            <w:hideMark/>
          </w:tcPr>
          <w:p w14:paraId="4B5B86CA" w14:textId="7906F329" w:rsidR="007F7378" w:rsidRPr="00C56E74"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56E74">
              <w:rPr>
                <w:rFonts w:eastAsia="Times New Roman"/>
                <w:b/>
                <w:bCs/>
                <w:sz w:val="18"/>
                <w:szCs w:val="18"/>
                <w:bdr w:val="none" w:sz="0" w:space="0" w:color="auto"/>
                <w:lang w:eastAsia="es-ES"/>
              </w:rPr>
              <w:t>2022</w:t>
            </w:r>
          </w:p>
        </w:tc>
        <w:tc>
          <w:tcPr>
            <w:tcW w:w="740" w:type="pct"/>
            <w:tcBorders>
              <w:top w:val="single" w:sz="4" w:space="0" w:color="auto"/>
              <w:left w:val="nil"/>
              <w:bottom w:val="single" w:sz="4" w:space="0" w:color="auto"/>
              <w:right w:val="nil"/>
            </w:tcBorders>
            <w:shd w:val="clear" w:color="auto" w:fill="auto"/>
            <w:vAlign w:val="bottom"/>
          </w:tcPr>
          <w:p w14:paraId="114EC6C8" w14:textId="1AAB7265" w:rsidR="007F7378" w:rsidRPr="00C56E74"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56E74">
              <w:rPr>
                <w:rFonts w:eastAsia="Times New Roman"/>
                <w:b/>
                <w:bCs/>
                <w:sz w:val="18"/>
                <w:szCs w:val="18"/>
                <w:bdr w:val="none" w:sz="0" w:space="0" w:color="auto"/>
                <w:lang w:eastAsia="es-ES"/>
              </w:rPr>
              <w:t>2021</w:t>
            </w:r>
          </w:p>
        </w:tc>
        <w:tc>
          <w:tcPr>
            <w:tcW w:w="793" w:type="pct"/>
            <w:tcBorders>
              <w:top w:val="single" w:sz="4" w:space="0" w:color="auto"/>
              <w:left w:val="nil"/>
              <w:bottom w:val="single" w:sz="4" w:space="0" w:color="auto"/>
              <w:right w:val="nil"/>
            </w:tcBorders>
            <w:shd w:val="clear" w:color="auto" w:fill="auto"/>
            <w:vAlign w:val="bottom"/>
            <w:hideMark/>
          </w:tcPr>
          <w:p w14:paraId="162CA081" w14:textId="77777777" w:rsidR="007F7378" w:rsidRPr="00C56E74"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C56E74">
              <w:rPr>
                <w:rFonts w:eastAsia="Times New Roman"/>
                <w:b/>
                <w:bCs/>
                <w:sz w:val="18"/>
                <w:szCs w:val="18"/>
                <w:bdr w:val="none" w:sz="0" w:space="0" w:color="auto"/>
                <w:lang w:eastAsia="es-ES"/>
              </w:rPr>
              <w:t>Total</w:t>
            </w:r>
          </w:p>
        </w:tc>
      </w:tr>
      <w:tr w:rsidR="007F7378" w:rsidRPr="00954AA6" w14:paraId="61AA0ADC" w14:textId="77777777" w:rsidTr="00F62F4D">
        <w:trPr>
          <w:trHeight w:val="340"/>
        </w:trPr>
        <w:tc>
          <w:tcPr>
            <w:tcW w:w="1989" w:type="pct"/>
            <w:tcBorders>
              <w:top w:val="nil"/>
              <w:left w:val="nil"/>
              <w:bottom w:val="nil"/>
              <w:right w:val="nil"/>
            </w:tcBorders>
            <w:shd w:val="clear" w:color="auto" w:fill="auto"/>
            <w:noWrap/>
            <w:vAlign w:val="center"/>
            <w:hideMark/>
          </w:tcPr>
          <w:p w14:paraId="7363D446" w14:textId="77777777" w:rsidR="007F7378" w:rsidRPr="00954AA6"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Encomiendas CAC</w:t>
            </w:r>
          </w:p>
        </w:tc>
        <w:tc>
          <w:tcPr>
            <w:tcW w:w="739" w:type="pct"/>
            <w:tcBorders>
              <w:top w:val="nil"/>
              <w:left w:val="nil"/>
              <w:bottom w:val="nil"/>
              <w:right w:val="nil"/>
            </w:tcBorders>
            <w:shd w:val="clear" w:color="auto" w:fill="auto"/>
            <w:vAlign w:val="center"/>
          </w:tcPr>
          <w:p w14:paraId="57D36F80" w14:textId="2D2C018E" w:rsidR="007F7378" w:rsidRPr="00954AA6"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sz w:val="18"/>
                <w:szCs w:val="18"/>
                <w:bdr w:val="none" w:sz="0" w:space="0" w:color="auto"/>
                <w:lang w:eastAsia="es-ES"/>
              </w:rPr>
            </w:pPr>
            <w:r>
              <w:rPr>
                <w:rFonts w:eastAsia="Times New Roman"/>
                <w:sz w:val="18"/>
                <w:szCs w:val="18"/>
                <w:bdr w:val="none" w:sz="0" w:space="0" w:color="auto"/>
                <w:lang w:eastAsia="es-ES"/>
              </w:rPr>
              <w:t>278.650,74</w:t>
            </w:r>
          </w:p>
        </w:tc>
        <w:tc>
          <w:tcPr>
            <w:tcW w:w="740" w:type="pct"/>
            <w:tcBorders>
              <w:top w:val="nil"/>
              <w:left w:val="nil"/>
              <w:bottom w:val="nil"/>
              <w:right w:val="nil"/>
            </w:tcBorders>
            <w:shd w:val="clear" w:color="auto" w:fill="auto"/>
            <w:vAlign w:val="center"/>
            <w:hideMark/>
          </w:tcPr>
          <w:p w14:paraId="656954E5" w14:textId="27FF8031" w:rsidR="007F7378" w:rsidRPr="00954AA6" w:rsidRDefault="007F7378" w:rsidP="007F7378">
            <w:pPr>
              <w:jc w:val="right"/>
              <w:rPr>
                <w:sz w:val="18"/>
                <w:szCs w:val="18"/>
              </w:rPr>
            </w:pPr>
            <w:r>
              <w:rPr>
                <w:sz w:val="18"/>
                <w:szCs w:val="18"/>
              </w:rPr>
              <w:t>230.000,00</w:t>
            </w:r>
          </w:p>
        </w:tc>
        <w:tc>
          <w:tcPr>
            <w:tcW w:w="740" w:type="pct"/>
            <w:tcBorders>
              <w:top w:val="nil"/>
              <w:left w:val="nil"/>
              <w:bottom w:val="nil"/>
              <w:right w:val="nil"/>
            </w:tcBorders>
            <w:shd w:val="clear" w:color="auto" w:fill="auto"/>
            <w:vAlign w:val="center"/>
          </w:tcPr>
          <w:p w14:paraId="14EAB567" w14:textId="0FE59B04" w:rsidR="007F7378" w:rsidRPr="00954AA6" w:rsidRDefault="007F7378" w:rsidP="007F7378">
            <w:pPr>
              <w:jc w:val="right"/>
              <w:rPr>
                <w:sz w:val="18"/>
                <w:szCs w:val="18"/>
              </w:rPr>
            </w:pPr>
            <w:r w:rsidRPr="00954AA6">
              <w:rPr>
                <w:sz w:val="18"/>
                <w:szCs w:val="18"/>
              </w:rPr>
              <w:t>236.170,83</w:t>
            </w:r>
          </w:p>
        </w:tc>
        <w:tc>
          <w:tcPr>
            <w:tcW w:w="793" w:type="pct"/>
            <w:tcBorders>
              <w:top w:val="nil"/>
              <w:left w:val="nil"/>
              <w:bottom w:val="nil"/>
              <w:right w:val="nil"/>
            </w:tcBorders>
            <w:shd w:val="clear" w:color="auto" w:fill="auto"/>
            <w:vAlign w:val="center"/>
          </w:tcPr>
          <w:p w14:paraId="0B3DEC97" w14:textId="2B43E71B" w:rsidR="007F7378" w:rsidRPr="00954AA6" w:rsidRDefault="007F7378" w:rsidP="007F7378">
            <w:pPr>
              <w:jc w:val="right"/>
              <w:rPr>
                <w:sz w:val="18"/>
                <w:szCs w:val="18"/>
              </w:rPr>
            </w:pPr>
            <w:r>
              <w:rPr>
                <w:sz w:val="18"/>
                <w:szCs w:val="18"/>
              </w:rPr>
              <w:t>586.604,83</w:t>
            </w:r>
          </w:p>
        </w:tc>
      </w:tr>
      <w:tr w:rsidR="007F7378" w:rsidRPr="00954AA6" w14:paraId="70384F29" w14:textId="77777777" w:rsidTr="00F62F4D">
        <w:trPr>
          <w:trHeight w:val="340"/>
        </w:trPr>
        <w:tc>
          <w:tcPr>
            <w:tcW w:w="1989" w:type="pct"/>
            <w:tcBorders>
              <w:top w:val="nil"/>
              <w:left w:val="nil"/>
              <w:bottom w:val="nil"/>
              <w:right w:val="nil"/>
            </w:tcBorders>
            <w:shd w:val="clear" w:color="auto" w:fill="auto"/>
            <w:noWrap/>
            <w:vAlign w:val="center"/>
            <w:hideMark/>
          </w:tcPr>
          <w:p w14:paraId="536F87FE" w14:textId="77777777" w:rsidR="007F7378" w:rsidRPr="00954AA6"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Ingresos accesorios</w:t>
            </w:r>
          </w:p>
        </w:tc>
        <w:tc>
          <w:tcPr>
            <w:tcW w:w="739" w:type="pct"/>
            <w:tcBorders>
              <w:top w:val="nil"/>
              <w:left w:val="nil"/>
              <w:bottom w:val="nil"/>
              <w:right w:val="nil"/>
            </w:tcBorders>
            <w:shd w:val="clear" w:color="auto" w:fill="auto"/>
            <w:vAlign w:val="center"/>
          </w:tcPr>
          <w:p w14:paraId="78C0EE97" w14:textId="29474A6A" w:rsidR="007F7378" w:rsidRPr="00954AA6" w:rsidRDefault="007F7378" w:rsidP="007F7378">
            <w:pPr>
              <w:jc w:val="right"/>
              <w:rPr>
                <w:sz w:val="18"/>
                <w:szCs w:val="18"/>
              </w:rPr>
            </w:pPr>
            <w:r>
              <w:rPr>
                <w:sz w:val="18"/>
                <w:szCs w:val="18"/>
              </w:rPr>
              <w:t>308.839,43</w:t>
            </w:r>
          </w:p>
        </w:tc>
        <w:tc>
          <w:tcPr>
            <w:tcW w:w="740" w:type="pct"/>
            <w:tcBorders>
              <w:top w:val="nil"/>
              <w:left w:val="nil"/>
              <w:bottom w:val="nil"/>
              <w:right w:val="nil"/>
            </w:tcBorders>
            <w:shd w:val="clear" w:color="auto" w:fill="auto"/>
            <w:vAlign w:val="center"/>
            <w:hideMark/>
          </w:tcPr>
          <w:p w14:paraId="1C8E1676" w14:textId="0B9E2FAA" w:rsidR="007F7378" w:rsidRPr="00954AA6" w:rsidRDefault="007F7378" w:rsidP="007F7378">
            <w:pPr>
              <w:jc w:val="right"/>
              <w:rPr>
                <w:sz w:val="18"/>
                <w:szCs w:val="18"/>
              </w:rPr>
            </w:pPr>
            <w:r>
              <w:rPr>
                <w:sz w:val="18"/>
                <w:szCs w:val="18"/>
              </w:rPr>
              <w:t>266.604,72</w:t>
            </w:r>
          </w:p>
        </w:tc>
        <w:tc>
          <w:tcPr>
            <w:tcW w:w="740" w:type="pct"/>
            <w:tcBorders>
              <w:top w:val="nil"/>
              <w:left w:val="nil"/>
              <w:bottom w:val="nil"/>
              <w:right w:val="nil"/>
            </w:tcBorders>
            <w:shd w:val="clear" w:color="auto" w:fill="auto"/>
            <w:vAlign w:val="center"/>
          </w:tcPr>
          <w:p w14:paraId="12006D3C" w14:textId="4E9736A4" w:rsidR="007F7378" w:rsidRPr="00954AA6" w:rsidRDefault="007F7378" w:rsidP="007F7378">
            <w:pPr>
              <w:jc w:val="right"/>
              <w:rPr>
                <w:sz w:val="18"/>
                <w:szCs w:val="18"/>
              </w:rPr>
            </w:pPr>
            <w:r w:rsidRPr="00954AA6">
              <w:rPr>
                <w:sz w:val="18"/>
                <w:szCs w:val="18"/>
              </w:rPr>
              <w:t>118.400,67</w:t>
            </w:r>
          </w:p>
        </w:tc>
        <w:tc>
          <w:tcPr>
            <w:tcW w:w="793" w:type="pct"/>
            <w:tcBorders>
              <w:top w:val="nil"/>
              <w:left w:val="nil"/>
              <w:bottom w:val="nil"/>
              <w:right w:val="nil"/>
            </w:tcBorders>
            <w:shd w:val="clear" w:color="auto" w:fill="auto"/>
            <w:vAlign w:val="center"/>
          </w:tcPr>
          <w:p w14:paraId="356B4B66" w14:textId="6705B55F" w:rsidR="007F7378" w:rsidRPr="00954AA6" w:rsidRDefault="007F7378" w:rsidP="007F7378">
            <w:pPr>
              <w:jc w:val="right"/>
              <w:rPr>
                <w:sz w:val="18"/>
                <w:szCs w:val="18"/>
              </w:rPr>
            </w:pPr>
            <w:r>
              <w:rPr>
                <w:sz w:val="18"/>
                <w:szCs w:val="18"/>
              </w:rPr>
              <w:t>529.803,54</w:t>
            </w:r>
          </w:p>
        </w:tc>
      </w:tr>
      <w:tr w:rsidR="007F7378" w:rsidRPr="00954AA6" w14:paraId="169400FF" w14:textId="77777777" w:rsidTr="00F62F4D">
        <w:trPr>
          <w:trHeight w:val="340"/>
        </w:trPr>
        <w:tc>
          <w:tcPr>
            <w:tcW w:w="1989" w:type="pct"/>
            <w:tcBorders>
              <w:top w:val="nil"/>
              <w:left w:val="nil"/>
              <w:bottom w:val="nil"/>
              <w:right w:val="nil"/>
            </w:tcBorders>
            <w:shd w:val="clear" w:color="auto" w:fill="auto"/>
            <w:noWrap/>
            <w:vAlign w:val="center"/>
            <w:hideMark/>
          </w:tcPr>
          <w:p w14:paraId="3B41C032" w14:textId="77777777" w:rsidR="007F7378" w:rsidRPr="00954AA6"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sz w:val="18"/>
                <w:szCs w:val="18"/>
                <w:bdr w:val="none" w:sz="0" w:space="0" w:color="auto"/>
                <w:lang w:eastAsia="es-ES"/>
              </w:rPr>
            </w:pPr>
            <w:r w:rsidRPr="00954AA6">
              <w:rPr>
                <w:rFonts w:eastAsia="Times New Roman"/>
                <w:sz w:val="18"/>
                <w:szCs w:val="18"/>
                <w:bdr w:val="none" w:sz="0" w:space="0" w:color="auto"/>
                <w:lang w:eastAsia="es-ES"/>
              </w:rPr>
              <w:t>Subvenciones de explotación</w:t>
            </w:r>
          </w:p>
        </w:tc>
        <w:tc>
          <w:tcPr>
            <w:tcW w:w="739" w:type="pct"/>
            <w:tcBorders>
              <w:top w:val="nil"/>
              <w:left w:val="nil"/>
              <w:bottom w:val="nil"/>
              <w:right w:val="nil"/>
            </w:tcBorders>
            <w:shd w:val="clear" w:color="auto" w:fill="auto"/>
            <w:vAlign w:val="center"/>
          </w:tcPr>
          <w:p w14:paraId="64771202" w14:textId="00404D1B" w:rsidR="007F7378" w:rsidRPr="00954AA6" w:rsidRDefault="007F7378" w:rsidP="007F7378">
            <w:pPr>
              <w:jc w:val="right"/>
              <w:rPr>
                <w:sz w:val="18"/>
                <w:szCs w:val="18"/>
              </w:rPr>
            </w:pPr>
            <w:r>
              <w:rPr>
                <w:sz w:val="18"/>
                <w:szCs w:val="18"/>
              </w:rPr>
              <w:t>46.743.894,28</w:t>
            </w:r>
          </w:p>
        </w:tc>
        <w:tc>
          <w:tcPr>
            <w:tcW w:w="740" w:type="pct"/>
            <w:tcBorders>
              <w:top w:val="nil"/>
              <w:left w:val="nil"/>
              <w:bottom w:val="nil"/>
              <w:right w:val="nil"/>
            </w:tcBorders>
            <w:shd w:val="clear" w:color="auto" w:fill="auto"/>
            <w:vAlign w:val="center"/>
            <w:hideMark/>
          </w:tcPr>
          <w:p w14:paraId="46FABA62" w14:textId="2A9155FB" w:rsidR="007F7378" w:rsidRPr="00954AA6" w:rsidRDefault="007F7378" w:rsidP="007F7378">
            <w:pPr>
              <w:jc w:val="right"/>
              <w:rPr>
                <w:sz w:val="18"/>
                <w:szCs w:val="18"/>
              </w:rPr>
            </w:pPr>
            <w:r>
              <w:rPr>
                <w:sz w:val="18"/>
                <w:szCs w:val="18"/>
              </w:rPr>
              <w:t>42.998.433,48</w:t>
            </w:r>
          </w:p>
        </w:tc>
        <w:tc>
          <w:tcPr>
            <w:tcW w:w="740" w:type="pct"/>
            <w:tcBorders>
              <w:top w:val="nil"/>
              <w:left w:val="nil"/>
              <w:bottom w:val="nil"/>
              <w:right w:val="nil"/>
            </w:tcBorders>
            <w:shd w:val="clear" w:color="auto" w:fill="auto"/>
            <w:vAlign w:val="center"/>
          </w:tcPr>
          <w:p w14:paraId="1BCD0B69" w14:textId="249C42D2" w:rsidR="007F7378" w:rsidRPr="00954AA6" w:rsidRDefault="007F7378" w:rsidP="007F7378">
            <w:pPr>
              <w:jc w:val="right"/>
              <w:rPr>
                <w:sz w:val="18"/>
                <w:szCs w:val="18"/>
              </w:rPr>
            </w:pPr>
            <w:r w:rsidRPr="00954AA6">
              <w:rPr>
                <w:sz w:val="18"/>
                <w:szCs w:val="18"/>
              </w:rPr>
              <w:t>40.953.751,32</w:t>
            </w:r>
          </w:p>
        </w:tc>
        <w:tc>
          <w:tcPr>
            <w:tcW w:w="793" w:type="pct"/>
            <w:tcBorders>
              <w:top w:val="nil"/>
              <w:left w:val="nil"/>
              <w:bottom w:val="nil"/>
              <w:right w:val="nil"/>
            </w:tcBorders>
            <w:shd w:val="clear" w:color="auto" w:fill="auto"/>
            <w:vAlign w:val="center"/>
          </w:tcPr>
          <w:p w14:paraId="243B6B66" w14:textId="610BF10D" w:rsidR="007F7378" w:rsidRPr="00954AA6" w:rsidRDefault="007F7378" w:rsidP="007F7378">
            <w:pPr>
              <w:jc w:val="right"/>
              <w:rPr>
                <w:sz w:val="18"/>
                <w:szCs w:val="18"/>
              </w:rPr>
            </w:pPr>
            <w:r>
              <w:rPr>
                <w:sz w:val="18"/>
                <w:szCs w:val="18"/>
              </w:rPr>
              <w:t>102.432.687,04</w:t>
            </w:r>
          </w:p>
        </w:tc>
      </w:tr>
      <w:tr w:rsidR="007F7378" w:rsidRPr="00954AA6" w14:paraId="54D145E7" w14:textId="77777777" w:rsidTr="00F62F4D">
        <w:trPr>
          <w:trHeight w:val="340"/>
        </w:trPr>
        <w:tc>
          <w:tcPr>
            <w:tcW w:w="1989" w:type="pct"/>
            <w:tcBorders>
              <w:top w:val="single" w:sz="4" w:space="0" w:color="auto"/>
              <w:left w:val="nil"/>
              <w:bottom w:val="nil"/>
              <w:right w:val="nil"/>
            </w:tcBorders>
            <w:shd w:val="clear" w:color="auto" w:fill="auto"/>
            <w:noWrap/>
            <w:vAlign w:val="center"/>
            <w:hideMark/>
          </w:tcPr>
          <w:p w14:paraId="46F7016A" w14:textId="77777777" w:rsidR="007F7378" w:rsidRPr="00954AA6"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Total Ingresos</w:t>
            </w:r>
          </w:p>
        </w:tc>
        <w:tc>
          <w:tcPr>
            <w:tcW w:w="739" w:type="pct"/>
            <w:tcBorders>
              <w:top w:val="single" w:sz="4" w:space="0" w:color="auto"/>
              <w:left w:val="nil"/>
              <w:bottom w:val="nil"/>
              <w:right w:val="nil"/>
            </w:tcBorders>
            <w:shd w:val="clear" w:color="auto" w:fill="auto"/>
            <w:vAlign w:val="center"/>
          </w:tcPr>
          <w:p w14:paraId="0CFE23FD" w14:textId="424955D1" w:rsidR="007F7378" w:rsidRPr="00954AA6" w:rsidRDefault="007F7378" w:rsidP="007F7378">
            <w:pPr>
              <w:jc w:val="right"/>
              <w:rPr>
                <w:b/>
                <w:bCs/>
                <w:sz w:val="18"/>
                <w:szCs w:val="18"/>
              </w:rPr>
            </w:pPr>
            <w:r>
              <w:rPr>
                <w:b/>
                <w:bCs/>
                <w:sz w:val="18"/>
                <w:szCs w:val="18"/>
              </w:rPr>
              <w:t>47.331.384,45</w:t>
            </w:r>
          </w:p>
        </w:tc>
        <w:tc>
          <w:tcPr>
            <w:tcW w:w="740" w:type="pct"/>
            <w:tcBorders>
              <w:top w:val="single" w:sz="4" w:space="0" w:color="auto"/>
              <w:left w:val="nil"/>
              <w:bottom w:val="nil"/>
              <w:right w:val="nil"/>
            </w:tcBorders>
            <w:shd w:val="clear" w:color="auto" w:fill="auto"/>
            <w:vAlign w:val="center"/>
            <w:hideMark/>
          </w:tcPr>
          <w:p w14:paraId="0CB76AA5" w14:textId="64350886" w:rsidR="007F7378" w:rsidRPr="00954AA6" w:rsidRDefault="007F7378" w:rsidP="007F7378">
            <w:pPr>
              <w:jc w:val="right"/>
              <w:rPr>
                <w:b/>
                <w:bCs/>
                <w:sz w:val="18"/>
                <w:szCs w:val="18"/>
              </w:rPr>
            </w:pPr>
            <w:r>
              <w:rPr>
                <w:b/>
                <w:bCs/>
                <w:sz w:val="18"/>
                <w:szCs w:val="18"/>
              </w:rPr>
              <w:t>43.495.038,20</w:t>
            </w:r>
          </w:p>
        </w:tc>
        <w:tc>
          <w:tcPr>
            <w:tcW w:w="740" w:type="pct"/>
            <w:tcBorders>
              <w:top w:val="single" w:sz="4" w:space="0" w:color="auto"/>
              <w:left w:val="nil"/>
              <w:bottom w:val="nil"/>
              <w:right w:val="nil"/>
            </w:tcBorders>
            <w:shd w:val="clear" w:color="auto" w:fill="auto"/>
            <w:vAlign w:val="center"/>
          </w:tcPr>
          <w:p w14:paraId="7382E539" w14:textId="6194FA55" w:rsidR="007F7378" w:rsidRPr="00954AA6" w:rsidRDefault="007F7378" w:rsidP="007F7378">
            <w:pPr>
              <w:jc w:val="right"/>
              <w:rPr>
                <w:b/>
                <w:bCs/>
                <w:sz w:val="18"/>
                <w:szCs w:val="18"/>
              </w:rPr>
            </w:pPr>
            <w:r w:rsidRPr="00954AA6">
              <w:rPr>
                <w:b/>
                <w:bCs/>
                <w:sz w:val="18"/>
                <w:szCs w:val="18"/>
              </w:rPr>
              <w:t>41.308.322,82</w:t>
            </w:r>
          </w:p>
        </w:tc>
        <w:tc>
          <w:tcPr>
            <w:tcW w:w="793" w:type="pct"/>
            <w:tcBorders>
              <w:top w:val="single" w:sz="4" w:space="0" w:color="auto"/>
              <w:left w:val="nil"/>
              <w:bottom w:val="nil"/>
              <w:right w:val="nil"/>
            </w:tcBorders>
            <w:shd w:val="clear" w:color="auto" w:fill="auto"/>
            <w:vAlign w:val="center"/>
          </w:tcPr>
          <w:p w14:paraId="7FA0BF21" w14:textId="222B5D03" w:rsidR="007F7378" w:rsidRPr="00954AA6" w:rsidRDefault="007F7378" w:rsidP="007F7378">
            <w:pPr>
              <w:jc w:val="right"/>
              <w:rPr>
                <w:b/>
                <w:bCs/>
                <w:sz w:val="18"/>
                <w:szCs w:val="18"/>
              </w:rPr>
            </w:pPr>
            <w:r>
              <w:rPr>
                <w:b/>
                <w:bCs/>
                <w:sz w:val="18"/>
                <w:szCs w:val="18"/>
              </w:rPr>
              <w:t>103.549.095,41</w:t>
            </w:r>
          </w:p>
        </w:tc>
      </w:tr>
      <w:tr w:rsidR="007F7378" w:rsidRPr="00954AA6" w14:paraId="1266EDD6" w14:textId="77777777" w:rsidTr="00F62F4D">
        <w:trPr>
          <w:trHeight w:val="340"/>
        </w:trPr>
        <w:tc>
          <w:tcPr>
            <w:tcW w:w="1989" w:type="pct"/>
            <w:tcBorders>
              <w:top w:val="nil"/>
              <w:left w:val="nil"/>
              <w:bottom w:val="single" w:sz="4" w:space="0" w:color="auto"/>
              <w:right w:val="nil"/>
            </w:tcBorders>
            <w:shd w:val="clear" w:color="auto" w:fill="auto"/>
            <w:noWrap/>
            <w:vAlign w:val="center"/>
            <w:hideMark/>
          </w:tcPr>
          <w:p w14:paraId="7B73A4ED" w14:textId="77777777" w:rsidR="007F7378" w:rsidRPr="00954AA6" w:rsidRDefault="007F7378" w:rsidP="007F7378">
            <w:pPr>
              <w:pBdr>
                <w:top w:val="none" w:sz="0" w:space="0" w:color="auto"/>
                <w:left w:val="none" w:sz="0" w:space="0" w:color="auto"/>
                <w:bottom w:val="none" w:sz="0" w:space="0" w:color="auto"/>
                <w:right w:val="none" w:sz="0" w:space="0" w:color="auto"/>
                <w:between w:val="none" w:sz="0" w:space="0" w:color="auto"/>
                <w:bar w:val="none" w:sz="0" w:color="auto"/>
              </w:pBdr>
              <w:ind w:left="77"/>
              <w:outlineLvl w:val="9"/>
              <w:rPr>
                <w:rFonts w:eastAsia="Times New Roman"/>
                <w:b/>
                <w:bCs/>
                <w:sz w:val="18"/>
                <w:szCs w:val="18"/>
                <w:bdr w:val="none" w:sz="0" w:space="0" w:color="auto"/>
                <w:lang w:eastAsia="es-ES"/>
              </w:rPr>
            </w:pPr>
            <w:r w:rsidRPr="00954AA6">
              <w:rPr>
                <w:rFonts w:eastAsia="Times New Roman"/>
                <w:b/>
                <w:bCs/>
                <w:sz w:val="18"/>
                <w:szCs w:val="18"/>
                <w:bdr w:val="none" w:sz="0" w:space="0" w:color="auto"/>
                <w:lang w:eastAsia="es-ES"/>
              </w:rPr>
              <w:t>% Adjudicaciones/Total Ingresos</w:t>
            </w:r>
          </w:p>
        </w:tc>
        <w:tc>
          <w:tcPr>
            <w:tcW w:w="739" w:type="pct"/>
            <w:tcBorders>
              <w:top w:val="nil"/>
              <w:left w:val="nil"/>
              <w:bottom w:val="single" w:sz="4" w:space="0" w:color="auto"/>
              <w:right w:val="nil"/>
            </w:tcBorders>
            <w:shd w:val="clear" w:color="auto" w:fill="auto"/>
            <w:vAlign w:val="center"/>
          </w:tcPr>
          <w:p w14:paraId="1E8B1B86" w14:textId="692A2EE1" w:rsidR="007F7378" w:rsidRPr="00954AA6" w:rsidRDefault="007F7378" w:rsidP="007F7378">
            <w:pPr>
              <w:jc w:val="center"/>
              <w:rPr>
                <w:b/>
                <w:bCs/>
                <w:sz w:val="18"/>
                <w:szCs w:val="18"/>
              </w:rPr>
            </w:pPr>
            <w:r>
              <w:rPr>
                <w:b/>
                <w:bCs/>
                <w:sz w:val="18"/>
                <w:szCs w:val="18"/>
              </w:rPr>
              <w:t>99,35%</w:t>
            </w:r>
          </w:p>
        </w:tc>
        <w:tc>
          <w:tcPr>
            <w:tcW w:w="740" w:type="pct"/>
            <w:tcBorders>
              <w:top w:val="nil"/>
              <w:left w:val="nil"/>
              <w:bottom w:val="single" w:sz="4" w:space="0" w:color="auto"/>
              <w:right w:val="nil"/>
            </w:tcBorders>
            <w:shd w:val="clear" w:color="auto" w:fill="auto"/>
            <w:vAlign w:val="center"/>
            <w:hideMark/>
          </w:tcPr>
          <w:p w14:paraId="59ABAE3B" w14:textId="63C5E409" w:rsidR="007F7378" w:rsidRPr="00954AA6" w:rsidRDefault="007F7378" w:rsidP="007F7378">
            <w:pPr>
              <w:jc w:val="center"/>
              <w:rPr>
                <w:b/>
                <w:bCs/>
                <w:sz w:val="18"/>
                <w:szCs w:val="18"/>
              </w:rPr>
            </w:pPr>
            <w:r>
              <w:rPr>
                <w:b/>
                <w:bCs/>
                <w:sz w:val="18"/>
                <w:szCs w:val="18"/>
              </w:rPr>
              <w:t>99,39%</w:t>
            </w:r>
          </w:p>
        </w:tc>
        <w:tc>
          <w:tcPr>
            <w:tcW w:w="740" w:type="pct"/>
            <w:tcBorders>
              <w:top w:val="nil"/>
              <w:left w:val="nil"/>
              <w:bottom w:val="single" w:sz="4" w:space="0" w:color="auto"/>
              <w:right w:val="nil"/>
            </w:tcBorders>
            <w:shd w:val="clear" w:color="auto" w:fill="auto"/>
            <w:vAlign w:val="center"/>
          </w:tcPr>
          <w:p w14:paraId="2A48035F" w14:textId="39CA151F" w:rsidR="007F7378" w:rsidRPr="00954AA6" w:rsidRDefault="007F7378" w:rsidP="007F7378">
            <w:pPr>
              <w:jc w:val="center"/>
              <w:rPr>
                <w:b/>
                <w:bCs/>
                <w:sz w:val="18"/>
                <w:szCs w:val="18"/>
              </w:rPr>
            </w:pPr>
            <w:r w:rsidRPr="00954AA6">
              <w:rPr>
                <w:b/>
                <w:bCs/>
                <w:sz w:val="18"/>
                <w:szCs w:val="18"/>
              </w:rPr>
              <w:t>99,71%</w:t>
            </w:r>
          </w:p>
        </w:tc>
        <w:tc>
          <w:tcPr>
            <w:tcW w:w="793" w:type="pct"/>
            <w:tcBorders>
              <w:top w:val="nil"/>
              <w:left w:val="nil"/>
              <w:bottom w:val="single" w:sz="4" w:space="0" w:color="auto"/>
              <w:right w:val="nil"/>
            </w:tcBorders>
            <w:shd w:val="clear" w:color="auto" w:fill="auto"/>
            <w:vAlign w:val="center"/>
          </w:tcPr>
          <w:p w14:paraId="27B6299B" w14:textId="749BF508" w:rsidR="007F7378" w:rsidRPr="00954AA6" w:rsidRDefault="007F7378" w:rsidP="007F7378">
            <w:pPr>
              <w:jc w:val="center"/>
              <w:rPr>
                <w:b/>
                <w:bCs/>
                <w:sz w:val="18"/>
                <w:szCs w:val="18"/>
              </w:rPr>
            </w:pPr>
            <w:r>
              <w:rPr>
                <w:b/>
                <w:bCs/>
                <w:sz w:val="18"/>
                <w:szCs w:val="18"/>
              </w:rPr>
              <w:t>99,49%</w:t>
            </w:r>
          </w:p>
        </w:tc>
      </w:tr>
    </w:tbl>
    <w:p w14:paraId="11BEEC02" w14:textId="7C56EE59" w:rsidR="00954AA6" w:rsidRDefault="00D357B3" w:rsidP="00F62F4D">
      <w:pPr>
        <w:widowControl w:val="0"/>
        <w:spacing w:before="240" w:after="120" w:line="260" w:lineRule="exact"/>
        <w:jc w:val="both"/>
        <w:outlineLvl w:val="9"/>
        <w:rPr>
          <w:snapToGrid w:val="0"/>
          <w:sz w:val="20"/>
          <w:szCs w:val="22"/>
        </w:rPr>
      </w:pPr>
      <w:r w:rsidRPr="0083433F">
        <w:rPr>
          <w:snapToGrid w:val="0"/>
          <w:sz w:val="20"/>
          <w:szCs w:val="22"/>
        </w:rPr>
        <w:t xml:space="preserve">Por lo que se puede concluir que esta </w:t>
      </w:r>
      <w:r w:rsidR="002D73E2" w:rsidRPr="0083433F">
        <w:rPr>
          <w:snapToGrid w:val="0"/>
          <w:sz w:val="20"/>
          <w:szCs w:val="22"/>
        </w:rPr>
        <w:t>Sociedad</w:t>
      </w:r>
      <w:r w:rsidRPr="0083433F">
        <w:rPr>
          <w:snapToGrid w:val="0"/>
          <w:sz w:val="20"/>
          <w:szCs w:val="22"/>
        </w:rPr>
        <w:t xml:space="preserve"> cumple con el requisito para que sea considerado medio propio </w:t>
      </w:r>
      <w:r w:rsidR="002D73E2" w:rsidRPr="0083433F">
        <w:rPr>
          <w:snapToGrid w:val="0"/>
          <w:sz w:val="20"/>
          <w:szCs w:val="22"/>
        </w:rPr>
        <w:t>personificado</w:t>
      </w:r>
      <w:r w:rsidRPr="0083433F">
        <w:rPr>
          <w:snapToGrid w:val="0"/>
          <w:sz w:val="20"/>
          <w:szCs w:val="22"/>
        </w:rPr>
        <w:t xml:space="preserve">, al considerar que </w:t>
      </w:r>
      <w:r w:rsidR="002D73E2" w:rsidRPr="0083433F">
        <w:rPr>
          <w:snapToGrid w:val="0"/>
          <w:sz w:val="20"/>
          <w:szCs w:val="22"/>
        </w:rPr>
        <w:t>más</w:t>
      </w:r>
      <w:r w:rsidRPr="0083433F">
        <w:rPr>
          <w:snapToGrid w:val="0"/>
          <w:sz w:val="20"/>
          <w:szCs w:val="22"/>
        </w:rPr>
        <w:t xml:space="preserve"> del 80</w:t>
      </w:r>
      <w:r w:rsidR="00497BBB" w:rsidRPr="0083433F">
        <w:rPr>
          <w:snapToGrid w:val="0"/>
          <w:sz w:val="20"/>
          <w:szCs w:val="22"/>
        </w:rPr>
        <w:t>%</w:t>
      </w:r>
      <w:r w:rsidRPr="0083433F">
        <w:rPr>
          <w:snapToGrid w:val="0"/>
          <w:sz w:val="20"/>
          <w:szCs w:val="22"/>
        </w:rPr>
        <w:t xml:space="preserve"> de la actividad de la misma son cometidos en el ejercicio de los encargos confiados por los poderes adjudicadores que controlan esta Sociedad, conforme a los artículos 32.2.b) y 32.4.b) de la Ley 9/2017, de 8 de noviembre de Contratos del Sector Público.</w:t>
      </w:r>
    </w:p>
    <w:p w14:paraId="2E02D29B" w14:textId="77777777" w:rsidR="00954AA6" w:rsidRDefault="00954AA6">
      <w:pPr>
        <w:pBdr>
          <w:top w:val="none" w:sz="0" w:space="0" w:color="auto"/>
          <w:left w:val="none" w:sz="0" w:space="0" w:color="auto"/>
          <w:bottom w:val="none" w:sz="0" w:space="0" w:color="auto"/>
          <w:right w:val="none" w:sz="0" w:space="0" w:color="auto"/>
          <w:between w:val="none" w:sz="0" w:space="0" w:color="auto"/>
          <w:bar w:val="none" w:sz="0" w:color="auto"/>
        </w:pBdr>
        <w:outlineLvl w:val="9"/>
        <w:rPr>
          <w:snapToGrid w:val="0"/>
          <w:sz w:val="20"/>
          <w:szCs w:val="22"/>
        </w:rPr>
      </w:pPr>
      <w:r>
        <w:rPr>
          <w:snapToGrid w:val="0"/>
          <w:sz w:val="20"/>
          <w:szCs w:val="22"/>
        </w:rPr>
        <w:br w:type="page"/>
      </w:r>
    </w:p>
    <w:p w14:paraId="7384F800" w14:textId="075154BC" w:rsidR="006220A2" w:rsidRPr="00C90FD6" w:rsidRDefault="00052BF5" w:rsidP="00052BF5">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exact"/>
        <w:ind w:left="284" w:hanging="284"/>
        <w:outlineLvl w:val="9"/>
        <w:rPr>
          <w:b/>
          <w:snapToGrid w:val="0"/>
          <w:sz w:val="22"/>
          <w:szCs w:val="22"/>
        </w:rPr>
      </w:pPr>
      <w:r>
        <w:rPr>
          <w:b/>
          <w:snapToGrid w:val="0"/>
          <w:sz w:val="22"/>
          <w:szCs w:val="22"/>
        </w:rPr>
        <w:lastRenderedPageBreak/>
        <w:t xml:space="preserve"> </w:t>
      </w:r>
      <w:r w:rsidR="006220A2" w:rsidRPr="00C90FD6">
        <w:rPr>
          <w:b/>
          <w:snapToGrid w:val="0"/>
          <w:sz w:val="22"/>
          <w:szCs w:val="22"/>
        </w:rPr>
        <w:t xml:space="preserve">Información sobre los aplazamientos de pagos efectuados a proveedores, Disposición adicional tercera. "Deber de información" de la Ley </w:t>
      </w:r>
      <w:r w:rsidR="00E72BC6" w:rsidRPr="00C90FD6">
        <w:rPr>
          <w:b/>
          <w:snapToGrid w:val="0"/>
          <w:sz w:val="22"/>
          <w:szCs w:val="22"/>
        </w:rPr>
        <w:t>18/2022, de 28 de septiembre</w:t>
      </w:r>
    </w:p>
    <w:p w14:paraId="1530DE3F" w14:textId="3683DFB5" w:rsidR="00C90FD6" w:rsidRDefault="00C90FD6" w:rsidP="00064105">
      <w:pPr>
        <w:widowControl w:val="0"/>
        <w:spacing w:before="120" w:after="120" w:line="260" w:lineRule="exact"/>
        <w:jc w:val="both"/>
        <w:outlineLvl w:val="9"/>
        <w:rPr>
          <w:snapToGrid w:val="0"/>
          <w:sz w:val="20"/>
          <w:szCs w:val="22"/>
        </w:rPr>
      </w:pPr>
      <w:r w:rsidRPr="00176BA0">
        <w:rPr>
          <w:snapToGrid w:val="0"/>
          <w:sz w:val="20"/>
          <w:szCs w:val="22"/>
        </w:rPr>
        <w:t>De acuerdo con lo establecido en la disposición adicional única de la Resolución de 29 de enero de 2016, del Instituto de Contabilidad y Auditoría de Cuentas, sobre la información a incorporar en la memoria de las cuentas anuales en relación con el período medio de pago a proveedores, en operaciones comerciales, se presenta información del ejercicio 202</w:t>
      </w:r>
      <w:r w:rsidR="007F7378">
        <w:rPr>
          <w:snapToGrid w:val="0"/>
          <w:sz w:val="20"/>
          <w:szCs w:val="22"/>
        </w:rPr>
        <w:t>3</w:t>
      </w:r>
      <w:r w:rsidRPr="00176BA0">
        <w:rPr>
          <w:snapToGrid w:val="0"/>
          <w:sz w:val="20"/>
          <w:szCs w:val="22"/>
        </w:rPr>
        <w:t xml:space="preserve"> y 202</w:t>
      </w:r>
      <w:r w:rsidR="007F7378">
        <w:rPr>
          <w:snapToGrid w:val="0"/>
          <w:sz w:val="20"/>
          <w:szCs w:val="22"/>
        </w:rPr>
        <w:t>2</w:t>
      </w:r>
      <w:r>
        <w:rPr>
          <w:snapToGrid w:val="0"/>
          <w:sz w:val="20"/>
          <w:szCs w:val="22"/>
        </w:rPr>
        <w:t>:</w:t>
      </w:r>
    </w:p>
    <w:tbl>
      <w:tblPr>
        <w:tblW w:w="5000" w:type="pct"/>
        <w:jc w:val="center"/>
        <w:tblCellMar>
          <w:left w:w="70" w:type="dxa"/>
          <w:right w:w="70" w:type="dxa"/>
        </w:tblCellMar>
        <w:tblLook w:val="04A0" w:firstRow="1" w:lastRow="0" w:firstColumn="1" w:lastColumn="0" w:noHBand="0" w:noVBand="1"/>
      </w:tblPr>
      <w:tblGrid>
        <w:gridCol w:w="4838"/>
        <w:gridCol w:w="1941"/>
        <w:gridCol w:w="30"/>
        <w:gridCol w:w="1972"/>
      </w:tblGrid>
      <w:tr w:rsidR="00C90FD6" w:rsidRPr="00176BA0" w14:paraId="14DE0134" w14:textId="77777777" w:rsidTr="001A7CD1">
        <w:trPr>
          <w:trHeight w:val="283"/>
          <w:jc w:val="center"/>
        </w:trPr>
        <w:tc>
          <w:tcPr>
            <w:tcW w:w="2755" w:type="pct"/>
            <w:tcBorders>
              <w:top w:val="single" w:sz="4" w:space="0" w:color="auto"/>
              <w:left w:val="nil"/>
              <w:bottom w:val="single" w:sz="4" w:space="0" w:color="auto"/>
              <w:right w:val="nil"/>
            </w:tcBorders>
            <w:shd w:val="clear" w:color="auto" w:fill="auto"/>
            <w:noWrap/>
            <w:vAlign w:val="bottom"/>
            <w:hideMark/>
          </w:tcPr>
          <w:p w14:paraId="2725BE06" w14:textId="77777777" w:rsidR="00C90FD6" w:rsidRPr="00176BA0" w:rsidRDefault="00C90FD6" w:rsidP="001A7CD1">
            <w:pPr>
              <w:keepNext/>
              <w:keepLines/>
              <w:widowControl w:val="0"/>
              <w:ind w:left="215"/>
              <w:rPr>
                <w:rFonts w:eastAsia="Times New Roman"/>
                <w:sz w:val="18"/>
                <w:szCs w:val="18"/>
              </w:rPr>
            </w:pPr>
            <w:r w:rsidRPr="00176BA0">
              <w:rPr>
                <w:rFonts w:eastAsia="Times New Roman"/>
                <w:sz w:val="18"/>
                <w:szCs w:val="18"/>
              </w:rPr>
              <w:t> </w:t>
            </w:r>
          </w:p>
        </w:tc>
        <w:tc>
          <w:tcPr>
            <w:tcW w:w="1105" w:type="pct"/>
            <w:tcBorders>
              <w:top w:val="single" w:sz="4" w:space="0" w:color="auto"/>
              <w:left w:val="nil"/>
              <w:bottom w:val="single" w:sz="4" w:space="0" w:color="auto"/>
              <w:right w:val="nil"/>
            </w:tcBorders>
            <w:shd w:val="clear" w:color="auto" w:fill="auto"/>
            <w:noWrap/>
            <w:vAlign w:val="bottom"/>
            <w:hideMark/>
          </w:tcPr>
          <w:p w14:paraId="6DF7C0FF" w14:textId="43C41DFF" w:rsidR="00C90FD6" w:rsidRPr="00A54244" w:rsidRDefault="00C90FD6" w:rsidP="001A7CD1">
            <w:pPr>
              <w:keepNext/>
              <w:keepLines/>
              <w:widowControl w:val="0"/>
              <w:jc w:val="center"/>
              <w:rPr>
                <w:rFonts w:eastAsia="Times New Roman"/>
                <w:b/>
                <w:bCs/>
                <w:sz w:val="18"/>
                <w:szCs w:val="18"/>
              </w:rPr>
            </w:pPr>
            <w:r w:rsidRPr="00A54244">
              <w:rPr>
                <w:rFonts w:eastAsia="Times New Roman"/>
                <w:b/>
                <w:bCs/>
                <w:sz w:val="18"/>
                <w:szCs w:val="18"/>
              </w:rPr>
              <w:t>202</w:t>
            </w:r>
            <w:r w:rsidR="00BB76C6">
              <w:rPr>
                <w:rFonts w:eastAsia="Times New Roman"/>
                <w:b/>
                <w:bCs/>
                <w:sz w:val="18"/>
                <w:szCs w:val="18"/>
              </w:rPr>
              <w:t>3</w:t>
            </w:r>
          </w:p>
        </w:tc>
        <w:tc>
          <w:tcPr>
            <w:tcW w:w="1140" w:type="pct"/>
            <w:gridSpan w:val="2"/>
            <w:tcBorders>
              <w:top w:val="single" w:sz="4" w:space="0" w:color="auto"/>
              <w:left w:val="nil"/>
              <w:bottom w:val="single" w:sz="4" w:space="0" w:color="auto"/>
              <w:right w:val="nil"/>
            </w:tcBorders>
            <w:shd w:val="clear" w:color="auto" w:fill="auto"/>
            <w:noWrap/>
            <w:vAlign w:val="bottom"/>
            <w:hideMark/>
          </w:tcPr>
          <w:p w14:paraId="54B3E827" w14:textId="262A2BA7" w:rsidR="00C90FD6" w:rsidRPr="00A54244" w:rsidRDefault="00C90FD6" w:rsidP="001A7CD1">
            <w:pPr>
              <w:keepNext/>
              <w:keepLines/>
              <w:widowControl w:val="0"/>
              <w:jc w:val="center"/>
              <w:rPr>
                <w:rFonts w:eastAsia="Times New Roman"/>
                <w:b/>
                <w:bCs/>
                <w:sz w:val="18"/>
                <w:szCs w:val="18"/>
              </w:rPr>
            </w:pPr>
            <w:r w:rsidRPr="00A54244">
              <w:rPr>
                <w:rFonts w:eastAsia="Times New Roman"/>
                <w:b/>
                <w:bCs/>
                <w:sz w:val="18"/>
                <w:szCs w:val="18"/>
              </w:rPr>
              <w:t>202</w:t>
            </w:r>
            <w:r w:rsidR="00BB76C6">
              <w:rPr>
                <w:rFonts w:eastAsia="Times New Roman"/>
                <w:b/>
                <w:bCs/>
                <w:sz w:val="18"/>
                <w:szCs w:val="18"/>
              </w:rPr>
              <w:t>2</w:t>
            </w:r>
          </w:p>
        </w:tc>
      </w:tr>
      <w:tr w:rsidR="00C90FD6" w:rsidRPr="00176BA0" w14:paraId="66B4FBC1" w14:textId="77777777" w:rsidTr="001A7CD1">
        <w:trPr>
          <w:trHeight w:val="283"/>
          <w:jc w:val="center"/>
        </w:trPr>
        <w:tc>
          <w:tcPr>
            <w:tcW w:w="2755" w:type="pct"/>
            <w:tcBorders>
              <w:top w:val="nil"/>
              <w:left w:val="nil"/>
              <w:bottom w:val="single" w:sz="4" w:space="0" w:color="auto"/>
              <w:right w:val="nil"/>
            </w:tcBorders>
            <w:shd w:val="clear" w:color="auto" w:fill="auto"/>
            <w:noWrap/>
            <w:vAlign w:val="center"/>
            <w:hideMark/>
          </w:tcPr>
          <w:p w14:paraId="23E0E3FC" w14:textId="77777777" w:rsidR="00C90FD6" w:rsidRPr="00176BA0" w:rsidRDefault="00C90FD6" w:rsidP="00C90FD6">
            <w:pPr>
              <w:keepNext/>
              <w:keepLines/>
              <w:widowControl w:val="0"/>
              <w:ind w:left="215" w:firstLineChars="200" w:firstLine="360"/>
              <w:rPr>
                <w:rFonts w:eastAsia="Times New Roman"/>
                <w:sz w:val="18"/>
                <w:szCs w:val="18"/>
              </w:rPr>
            </w:pPr>
            <w:r w:rsidRPr="00176BA0">
              <w:rPr>
                <w:rFonts w:eastAsia="Times New Roman"/>
                <w:sz w:val="18"/>
                <w:szCs w:val="18"/>
              </w:rPr>
              <w:t> </w:t>
            </w:r>
          </w:p>
        </w:tc>
        <w:tc>
          <w:tcPr>
            <w:tcW w:w="1122" w:type="pct"/>
            <w:gridSpan w:val="2"/>
            <w:tcBorders>
              <w:top w:val="nil"/>
              <w:left w:val="nil"/>
              <w:bottom w:val="single" w:sz="4" w:space="0" w:color="auto"/>
              <w:right w:val="nil"/>
            </w:tcBorders>
            <w:shd w:val="clear" w:color="auto" w:fill="auto"/>
            <w:noWrap/>
            <w:vAlign w:val="center"/>
            <w:hideMark/>
          </w:tcPr>
          <w:p w14:paraId="059707F4" w14:textId="77777777" w:rsidR="00C90FD6" w:rsidRPr="00A54244" w:rsidRDefault="00C90FD6" w:rsidP="00C90FD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right="363" w:firstLineChars="200" w:firstLine="361"/>
              <w:jc w:val="right"/>
              <w:outlineLvl w:val="9"/>
              <w:rPr>
                <w:rFonts w:eastAsia="Times New Roman"/>
                <w:b/>
                <w:bCs/>
                <w:sz w:val="18"/>
                <w:szCs w:val="18"/>
                <w:bdr w:val="none" w:sz="0" w:space="0" w:color="auto"/>
                <w:lang w:eastAsia="es-ES"/>
              </w:rPr>
            </w:pPr>
            <w:r w:rsidRPr="00A54244">
              <w:rPr>
                <w:b/>
                <w:bCs/>
                <w:sz w:val="18"/>
                <w:szCs w:val="18"/>
              </w:rPr>
              <w:t>Días</w:t>
            </w:r>
          </w:p>
        </w:tc>
        <w:tc>
          <w:tcPr>
            <w:tcW w:w="1123" w:type="pct"/>
            <w:tcBorders>
              <w:top w:val="nil"/>
              <w:left w:val="nil"/>
              <w:bottom w:val="single" w:sz="4" w:space="0" w:color="auto"/>
              <w:right w:val="nil"/>
            </w:tcBorders>
            <w:shd w:val="clear" w:color="auto" w:fill="auto"/>
            <w:noWrap/>
            <w:vAlign w:val="center"/>
            <w:hideMark/>
          </w:tcPr>
          <w:p w14:paraId="0E18C11C" w14:textId="7ED8BFDF" w:rsidR="00C90FD6" w:rsidRPr="00176BA0" w:rsidRDefault="00C90FD6" w:rsidP="00C90FD6">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ind w:right="363" w:firstLineChars="200" w:firstLine="361"/>
              <w:jc w:val="right"/>
              <w:outlineLvl w:val="9"/>
              <w:rPr>
                <w:rFonts w:eastAsia="Times New Roman"/>
                <w:b/>
                <w:bCs/>
                <w:sz w:val="18"/>
                <w:szCs w:val="18"/>
                <w:bdr w:val="none" w:sz="0" w:space="0" w:color="auto"/>
                <w:lang w:eastAsia="es-ES"/>
              </w:rPr>
            </w:pPr>
            <w:r w:rsidRPr="00176BA0">
              <w:rPr>
                <w:b/>
                <w:bCs/>
                <w:sz w:val="18"/>
                <w:szCs w:val="18"/>
              </w:rPr>
              <w:t>Días</w:t>
            </w:r>
          </w:p>
        </w:tc>
      </w:tr>
      <w:tr w:rsidR="00BB76C6" w:rsidRPr="00176BA0" w14:paraId="241EDC47" w14:textId="77777777" w:rsidTr="001A7CD1">
        <w:trPr>
          <w:trHeight w:val="340"/>
          <w:jc w:val="center"/>
        </w:trPr>
        <w:tc>
          <w:tcPr>
            <w:tcW w:w="2755" w:type="pct"/>
            <w:tcBorders>
              <w:top w:val="nil"/>
              <w:left w:val="nil"/>
              <w:bottom w:val="nil"/>
              <w:right w:val="nil"/>
            </w:tcBorders>
            <w:shd w:val="clear" w:color="auto" w:fill="auto"/>
            <w:noWrap/>
            <w:vAlign w:val="center"/>
            <w:hideMark/>
          </w:tcPr>
          <w:p w14:paraId="482AF7E0" w14:textId="77777777" w:rsidR="00BB76C6" w:rsidRPr="00176BA0" w:rsidRDefault="00BB76C6" w:rsidP="00BB76C6">
            <w:pPr>
              <w:keepNext/>
              <w:keepLines/>
              <w:widowControl w:val="0"/>
              <w:ind w:left="215"/>
              <w:rPr>
                <w:rFonts w:eastAsia="Times New Roman"/>
                <w:sz w:val="18"/>
                <w:szCs w:val="18"/>
              </w:rPr>
            </w:pPr>
            <w:r w:rsidRPr="00176BA0">
              <w:rPr>
                <w:rFonts w:eastAsia="Times New Roman"/>
                <w:sz w:val="18"/>
                <w:szCs w:val="18"/>
              </w:rPr>
              <w:t>Periodo medio de pago a proveedores</w:t>
            </w:r>
          </w:p>
        </w:tc>
        <w:tc>
          <w:tcPr>
            <w:tcW w:w="1122" w:type="pct"/>
            <w:gridSpan w:val="2"/>
            <w:tcBorders>
              <w:top w:val="nil"/>
              <w:left w:val="nil"/>
              <w:bottom w:val="nil"/>
              <w:right w:val="nil"/>
            </w:tcBorders>
            <w:shd w:val="clear" w:color="auto" w:fill="auto"/>
            <w:noWrap/>
            <w:vAlign w:val="center"/>
          </w:tcPr>
          <w:p w14:paraId="33742145" w14:textId="27CBC496" w:rsidR="00BB76C6" w:rsidRPr="00A54244" w:rsidRDefault="00BB76C6" w:rsidP="00BB76C6">
            <w:pPr>
              <w:keepNext/>
              <w:keepLines/>
              <w:widowControl w:val="0"/>
              <w:ind w:right="363" w:firstLineChars="200" w:firstLine="360"/>
              <w:jc w:val="right"/>
              <w:rPr>
                <w:sz w:val="18"/>
                <w:szCs w:val="18"/>
              </w:rPr>
            </w:pPr>
            <w:r>
              <w:rPr>
                <w:sz w:val="18"/>
                <w:szCs w:val="18"/>
              </w:rPr>
              <w:t>3,44</w:t>
            </w:r>
          </w:p>
        </w:tc>
        <w:tc>
          <w:tcPr>
            <w:tcW w:w="1123" w:type="pct"/>
            <w:tcBorders>
              <w:top w:val="nil"/>
              <w:left w:val="nil"/>
              <w:bottom w:val="nil"/>
              <w:right w:val="nil"/>
            </w:tcBorders>
            <w:shd w:val="clear" w:color="auto" w:fill="auto"/>
            <w:noWrap/>
            <w:vAlign w:val="center"/>
          </w:tcPr>
          <w:p w14:paraId="092D2631" w14:textId="57747BBA" w:rsidR="00BB76C6" w:rsidRPr="00176BA0" w:rsidRDefault="00BB76C6" w:rsidP="00BB76C6">
            <w:pPr>
              <w:keepNext/>
              <w:keepLines/>
              <w:widowControl w:val="0"/>
              <w:ind w:right="363" w:firstLineChars="200" w:firstLine="360"/>
              <w:jc w:val="right"/>
              <w:rPr>
                <w:sz w:val="18"/>
                <w:szCs w:val="18"/>
              </w:rPr>
            </w:pPr>
            <w:r w:rsidRPr="00A54244">
              <w:rPr>
                <w:sz w:val="18"/>
                <w:szCs w:val="18"/>
              </w:rPr>
              <w:t>3,90</w:t>
            </w:r>
          </w:p>
        </w:tc>
      </w:tr>
      <w:tr w:rsidR="00BB76C6" w:rsidRPr="00176BA0" w14:paraId="0470E96D" w14:textId="77777777" w:rsidTr="001A7CD1">
        <w:trPr>
          <w:trHeight w:val="340"/>
          <w:jc w:val="center"/>
        </w:trPr>
        <w:tc>
          <w:tcPr>
            <w:tcW w:w="2755" w:type="pct"/>
            <w:tcBorders>
              <w:top w:val="nil"/>
              <w:left w:val="nil"/>
              <w:bottom w:val="nil"/>
              <w:right w:val="nil"/>
            </w:tcBorders>
            <w:shd w:val="clear" w:color="auto" w:fill="auto"/>
            <w:noWrap/>
            <w:vAlign w:val="center"/>
            <w:hideMark/>
          </w:tcPr>
          <w:p w14:paraId="4EF5454B" w14:textId="77777777" w:rsidR="00BB76C6" w:rsidRPr="00176BA0" w:rsidRDefault="00BB76C6" w:rsidP="00BB76C6">
            <w:pPr>
              <w:keepNext/>
              <w:keepLines/>
              <w:widowControl w:val="0"/>
              <w:ind w:left="215"/>
              <w:rPr>
                <w:rFonts w:eastAsia="Times New Roman"/>
                <w:sz w:val="18"/>
                <w:szCs w:val="18"/>
              </w:rPr>
            </w:pPr>
            <w:r w:rsidRPr="00176BA0">
              <w:rPr>
                <w:rFonts w:eastAsia="Times New Roman"/>
                <w:sz w:val="18"/>
                <w:szCs w:val="18"/>
              </w:rPr>
              <w:t>Ratio de operaciones pagadas</w:t>
            </w:r>
          </w:p>
        </w:tc>
        <w:tc>
          <w:tcPr>
            <w:tcW w:w="1122" w:type="pct"/>
            <w:gridSpan w:val="2"/>
            <w:tcBorders>
              <w:top w:val="nil"/>
              <w:left w:val="nil"/>
              <w:bottom w:val="nil"/>
              <w:right w:val="nil"/>
            </w:tcBorders>
            <w:shd w:val="clear" w:color="auto" w:fill="auto"/>
            <w:noWrap/>
            <w:vAlign w:val="center"/>
          </w:tcPr>
          <w:p w14:paraId="32701C3F" w14:textId="1650CDC4" w:rsidR="00BB76C6" w:rsidRPr="00A54244" w:rsidRDefault="00BB76C6" w:rsidP="00BB76C6">
            <w:pPr>
              <w:keepNext/>
              <w:keepLines/>
              <w:widowControl w:val="0"/>
              <w:ind w:right="363" w:firstLineChars="200" w:firstLine="360"/>
              <w:jc w:val="right"/>
              <w:rPr>
                <w:sz w:val="18"/>
                <w:szCs w:val="18"/>
              </w:rPr>
            </w:pPr>
            <w:r>
              <w:rPr>
                <w:sz w:val="18"/>
                <w:szCs w:val="18"/>
              </w:rPr>
              <w:t>2,93</w:t>
            </w:r>
          </w:p>
        </w:tc>
        <w:tc>
          <w:tcPr>
            <w:tcW w:w="1123" w:type="pct"/>
            <w:tcBorders>
              <w:top w:val="nil"/>
              <w:left w:val="nil"/>
              <w:bottom w:val="nil"/>
              <w:right w:val="nil"/>
            </w:tcBorders>
            <w:shd w:val="clear" w:color="auto" w:fill="auto"/>
            <w:noWrap/>
            <w:vAlign w:val="center"/>
          </w:tcPr>
          <w:p w14:paraId="11F87A1A" w14:textId="720EBC69" w:rsidR="00BB76C6" w:rsidRPr="00176BA0" w:rsidRDefault="00BB76C6" w:rsidP="00BB76C6">
            <w:pPr>
              <w:keepNext/>
              <w:keepLines/>
              <w:widowControl w:val="0"/>
              <w:ind w:right="363" w:firstLineChars="200" w:firstLine="360"/>
              <w:jc w:val="right"/>
              <w:rPr>
                <w:sz w:val="18"/>
                <w:szCs w:val="18"/>
              </w:rPr>
            </w:pPr>
            <w:r w:rsidRPr="00A54244">
              <w:rPr>
                <w:sz w:val="18"/>
                <w:szCs w:val="18"/>
              </w:rPr>
              <w:t>3,92</w:t>
            </w:r>
          </w:p>
        </w:tc>
      </w:tr>
      <w:tr w:rsidR="00BB76C6" w:rsidRPr="00176BA0" w14:paraId="1DFB19F0" w14:textId="77777777" w:rsidTr="001A7CD1">
        <w:trPr>
          <w:trHeight w:val="340"/>
          <w:jc w:val="center"/>
        </w:trPr>
        <w:tc>
          <w:tcPr>
            <w:tcW w:w="2755" w:type="pct"/>
            <w:tcBorders>
              <w:top w:val="nil"/>
              <w:left w:val="nil"/>
              <w:bottom w:val="single" w:sz="4" w:space="0" w:color="auto"/>
              <w:right w:val="nil"/>
            </w:tcBorders>
            <w:shd w:val="clear" w:color="auto" w:fill="auto"/>
            <w:noWrap/>
            <w:vAlign w:val="center"/>
            <w:hideMark/>
          </w:tcPr>
          <w:p w14:paraId="7AB7B3FD" w14:textId="77777777" w:rsidR="00BB76C6" w:rsidRPr="00176BA0" w:rsidRDefault="00BB76C6" w:rsidP="00BB76C6">
            <w:pPr>
              <w:keepNext/>
              <w:keepLines/>
              <w:widowControl w:val="0"/>
              <w:ind w:left="215"/>
              <w:rPr>
                <w:rFonts w:eastAsia="Times New Roman"/>
                <w:sz w:val="18"/>
                <w:szCs w:val="18"/>
              </w:rPr>
            </w:pPr>
            <w:r w:rsidRPr="00176BA0">
              <w:rPr>
                <w:rFonts w:eastAsia="Times New Roman"/>
                <w:sz w:val="18"/>
                <w:szCs w:val="18"/>
              </w:rPr>
              <w:t>Ratio de operaciones pendientes de pago</w:t>
            </w:r>
          </w:p>
        </w:tc>
        <w:tc>
          <w:tcPr>
            <w:tcW w:w="1122" w:type="pct"/>
            <w:gridSpan w:val="2"/>
            <w:tcBorders>
              <w:top w:val="nil"/>
              <w:left w:val="nil"/>
              <w:bottom w:val="nil"/>
              <w:right w:val="nil"/>
            </w:tcBorders>
            <w:shd w:val="clear" w:color="auto" w:fill="auto"/>
            <w:noWrap/>
            <w:vAlign w:val="center"/>
          </w:tcPr>
          <w:p w14:paraId="7480F65B" w14:textId="589D4EA1" w:rsidR="00BB76C6" w:rsidRPr="00A54244" w:rsidRDefault="00BB76C6" w:rsidP="00BB76C6">
            <w:pPr>
              <w:keepNext/>
              <w:keepLines/>
              <w:widowControl w:val="0"/>
              <w:ind w:right="363" w:firstLineChars="200" w:firstLine="360"/>
              <w:jc w:val="right"/>
              <w:rPr>
                <w:sz w:val="18"/>
                <w:szCs w:val="18"/>
              </w:rPr>
            </w:pPr>
            <w:r>
              <w:rPr>
                <w:sz w:val="18"/>
                <w:szCs w:val="18"/>
              </w:rPr>
              <w:t>5,71</w:t>
            </w:r>
          </w:p>
        </w:tc>
        <w:tc>
          <w:tcPr>
            <w:tcW w:w="1123" w:type="pct"/>
            <w:tcBorders>
              <w:top w:val="nil"/>
              <w:left w:val="nil"/>
              <w:bottom w:val="nil"/>
              <w:right w:val="nil"/>
            </w:tcBorders>
            <w:shd w:val="clear" w:color="auto" w:fill="auto"/>
            <w:noWrap/>
            <w:vAlign w:val="center"/>
          </w:tcPr>
          <w:p w14:paraId="1277EE3B" w14:textId="67BF5375" w:rsidR="00BB76C6" w:rsidRPr="00176BA0" w:rsidRDefault="00BB76C6" w:rsidP="00BB76C6">
            <w:pPr>
              <w:keepNext/>
              <w:keepLines/>
              <w:widowControl w:val="0"/>
              <w:ind w:right="363" w:firstLineChars="200" w:firstLine="360"/>
              <w:jc w:val="right"/>
              <w:rPr>
                <w:sz w:val="18"/>
                <w:szCs w:val="18"/>
              </w:rPr>
            </w:pPr>
            <w:r w:rsidRPr="00A54244">
              <w:rPr>
                <w:sz w:val="18"/>
                <w:szCs w:val="18"/>
              </w:rPr>
              <w:t>1,32</w:t>
            </w:r>
          </w:p>
        </w:tc>
      </w:tr>
      <w:tr w:rsidR="00C90FD6" w:rsidRPr="00176BA0" w14:paraId="2716C92B" w14:textId="77777777" w:rsidTr="001A7CD1">
        <w:trPr>
          <w:trHeight w:val="283"/>
          <w:jc w:val="center"/>
        </w:trPr>
        <w:tc>
          <w:tcPr>
            <w:tcW w:w="2755" w:type="pct"/>
            <w:tcBorders>
              <w:top w:val="nil"/>
              <w:left w:val="nil"/>
              <w:bottom w:val="single" w:sz="4" w:space="0" w:color="auto"/>
              <w:right w:val="nil"/>
            </w:tcBorders>
            <w:shd w:val="clear" w:color="auto" w:fill="auto"/>
            <w:noWrap/>
            <w:vAlign w:val="center"/>
            <w:hideMark/>
          </w:tcPr>
          <w:p w14:paraId="451ED11F" w14:textId="77777777" w:rsidR="00C90FD6" w:rsidRPr="00176BA0" w:rsidRDefault="00C90FD6" w:rsidP="00C90FD6">
            <w:pPr>
              <w:keepNext/>
              <w:keepLines/>
              <w:widowControl w:val="0"/>
              <w:ind w:left="215"/>
              <w:rPr>
                <w:rFonts w:eastAsia="Times New Roman"/>
                <w:sz w:val="18"/>
                <w:szCs w:val="18"/>
              </w:rPr>
            </w:pPr>
            <w:r w:rsidRPr="00176BA0">
              <w:rPr>
                <w:rFonts w:eastAsia="Times New Roman"/>
                <w:sz w:val="18"/>
                <w:szCs w:val="18"/>
              </w:rPr>
              <w:t> </w:t>
            </w:r>
          </w:p>
        </w:tc>
        <w:tc>
          <w:tcPr>
            <w:tcW w:w="1122" w:type="pct"/>
            <w:gridSpan w:val="2"/>
            <w:tcBorders>
              <w:top w:val="single" w:sz="4" w:space="0" w:color="auto"/>
              <w:left w:val="nil"/>
              <w:bottom w:val="single" w:sz="4" w:space="0" w:color="auto"/>
              <w:right w:val="nil"/>
            </w:tcBorders>
            <w:shd w:val="clear" w:color="auto" w:fill="auto"/>
            <w:noWrap/>
            <w:vAlign w:val="center"/>
            <w:hideMark/>
          </w:tcPr>
          <w:p w14:paraId="4A49704C" w14:textId="77777777" w:rsidR="00C90FD6" w:rsidRPr="00A54244" w:rsidRDefault="00C90FD6" w:rsidP="00C90FD6">
            <w:pPr>
              <w:keepNext/>
              <w:keepLines/>
              <w:widowControl w:val="0"/>
              <w:ind w:firstLineChars="200" w:firstLine="360"/>
              <w:rPr>
                <w:sz w:val="18"/>
                <w:szCs w:val="18"/>
              </w:rPr>
            </w:pPr>
            <w:r w:rsidRPr="00A54244">
              <w:rPr>
                <w:sz w:val="18"/>
                <w:szCs w:val="18"/>
              </w:rPr>
              <w:t> </w:t>
            </w:r>
          </w:p>
        </w:tc>
        <w:tc>
          <w:tcPr>
            <w:tcW w:w="1123" w:type="pct"/>
            <w:tcBorders>
              <w:top w:val="single" w:sz="4" w:space="0" w:color="auto"/>
              <w:left w:val="nil"/>
              <w:bottom w:val="single" w:sz="4" w:space="0" w:color="auto"/>
              <w:right w:val="nil"/>
            </w:tcBorders>
            <w:shd w:val="clear" w:color="auto" w:fill="auto"/>
            <w:noWrap/>
            <w:vAlign w:val="center"/>
            <w:hideMark/>
          </w:tcPr>
          <w:p w14:paraId="7E65EBDF" w14:textId="160E37F7" w:rsidR="00C90FD6" w:rsidRPr="00176BA0" w:rsidRDefault="00C90FD6" w:rsidP="00C90FD6">
            <w:pPr>
              <w:keepNext/>
              <w:keepLines/>
              <w:widowControl w:val="0"/>
              <w:ind w:firstLineChars="200" w:firstLine="360"/>
              <w:rPr>
                <w:rFonts w:eastAsia="Times New Roman"/>
                <w:sz w:val="18"/>
                <w:szCs w:val="18"/>
              </w:rPr>
            </w:pPr>
            <w:r w:rsidRPr="00176BA0">
              <w:rPr>
                <w:sz w:val="18"/>
                <w:szCs w:val="18"/>
              </w:rPr>
              <w:t> </w:t>
            </w:r>
          </w:p>
        </w:tc>
      </w:tr>
      <w:tr w:rsidR="00C90FD6" w:rsidRPr="00176BA0" w14:paraId="662C0FA3" w14:textId="77777777" w:rsidTr="001A7CD1">
        <w:trPr>
          <w:trHeight w:val="283"/>
          <w:jc w:val="center"/>
        </w:trPr>
        <w:tc>
          <w:tcPr>
            <w:tcW w:w="2755" w:type="pct"/>
            <w:tcBorders>
              <w:top w:val="nil"/>
              <w:left w:val="nil"/>
              <w:bottom w:val="single" w:sz="4" w:space="0" w:color="auto"/>
              <w:right w:val="nil"/>
            </w:tcBorders>
            <w:shd w:val="clear" w:color="auto" w:fill="auto"/>
            <w:noWrap/>
            <w:vAlign w:val="center"/>
            <w:hideMark/>
          </w:tcPr>
          <w:p w14:paraId="3030338A" w14:textId="77777777" w:rsidR="00C90FD6" w:rsidRPr="00176BA0" w:rsidRDefault="00C90FD6" w:rsidP="00C90FD6">
            <w:pPr>
              <w:keepNext/>
              <w:keepLines/>
              <w:widowControl w:val="0"/>
              <w:ind w:left="215"/>
              <w:rPr>
                <w:rFonts w:eastAsia="Times New Roman"/>
                <w:sz w:val="18"/>
                <w:szCs w:val="18"/>
              </w:rPr>
            </w:pPr>
            <w:r w:rsidRPr="00176BA0">
              <w:rPr>
                <w:rFonts w:eastAsia="Times New Roman"/>
                <w:sz w:val="18"/>
                <w:szCs w:val="18"/>
              </w:rPr>
              <w:t> </w:t>
            </w:r>
          </w:p>
        </w:tc>
        <w:tc>
          <w:tcPr>
            <w:tcW w:w="1122" w:type="pct"/>
            <w:gridSpan w:val="2"/>
            <w:tcBorders>
              <w:top w:val="nil"/>
              <w:left w:val="nil"/>
              <w:bottom w:val="single" w:sz="4" w:space="0" w:color="auto"/>
              <w:right w:val="nil"/>
            </w:tcBorders>
            <w:shd w:val="clear" w:color="auto" w:fill="auto"/>
            <w:noWrap/>
            <w:vAlign w:val="center"/>
            <w:hideMark/>
          </w:tcPr>
          <w:p w14:paraId="44360275" w14:textId="77777777" w:rsidR="00C90FD6" w:rsidRPr="00A54244" w:rsidRDefault="00C90FD6" w:rsidP="00C90FD6">
            <w:pPr>
              <w:keepNext/>
              <w:keepLines/>
              <w:widowControl w:val="0"/>
              <w:ind w:firstLineChars="200" w:firstLine="361"/>
              <w:jc w:val="right"/>
              <w:rPr>
                <w:b/>
                <w:bCs/>
                <w:sz w:val="18"/>
                <w:szCs w:val="18"/>
              </w:rPr>
            </w:pPr>
            <w:r w:rsidRPr="00A54244">
              <w:rPr>
                <w:b/>
                <w:bCs/>
                <w:sz w:val="18"/>
                <w:szCs w:val="18"/>
              </w:rPr>
              <w:t>Importe (euros)</w:t>
            </w:r>
          </w:p>
        </w:tc>
        <w:tc>
          <w:tcPr>
            <w:tcW w:w="1123" w:type="pct"/>
            <w:tcBorders>
              <w:top w:val="nil"/>
              <w:left w:val="nil"/>
              <w:bottom w:val="single" w:sz="4" w:space="0" w:color="auto"/>
              <w:right w:val="nil"/>
            </w:tcBorders>
            <w:shd w:val="clear" w:color="auto" w:fill="auto"/>
            <w:noWrap/>
            <w:vAlign w:val="center"/>
            <w:hideMark/>
          </w:tcPr>
          <w:p w14:paraId="67092DB9" w14:textId="3869C1F6" w:rsidR="00C90FD6" w:rsidRPr="00176BA0" w:rsidRDefault="00C90FD6" w:rsidP="00C90FD6">
            <w:pPr>
              <w:keepNext/>
              <w:keepLines/>
              <w:widowControl w:val="0"/>
              <w:ind w:firstLineChars="200" w:firstLine="361"/>
              <w:jc w:val="right"/>
              <w:rPr>
                <w:rFonts w:eastAsia="Times New Roman"/>
                <w:b/>
                <w:bCs/>
                <w:sz w:val="18"/>
                <w:szCs w:val="18"/>
              </w:rPr>
            </w:pPr>
            <w:r w:rsidRPr="00176BA0">
              <w:rPr>
                <w:b/>
                <w:bCs/>
                <w:sz w:val="18"/>
                <w:szCs w:val="18"/>
              </w:rPr>
              <w:t>Importe (euros)</w:t>
            </w:r>
          </w:p>
        </w:tc>
      </w:tr>
      <w:tr w:rsidR="00A54244" w:rsidRPr="00176BA0" w14:paraId="2A1874D8" w14:textId="77777777" w:rsidTr="001A7CD1">
        <w:trPr>
          <w:trHeight w:val="340"/>
          <w:jc w:val="center"/>
        </w:trPr>
        <w:tc>
          <w:tcPr>
            <w:tcW w:w="2755" w:type="pct"/>
            <w:tcBorders>
              <w:top w:val="nil"/>
              <w:left w:val="nil"/>
              <w:bottom w:val="nil"/>
              <w:right w:val="nil"/>
            </w:tcBorders>
            <w:shd w:val="clear" w:color="auto" w:fill="auto"/>
            <w:noWrap/>
            <w:vAlign w:val="center"/>
            <w:hideMark/>
          </w:tcPr>
          <w:p w14:paraId="4360BC9A" w14:textId="77777777" w:rsidR="00A54244" w:rsidRPr="00176BA0" w:rsidRDefault="00A54244" w:rsidP="00A54244">
            <w:pPr>
              <w:keepNext/>
              <w:keepLines/>
              <w:widowControl w:val="0"/>
              <w:ind w:left="215"/>
              <w:rPr>
                <w:rFonts w:eastAsia="Times New Roman"/>
                <w:sz w:val="18"/>
                <w:szCs w:val="18"/>
              </w:rPr>
            </w:pPr>
            <w:r w:rsidRPr="00176BA0">
              <w:rPr>
                <w:rFonts w:eastAsia="Times New Roman"/>
                <w:sz w:val="18"/>
                <w:szCs w:val="18"/>
              </w:rPr>
              <w:t>Total pagos realizados</w:t>
            </w:r>
          </w:p>
        </w:tc>
        <w:tc>
          <w:tcPr>
            <w:tcW w:w="1122" w:type="pct"/>
            <w:gridSpan w:val="2"/>
            <w:tcBorders>
              <w:top w:val="nil"/>
              <w:left w:val="nil"/>
              <w:bottom w:val="nil"/>
              <w:right w:val="nil"/>
            </w:tcBorders>
            <w:shd w:val="clear" w:color="auto" w:fill="auto"/>
            <w:noWrap/>
            <w:vAlign w:val="center"/>
          </w:tcPr>
          <w:p w14:paraId="7130385C" w14:textId="5FF66773" w:rsidR="00A54244" w:rsidRPr="00A54244" w:rsidRDefault="00BB76C6" w:rsidP="00A54244">
            <w:pPr>
              <w:keepNext/>
              <w:keepLines/>
              <w:widowControl w:val="0"/>
              <w:ind w:firstLineChars="200" w:firstLine="360"/>
              <w:jc w:val="right"/>
              <w:rPr>
                <w:sz w:val="18"/>
                <w:szCs w:val="18"/>
              </w:rPr>
            </w:pPr>
            <w:r>
              <w:rPr>
                <w:sz w:val="18"/>
                <w:szCs w:val="18"/>
              </w:rPr>
              <w:t>47.645.727,03</w:t>
            </w:r>
          </w:p>
        </w:tc>
        <w:tc>
          <w:tcPr>
            <w:tcW w:w="1123" w:type="pct"/>
            <w:tcBorders>
              <w:top w:val="nil"/>
              <w:left w:val="nil"/>
              <w:bottom w:val="nil"/>
              <w:right w:val="nil"/>
            </w:tcBorders>
            <w:shd w:val="clear" w:color="auto" w:fill="auto"/>
            <w:noWrap/>
            <w:vAlign w:val="center"/>
          </w:tcPr>
          <w:p w14:paraId="61EF0826" w14:textId="426EA1A4" w:rsidR="00A54244" w:rsidRPr="00176BA0" w:rsidRDefault="007A7245" w:rsidP="00A54244">
            <w:pPr>
              <w:keepNext/>
              <w:keepLines/>
              <w:widowControl w:val="0"/>
              <w:ind w:firstLineChars="200" w:firstLine="360"/>
              <w:jc w:val="right"/>
              <w:rPr>
                <w:sz w:val="18"/>
                <w:szCs w:val="18"/>
              </w:rPr>
            </w:pPr>
            <w:r>
              <w:rPr>
                <w:sz w:val="18"/>
                <w:szCs w:val="18"/>
              </w:rPr>
              <w:t>34.962.465,13</w:t>
            </w:r>
          </w:p>
        </w:tc>
      </w:tr>
      <w:tr w:rsidR="00A54244" w:rsidRPr="00176BA0" w14:paraId="7DFF914E" w14:textId="77777777" w:rsidTr="001A7CD1">
        <w:trPr>
          <w:trHeight w:val="340"/>
          <w:jc w:val="center"/>
        </w:trPr>
        <w:tc>
          <w:tcPr>
            <w:tcW w:w="2755" w:type="pct"/>
            <w:tcBorders>
              <w:top w:val="nil"/>
              <w:left w:val="nil"/>
              <w:bottom w:val="single" w:sz="4" w:space="0" w:color="auto"/>
              <w:right w:val="nil"/>
            </w:tcBorders>
            <w:shd w:val="clear" w:color="auto" w:fill="auto"/>
            <w:noWrap/>
            <w:vAlign w:val="center"/>
            <w:hideMark/>
          </w:tcPr>
          <w:p w14:paraId="0747508C" w14:textId="77777777" w:rsidR="00A54244" w:rsidRPr="00176BA0" w:rsidRDefault="00A54244" w:rsidP="00A54244">
            <w:pPr>
              <w:keepNext/>
              <w:keepLines/>
              <w:widowControl w:val="0"/>
              <w:ind w:left="215"/>
              <w:rPr>
                <w:rFonts w:eastAsia="Times New Roman"/>
                <w:sz w:val="18"/>
                <w:szCs w:val="18"/>
              </w:rPr>
            </w:pPr>
            <w:r w:rsidRPr="00176BA0">
              <w:rPr>
                <w:rFonts w:eastAsia="Times New Roman"/>
                <w:sz w:val="18"/>
                <w:szCs w:val="18"/>
              </w:rPr>
              <w:t>Total pagos pendientes</w:t>
            </w:r>
          </w:p>
        </w:tc>
        <w:tc>
          <w:tcPr>
            <w:tcW w:w="1122" w:type="pct"/>
            <w:gridSpan w:val="2"/>
            <w:tcBorders>
              <w:top w:val="nil"/>
              <w:left w:val="nil"/>
              <w:bottom w:val="single" w:sz="4" w:space="0" w:color="auto"/>
              <w:right w:val="nil"/>
            </w:tcBorders>
            <w:shd w:val="clear" w:color="auto" w:fill="auto"/>
            <w:noWrap/>
            <w:vAlign w:val="center"/>
          </w:tcPr>
          <w:p w14:paraId="55E9C8AD" w14:textId="7E627FDC" w:rsidR="00A54244" w:rsidRPr="00EA7B40" w:rsidRDefault="00BB76C6" w:rsidP="00A54244">
            <w:pPr>
              <w:keepNext/>
              <w:keepLines/>
              <w:widowControl w:val="0"/>
              <w:ind w:firstLineChars="200" w:firstLine="360"/>
              <w:jc w:val="right"/>
              <w:rPr>
                <w:sz w:val="18"/>
                <w:szCs w:val="18"/>
                <w:highlight w:val="red"/>
              </w:rPr>
            </w:pPr>
            <w:r>
              <w:rPr>
                <w:sz w:val="18"/>
                <w:szCs w:val="18"/>
              </w:rPr>
              <w:t>6.969.866,74</w:t>
            </w:r>
          </w:p>
        </w:tc>
        <w:tc>
          <w:tcPr>
            <w:tcW w:w="1123" w:type="pct"/>
            <w:tcBorders>
              <w:top w:val="nil"/>
              <w:left w:val="nil"/>
              <w:bottom w:val="single" w:sz="4" w:space="0" w:color="auto"/>
              <w:right w:val="nil"/>
            </w:tcBorders>
            <w:shd w:val="clear" w:color="auto" w:fill="auto"/>
            <w:noWrap/>
            <w:vAlign w:val="center"/>
          </w:tcPr>
          <w:p w14:paraId="04C46912" w14:textId="1CDEB765" w:rsidR="00A54244" w:rsidRPr="00176BA0" w:rsidRDefault="007A7245" w:rsidP="00A54244">
            <w:pPr>
              <w:keepNext/>
              <w:keepLines/>
              <w:widowControl w:val="0"/>
              <w:ind w:firstLineChars="200" w:firstLine="360"/>
              <w:jc w:val="right"/>
              <w:rPr>
                <w:sz w:val="18"/>
                <w:szCs w:val="18"/>
              </w:rPr>
            </w:pPr>
            <w:r>
              <w:rPr>
                <w:sz w:val="18"/>
                <w:szCs w:val="18"/>
              </w:rPr>
              <w:t>4.423.451,05</w:t>
            </w:r>
          </w:p>
        </w:tc>
      </w:tr>
    </w:tbl>
    <w:p w14:paraId="788E8A87" w14:textId="77777777" w:rsidR="00C90FD6" w:rsidRDefault="00C90FD6" w:rsidP="00F62F4D">
      <w:pPr>
        <w:widowControl w:val="0"/>
        <w:spacing w:before="240" w:after="120" w:line="260" w:lineRule="exact"/>
        <w:jc w:val="both"/>
        <w:outlineLvl w:val="9"/>
        <w:rPr>
          <w:snapToGrid w:val="0"/>
          <w:sz w:val="20"/>
          <w:szCs w:val="22"/>
        </w:rPr>
      </w:pPr>
      <w:r w:rsidRPr="00E72BC6">
        <w:rPr>
          <w:snapToGrid w:val="0"/>
          <w:sz w:val="20"/>
          <w:szCs w:val="22"/>
        </w:rPr>
        <w:t>Según se indica en la Ley 18/2022, de 28 de septiembre, de creación y crecimiento de empresas, la cual tiene como fin la reducción de la morosidad comercial y el apoyo financiero, la Sociedad detalla a continuación el periodo medio de pago a proveedores, el volumen monetario y el número de facturas pagadas en un periodo inferior al máximo establecido en la normativa de morosidad, y el porcentaje que suponen sobre el número total de facturas y sobre el importe total monetario de los pagos a sus proveedores:</w:t>
      </w:r>
    </w:p>
    <w:tbl>
      <w:tblPr>
        <w:tblW w:w="5000" w:type="pct"/>
        <w:jc w:val="center"/>
        <w:tblLayout w:type="fixed"/>
        <w:tblCellMar>
          <w:left w:w="70" w:type="dxa"/>
          <w:right w:w="70" w:type="dxa"/>
        </w:tblCellMar>
        <w:tblLook w:val="04A0" w:firstRow="1" w:lastRow="0" w:firstColumn="1" w:lastColumn="0" w:noHBand="0" w:noVBand="1"/>
      </w:tblPr>
      <w:tblGrid>
        <w:gridCol w:w="5471"/>
        <w:gridCol w:w="1654"/>
        <w:gridCol w:w="1656"/>
      </w:tblGrid>
      <w:tr w:rsidR="007A7245" w:rsidRPr="009C718D" w14:paraId="321D40A6" w14:textId="0A2F4DFB" w:rsidTr="007A7245">
        <w:trPr>
          <w:trHeight w:val="283"/>
          <w:jc w:val="center"/>
        </w:trPr>
        <w:tc>
          <w:tcPr>
            <w:tcW w:w="3115" w:type="pct"/>
            <w:tcBorders>
              <w:top w:val="single" w:sz="4" w:space="0" w:color="auto"/>
              <w:left w:val="nil"/>
              <w:bottom w:val="single" w:sz="4" w:space="0" w:color="auto"/>
              <w:right w:val="nil"/>
            </w:tcBorders>
            <w:shd w:val="clear" w:color="auto" w:fill="auto"/>
            <w:noWrap/>
            <w:vAlign w:val="bottom"/>
            <w:hideMark/>
          </w:tcPr>
          <w:p w14:paraId="41D0E5B5" w14:textId="77777777" w:rsidR="007A7245" w:rsidRPr="00176BA0" w:rsidRDefault="007A7245" w:rsidP="00176BA0">
            <w:pPr>
              <w:keepNext/>
              <w:keepLines/>
              <w:widowControl w:val="0"/>
              <w:ind w:left="215"/>
              <w:rPr>
                <w:rFonts w:eastAsia="Times New Roman"/>
                <w:sz w:val="18"/>
                <w:szCs w:val="18"/>
              </w:rPr>
            </w:pPr>
            <w:bookmarkStart w:id="8" w:name="_Hlk129591059"/>
            <w:r w:rsidRPr="00176BA0">
              <w:rPr>
                <w:rFonts w:eastAsia="Times New Roman"/>
                <w:sz w:val="18"/>
                <w:szCs w:val="18"/>
              </w:rPr>
              <w:t> </w:t>
            </w:r>
          </w:p>
        </w:tc>
        <w:tc>
          <w:tcPr>
            <w:tcW w:w="942" w:type="pct"/>
            <w:tcBorders>
              <w:top w:val="single" w:sz="4" w:space="0" w:color="auto"/>
              <w:left w:val="nil"/>
              <w:bottom w:val="single" w:sz="4" w:space="0" w:color="auto"/>
              <w:right w:val="nil"/>
            </w:tcBorders>
            <w:shd w:val="clear" w:color="auto" w:fill="auto"/>
            <w:noWrap/>
            <w:vAlign w:val="bottom"/>
            <w:hideMark/>
          </w:tcPr>
          <w:p w14:paraId="06093802" w14:textId="01517084" w:rsidR="007A7245" w:rsidRPr="009C718D" w:rsidRDefault="007A7245" w:rsidP="00A009EA">
            <w:pPr>
              <w:keepNext/>
              <w:keepLines/>
              <w:widowControl w:val="0"/>
              <w:jc w:val="center"/>
              <w:rPr>
                <w:rFonts w:eastAsia="Times New Roman"/>
                <w:b/>
                <w:bCs/>
                <w:sz w:val="18"/>
                <w:szCs w:val="18"/>
              </w:rPr>
            </w:pPr>
            <w:r w:rsidRPr="009C718D">
              <w:rPr>
                <w:rFonts w:eastAsia="Times New Roman"/>
                <w:b/>
                <w:bCs/>
                <w:sz w:val="18"/>
                <w:szCs w:val="18"/>
              </w:rPr>
              <w:t>202</w:t>
            </w:r>
            <w:r>
              <w:rPr>
                <w:rFonts w:eastAsia="Times New Roman"/>
                <w:b/>
                <w:bCs/>
                <w:sz w:val="18"/>
                <w:szCs w:val="18"/>
              </w:rPr>
              <w:t>3</w:t>
            </w:r>
          </w:p>
        </w:tc>
        <w:tc>
          <w:tcPr>
            <w:tcW w:w="943" w:type="pct"/>
            <w:tcBorders>
              <w:top w:val="single" w:sz="4" w:space="0" w:color="auto"/>
              <w:left w:val="nil"/>
              <w:bottom w:val="single" w:sz="4" w:space="0" w:color="auto"/>
              <w:right w:val="nil"/>
            </w:tcBorders>
            <w:vAlign w:val="bottom"/>
          </w:tcPr>
          <w:p w14:paraId="53CF41DE" w14:textId="63A38F69" w:rsidR="007A7245" w:rsidRPr="009C718D" w:rsidRDefault="007A7245" w:rsidP="007A7245">
            <w:pPr>
              <w:keepNext/>
              <w:keepLines/>
              <w:widowControl w:val="0"/>
              <w:jc w:val="center"/>
              <w:rPr>
                <w:rFonts w:eastAsia="Times New Roman"/>
                <w:b/>
                <w:bCs/>
                <w:sz w:val="18"/>
                <w:szCs w:val="18"/>
              </w:rPr>
            </w:pPr>
            <w:r>
              <w:rPr>
                <w:rFonts w:eastAsia="Times New Roman"/>
                <w:b/>
                <w:bCs/>
                <w:sz w:val="18"/>
                <w:szCs w:val="18"/>
              </w:rPr>
              <w:t>2022</w:t>
            </w:r>
          </w:p>
        </w:tc>
      </w:tr>
      <w:tr w:rsidR="007A7245" w:rsidRPr="009C718D" w14:paraId="59B1887F" w14:textId="511EB784" w:rsidTr="007A7245">
        <w:trPr>
          <w:trHeight w:val="283"/>
          <w:jc w:val="center"/>
        </w:trPr>
        <w:tc>
          <w:tcPr>
            <w:tcW w:w="3115" w:type="pct"/>
            <w:tcBorders>
              <w:top w:val="nil"/>
              <w:left w:val="nil"/>
              <w:bottom w:val="single" w:sz="4" w:space="0" w:color="auto"/>
              <w:right w:val="nil"/>
            </w:tcBorders>
            <w:shd w:val="clear" w:color="auto" w:fill="auto"/>
            <w:noWrap/>
            <w:vAlign w:val="center"/>
            <w:hideMark/>
          </w:tcPr>
          <w:p w14:paraId="5211775E" w14:textId="7F32FE5B" w:rsidR="007A7245" w:rsidRPr="009C718D" w:rsidRDefault="007A7245" w:rsidP="009C718D">
            <w:pPr>
              <w:keepNext/>
              <w:keepLines/>
              <w:widowControl w:val="0"/>
              <w:ind w:left="215"/>
              <w:rPr>
                <w:rFonts w:eastAsia="Times New Roman"/>
                <w:sz w:val="18"/>
                <w:szCs w:val="18"/>
              </w:rPr>
            </w:pPr>
            <w:r w:rsidRPr="009C718D">
              <w:rPr>
                <w:rFonts w:eastAsia="Times New Roman"/>
                <w:sz w:val="18"/>
                <w:szCs w:val="18"/>
              </w:rPr>
              <w:t> </w:t>
            </w:r>
          </w:p>
        </w:tc>
        <w:tc>
          <w:tcPr>
            <w:tcW w:w="942" w:type="pct"/>
            <w:tcBorders>
              <w:top w:val="nil"/>
              <w:left w:val="nil"/>
              <w:bottom w:val="single" w:sz="4" w:space="0" w:color="auto"/>
              <w:right w:val="nil"/>
            </w:tcBorders>
            <w:shd w:val="clear" w:color="auto" w:fill="auto"/>
            <w:noWrap/>
            <w:vAlign w:val="center"/>
            <w:hideMark/>
          </w:tcPr>
          <w:p w14:paraId="031D3CD3" w14:textId="6E298539" w:rsidR="007A7245" w:rsidRPr="009C718D" w:rsidRDefault="007A7245" w:rsidP="007A7245">
            <w:pPr>
              <w:keepNext/>
              <w:keepLines/>
              <w:widowControl w:val="0"/>
              <w:jc w:val="right"/>
              <w:rPr>
                <w:b/>
                <w:bCs/>
                <w:sz w:val="18"/>
                <w:szCs w:val="18"/>
              </w:rPr>
            </w:pPr>
            <w:r w:rsidRPr="009C718D">
              <w:rPr>
                <w:b/>
                <w:bCs/>
                <w:sz w:val="18"/>
                <w:szCs w:val="18"/>
              </w:rPr>
              <w:t>Importe (euros)</w:t>
            </w:r>
          </w:p>
        </w:tc>
        <w:tc>
          <w:tcPr>
            <w:tcW w:w="943" w:type="pct"/>
            <w:tcBorders>
              <w:top w:val="nil"/>
              <w:left w:val="nil"/>
              <w:bottom w:val="single" w:sz="4" w:space="0" w:color="auto"/>
              <w:right w:val="nil"/>
            </w:tcBorders>
            <w:vAlign w:val="center"/>
          </w:tcPr>
          <w:p w14:paraId="227322F0" w14:textId="2AE5731C" w:rsidR="007A7245" w:rsidRPr="009C718D" w:rsidRDefault="007A7245" w:rsidP="007A7245">
            <w:pPr>
              <w:keepNext/>
              <w:keepLines/>
              <w:widowControl w:val="0"/>
              <w:ind w:firstLineChars="20" w:firstLine="36"/>
              <w:jc w:val="center"/>
              <w:rPr>
                <w:b/>
                <w:bCs/>
                <w:sz w:val="18"/>
                <w:szCs w:val="18"/>
              </w:rPr>
            </w:pPr>
            <w:r>
              <w:rPr>
                <w:b/>
                <w:bCs/>
                <w:sz w:val="18"/>
                <w:szCs w:val="18"/>
              </w:rPr>
              <w:t>Importe (euros)</w:t>
            </w:r>
          </w:p>
        </w:tc>
      </w:tr>
      <w:tr w:rsidR="007A7245" w:rsidRPr="009C718D" w14:paraId="7FD99DF6" w14:textId="36101ED0" w:rsidTr="007A7245">
        <w:trPr>
          <w:trHeight w:val="340"/>
          <w:jc w:val="center"/>
        </w:trPr>
        <w:tc>
          <w:tcPr>
            <w:tcW w:w="3115" w:type="pct"/>
            <w:tcBorders>
              <w:top w:val="nil"/>
              <w:left w:val="nil"/>
              <w:bottom w:val="nil"/>
              <w:right w:val="nil"/>
            </w:tcBorders>
            <w:shd w:val="clear" w:color="auto" w:fill="auto"/>
            <w:noWrap/>
            <w:vAlign w:val="center"/>
            <w:hideMark/>
          </w:tcPr>
          <w:p w14:paraId="0ACE61CE" w14:textId="7BCF92BA" w:rsidR="007A7245" w:rsidRPr="009C718D" w:rsidRDefault="007A7245" w:rsidP="00361C02">
            <w:pPr>
              <w:keepNext/>
              <w:keepLines/>
              <w:widowControl w:val="0"/>
              <w:ind w:left="215"/>
              <w:rPr>
                <w:rFonts w:eastAsia="Times New Roman"/>
                <w:sz w:val="18"/>
                <w:szCs w:val="18"/>
              </w:rPr>
            </w:pPr>
            <w:r w:rsidRPr="009C718D">
              <w:rPr>
                <w:rFonts w:eastAsia="Times New Roman"/>
                <w:sz w:val="18"/>
                <w:szCs w:val="18"/>
              </w:rPr>
              <w:t>Número de facturas en el límite legal</w:t>
            </w:r>
          </w:p>
        </w:tc>
        <w:tc>
          <w:tcPr>
            <w:tcW w:w="942" w:type="pct"/>
            <w:tcBorders>
              <w:top w:val="nil"/>
              <w:left w:val="nil"/>
              <w:bottom w:val="nil"/>
              <w:right w:val="nil"/>
            </w:tcBorders>
            <w:shd w:val="clear" w:color="auto" w:fill="auto"/>
            <w:noWrap/>
            <w:vAlign w:val="center"/>
          </w:tcPr>
          <w:p w14:paraId="2A8AE45E" w14:textId="2F60B8DA" w:rsidR="007A7245" w:rsidRPr="009C718D" w:rsidRDefault="007A7245" w:rsidP="00361C02">
            <w:pPr>
              <w:keepNext/>
              <w:keepLines/>
              <w:widowControl w:val="0"/>
              <w:ind w:firstLineChars="200" w:firstLine="360"/>
              <w:jc w:val="right"/>
              <w:rPr>
                <w:color w:val="FF0000"/>
                <w:sz w:val="18"/>
                <w:szCs w:val="18"/>
              </w:rPr>
            </w:pPr>
            <w:r>
              <w:rPr>
                <w:sz w:val="18"/>
                <w:szCs w:val="18"/>
              </w:rPr>
              <w:t>2.336</w:t>
            </w:r>
          </w:p>
        </w:tc>
        <w:tc>
          <w:tcPr>
            <w:tcW w:w="943" w:type="pct"/>
            <w:tcBorders>
              <w:top w:val="nil"/>
              <w:left w:val="nil"/>
              <w:bottom w:val="nil"/>
              <w:right w:val="nil"/>
            </w:tcBorders>
            <w:vAlign w:val="center"/>
          </w:tcPr>
          <w:p w14:paraId="237AF24C" w14:textId="734FB7AD" w:rsidR="007A7245" w:rsidRDefault="007A7245" w:rsidP="007A7245">
            <w:pPr>
              <w:keepNext/>
              <w:keepLines/>
              <w:widowControl w:val="0"/>
              <w:ind w:firstLineChars="200" w:firstLine="360"/>
              <w:jc w:val="right"/>
              <w:rPr>
                <w:sz w:val="18"/>
                <w:szCs w:val="18"/>
              </w:rPr>
            </w:pPr>
            <w:r>
              <w:rPr>
                <w:sz w:val="18"/>
                <w:szCs w:val="18"/>
              </w:rPr>
              <w:t>2.723</w:t>
            </w:r>
          </w:p>
        </w:tc>
      </w:tr>
      <w:tr w:rsidR="007A7245" w:rsidRPr="009C718D" w14:paraId="03183355" w14:textId="3EAE1431" w:rsidTr="007A7245">
        <w:trPr>
          <w:trHeight w:val="340"/>
          <w:jc w:val="center"/>
        </w:trPr>
        <w:tc>
          <w:tcPr>
            <w:tcW w:w="3115" w:type="pct"/>
            <w:tcBorders>
              <w:top w:val="nil"/>
              <w:left w:val="nil"/>
              <w:right w:val="nil"/>
            </w:tcBorders>
            <w:shd w:val="clear" w:color="auto" w:fill="auto"/>
            <w:noWrap/>
            <w:vAlign w:val="center"/>
          </w:tcPr>
          <w:p w14:paraId="31B495FC" w14:textId="58CBC2CC" w:rsidR="007A7245" w:rsidRPr="009C718D" w:rsidRDefault="007A7245" w:rsidP="00361C02">
            <w:pPr>
              <w:keepNext/>
              <w:keepLines/>
              <w:widowControl w:val="0"/>
              <w:ind w:left="215"/>
              <w:rPr>
                <w:rFonts w:eastAsia="Times New Roman"/>
                <w:sz w:val="18"/>
                <w:szCs w:val="18"/>
              </w:rPr>
            </w:pPr>
            <w:r w:rsidRPr="009C718D">
              <w:rPr>
                <w:rFonts w:eastAsia="Times New Roman"/>
                <w:sz w:val="18"/>
                <w:szCs w:val="18"/>
              </w:rPr>
              <w:t>Porcentaje sobre el total de facturas pagadas</w:t>
            </w:r>
          </w:p>
        </w:tc>
        <w:tc>
          <w:tcPr>
            <w:tcW w:w="942" w:type="pct"/>
            <w:tcBorders>
              <w:top w:val="nil"/>
              <w:left w:val="nil"/>
              <w:right w:val="nil"/>
            </w:tcBorders>
            <w:shd w:val="clear" w:color="auto" w:fill="auto"/>
            <w:noWrap/>
            <w:vAlign w:val="center"/>
          </w:tcPr>
          <w:p w14:paraId="77EABB16" w14:textId="1AE5E56A" w:rsidR="007A7245" w:rsidRPr="009C718D" w:rsidRDefault="007A7245" w:rsidP="00361C02">
            <w:pPr>
              <w:keepNext/>
              <w:keepLines/>
              <w:widowControl w:val="0"/>
              <w:ind w:firstLineChars="200" w:firstLine="360"/>
              <w:jc w:val="right"/>
              <w:rPr>
                <w:color w:val="FF0000"/>
                <w:sz w:val="18"/>
                <w:szCs w:val="18"/>
              </w:rPr>
            </w:pPr>
            <w:r>
              <w:rPr>
                <w:sz w:val="18"/>
                <w:szCs w:val="18"/>
                <w:lang w:val="es-ES_tradnl"/>
              </w:rPr>
              <w:t>100%</w:t>
            </w:r>
          </w:p>
        </w:tc>
        <w:tc>
          <w:tcPr>
            <w:tcW w:w="943" w:type="pct"/>
            <w:tcBorders>
              <w:top w:val="nil"/>
              <w:left w:val="nil"/>
              <w:right w:val="nil"/>
            </w:tcBorders>
            <w:vAlign w:val="center"/>
          </w:tcPr>
          <w:p w14:paraId="374979B0" w14:textId="2E0240ED" w:rsidR="007A7245" w:rsidRDefault="007A7245" w:rsidP="007A7245">
            <w:pPr>
              <w:keepNext/>
              <w:keepLines/>
              <w:widowControl w:val="0"/>
              <w:ind w:firstLineChars="200" w:firstLine="360"/>
              <w:jc w:val="right"/>
              <w:rPr>
                <w:sz w:val="18"/>
                <w:szCs w:val="18"/>
                <w:lang w:val="es-ES_tradnl"/>
              </w:rPr>
            </w:pPr>
            <w:r>
              <w:rPr>
                <w:sz w:val="18"/>
                <w:szCs w:val="18"/>
                <w:lang w:val="es-ES_tradnl"/>
              </w:rPr>
              <w:t>100%</w:t>
            </w:r>
          </w:p>
        </w:tc>
      </w:tr>
      <w:tr w:rsidR="007A7245" w:rsidRPr="009C718D" w14:paraId="186F9C5B" w14:textId="18CE1F45" w:rsidTr="007A7245">
        <w:trPr>
          <w:trHeight w:val="340"/>
          <w:jc w:val="center"/>
        </w:trPr>
        <w:tc>
          <w:tcPr>
            <w:tcW w:w="3115" w:type="pct"/>
            <w:tcBorders>
              <w:top w:val="nil"/>
              <w:left w:val="nil"/>
              <w:bottom w:val="single" w:sz="4" w:space="0" w:color="auto"/>
              <w:right w:val="nil"/>
            </w:tcBorders>
            <w:shd w:val="clear" w:color="auto" w:fill="auto"/>
            <w:noWrap/>
            <w:vAlign w:val="center"/>
            <w:hideMark/>
          </w:tcPr>
          <w:p w14:paraId="5A8DD124" w14:textId="38708258" w:rsidR="007A7245" w:rsidRPr="009C718D" w:rsidRDefault="007A7245" w:rsidP="00361C02">
            <w:pPr>
              <w:keepNext/>
              <w:keepLines/>
              <w:widowControl w:val="0"/>
              <w:ind w:left="215"/>
              <w:rPr>
                <w:rFonts w:eastAsia="Times New Roman"/>
                <w:sz w:val="18"/>
                <w:szCs w:val="18"/>
              </w:rPr>
            </w:pPr>
            <w:r w:rsidRPr="009C718D">
              <w:rPr>
                <w:rFonts w:eastAsia="Times New Roman"/>
                <w:sz w:val="18"/>
                <w:szCs w:val="18"/>
              </w:rPr>
              <w:t>Total número de facturas</w:t>
            </w:r>
          </w:p>
        </w:tc>
        <w:tc>
          <w:tcPr>
            <w:tcW w:w="942" w:type="pct"/>
            <w:tcBorders>
              <w:top w:val="nil"/>
              <w:left w:val="nil"/>
              <w:bottom w:val="single" w:sz="4" w:space="0" w:color="auto"/>
              <w:right w:val="nil"/>
            </w:tcBorders>
            <w:shd w:val="clear" w:color="auto" w:fill="auto"/>
            <w:noWrap/>
            <w:vAlign w:val="center"/>
          </w:tcPr>
          <w:p w14:paraId="0D9D25C7" w14:textId="759E8F39" w:rsidR="007A7245" w:rsidRPr="009C718D" w:rsidRDefault="007A7245" w:rsidP="00361C02">
            <w:pPr>
              <w:keepNext/>
              <w:keepLines/>
              <w:widowControl w:val="0"/>
              <w:ind w:firstLineChars="200" w:firstLine="360"/>
              <w:jc w:val="right"/>
              <w:rPr>
                <w:color w:val="FF0000"/>
                <w:sz w:val="18"/>
                <w:szCs w:val="18"/>
              </w:rPr>
            </w:pPr>
            <w:r>
              <w:rPr>
                <w:sz w:val="18"/>
                <w:szCs w:val="18"/>
                <w:lang w:val="es-ES_tradnl"/>
              </w:rPr>
              <w:t>2.336</w:t>
            </w:r>
          </w:p>
        </w:tc>
        <w:tc>
          <w:tcPr>
            <w:tcW w:w="943" w:type="pct"/>
            <w:tcBorders>
              <w:top w:val="nil"/>
              <w:left w:val="nil"/>
              <w:bottom w:val="single" w:sz="4" w:space="0" w:color="auto"/>
              <w:right w:val="nil"/>
            </w:tcBorders>
            <w:vAlign w:val="center"/>
          </w:tcPr>
          <w:p w14:paraId="369254BC" w14:textId="76B49D8B" w:rsidR="007A7245" w:rsidRDefault="007A7245" w:rsidP="007A7245">
            <w:pPr>
              <w:keepNext/>
              <w:keepLines/>
              <w:widowControl w:val="0"/>
              <w:ind w:firstLineChars="200" w:firstLine="360"/>
              <w:jc w:val="right"/>
              <w:rPr>
                <w:sz w:val="18"/>
                <w:szCs w:val="18"/>
                <w:lang w:val="es-ES_tradnl"/>
              </w:rPr>
            </w:pPr>
            <w:r>
              <w:rPr>
                <w:sz w:val="18"/>
                <w:szCs w:val="18"/>
                <w:lang w:val="es-ES_tradnl"/>
              </w:rPr>
              <w:t>2.723</w:t>
            </w:r>
          </w:p>
        </w:tc>
      </w:tr>
      <w:tr w:rsidR="007A7245" w:rsidRPr="009C718D" w14:paraId="2A2DB7C3" w14:textId="26C992C1" w:rsidTr="007A7245">
        <w:trPr>
          <w:trHeight w:val="340"/>
          <w:jc w:val="center"/>
        </w:trPr>
        <w:tc>
          <w:tcPr>
            <w:tcW w:w="3115" w:type="pct"/>
            <w:tcBorders>
              <w:top w:val="single" w:sz="4" w:space="0" w:color="auto"/>
              <w:left w:val="nil"/>
              <w:bottom w:val="nil"/>
              <w:right w:val="nil"/>
            </w:tcBorders>
            <w:shd w:val="clear" w:color="auto" w:fill="auto"/>
            <w:noWrap/>
            <w:vAlign w:val="center"/>
          </w:tcPr>
          <w:p w14:paraId="7184CEAF" w14:textId="3FDDE57E" w:rsidR="007A7245" w:rsidRPr="009C718D" w:rsidRDefault="007A7245" w:rsidP="00361C02">
            <w:pPr>
              <w:keepNext/>
              <w:keepLines/>
              <w:widowControl w:val="0"/>
              <w:ind w:left="215"/>
              <w:rPr>
                <w:rFonts w:eastAsia="Times New Roman"/>
                <w:sz w:val="18"/>
                <w:szCs w:val="18"/>
              </w:rPr>
            </w:pPr>
            <w:r w:rsidRPr="009C718D">
              <w:rPr>
                <w:rFonts w:eastAsia="Times New Roman"/>
                <w:sz w:val="18"/>
                <w:szCs w:val="18"/>
              </w:rPr>
              <w:t>Volumen monetario en límite legal</w:t>
            </w:r>
          </w:p>
        </w:tc>
        <w:tc>
          <w:tcPr>
            <w:tcW w:w="942" w:type="pct"/>
            <w:tcBorders>
              <w:top w:val="single" w:sz="4" w:space="0" w:color="auto"/>
              <w:left w:val="nil"/>
              <w:bottom w:val="nil"/>
              <w:right w:val="nil"/>
            </w:tcBorders>
            <w:shd w:val="clear" w:color="auto" w:fill="auto"/>
            <w:noWrap/>
            <w:vAlign w:val="center"/>
          </w:tcPr>
          <w:p w14:paraId="0EFA0F68" w14:textId="3EB33384" w:rsidR="007A7245" w:rsidRPr="009C718D" w:rsidRDefault="007A7245" w:rsidP="00361C02">
            <w:pPr>
              <w:keepNext/>
              <w:keepLines/>
              <w:widowControl w:val="0"/>
              <w:ind w:firstLineChars="200" w:firstLine="360"/>
              <w:jc w:val="right"/>
              <w:rPr>
                <w:color w:val="FF0000"/>
                <w:sz w:val="18"/>
                <w:szCs w:val="18"/>
              </w:rPr>
            </w:pPr>
            <w:r>
              <w:rPr>
                <w:sz w:val="18"/>
                <w:szCs w:val="18"/>
              </w:rPr>
              <w:t>47.645.727,03</w:t>
            </w:r>
          </w:p>
        </w:tc>
        <w:tc>
          <w:tcPr>
            <w:tcW w:w="943" w:type="pct"/>
            <w:tcBorders>
              <w:top w:val="single" w:sz="4" w:space="0" w:color="auto"/>
              <w:left w:val="nil"/>
              <w:bottom w:val="nil"/>
              <w:right w:val="nil"/>
            </w:tcBorders>
            <w:vAlign w:val="center"/>
          </w:tcPr>
          <w:p w14:paraId="1E0FC384" w14:textId="38F13917" w:rsidR="007A7245" w:rsidRDefault="007A7245" w:rsidP="007A7245">
            <w:pPr>
              <w:keepNext/>
              <w:keepLines/>
              <w:widowControl w:val="0"/>
              <w:ind w:firstLineChars="200" w:firstLine="360"/>
              <w:jc w:val="right"/>
              <w:rPr>
                <w:sz w:val="18"/>
                <w:szCs w:val="18"/>
              </w:rPr>
            </w:pPr>
            <w:r>
              <w:rPr>
                <w:sz w:val="18"/>
                <w:szCs w:val="18"/>
              </w:rPr>
              <w:t>34.962.465,13</w:t>
            </w:r>
          </w:p>
        </w:tc>
      </w:tr>
      <w:tr w:rsidR="007A7245" w:rsidRPr="009C718D" w14:paraId="3ED807B8" w14:textId="5DCC6AC7" w:rsidTr="007A7245">
        <w:trPr>
          <w:trHeight w:val="340"/>
          <w:jc w:val="center"/>
        </w:trPr>
        <w:tc>
          <w:tcPr>
            <w:tcW w:w="3115" w:type="pct"/>
            <w:tcBorders>
              <w:top w:val="nil"/>
              <w:left w:val="nil"/>
              <w:right w:val="nil"/>
            </w:tcBorders>
            <w:shd w:val="clear" w:color="auto" w:fill="auto"/>
            <w:noWrap/>
            <w:vAlign w:val="center"/>
          </w:tcPr>
          <w:p w14:paraId="60A8ACB9" w14:textId="41A8B908" w:rsidR="007A7245" w:rsidRPr="009C718D" w:rsidRDefault="007A7245" w:rsidP="00361C02">
            <w:pPr>
              <w:keepNext/>
              <w:keepLines/>
              <w:widowControl w:val="0"/>
              <w:ind w:left="215"/>
              <w:rPr>
                <w:rFonts w:eastAsia="Times New Roman"/>
                <w:sz w:val="18"/>
                <w:szCs w:val="18"/>
              </w:rPr>
            </w:pPr>
            <w:r w:rsidRPr="009C718D">
              <w:rPr>
                <w:rFonts w:eastAsia="Times New Roman"/>
                <w:sz w:val="18"/>
                <w:szCs w:val="18"/>
              </w:rPr>
              <w:t>Porcentaje sobre el total monetario de pagos a sus proveedores</w:t>
            </w:r>
          </w:p>
        </w:tc>
        <w:tc>
          <w:tcPr>
            <w:tcW w:w="942" w:type="pct"/>
            <w:tcBorders>
              <w:top w:val="nil"/>
              <w:left w:val="nil"/>
              <w:right w:val="nil"/>
            </w:tcBorders>
            <w:shd w:val="clear" w:color="auto" w:fill="auto"/>
            <w:noWrap/>
            <w:vAlign w:val="center"/>
          </w:tcPr>
          <w:p w14:paraId="41F71471" w14:textId="648A0224" w:rsidR="007A7245" w:rsidRPr="009C718D" w:rsidRDefault="007A7245" w:rsidP="00361C02">
            <w:pPr>
              <w:keepNext/>
              <w:keepLines/>
              <w:widowControl w:val="0"/>
              <w:ind w:firstLineChars="200" w:firstLine="360"/>
              <w:jc w:val="right"/>
              <w:rPr>
                <w:color w:val="FF0000"/>
                <w:sz w:val="18"/>
                <w:szCs w:val="18"/>
              </w:rPr>
            </w:pPr>
            <w:r>
              <w:rPr>
                <w:sz w:val="18"/>
                <w:szCs w:val="18"/>
              </w:rPr>
              <w:t>100%</w:t>
            </w:r>
          </w:p>
        </w:tc>
        <w:tc>
          <w:tcPr>
            <w:tcW w:w="943" w:type="pct"/>
            <w:tcBorders>
              <w:top w:val="nil"/>
              <w:left w:val="nil"/>
              <w:right w:val="nil"/>
            </w:tcBorders>
            <w:vAlign w:val="center"/>
          </w:tcPr>
          <w:p w14:paraId="06294D9B" w14:textId="31D46EB4" w:rsidR="007A7245" w:rsidRDefault="007A7245" w:rsidP="007A7245">
            <w:pPr>
              <w:keepNext/>
              <w:keepLines/>
              <w:widowControl w:val="0"/>
              <w:ind w:firstLineChars="200" w:firstLine="360"/>
              <w:jc w:val="right"/>
              <w:rPr>
                <w:sz w:val="18"/>
                <w:szCs w:val="18"/>
              </w:rPr>
            </w:pPr>
            <w:r>
              <w:rPr>
                <w:sz w:val="18"/>
                <w:szCs w:val="18"/>
              </w:rPr>
              <w:t>100%</w:t>
            </w:r>
          </w:p>
        </w:tc>
      </w:tr>
      <w:tr w:rsidR="007A7245" w:rsidRPr="00176BA0" w14:paraId="59F887A6" w14:textId="7992E9B4" w:rsidTr="007A7245">
        <w:trPr>
          <w:trHeight w:val="340"/>
          <w:jc w:val="center"/>
        </w:trPr>
        <w:tc>
          <w:tcPr>
            <w:tcW w:w="3115" w:type="pct"/>
            <w:tcBorders>
              <w:top w:val="nil"/>
              <w:left w:val="nil"/>
              <w:bottom w:val="single" w:sz="4" w:space="0" w:color="auto"/>
              <w:right w:val="nil"/>
            </w:tcBorders>
            <w:shd w:val="clear" w:color="auto" w:fill="auto"/>
            <w:noWrap/>
            <w:vAlign w:val="center"/>
          </w:tcPr>
          <w:p w14:paraId="46D1FE10" w14:textId="1F012FBA" w:rsidR="007A7245" w:rsidRPr="009C718D" w:rsidRDefault="007A7245" w:rsidP="00361C02">
            <w:pPr>
              <w:keepNext/>
              <w:keepLines/>
              <w:widowControl w:val="0"/>
              <w:ind w:left="215"/>
              <w:rPr>
                <w:rFonts w:eastAsia="Times New Roman"/>
                <w:sz w:val="18"/>
                <w:szCs w:val="18"/>
              </w:rPr>
            </w:pPr>
            <w:r w:rsidRPr="009C718D">
              <w:rPr>
                <w:rFonts w:eastAsia="Times New Roman"/>
                <w:sz w:val="18"/>
                <w:szCs w:val="18"/>
              </w:rPr>
              <w:t>Total monetario de facturas</w:t>
            </w:r>
          </w:p>
        </w:tc>
        <w:tc>
          <w:tcPr>
            <w:tcW w:w="942" w:type="pct"/>
            <w:tcBorders>
              <w:top w:val="nil"/>
              <w:left w:val="nil"/>
              <w:bottom w:val="single" w:sz="4" w:space="0" w:color="auto"/>
              <w:right w:val="nil"/>
            </w:tcBorders>
            <w:shd w:val="clear" w:color="auto" w:fill="auto"/>
            <w:noWrap/>
            <w:vAlign w:val="center"/>
          </w:tcPr>
          <w:p w14:paraId="010C8FE2" w14:textId="0733E481" w:rsidR="007A7245" w:rsidRPr="009C718D" w:rsidRDefault="007A7245" w:rsidP="00361C02">
            <w:pPr>
              <w:keepNext/>
              <w:keepLines/>
              <w:widowControl w:val="0"/>
              <w:ind w:firstLineChars="200" w:firstLine="360"/>
              <w:jc w:val="right"/>
              <w:rPr>
                <w:color w:val="FF0000"/>
                <w:sz w:val="18"/>
                <w:szCs w:val="18"/>
              </w:rPr>
            </w:pPr>
            <w:r>
              <w:rPr>
                <w:sz w:val="18"/>
                <w:szCs w:val="18"/>
              </w:rPr>
              <w:t>47.645.727,03</w:t>
            </w:r>
          </w:p>
        </w:tc>
        <w:tc>
          <w:tcPr>
            <w:tcW w:w="943" w:type="pct"/>
            <w:tcBorders>
              <w:top w:val="nil"/>
              <w:left w:val="nil"/>
              <w:bottom w:val="single" w:sz="4" w:space="0" w:color="auto"/>
              <w:right w:val="nil"/>
            </w:tcBorders>
            <w:vAlign w:val="center"/>
          </w:tcPr>
          <w:p w14:paraId="141C99A7" w14:textId="16050294" w:rsidR="007A7245" w:rsidRDefault="007A7245" w:rsidP="007A7245">
            <w:pPr>
              <w:keepNext/>
              <w:keepLines/>
              <w:widowControl w:val="0"/>
              <w:ind w:firstLineChars="200" w:firstLine="360"/>
              <w:jc w:val="right"/>
              <w:rPr>
                <w:sz w:val="18"/>
                <w:szCs w:val="18"/>
              </w:rPr>
            </w:pPr>
            <w:r>
              <w:rPr>
                <w:sz w:val="18"/>
                <w:szCs w:val="18"/>
              </w:rPr>
              <w:t>34.962.465,13</w:t>
            </w:r>
          </w:p>
        </w:tc>
      </w:tr>
      <w:bookmarkEnd w:id="8"/>
    </w:tbl>
    <w:p w14:paraId="0CCDFE91" w14:textId="77777777" w:rsidR="006220A2" w:rsidRPr="0083433F" w:rsidRDefault="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 w:rsidRPr="0083433F">
        <w:br w:type="page"/>
      </w:r>
    </w:p>
    <w:p w14:paraId="55ABBA4B" w14:textId="77777777" w:rsidR="001D401D" w:rsidRPr="0083433F" w:rsidRDefault="001D401D" w:rsidP="006220A2">
      <w:pPr>
        <w:jc w:val="center"/>
        <w:rPr>
          <w:b/>
        </w:rPr>
        <w:sectPr w:rsidR="001D401D" w:rsidRPr="0083433F" w:rsidSect="00064105">
          <w:pgSz w:w="11900" w:h="16840" w:code="9"/>
          <w:pgMar w:top="1701" w:right="1418" w:bottom="1418" w:left="1701" w:header="1020" w:footer="680" w:gutter="0"/>
          <w:cols w:space="708"/>
          <w:docGrid w:linePitch="360"/>
        </w:sectPr>
      </w:pPr>
    </w:p>
    <w:p w14:paraId="7701BA83" w14:textId="77777777" w:rsidR="00954AA6" w:rsidRDefault="00954AA6" w:rsidP="00954AA6">
      <w:pPr>
        <w:jc w:val="center"/>
        <w:outlineLvl w:val="9"/>
        <w:rPr>
          <w:b/>
          <w:color w:val="auto"/>
        </w:rPr>
      </w:pPr>
    </w:p>
    <w:p w14:paraId="3816C33C" w14:textId="48EDB390" w:rsidR="006220A2" w:rsidRPr="0021610B" w:rsidRDefault="006220A2" w:rsidP="00954AA6">
      <w:pPr>
        <w:jc w:val="center"/>
        <w:outlineLvl w:val="9"/>
        <w:rPr>
          <w:b/>
          <w:color w:val="auto"/>
        </w:rPr>
      </w:pPr>
      <w:bookmarkStart w:id="9" w:name="_Hlk129591263"/>
      <w:r w:rsidRPr="0021610B">
        <w:rPr>
          <w:b/>
          <w:color w:val="auto"/>
        </w:rPr>
        <w:t>INFOR</w:t>
      </w:r>
      <w:r w:rsidR="00286D62" w:rsidRPr="0021610B">
        <w:rPr>
          <w:b/>
          <w:color w:val="auto"/>
        </w:rPr>
        <w:t>ME DE GESTIÓN DEL EJERCICIO 20</w:t>
      </w:r>
      <w:r w:rsidR="009C7621" w:rsidRPr="0021610B">
        <w:rPr>
          <w:b/>
          <w:color w:val="auto"/>
        </w:rPr>
        <w:t>2</w:t>
      </w:r>
      <w:r w:rsidR="00BB76C6" w:rsidRPr="0021610B">
        <w:rPr>
          <w:b/>
          <w:color w:val="auto"/>
        </w:rPr>
        <w:t>3</w:t>
      </w:r>
    </w:p>
    <w:p w14:paraId="5C4CB587" w14:textId="77777777" w:rsidR="006220A2" w:rsidRPr="0021610B" w:rsidRDefault="006220A2" w:rsidP="006220A2">
      <w:pPr>
        <w:jc w:val="center"/>
        <w:rPr>
          <w:b/>
          <w:color w:val="auto"/>
        </w:rPr>
      </w:pPr>
    </w:p>
    <w:bookmarkEnd w:id="9"/>
    <w:p w14:paraId="4CEDAA07" w14:textId="77777777" w:rsidR="0021610B" w:rsidRPr="0021610B" w:rsidRDefault="0021610B">
      <w:pPr>
        <w:pStyle w:val="Prrafodelista"/>
        <w:numPr>
          <w:ilvl w:val="0"/>
          <w:numId w:val="27"/>
        </w:numPr>
        <w:spacing w:before="120" w:after="120" w:line="260" w:lineRule="exact"/>
        <w:contextualSpacing/>
        <w:outlineLvl w:val="2"/>
        <w:rPr>
          <w:rFonts w:ascii="Arial" w:hAnsi="Arial" w:cs="Arial"/>
          <w:b/>
          <w:color w:val="auto"/>
          <w:sz w:val="20"/>
          <w:szCs w:val="20"/>
        </w:rPr>
      </w:pPr>
      <w:r w:rsidRPr="0021610B">
        <w:rPr>
          <w:rFonts w:ascii="Arial" w:hAnsi="Arial" w:cs="Arial"/>
          <w:b/>
          <w:color w:val="auto"/>
          <w:sz w:val="20"/>
          <w:szCs w:val="20"/>
        </w:rPr>
        <w:t>PRESENTACION</w:t>
      </w:r>
    </w:p>
    <w:p w14:paraId="33B8DA25" w14:textId="1AD149A3"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F62F4D">
        <w:rPr>
          <w:rFonts w:ascii="Arial" w:eastAsiaTheme="minorHAnsi" w:hAnsi="Arial" w:cs="Arial"/>
          <w:sz w:val="20"/>
          <w:szCs w:val="20"/>
          <w:bdr w:val="none" w:sz="0" w:space="0" w:color="auto"/>
          <w:lang w:val="es-ES" w:eastAsia="en-US"/>
        </w:rPr>
        <w:t>Este informe de gestión tiene como objetivo principal suministrar información mediante la cual se puedan interpretar los resultados y la posición de esta entidad y como complemento a los datos incluidos en la Memoria y Estados Financieros</w:t>
      </w:r>
      <w:r w:rsidR="00F62F4D">
        <w:rPr>
          <w:rFonts w:ascii="Arial" w:eastAsiaTheme="minorHAnsi" w:hAnsi="Arial" w:cs="Arial"/>
          <w:sz w:val="20"/>
          <w:szCs w:val="20"/>
          <w:bdr w:val="none" w:sz="0" w:space="0" w:color="auto"/>
          <w:lang w:val="es-ES" w:eastAsia="en-US"/>
        </w:rPr>
        <w:t xml:space="preserve"> del ejercicio 2023</w:t>
      </w:r>
      <w:r w:rsidRPr="00F62F4D">
        <w:rPr>
          <w:rFonts w:ascii="Arial" w:eastAsiaTheme="minorHAnsi" w:hAnsi="Arial" w:cs="Arial"/>
          <w:sz w:val="20"/>
          <w:szCs w:val="20"/>
          <w:bdr w:val="none" w:sz="0" w:space="0" w:color="auto"/>
          <w:lang w:val="es-ES" w:eastAsia="en-US"/>
        </w:rPr>
        <w:t>. Del mismo modo ofrece, como parte de su contenido, una explicación del rendimiento de la empresa en el ejercicio corriente y de su evolución previsible. Además, este informe de gestión tiene como objetivo explicar los riesgos, incertidumbres y</w:t>
      </w:r>
      <w:r w:rsidRPr="0021610B">
        <w:rPr>
          <w:rFonts w:ascii="Arial" w:eastAsiaTheme="minorHAnsi" w:hAnsi="Arial" w:cs="Arial"/>
          <w:sz w:val="20"/>
          <w:szCs w:val="20"/>
          <w:bdr w:val="none" w:sz="0" w:space="0" w:color="auto"/>
          <w:lang w:val="es-ES" w:eastAsia="en-US"/>
        </w:rPr>
        <w:t xml:space="preserve"> oportunidades a los que se enfrenta la entidad, que determinan su estado y rendimiento presente, todo ello realizado en base al artículo 262 de la Ley de Sociedades de Capital (Real Decreto Legislativo 1/2010 de 2 de julio).</w:t>
      </w:r>
    </w:p>
    <w:p w14:paraId="6383BD3C" w14:textId="77777777"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roofErr w:type="spellStart"/>
      <w:r w:rsidRPr="0021610B">
        <w:rPr>
          <w:rFonts w:ascii="Arial" w:eastAsiaTheme="minorHAnsi" w:hAnsi="Arial" w:cs="Arial"/>
          <w:b/>
          <w:bCs/>
          <w:sz w:val="20"/>
          <w:szCs w:val="20"/>
          <w:bdr w:val="none" w:sz="0" w:space="0" w:color="auto"/>
          <w:lang w:val="es-ES" w:eastAsia="en-US"/>
        </w:rPr>
        <w:t>Promotur</w:t>
      </w:r>
      <w:proofErr w:type="spellEnd"/>
      <w:r w:rsidRPr="0021610B">
        <w:rPr>
          <w:rFonts w:ascii="Arial" w:eastAsiaTheme="minorHAnsi" w:hAnsi="Arial" w:cs="Arial"/>
          <w:b/>
          <w:bCs/>
          <w:sz w:val="20"/>
          <w:szCs w:val="20"/>
          <w:bdr w:val="none" w:sz="0" w:space="0" w:color="auto"/>
          <w:lang w:val="es-ES" w:eastAsia="en-US"/>
        </w:rPr>
        <w:t>, Turismo Canarias, S.A</w:t>
      </w:r>
      <w:r w:rsidRPr="0021610B">
        <w:rPr>
          <w:rFonts w:ascii="Arial" w:eastAsiaTheme="minorHAnsi" w:hAnsi="Arial" w:cs="Arial"/>
          <w:sz w:val="20"/>
          <w:szCs w:val="20"/>
          <w:bdr w:val="none" w:sz="0" w:space="0" w:color="auto"/>
          <w:lang w:val="es-ES" w:eastAsia="en-US"/>
        </w:rPr>
        <w:t>., dependiente de la Consejería de Turismo y Empleo del Gobierno de Canarias, desarrolló durante el ejercicio 2023, en sus diversas áreas, el programa de objetivos y actividades en el ámbito de su objeto social que se corresponde con todas aquellas actividades relacionadas con el estudio, promoción, fomento, difusión y comercialización de los distintos productos y servicios turísticos de Canarias y con la potenciación de la oferta turística del archipiélago. Todo ello se define específicamente en el Plan de Actuación para el 2023 que fue aprobado por Consejo de Administración el 27 de marzo de 2023 en su punto cuarto.</w:t>
      </w:r>
    </w:p>
    <w:p w14:paraId="1D1863CA" w14:textId="1C01660B"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La estructura organizativa está regida y administrada por Junta General de Accionistas y por el Consejo de Administración (</w:t>
      </w:r>
      <w:r>
        <w:rPr>
          <w:rFonts w:ascii="Arial" w:eastAsiaTheme="minorHAnsi" w:hAnsi="Arial" w:cs="Arial"/>
          <w:sz w:val="20"/>
          <w:szCs w:val="20"/>
          <w:bdr w:val="none" w:sz="0" w:space="0" w:color="auto"/>
          <w:lang w:val="es-ES" w:eastAsia="en-US"/>
        </w:rPr>
        <w:t>e</w:t>
      </w:r>
      <w:r w:rsidRPr="0021610B">
        <w:rPr>
          <w:rFonts w:ascii="Arial" w:eastAsiaTheme="minorHAnsi" w:hAnsi="Arial" w:cs="Arial"/>
          <w:sz w:val="20"/>
          <w:szCs w:val="20"/>
          <w:bdr w:val="none" w:sz="0" w:space="0" w:color="auto"/>
          <w:lang w:val="es-ES" w:eastAsia="en-US"/>
        </w:rPr>
        <w:t>l Comité Ejecutivo no ha sido constituido).</w:t>
      </w:r>
    </w:p>
    <w:p w14:paraId="1FB53027" w14:textId="77777777" w:rsidR="0021610B" w:rsidRPr="0021610B" w:rsidRDefault="0021610B">
      <w:pPr>
        <w:pStyle w:val="Prrafodelista"/>
        <w:numPr>
          <w:ilvl w:val="0"/>
          <w:numId w:val="27"/>
        </w:numPr>
        <w:spacing w:before="360" w:after="120" w:line="260" w:lineRule="exact"/>
        <w:ind w:left="357" w:hanging="357"/>
        <w:outlineLvl w:val="2"/>
        <w:rPr>
          <w:rFonts w:ascii="Arial" w:hAnsi="Arial" w:cs="Arial"/>
          <w:b/>
          <w:color w:val="auto"/>
          <w:sz w:val="20"/>
          <w:szCs w:val="20"/>
        </w:rPr>
      </w:pPr>
      <w:r w:rsidRPr="0021610B">
        <w:rPr>
          <w:rFonts w:ascii="Arial" w:hAnsi="Arial" w:cs="Arial"/>
          <w:b/>
          <w:color w:val="auto"/>
          <w:sz w:val="20"/>
          <w:szCs w:val="20"/>
        </w:rPr>
        <w:t>ENTORNO DEL MERCADO TURISTICO CANARIO</w:t>
      </w:r>
    </w:p>
    <w:p w14:paraId="45C56C8B" w14:textId="77777777" w:rsidR="0021610B" w:rsidRPr="00532D57" w:rsidRDefault="0021610B">
      <w:pPr>
        <w:pStyle w:val="Prrafodelista"/>
        <w:numPr>
          <w:ilvl w:val="1"/>
          <w:numId w:val="29"/>
        </w:numPr>
        <w:spacing w:before="120" w:after="120" w:line="260" w:lineRule="exact"/>
        <w:contextualSpacing/>
        <w:outlineLvl w:val="2"/>
        <w:rPr>
          <w:rFonts w:ascii="Arial" w:hAnsi="Arial" w:cs="Arial"/>
          <w:color w:val="auto"/>
          <w:sz w:val="20"/>
          <w:szCs w:val="20"/>
        </w:rPr>
      </w:pPr>
      <w:r w:rsidRPr="0021610B">
        <w:rPr>
          <w:rFonts w:ascii="Arial" w:hAnsi="Arial" w:cs="Arial"/>
          <w:b/>
          <w:color w:val="auto"/>
          <w:sz w:val="20"/>
          <w:szCs w:val="20"/>
        </w:rPr>
        <w:t xml:space="preserve">RESULTADOS 2023 PARA LOS PRINCIPALES INDICADORES DE GESTION DEL SECTOR </w:t>
      </w:r>
      <w:r w:rsidRPr="0021610B">
        <w:rPr>
          <w:rFonts w:ascii="Arial" w:hAnsi="Arial" w:cs="Arial"/>
          <w:color w:val="auto"/>
          <w:sz w:val="20"/>
          <w:szCs w:val="20"/>
        </w:rPr>
        <w:t>(</w:t>
      </w:r>
      <w:r w:rsidRPr="0021610B">
        <w:rPr>
          <w:rFonts w:ascii="Arial" w:hAnsi="Arial" w:cs="Arial"/>
          <w:i/>
          <w:iCs/>
          <w:color w:val="auto"/>
          <w:sz w:val="20"/>
          <w:szCs w:val="20"/>
        </w:rPr>
        <w:t>Fuente ISTAC)</w:t>
      </w:r>
    </w:p>
    <w:p w14:paraId="739815A1" w14:textId="77777777" w:rsidR="00532D57" w:rsidRPr="0021610B" w:rsidRDefault="00532D57" w:rsidP="00532D57">
      <w:pPr>
        <w:pStyle w:val="Prrafodelista"/>
        <w:spacing w:before="120" w:after="120" w:line="260" w:lineRule="exact"/>
        <w:ind w:left="405"/>
        <w:contextualSpacing/>
        <w:outlineLvl w:val="2"/>
        <w:rPr>
          <w:rFonts w:ascii="Arial" w:hAnsi="Arial" w:cs="Arial"/>
          <w:color w:val="auto"/>
          <w:sz w:val="20"/>
          <w:szCs w:val="20"/>
        </w:rPr>
      </w:pPr>
    </w:p>
    <w:p w14:paraId="5EDCDB04" w14:textId="77777777" w:rsidR="0059131C" w:rsidRDefault="0059131C" w:rsidP="0059131C">
      <w:pPr>
        <w:pStyle w:val="CuerpoA"/>
        <w:keepNext/>
        <w:keepLines/>
        <w:widowControl w:val="0"/>
        <w:spacing w:before="120" w:after="120" w:line="288" w:lineRule="auto"/>
        <w:jc w:val="both"/>
        <w:rPr>
          <w:rFonts w:ascii="Arial" w:eastAsiaTheme="minorHAnsi" w:hAnsi="Arial" w:cs="Arial"/>
          <w:sz w:val="20"/>
          <w:szCs w:val="20"/>
          <w:bdr w:val="none" w:sz="0" w:space="0" w:color="auto"/>
          <w:lang w:val="es-ES" w:eastAsia="en-US"/>
        </w:rPr>
      </w:pPr>
      <w:r w:rsidRPr="0059131C">
        <w:rPr>
          <w:rFonts w:ascii="Arial" w:eastAsiaTheme="minorHAnsi" w:hAnsi="Arial" w:cs="Arial"/>
          <w:sz w:val="20"/>
          <w:szCs w:val="20"/>
          <w:bdr w:val="none" w:sz="0" w:space="0" w:color="auto"/>
          <w:lang w:val="es-ES" w:eastAsia="en-US"/>
        </w:rPr>
        <w:t xml:space="preserve">El sector turístico cierra con muy buenas cifras el año 2023 impulsado por la fortaleza de la demanda que se ha sustentado en el cambio de comportamiento de los turistas europeos a la hora de priorizar sus gastos en vacaciones tras el COVID, en la mejora de las rentas salariales, así como en el buen comportamiento del empleo en la mayor parte de los principales países de origen de turistas de Canarias, pese a las tendencias inflacionistas y alzas de los tipos de interés. Si estas tendencias globales las cruzamos con la alta consideración y reconocimiento alcanzado por la marca Islas Canarias en la mente del consumidor Europeo, fruto de la fuerte inversión realizada por el sector empresarial turístico canario en renovación de instalaciones y en reposicionamiento en segmentos de mayor valor, junto con una exitosa ejecución del plan de marketing del destino, obtenemos como resultado una extraordinaria  fortaleza de la demanda  tanto en la llegada de turistas como en el desembolso realizado en las islas. </w:t>
      </w:r>
    </w:p>
    <w:p w14:paraId="151C15A8" w14:textId="0AF2D421" w:rsidR="00532D57" w:rsidRPr="0059131C" w:rsidRDefault="0059131C" w:rsidP="0059131C">
      <w:pPr>
        <w:pStyle w:val="CuerpoA"/>
        <w:keepNext/>
        <w:keepLines/>
        <w:widowControl w:val="0"/>
        <w:spacing w:before="120" w:after="120" w:line="288" w:lineRule="auto"/>
        <w:jc w:val="both"/>
        <w:rPr>
          <w:rFonts w:ascii="Arial" w:eastAsiaTheme="minorHAnsi" w:hAnsi="Arial" w:cs="Arial"/>
          <w:sz w:val="20"/>
          <w:szCs w:val="20"/>
          <w:bdr w:val="none" w:sz="0" w:space="0" w:color="auto"/>
          <w:lang w:val="es-ES" w:eastAsia="en-US"/>
        </w:rPr>
      </w:pPr>
      <w:r w:rsidRPr="0059131C">
        <w:rPr>
          <w:rFonts w:ascii="Arial" w:eastAsiaTheme="minorHAnsi" w:hAnsi="Arial" w:cs="Arial"/>
          <w:sz w:val="20"/>
          <w:szCs w:val="20"/>
          <w:bdr w:val="none" w:sz="0" w:space="0" w:color="auto"/>
          <w:lang w:val="es-ES" w:eastAsia="en-US"/>
        </w:rPr>
        <w:t>Concretamente, durante el año 2023 llegaron a Canarias 16.210.910 turistas, lo que supone 1.095.202 turistas más que en el año 2019, esto es un crecimiento del 7,24 %. Esta recuperación es debida al crecimiento de los turistas extranjeros que han superado los niveles de prepandemia. Específicamente el número de turistas extranjeros principales llegados a las islas son 14.266.572 (88 % del total), que supone un crecimiento del 8,51 %. Mientras que el número de turistas nacionales alcanza la cifra de 1.944.338 personas (12 % del total), 23.896 menos que los llegados durante el año 2019.</w:t>
      </w:r>
    </w:p>
    <w:p w14:paraId="10348F76" w14:textId="4949A05E" w:rsidR="00532D57" w:rsidRPr="00532D57" w:rsidRDefault="00532D57" w:rsidP="00532D57">
      <w:pPr>
        <w:pStyle w:val="CuerpoA"/>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Respecto al año 2022 la llegada de turistas se incrementó en 1.593.528 personas, esto es un crecimiento del 10,90</w:t>
      </w:r>
      <w:r w:rsidR="00077FF8">
        <w:rPr>
          <w:rFonts w:ascii="Arial" w:eastAsiaTheme="minorHAnsi" w:hAnsi="Arial" w:cs="Arial"/>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 De los cuales 1.572.243 turistas son extranjeros, esto significa un crecimiento del 12,38</w:t>
      </w:r>
      <w:r w:rsidR="00077FF8">
        <w:rPr>
          <w:rFonts w:ascii="Arial" w:eastAsiaTheme="minorHAnsi" w:hAnsi="Arial" w:cs="Arial"/>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 xml:space="preserve">% y 21.285 son turistas españoles (no canarios), lo que supone un incremento </w:t>
      </w:r>
      <w:r w:rsidRPr="00532D57">
        <w:rPr>
          <w:rFonts w:ascii="Arial" w:eastAsiaTheme="minorHAnsi" w:hAnsi="Arial" w:cs="Arial"/>
          <w:sz w:val="20"/>
          <w:szCs w:val="20"/>
          <w:bdr w:val="none" w:sz="0" w:space="0" w:color="auto"/>
          <w:lang w:val="es-ES" w:eastAsia="en-US"/>
        </w:rPr>
        <w:lastRenderedPageBreak/>
        <w:t>del 1,11%.</w:t>
      </w:r>
    </w:p>
    <w:p w14:paraId="3307BA4B" w14:textId="77777777" w:rsidR="00532D57" w:rsidRPr="00532D57" w:rsidRDefault="00532D57" w:rsidP="00532D57">
      <w:pPr>
        <w:pStyle w:val="CuerpoA"/>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De mayor importancia es la evolución del gesto total turístico, que alcanzó la cifra de 19.565 millones de euros en 2023, un +16,02 % respecto a 2022 y un 31,3 % respecto a 2019.</w:t>
      </w:r>
    </w:p>
    <w:p w14:paraId="0E956596" w14:textId="7E4FD58A" w:rsidR="00532D57" w:rsidRDefault="00532D57" w:rsidP="00532D57">
      <w:pPr>
        <w:pStyle w:val="CuerpoA"/>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El resto de los indicadores claves para la demanda turística han evolucionado muy favorablemente en este año 2023 con respecto a 2022: estancia media de 9,47 días +2,5 %; número de pernoctaciones +10.38</w:t>
      </w:r>
      <w:r w:rsidR="00077FF8">
        <w:rPr>
          <w:rFonts w:ascii="Arial" w:eastAsiaTheme="minorHAnsi" w:hAnsi="Arial" w:cs="Arial"/>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 El comportamiento de los indicadores de la oferta turística ha sido similar: tasa de ocupación por plaza asciende a 72,23</w:t>
      </w:r>
      <w:r w:rsidR="00077FF8">
        <w:rPr>
          <w:rFonts w:ascii="Arial" w:eastAsiaTheme="minorHAnsi" w:hAnsi="Arial" w:cs="Arial"/>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 +4.24</w:t>
      </w:r>
      <w:r w:rsidR="00077FF8">
        <w:rPr>
          <w:rFonts w:ascii="Arial" w:eastAsiaTheme="minorHAnsi" w:hAnsi="Arial" w:cs="Arial"/>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 e Ingresos medios diarios por habitación disponible a 88,05</w:t>
      </w:r>
      <w:r w:rsidR="00077FF8">
        <w:rPr>
          <w:rFonts w:ascii="Arial" w:eastAsiaTheme="minorHAnsi" w:hAnsi="Arial" w:cs="Arial"/>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 +14.04</w:t>
      </w:r>
      <w:r w:rsidR="00077FF8">
        <w:rPr>
          <w:rFonts w:ascii="Arial" w:eastAsiaTheme="minorHAnsi" w:hAnsi="Arial" w:cs="Arial"/>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w:t>
      </w:r>
    </w:p>
    <w:p w14:paraId="0B6101C9" w14:textId="1A87CB9F" w:rsidR="0059131C" w:rsidRPr="0059131C" w:rsidRDefault="0059131C" w:rsidP="0059131C">
      <w:pPr>
        <w:pStyle w:val="CuerpoA"/>
        <w:keepNext/>
        <w:keepLines/>
        <w:widowControl w:val="0"/>
        <w:spacing w:before="120" w:after="120" w:line="288" w:lineRule="auto"/>
        <w:jc w:val="both"/>
        <w:rPr>
          <w:rFonts w:ascii="Arial" w:eastAsiaTheme="minorHAnsi" w:hAnsi="Arial" w:cs="Arial"/>
          <w:sz w:val="20"/>
          <w:szCs w:val="20"/>
          <w:bdr w:val="none" w:sz="0" w:space="0" w:color="auto"/>
          <w:lang w:val="es-ES" w:eastAsia="en-US"/>
        </w:rPr>
      </w:pPr>
      <w:r w:rsidRPr="0059131C">
        <w:rPr>
          <w:rFonts w:ascii="Arial" w:eastAsiaTheme="minorHAnsi" w:hAnsi="Arial" w:cs="Arial"/>
          <w:sz w:val="20"/>
          <w:szCs w:val="20"/>
          <w:bdr w:val="none" w:sz="0" w:space="0" w:color="auto"/>
          <w:lang w:val="es-ES" w:eastAsia="en-US"/>
        </w:rPr>
        <w:t xml:space="preserve">Referidos a la Conectividad, durante el año 2023 Canarias estuvo conectada con el resto del mundo con 20.220.909 plazas aéreas, de las cuales 5.790.771 eran nacionales (28,6%) y 14.430.138 internacionales (71,4%): Reino Unido con 6.305.911 asientos (31,1%), Alemania con 2.918.551 plazas (14,4%) y Países Nórdicos con 584.118 plazas fueron los principales mercados internacionales en conectividad. Durante el año 2022 se registraron un total de 19.091.526 plazas aéreas, lo que supone un incremento de 1.129.383 plazas, es decir, una tasa de crecimiento del 6%. </w:t>
      </w:r>
    </w:p>
    <w:p w14:paraId="1F955938" w14:textId="7F80CDB8" w:rsidR="0021610B" w:rsidRDefault="0021610B">
      <w:pPr>
        <w:pStyle w:val="Prrafodelista"/>
        <w:numPr>
          <w:ilvl w:val="1"/>
          <w:numId w:val="27"/>
        </w:numPr>
        <w:spacing w:before="360" w:after="120" w:line="260" w:lineRule="exact"/>
        <w:ind w:left="403" w:hanging="403"/>
        <w:contextualSpacing/>
        <w:outlineLvl w:val="2"/>
        <w:rPr>
          <w:rFonts w:ascii="Arial" w:hAnsi="Arial" w:cs="Arial"/>
          <w:color w:val="auto"/>
          <w:sz w:val="20"/>
          <w:szCs w:val="20"/>
        </w:rPr>
      </w:pPr>
      <w:r w:rsidRPr="0021610B">
        <w:rPr>
          <w:rFonts w:ascii="Arial" w:hAnsi="Arial" w:cs="Arial"/>
          <w:b/>
          <w:color w:val="auto"/>
          <w:sz w:val="20"/>
          <w:szCs w:val="20"/>
        </w:rPr>
        <w:t xml:space="preserve">PERSPECTIVAS TURISTICAS </w:t>
      </w:r>
      <w:r w:rsidRPr="0021610B">
        <w:rPr>
          <w:rFonts w:ascii="Arial" w:hAnsi="Arial" w:cs="Arial"/>
          <w:color w:val="auto"/>
          <w:sz w:val="20"/>
          <w:szCs w:val="20"/>
        </w:rPr>
        <w:t>(</w:t>
      </w:r>
      <w:r w:rsidRPr="0021610B">
        <w:rPr>
          <w:rFonts w:ascii="Arial" w:hAnsi="Arial" w:cs="Arial"/>
          <w:i/>
          <w:iCs/>
          <w:color w:val="auto"/>
          <w:sz w:val="20"/>
          <w:szCs w:val="20"/>
        </w:rPr>
        <w:t xml:space="preserve">Fuentes </w:t>
      </w:r>
      <w:proofErr w:type="spellStart"/>
      <w:r w:rsidRPr="0021610B">
        <w:rPr>
          <w:rFonts w:ascii="Arial" w:hAnsi="Arial" w:cs="Arial"/>
          <w:i/>
          <w:iCs/>
          <w:color w:val="auto"/>
          <w:sz w:val="20"/>
          <w:szCs w:val="20"/>
        </w:rPr>
        <w:t>Exceltur</w:t>
      </w:r>
      <w:proofErr w:type="spellEnd"/>
      <w:r w:rsidRPr="0021610B">
        <w:rPr>
          <w:rFonts w:ascii="Arial" w:hAnsi="Arial" w:cs="Arial"/>
          <w:i/>
          <w:iCs/>
          <w:color w:val="auto"/>
          <w:sz w:val="20"/>
          <w:szCs w:val="20"/>
        </w:rPr>
        <w:t xml:space="preserve">; </w:t>
      </w:r>
      <w:proofErr w:type="spellStart"/>
      <w:r w:rsidRPr="0021610B">
        <w:rPr>
          <w:rFonts w:ascii="Arial" w:hAnsi="Arial" w:cs="Arial"/>
          <w:i/>
          <w:iCs/>
          <w:color w:val="auto"/>
          <w:sz w:val="20"/>
          <w:szCs w:val="20"/>
        </w:rPr>
        <w:t>Excelcan</w:t>
      </w:r>
      <w:proofErr w:type="spellEnd"/>
      <w:r w:rsidRPr="0021610B">
        <w:rPr>
          <w:rFonts w:ascii="Arial" w:hAnsi="Arial" w:cs="Arial"/>
          <w:color w:val="auto"/>
          <w:sz w:val="20"/>
          <w:szCs w:val="20"/>
        </w:rPr>
        <w:t>)</w:t>
      </w:r>
    </w:p>
    <w:p w14:paraId="6F43F3EC" w14:textId="77777777" w:rsidR="0059131C" w:rsidRPr="0021610B" w:rsidRDefault="0059131C" w:rsidP="0059131C">
      <w:pPr>
        <w:pStyle w:val="Prrafodelista"/>
        <w:spacing w:before="360" w:after="120" w:line="260" w:lineRule="exact"/>
        <w:ind w:left="403"/>
        <w:contextualSpacing/>
        <w:outlineLvl w:val="2"/>
        <w:rPr>
          <w:rFonts w:ascii="Arial" w:hAnsi="Arial" w:cs="Arial"/>
          <w:color w:val="auto"/>
          <w:sz w:val="20"/>
          <w:szCs w:val="20"/>
        </w:rPr>
      </w:pPr>
    </w:p>
    <w:p w14:paraId="3D2708D2" w14:textId="77777777"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 xml:space="preserve">Según las previsiones realizadas por </w:t>
      </w:r>
      <w:proofErr w:type="spellStart"/>
      <w:r w:rsidRPr="0021610B">
        <w:rPr>
          <w:rFonts w:ascii="Arial" w:eastAsiaTheme="minorHAnsi" w:hAnsi="Arial" w:cs="Arial"/>
          <w:sz w:val="20"/>
          <w:szCs w:val="20"/>
          <w:bdr w:val="none" w:sz="0" w:space="0" w:color="auto"/>
          <w:lang w:val="es-ES" w:eastAsia="en-US"/>
        </w:rPr>
        <w:t>Exceltur</w:t>
      </w:r>
      <w:proofErr w:type="spellEnd"/>
      <w:r w:rsidRPr="0021610B">
        <w:rPr>
          <w:rFonts w:ascii="Arial" w:eastAsiaTheme="minorHAnsi" w:hAnsi="Arial" w:cs="Arial"/>
          <w:sz w:val="20"/>
          <w:szCs w:val="20"/>
          <w:bdr w:val="none" w:sz="0" w:space="0" w:color="auto"/>
          <w:lang w:val="es-ES" w:eastAsia="en-US"/>
        </w:rPr>
        <w:t xml:space="preserve"> para el año 2024 en su informe </w:t>
      </w:r>
      <w:r w:rsidRPr="0021610B">
        <w:rPr>
          <w:rFonts w:ascii="Arial" w:eastAsiaTheme="minorHAnsi" w:hAnsi="Arial" w:cs="Arial"/>
          <w:i/>
          <w:iCs/>
          <w:sz w:val="20"/>
          <w:szCs w:val="20"/>
          <w:bdr w:val="none" w:sz="0" w:space="0" w:color="auto"/>
          <w:lang w:val="es-ES" w:eastAsia="en-US"/>
        </w:rPr>
        <w:t>Perspectivas Turísticas</w:t>
      </w:r>
      <w:r w:rsidRPr="0021610B">
        <w:rPr>
          <w:rFonts w:ascii="Arial" w:eastAsiaTheme="minorHAnsi" w:hAnsi="Arial" w:cs="Arial"/>
          <w:sz w:val="20"/>
          <w:szCs w:val="20"/>
          <w:bdr w:val="none" w:sz="0" w:space="0" w:color="auto"/>
          <w:lang w:val="es-ES" w:eastAsia="en-US"/>
        </w:rPr>
        <w:t xml:space="preserve">, los principales </w:t>
      </w:r>
      <w:r w:rsidRPr="0021610B">
        <w:rPr>
          <w:rFonts w:ascii="Arial" w:eastAsiaTheme="minorHAnsi" w:hAnsi="Arial" w:cs="Arial"/>
          <w:b/>
          <w:bCs/>
          <w:sz w:val="20"/>
          <w:szCs w:val="20"/>
          <w:u w:val="single"/>
          <w:bdr w:val="none" w:sz="0" w:space="0" w:color="auto"/>
          <w:lang w:val="es-ES" w:eastAsia="en-US"/>
        </w:rPr>
        <w:t>factores que favorecerán la actividad</w:t>
      </w:r>
      <w:r w:rsidRPr="0021610B">
        <w:rPr>
          <w:rFonts w:ascii="Arial" w:eastAsiaTheme="minorHAnsi" w:hAnsi="Arial" w:cs="Arial"/>
          <w:sz w:val="20"/>
          <w:szCs w:val="20"/>
          <w:bdr w:val="none" w:sz="0" w:space="0" w:color="auto"/>
          <w:lang w:val="es-ES" w:eastAsia="en-US"/>
        </w:rPr>
        <w:t xml:space="preserve"> turística en España son:</w:t>
      </w:r>
    </w:p>
    <w:p w14:paraId="1D8A2F0B" w14:textId="3C10A229" w:rsidR="0021610B" w:rsidRPr="0021610B" w:rsidRDefault="0021610B">
      <w:pPr>
        <w:pStyle w:val="CuerpoA"/>
        <w:keepNext/>
        <w:keepLines/>
        <w:widowControl w:val="0"/>
        <w:numPr>
          <w:ilvl w:val="0"/>
          <w:numId w:val="32"/>
        </w:numPr>
        <w:spacing w:before="120" w:after="120" w:line="260" w:lineRule="exact"/>
        <w:ind w:left="426" w:hanging="284"/>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La consolidación de la tendencia de priorización del gasto en viajes en los patrones de consumo del ciudadano.</w:t>
      </w:r>
    </w:p>
    <w:p w14:paraId="593B68CD" w14:textId="48610832" w:rsidR="0021610B" w:rsidRPr="0021610B" w:rsidRDefault="0021610B">
      <w:pPr>
        <w:pStyle w:val="CuerpoA"/>
        <w:keepNext/>
        <w:keepLines/>
        <w:widowControl w:val="0"/>
        <w:numPr>
          <w:ilvl w:val="0"/>
          <w:numId w:val="32"/>
        </w:numPr>
        <w:spacing w:before="120" w:after="120" w:line="260" w:lineRule="exact"/>
        <w:ind w:left="426" w:hanging="284"/>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La buena marcha del mercado laboral favorecerá la capacidad de gasto turístico de los hogares españoles como europeos apoyados por el aumento de los sueldos y la moderación de la inflación.</w:t>
      </w:r>
    </w:p>
    <w:p w14:paraId="573055F7" w14:textId="4D843ECE" w:rsidR="0021610B" w:rsidRPr="0021610B" w:rsidRDefault="0021610B">
      <w:pPr>
        <w:pStyle w:val="CuerpoA"/>
        <w:keepNext/>
        <w:keepLines/>
        <w:widowControl w:val="0"/>
        <w:numPr>
          <w:ilvl w:val="0"/>
          <w:numId w:val="32"/>
        </w:numPr>
        <w:spacing w:before="120" w:after="120" w:line="260" w:lineRule="exact"/>
        <w:ind w:left="426" w:hanging="284"/>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Los operadores turísticos apuestan por los destinos españoles que presentan una mejor conectividad tanto doméstica como desde mercados emisores internacionales hacia destinos españoles.</w:t>
      </w:r>
    </w:p>
    <w:p w14:paraId="745EC83B" w14:textId="656A3A1A" w:rsidR="0021610B" w:rsidRPr="0021610B" w:rsidRDefault="0021610B">
      <w:pPr>
        <w:pStyle w:val="CuerpoA"/>
        <w:keepNext/>
        <w:keepLines/>
        <w:widowControl w:val="0"/>
        <w:numPr>
          <w:ilvl w:val="0"/>
          <w:numId w:val="32"/>
        </w:numPr>
        <w:spacing w:before="120" w:after="120" w:line="260" w:lineRule="exact"/>
        <w:ind w:left="426" w:hanging="284"/>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La moderación prevista en los precios de los desplazamientos turísticos por un escenario más favorable de los precios del petróleo.</w:t>
      </w:r>
    </w:p>
    <w:p w14:paraId="73348806" w14:textId="678ADCEC" w:rsidR="0021610B" w:rsidRPr="0021610B" w:rsidRDefault="0021610B">
      <w:pPr>
        <w:pStyle w:val="Default"/>
        <w:numPr>
          <w:ilvl w:val="0"/>
          <w:numId w:val="32"/>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u w:color="000000"/>
        </w:rPr>
        <w:t>Recuperación prevista de la demanda asiática junto a la consolidación del mercado americano.</w:t>
      </w:r>
    </w:p>
    <w:p w14:paraId="4153537A" w14:textId="70596F95" w:rsidR="0021610B" w:rsidRPr="0021610B" w:rsidRDefault="0021610B">
      <w:pPr>
        <w:pStyle w:val="Default"/>
        <w:numPr>
          <w:ilvl w:val="0"/>
          <w:numId w:val="32"/>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u w:color="000000"/>
        </w:rPr>
        <w:t>Posicionamiento de seguridad de los destinos turísticos españoles respecto a sus competidores en el Mediterráneo Oriental, ante la escalada del conflicto bélico.</w:t>
      </w:r>
    </w:p>
    <w:p w14:paraId="34B64E8E" w14:textId="63771CB7" w:rsidR="0021610B" w:rsidRPr="0021610B" w:rsidRDefault="0021610B">
      <w:pPr>
        <w:pStyle w:val="Default"/>
        <w:numPr>
          <w:ilvl w:val="0"/>
          <w:numId w:val="32"/>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u w:color="000000"/>
        </w:rPr>
        <w:t>Reposicionamiento de servicios y productos turísticos gracias a la inversión privada y apuesta pública por la regeneración urbana de algunos de los destinos turísticos que supondrá la atracción de turistas de un creciente valor añadido.</w:t>
      </w:r>
    </w:p>
    <w:p w14:paraId="50F07241" w14:textId="08819F0C" w:rsidR="0021610B" w:rsidRPr="0021610B" w:rsidRDefault="0021610B">
      <w:pPr>
        <w:pStyle w:val="Default"/>
        <w:numPr>
          <w:ilvl w:val="0"/>
          <w:numId w:val="32"/>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u w:color="000000"/>
        </w:rPr>
        <w:t>Previsión de un positivo comportamiento del segmento del turismo de congresos y ocio por la celebración de grandes ferias, congresos y reuniones de empresas además de los eventos culturales y deportivos.</w:t>
      </w:r>
    </w:p>
    <w:p w14:paraId="335C0B32" w14:textId="77777777" w:rsidR="0021610B" w:rsidRPr="0021610B" w:rsidRDefault="0021610B">
      <w:pPr>
        <w:pStyle w:val="Default"/>
        <w:numPr>
          <w:ilvl w:val="0"/>
          <w:numId w:val="28"/>
        </w:numPr>
        <w:spacing w:before="120" w:after="120" w:line="260" w:lineRule="exact"/>
        <w:jc w:val="both"/>
        <w:rPr>
          <w:rFonts w:ascii="Arial" w:hAnsi="Arial" w:cs="Arial"/>
          <w:sz w:val="20"/>
          <w:szCs w:val="20"/>
          <w:u w:color="000000"/>
        </w:rPr>
      </w:pPr>
      <w:r w:rsidRPr="0021610B">
        <w:rPr>
          <w:rFonts w:ascii="Arial" w:hAnsi="Arial" w:cs="Arial"/>
          <w:sz w:val="20"/>
          <w:szCs w:val="20"/>
        </w:rPr>
        <w:t xml:space="preserve">En paralelo, </w:t>
      </w:r>
      <w:proofErr w:type="spellStart"/>
      <w:r w:rsidRPr="0021610B">
        <w:rPr>
          <w:rFonts w:ascii="Arial" w:hAnsi="Arial" w:cs="Arial"/>
          <w:sz w:val="20"/>
          <w:szCs w:val="20"/>
        </w:rPr>
        <w:t>Exceltur</w:t>
      </w:r>
      <w:proofErr w:type="spellEnd"/>
      <w:r w:rsidRPr="0021610B">
        <w:rPr>
          <w:rFonts w:ascii="Arial" w:hAnsi="Arial" w:cs="Arial"/>
          <w:sz w:val="20"/>
          <w:szCs w:val="20"/>
        </w:rPr>
        <w:t xml:space="preserve"> considera que los principales </w:t>
      </w:r>
      <w:r w:rsidRPr="0021610B">
        <w:rPr>
          <w:rFonts w:ascii="Arial" w:hAnsi="Arial" w:cs="Arial"/>
          <w:b/>
          <w:bCs/>
          <w:sz w:val="20"/>
          <w:szCs w:val="20"/>
          <w:u w:val="single"/>
        </w:rPr>
        <w:t>factores que ralentizarán</w:t>
      </w:r>
      <w:r w:rsidRPr="0021610B">
        <w:rPr>
          <w:rFonts w:ascii="Arial" w:hAnsi="Arial" w:cs="Arial"/>
          <w:sz w:val="20"/>
          <w:szCs w:val="20"/>
        </w:rPr>
        <w:t xml:space="preserve"> la actividad turística en España durante este año son</w:t>
      </w:r>
    </w:p>
    <w:p w14:paraId="1BF2EBD2" w14:textId="77777777" w:rsidR="0021610B" w:rsidRDefault="0021610B">
      <w:pPr>
        <w:pStyle w:val="Default"/>
        <w:numPr>
          <w:ilvl w:val="0"/>
          <w:numId w:val="33"/>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u w:color="000000"/>
        </w:rPr>
        <w:t>Persistencia en la tensión de los márgenes empresariales turísticos ante los mayores costes laborales y financieros previstos junto al aumento acumulado de los precios energéticos y de otros suministros.</w:t>
      </w:r>
    </w:p>
    <w:p w14:paraId="346D9C80" w14:textId="77777777" w:rsidR="0021610B" w:rsidRDefault="0021610B">
      <w:pPr>
        <w:pStyle w:val="Default"/>
        <w:numPr>
          <w:ilvl w:val="0"/>
          <w:numId w:val="33"/>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u w:color="000000"/>
        </w:rPr>
        <w:lastRenderedPageBreak/>
        <w:t>Probables dificultades de contratación de personal cualificado ante el mayor nivel de actividad prevista y el incremento esperado de los costes laborales.</w:t>
      </w:r>
    </w:p>
    <w:p w14:paraId="4239EF0B" w14:textId="77777777" w:rsidR="0021610B" w:rsidRDefault="0021610B">
      <w:pPr>
        <w:pStyle w:val="Default"/>
        <w:numPr>
          <w:ilvl w:val="0"/>
          <w:numId w:val="33"/>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u w:color="000000"/>
        </w:rPr>
        <w:t>Las elecciones europeas y emisores de larga distancia que puede condicionar sus calendarios de vacaciones y niveles de confianza en sus decisiones de contratación de viajes.</w:t>
      </w:r>
    </w:p>
    <w:p w14:paraId="1DA9C0FF" w14:textId="169DE3D4" w:rsidR="0021610B" w:rsidRPr="0021610B" w:rsidRDefault="0021610B">
      <w:pPr>
        <w:pStyle w:val="Default"/>
        <w:numPr>
          <w:ilvl w:val="0"/>
          <w:numId w:val="33"/>
        </w:numPr>
        <w:spacing w:before="120" w:after="120" w:line="260" w:lineRule="exact"/>
        <w:ind w:left="426" w:hanging="284"/>
        <w:jc w:val="both"/>
        <w:rPr>
          <w:rFonts w:ascii="Arial" w:hAnsi="Arial" w:cs="Arial"/>
          <w:sz w:val="20"/>
          <w:szCs w:val="20"/>
          <w:u w:color="000000"/>
        </w:rPr>
      </w:pPr>
      <w:r w:rsidRPr="0021610B">
        <w:rPr>
          <w:rFonts w:ascii="Arial" w:hAnsi="Arial" w:cs="Arial"/>
          <w:sz w:val="20"/>
          <w:szCs w:val="20"/>
        </w:rPr>
        <w:t>Potencial efecto desfavorable sobre la conectividad prevista de los destinos turísticos por las medidas anunciadas por el gobierno sobre la reducción de los vuelos con una duración de menos de dos horas y media cuanto existe alternativa ferroviaria. A lo que se suma el posible impacto de la subida de tasas de billetes de avión sobre las decisiones de mercados emisores en avión hacia los destinos españoles.</w:t>
      </w:r>
    </w:p>
    <w:p w14:paraId="145DBAC0" w14:textId="77777777"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Según este mismo informe para Canarias se prevé seguir acumulando mejoras en sus niveles de actividad en 2024 (+8,2% respecto del año 2023) motivada por el dinamismo de la demanda europea y nacional, la apuesta de los operadores turísticos por las islas, además de la inversión de mejora en el producto realizado durante la pandemia y su posicionamiento de destino seguro frente a los competidores del mediterráneo oriental en la temporada de invierno.</w:t>
      </w:r>
    </w:p>
    <w:p w14:paraId="6AD20F7F" w14:textId="77777777"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 xml:space="preserve">En la misma línea se pronuncia </w:t>
      </w:r>
      <w:proofErr w:type="spellStart"/>
      <w:r w:rsidRPr="0021610B">
        <w:rPr>
          <w:rFonts w:ascii="Arial" w:eastAsiaTheme="minorHAnsi" w:hAnsi="Arial" w:cs="Arial"/>
          <w:sz w:val="20"/>
          <w:szCs w:val="20"/>
          <w:bdr w:val="none" w:sz="0" w:space="0" w:color="auto"/>
          <w:lang w:val="es-ES" w:eastAsia="en-US"/>
        </w:rPr>
        <w:t>Excelcan</w:t>
      </w:r>
      <w:proofErr w:type="spellEnd"/>
      <w:r w:rsidRPr="0021610B">
        <w:rPr>
          <w:rFonts w:ascii="Arial" w:eastAsiaTheme="minorHAnsi" w:hAnsi="Arial" w:cs="Arial"/>
          <w:sz w:val="20"/>
          <w:szCs w:val="20"/>
          <w:bdr w:val="none" w:sz="0" w:space="0" w:color="auto"/>
          <w:lang w:val="es-ES" w:eastAsia="en-US"/>
        </w:rPr>
        <w:t xml:space="preserve"> que vaticina para el primer trimestre del año 2024 una marcha favorable para su negocio en un 71,4% de los asociados. De forma mayoritaria se espera estabilidad en la facturación y de manera unánime se prevé mantener estable los precios. También mayoritariamente no se considera incrementar la inversión ni el empleo.</w:t>
      </w:r>
    </w:p>
    <w:p w14:paraId="17A95A60" w14:textId="77777777"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Los asociados señalan como principal factor limitativo de la marcha de su negocio la escasez de mano de obra adecuada (85,7%). También se señala, aunque en menor medida, como factor limitante el aumento de la competencia (28,6%) y la debilidad de la demanda (14,3%). Mientras de forma unánime no se considera limitante las dificultades financieras ni la insuficiencia de equipamiento.</w:t>
      </w:r>
    </w:p>
    <w:p w14:paraId="39DB7F29" w14:textId="77777777" w:rsidR="0021610B" w:rsidRPr="0021610B" w:rsidRDefault="0021610B">
      <w:pPr>
        <w:pStyle w:val="Prrafodelista"/>
        <w:numPr>
          <w:ilvl w:val="0"/>
          <w:numId w:val="27"/>
        </w:numPr>
        <w:spacing w:before="360" w:after="120" w:line="260" w:lineRule="exact"/>
        <w:contextualSpacing/>
        <w:outlineLvl w:val="2"/>
        <w:rPr>
          <w:rFonts w:ascii="Arial" w:hAnsi="Arial" w:cs="Arial"/>
          <w:b/>
          <w:color w:val="auto"/>
          <w:sz w:val="20"/>
          <w:szCs w:val="20"/>
        </w:rPr>
      </w:pPr>
      <w:r w:rsidRPr="0021610B">
        <w:rPr>
          <w:rFonts w:ascii="Arial" w:hAnsi="Arial" w:cs="Arial"/>
          <w:b/>
          <w:color w:val="auto"/>
          <w:sz w:val="20"/>
          <w:szCs w:val="20"/>
        </w:rPr>
        <w:t>PROMOTUR, TURISMO DE CANARIAS, S.A. EN EL MARCO DE SU ACTUACION</w:t>
      </w:r>
    </w:p>
    <w:p w14:paraId="7F8C2791" w14:textId="77777777" w:rsidR="0021610B" w:rsidRPr="0021610B" w:rsidRDefault="0021610B" w:rsidP="0021610B">
      <w:pPr>
        <w:spacing w:before="240" w:after="120" w:line="260" w:lineRule="exact"/>
        <w:rPr>
          <w:b/>
          <w:color w:val="auto"/>
          <w:sz w:val="20"/>
          <w:szCs w:val="20"/>
        </w:rPr>
      </w:pPr>
      <w:r w:rsidRPr="0021610B">
        <w:rPr>
          <w:b/>
          <w:color w:val="auto"/>
          <w:sz w:val="20"/>
          <w:szCs w:val="20"/>
        </w:rPr>
        <w:t>2.1 ANALISIS DE LOS RESULTADOS 2023 Y SU EVOLUCION</w:t>
      </w:r>
    </w:p>
    <w:p w14:paraId="5485C2C3" w14:textId="77777777" w:rsidR="0021610B" w:rsidRP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roofErr w:type="spellStart"/>
      <w:r w:rsidRPr="0021610B">
        <w:rPr>
          <w:rFonts w:ascii="Arial" w:eastAsiaTheme="minorHAnsi" w:hAnsi="Arial" w:cs="Arial"/>
          <w:b/>
          <w:bCs/>
          <w:sz w:val="20"/>
          <w:szCs w:val="20"/>
          <w:bdr w:val="none" w:sz="0" w:space="0" w:color="auto"/>
          <w:lang w:val="es-ES" w:eastAsia="en-US"/>
        </w:rPr>
        <w:t>Promotur</w:t>
      </w:r>
      <w:proofErr w:type="spellEnd"/>
      <w:r w:rsidRPr="0021610B">
        <w:rPr>
          <w:rFonts w:ascii="Arial" w:eastAsiaTheme="minorHAnsi" w:hAnsi="Arial" w:cs="Arial"/>
          <w:b/>
          <w:bCs/>
          <w:sz w:val="20"/>
          <w:szCs w:val="20"/>
          <w:bdr w:val="none" w:sz="0" w:space="0" w:color="auto"/>
          <w:lang w:val="es-ES" w:eastAsia="en-US"/>
        </w:rPr>
        <w:t>, Turismo Canarias S.A.,</w:t>
      </w:r>
      <w:r w:rsidRPr="0021610B">
        <w:rPr>
          <w:rFonts w:ascii="Arial" w:eastAsiaTheme="minorHAnsi" w:hAnsi="Arial" w:cs="Arial"/>
          <w:sz w:val="20"/>
          <w:szCs w:val="20"/>
          <w:bdr w:val="none" w:sz="0" w:space="0" w:color="auto"/>
          <w:lang w:val="es-ES" w:eastAsia="en-US"/>
        </w:rPr>
        <w:t xml:space="preserve"> a través de las actividades definidas en su Instrumento de Planificación Estratégica desarrollado para los ejercicios 2022-2024 (aprobado el 15 de septiembre 2022 por el Gobierno de Canarias) por el que se reformulan los objetivos vigentes después de la pandemia basados en la transformación del modelo turístico, ha sido actor principal en la consecución de las buenas cifras experimentadas para el ejercicio 2023 dentro del mercado turístico de Canarias. </w:t>
      </w:r>
    </w:p>
    <w:p w14:paraId="233668CB" w14:textId="5CACE2EB" w:rsid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Los pilares de esta nueva estrategia se distribuyen en tres grandes objetivos: Resiliencia, Neutralidad Climática y generación de Valor para la Economía y Ciudadanía de Canarias:</w:t>
      </w:r>
    </w:p>
    <w:p w14:paraId="4467145B" w14:textId="77777777" w:rsidR="0047545A" w:rsidRDefault="0047545A" w:rsidP="00F62F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60" w:lineRule="exact"/>
        <w:ind w:left="567" w:right="559"/>
        <w:jc w:val="right"/>
        <w:outlineLvl w:val="9"/>
        <w:rPr>
          <w:rFonts w:eastAsiaTheme="minorHAnsi"/>
          <w:b/>
          <w:bCs/>
          <w:color w:val="auto"/>
          <w:sz w:val="20"/>
          <w:szCs w:val="20"/>
          <w:bdr w:val="none" w:sz="0" w:space="0" w:color="auto"/>
          <w:lang w:eastAsia="en-US"/>
        </w:rPr>
      </w:pPr>
    </w:p>
    <w:p w14:paraId="795EF2E9" w14:textId="35C43D0E" w:rsidR="0021610B" w:rsidRDefault="0021610B" w:rsidP="00F62F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60" w:lineRule="exact"/>
        <w:ind w:left="567" w:right="559"/>
        <w:jc w:val="right"/>
        <w:outlineLvl w:val="9"/>
        <w:rPr>
          <w:rFonts w:eastAsiaTheme="minorHAnsi"/>
          <w:b/>
          <w:bCs/>
          <w:color w:val="auto"/>
          <w:sz w:val="20"/>
          <w:szCs w:val="20"/>
          <w:bdr w:val="none" w:sz="0" w:space="0" w:color="auto"/>
          <w:lang w:eastAsia="en-US"/>
        </w:rPr>
      </w:pPr>
      <w:r w:rsidRPr="0021610B">
        <w:rPr>
          <w:rFonts w:eastAsiaTheme="minorHAnsi"/>
          <w:b/>
          <w:bCs/>
          <w:color w:val="auto"/>
          <w:sz w:val="20"/>
          <w:szCs w:val="20"/>
          <w:bdr w:val="none" w:sz="0" w:space="0" w:color="auto"/>
          <w:lang w:eastAsia="en-US"/>
        </w:rPr>
        <w:t xml:space="preserve">Nuevo propósito </w:t>
      </w:r>
      <w:proofErr w:type="spellStart"/>
      <w:r w:rsidRPr="0021610B">
        <w:rPr>
          <w:rFonts w:eastAsiaTheme="minorHAnsi"/>
          <w:b/>
          <w:bCs/>
          <w:color w:val="auto"/>
          <w:sz w:val="20"/>
          <w:szCs w:val="20"/>
          <w:bdr w:val="none" w:sz="0" w:space="0" w:color="auto"/>
          <w:lang w:eastAsia="en-US"/>
        </w:rPr>
        <w:t>Promotur</w:t>
      </w:r>
      <w:proofErr w:type="spellEnd"/>
      <w:r w:rsidRPr="0021610B">
        <w:rPr>
          <w:rFonts w:eastAsiaTheme="minorHAnsi"/>
          <w:b/>
          <w:bCs/>
          <w:color w:val="auto"/>
          <w:sz w:val="20"/>
          <w:szCs w:val="20"/>
          <w:bdr w:val="none" w:sz="0" w:space="0" w:color="auto"/>
          <w:lang w:eastAsia="en-US"/>
        </w:rPr>
        <w:t>, Turismo Canarias S.A.:</w:t>
      </w:r>
    </w:p>
    <w:p w14:paraId="1F72AC00" w14:textId="77777777" w:rsidR="0047545A" w:rsidRPr="0021610B" w:rsidRDefault="0047545A" w:rsidP="00F62F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60" w:lineRule="exact"/>
        <w:ind w:left="567" w:right="559"/>
        <w:jc w:val="right"/>
        <w:outlineLvl w:val="9"/>
        <w:rPr>
          <w:rFonts w:eastAsiaTheme="minorHAnsi"/>
          <w:b/>
          <w:bCs/>
          <w:color w:val="auto"/>
          <w:sz w:val="20"/>
          <w:szCs w:val="20"/>
          <w:bdr w:val="none" w:sz="0" w:space="0" w:color="auto"/>
          <w:lang w:eastAsia="en-US"/>
        </w:rPr>
      </w:pPr>
    </w:p>
    <w:p w14:paraId="08EF2CF2" w14:textId="77777777" w:rsidR="0021610B" w:rsidRPr="0047545A" w:rsidRDefault="0021610B" w:rsidP="00F62F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260" w:lineRule="exact"/>
        <w:ind w:left="567" w:right="559"/>
        <w:jc w:val="right"/>
        <w:outlineLvl w:val="9"/>
        <w:rPr>
          <w:rFonts w:eastAsiaTheme="minorHAnsi"/>
          <w:b/>
          <w:i/>
          <w:iCs/>
          <w:color w:val="0097CC"/>
          <w:sz w:val="32"/>
          <w:szCs w:val="32"/>
          <w:bdr w:val="none" w:sz="0" w:space="0" w:color="auto"/>
          <w:lang w:eastAsia="en-US"/>
          <w14:textOutline w14:w="0" w14:cap="flat" w14:cmpd="sng" w14:algn="ctr">
            <w14:noFill/>
            <w14:prstDash w14:val="solid"/>
            <w14:round/>
          </w14:textOutline>
          <w14:props3d w14:extrusionH="57150" w14:contourW="0" w14:prstMaterial="softEdge">
            <w14:bevelT w14:w="25400" w14:h="38100" w14:prst="circle"/>
          </w14:props3d>
        </w:rPr>
      </w:pPr>
      <w:r w:rsidRPr="0047545A">
        <w:rPr>
          <w:rFonts w:eastAsiaTheme="minorHAnsi"/>
          <w:b/>
          <w:i/>
          <w:iCs/>
          <w:color w:val="0097CC"/>
          <w:sz w:val="32"/>
          <w:szCs w:val="32"/>
          <w:bdr w:val="none" w:sz="0" w:space="0" w:color="auto"/>
          <w:lang w:eastAsia="en-US"/>
          <w14:textOutline w14:w="0" w14:cap="flat" w14:cmpd="sng" w14:algn="ctr">
            <w14:noFill/>
            <w14:prstDash w14:val="solid"/>
            <w14:round/>
          </w14:textOutline>
          <w14:props3d w14:extrusionH="57150" w14:contourW="0" w14:prstMaterial="softEdge">
            <w14:bevelT w14:w="25400" w14:h="38100" w14:prst="circle"/>
          </w14:props3d>
        </w:rPr>
        <w:t>Impulsar la transformación del modelo turístico canario para la mejora de su resiliencia, el incremento de su compromiso con la neutralidad climática y la potenciación de su capacidad de generar valor en favor de la economía y la ciudadanía de Canarias.</w:t>
      </w:r>
    </w:p>
    <w:p w14:paraId="22433CAA" w14:textId="77777777" w:rsidR="0021610B" w:rsidRPr="0021610B" w:rsidRDefault="0021610B" w:rsidP="00A20126">
      <w:pPr>
        <w:pStyle w:val="CuerpoA"/>
        <w:widowControl w:val="0"/>
        <w:spacing w:before="24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La estrategia formulada se declina a través de un mapa de aplicación ordenado a partir de sus tres áreas de actividades clave y una cuarta área de actividades de soporte:</w:t>
      </w:r>
    </w:p>
    <w:p w14:paraId="087B188F" w14:textId="77777777" w:rsidR="0021610B" w:rsidRPr="0021610B" w:rsidRDefault="0021610B" w:rsidP="00F62F4D">
      <w:pPr>
        <w:pStyle w:val="CuerpoA"/>
        <w:widowControl w:val="0"/>
        <w:spacing w:before="120" w:after="120" w:line="260" w:lineRule="exact"/>
        <w:ind w:left="567"/>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lastRenderedPageBreak/>
        <w:t>- Área de generación de Demanda y Comunicación.</w:t>
      </w:r>
    </w:p>
    <w:p w14:paraId="7569CE68" w14:textId="77777777" w:rsidR="0021610B" w:rsidRPr="0021610B" w:rsidRDefault="0021610B" w:rsidP="00F62F4D">
      <w:pPr>
        <w:pStyle w:val="CuerpoA"/>
        <w:widowControl w:val="0"/>
        <w:spacing w:before="120" w:after="120" w:line="260" w:lineRule="exact"/>
        <w:ind w:left="567"/>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 Área de Gestión de la Demanda.</w:t>
      </w:r>
    </w:p>
    <w:p w14:paraId="77206F47" w14:textId="77777777" w:rsidR="0021610B" w:rsidRPr="0021610B" w:rsidRDefault="0021610B" w:rsidP="00F62F4D">
      <w:pPr>
        <w:pStyle w:val="CuerpoA"/>
        <w:widowControl w:val="0"/>
        <w:spacing w:before="120" w:after="120" w:line="260" w:lineRule="exact"/>
        <w:ind w:left="567"/>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 Área de Mejora de la Oferta.</w:t>
      </w:r>
    </w:p>
    <w:p w14:paraId="3259EE9B" w14:textId="77777777" w:rsidR="0021610B" w:rsidRPr="0021610B" w:rsidRDefault="0021610B" w:rsidP="00F62F4D">
      <w:pPr>
        <w:pStyle w:val="CuerpoA"/>
        <w:widowControl w:val="0"/>
        <w:spacing w:before="120" w:after="120" w:line="260" w:lineRule="exact"/>
        <w:ind w:left="567"/>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 Área de Soporte.</w:t>
      </w:r>
    </w:p>
    <w:p w14:paraId="4E474A34" w14:textId="77777777" w:rsidR="0021610B" w:rsidRPr="0021610B" w:rsidRDefault="0021610B" w:rsidP="00A20126">
      <w:pPr>
        <w:pStyle w:val="CuerpoA"/>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sz w:val="20"/>
          <w:szCs w:val="20"/>
          <w:bdr w:val="none" w:sz="0" w:space="0" w:color="auto"/>
          <w:lang w:val="es-ES" w:eastAsia="en-US"/>
        </w:rPr>
        <w:t>Cada una de estas áreas está desagregada en distintos programas, que a su vez se subdividen en planes y estos, en proyectos. Los proyectos corresponden al nivel de gestión táctica y/u operativa. Por su parte, los niveles correspondientes a las áreas, programas y planes corresponden al nivel estratégico por su vinculación directa al nuevo propósito de la entidad, sus objetivos y sus distintos ejes de actuación.</w:t>
      </w:r>
    </w:p>
    <w:p w14:paraId="31F248AE" w14:textId="48840253" w:rsidR="0021610B" w:rsidRPr="0047545A" w:rsidRDefault="0021610B" w:rsidP="0021610B">
      <w:pPr>
        <w:pStyle w:val="CuerpoA"/>
        <w:keepNext/>
        <w:keepLines/>
        <w:widowControl w:val="0"/>
        <w:spacing w:before="120" w:after="120" w:line="260" w:lineRule="exact"/>
        <w:jc w:val="both"/>
        <w:rPr>
          <w:rFonts w:ascii="Arial" w:eastAsiaTheme="minorHAnsi" w:hAnsi="Arial" w:cs="Arial"/>
          <w:sz w:val="16"/>
          <w:szCs w:val="16"/>
          <w:bdr w:val="none" w:sz="0" w:space="0" w:color="auto"/>
          <w:lang w:val="es-ES" w:eastAsia="en-US"/>
        </w:rPr>
      </w:pPr>
      <w:r w:rsidRPr="00F62F4D">
        <w:rPr>
          <w:rFonts w:ascii="Arial" w:eastAsiaTheme="minorHAnsi" w:hAnsi="Arial" w:cs="Arial"/>
          <w:sz w:val="20"/>
          <w:szCs w:val="20"/>
          <w:bdr w:val="none" w:sz="0" w:space="0" w:color="auto"/>
          <w:lang w:val="es-ES" w:eastAsia="en-US"/>
        </w:rPr>
        <w:t xml:space="preserve">Para el ejercicio 2023, en el Plan de Actuación definido y aprobado se establece con un </w:t>
      </w:r>
      <w:r w:rsidRPr="00F62F4D">
        <w:rPr>
          <w:rFonts w:ascii="Arial" w:eastAsiaTheme="minorHAnsi" w:hAnsi="Arial" w:cs="Arial"/>
          <w:b/>
          <w:bCs/>
          <w:sz w:val="20"/>
          <w:szCs w:val="20"/>
          <w:u w:val="single"/>
          <w:bdr w:val="none" w:sz="0" w:space="0" w:color="auto"/>
          <w:lang w:val="es-ES" w:eastAsia="en-US"/>
        </w:rPr>
        <w:t>Presupuesto</w:t>
      </w:r>
      <w:r w:rsidRPr="00F62F4D">
        <w:rPr>
          <w:rFonts w:ascii="Arial" w:eastAsiaTheme="minorHAnsi" w:hAnsi="Arial" w:cs="Arial"/>
          <w:sz w:val="20"/>
          <w:szCs w:val="20"/>
          <w:u w:val="single"/>
          <w:bdr w:val="none" w:sz="0" w:space="0" w:color="auto"/>
          <w:lang w:val="es-ES" w:eastAsia="en-US"/>
        </w:rPr>
        <w:t xml:space="preserve"> </w:t>
      </w:r>
      <w:r w:rsidRPr="00F62F4D">
        <w:rPr>
          <w:rFonts w:ascii="Arial" w:eastAsiaTheme="minorHAnsi" w:hAnsi="Arial" w:cs="Arial"/>
          <w:b/>
          <w:bCs/>
          <w:sz w:val="20"/>
          <w:szCs w:val="20"/>
          <w:u w:val="single"/>
          <w:bdr w:val="none" w:sz="0" w:space="0" w:color="auto"/>
          <w:lang w:val="es-ES" w:eastAsia="en-US"/>
        </w:rPr>
        <w:t>por Áreas</w:t>
      </w:r>
      <w:r w:rsidRPr="00F62F4D">
        <w:rPr>
          <w:rFonts w:ascii="Arial" w:eastAsiaTheme="minorHAnsi" w:hAnsi="Arial" w:cs="Arial"/>
          <w:sz w:val="20"/>
          <w:szCs w:val="20"/>
          <w:bdr w:val="none" w:sz="0" w:space="0" w:color="auto"/>
          <w:lang w:val="es-ES" w:eastAsia="en-US"/>
        </w:rPr>
        <w:t xml:space="preserve"> para el que se presenta a continuación su seguimiento real con cifras cerradas al 31 de diciembre de 2023 </w:t>
      </w:r>
      <w:r w:rsidRPr="0047545A">
        <w:rPr>
          <w:rFonts w:ascii="Arial" w:eastAsiaTheme="minorHAnsi" w:hAnsi="Arial" w:cs="Arial"/>
          <w:i/>
          <w:iCs/>
          <w:sz w:val="16"/>
          <w:szCs w:val="16"/>
          <w:bdr w:val="none" w:sz="0" w:space="0" w:color="auto"/>
          <w:lang w:val="es-ES" w:eastAsia="en-US"/>
        </w:rPr>
        <w:t>(Fuentes: GESTION PROYECTOS “PENTAHO” Y CONTABILIDAD “NEWGEN”)</w:t>
      </w:r>
      <w:r w:rsidRPr="0047545A">
        <w:rPr>
          <w:rFonts w:ascii="Arial" w:eastAsiaTheme="minorHAnsi" w:hAnsi="Arial" w:cs="Arial"/>
          <w:sz w:val="16"/>
          <w:szCs w:val="16"/>
          <w:bdr w:val="none" w:sz="0" w:space="0" w:color="auto"/>
          <w:lang w:val="es-ES" w:eastAsia="en-US"/>
        </w:rPr>
        <w:t>:</w:t>
      </w:r>
    </w:p>
    <w:tbl>
      <w:tblPr>
        <w:tblW w:w="8002" w:type="dxa"/>
        <w:jc w:val="center"/>
        <w:tblCellMar>
          <w:left w:w="70" w:type="dxa"/>
          <w:right w:w="70" w:type="dxa"/>
        </w:tblCellMar>
        <w:tblLook w:val="04A0" w:firstRow="1" w:lastRow="0" w:firstColumn="1" w:lastColumn="0" w:noHBand="0" w:noVBand="1"/>
      </w:tblPr>
      <w:tblGrid>
        <w:gridCol w:w="651"/>
        <w:gridCol w:w="1210"/>
        <w:gridCol w:w="2305"/>
        <w:gridCol w:w="1304"/>
        <w:gridCol w:w="1330"/>
        <w:gridCol w:w="1202"/>
      </w:tblGrid>
      <w:tr w:rsidR="00441EB9" w:rsidRPr="00A20126" w14:paraId="1038C609" w14:textId="77777777" w:rsidTr="000269F0">
        <w:trPr>
          <w:trHeight w:val="429"/>
          <w:jc w:val="center"/>
        </w:trPr>
        <w:tc>
          <w:tcPr>
            <w:tcW w:w="374" w:type="pct"/>
            <w:tcBorders>
              <w:top w:val="single" w:sz="8" w:space="0" w:color="auto"/>
              <w:left w:val="single" w:sz="8" w:space="0" w:color="auto"/>
              <w:bottom w:val="single" w:sz="4" w:space="0" w:color="auto"/>
              <w:right w:val="single" w:sz="4" w:space="0" w:color="auto"/>
            </w:tcBorders>
            <w:shd w:val="clear" w:color="000000" w:fill="DAE9F8"/>
            <w:vAlign w:val="bottom"/>
            <w:hideMark/>
          </w:tcPr>
          <w:p w14:paraId="0B9E5E19"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AREA</w:t>
            </w:r>
          </w:p>
        </w:tc>
        <w:tc>
          <w:tcPr>
            <w:tcW w:w="700" w:type="pct"/>
            <w:tcBorders>
              <w:top w:val="single" w:sz="8" w:space="0" w:color="auto"/>
              <w:left w:val="nil"/>
              <w:bottom w:val="single" w:sz="4" w:space="0" w:color="auto"/>
              <w:right w:val="single" w:sz="4" w:space="0" w:color="auto"/>
            </w:tcBorders>
            <w:shd w:val="clear" w:color="000000" w:fill="DAE9F8"/>
            <w:vAlign w:val="bottom"/>
            <w:hideMark/>
          </w:tcPr>
          <w:p w14:paraId="558CABF7"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PROGRAMA</w:t>
            </w:r>
          </w:p>
        </w:tc>
        <w:tc>
          <w:tcPr>
            <w:tcW w:w="1462" w:type="pct"/>
            <w:tcBorders>
              <w:top w:val="single" w:sz="8" w:space="0" w:color="auto"/>
              <w:left w:val="nil"/>
              <w:bottom w:val="single" w:sz="4" w:space="0" w:color="auto"/>
              <w:right w:val="single" w:sz="4" w:space="0" w:color="auto"/>
            </w:tcBorders>
            <w:shd w:val="clear" w:color="000000" w:fill="DAE9F8"/>
            <w:vAlign w:val="bottom"/>
            <w:hideMark/>
          </w:tcPr>
          <w:p w14:paraId="10ADF62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PLAN</w:t>
            </w:r>
          </w:p>
        </w:tc>
        <w:tc>
          <w:tcPr>
            <w:tcW w:w="837" w:type="pct"/>
            <w:tcBorders>
              <w:top w:val="single" w:sz="8" w:space="0" w:color="auto"/>
              <w:left w:val="nil"/>
              <w:bottom w:val="single" w:sz="4" w:space="0" w:color="auto"/>
              <w:right w:val="single" w:sz="4" w:space="0" w:color="auto"/>
            </w:tcBorders>
            <w:shd w:val="clear" w:color="000000" w:fill="DAE9F8"/>
            <w:vAlign w:val="bottom"/>
            <w:hideMark/>
          </w:tcPr>
          <w:p w14:paraId="7E481402" w14:textId="77777777" w:rsidR="00441EB9"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PLAN ACCION 2023</w:t>
            </w:r>
          </w:p>
          <w:p w14:paraId="7CC809D4" w14:textId="5FEC10A9"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w:t>
            </w:r>
          </w:p>
        </w:tc>
        <w:tc>
          <w:tcPr>
            <w:tcW w:w="853" w:type="pct"/>
            <w:tcBorders>
              <w:top w:val="single" w:sz="8" w:space="0" w:color="auto"/>
              <w:left w:val="nil"/>
              <w:bottom w:val="single" w:sz="4" w:space="0" w:color="auto"/>
              <w:right w:val="single" w:sz="4" w:space="0" w:color="auto"/>
            </w:tcBorders>
            <w:shd w:val="clear" w:color="000000" w:fill="DAE9F8"/>
            <w:vAlign w:val="bottom"/>
            <w:hideMark/>
          </w:tcPr>
          <w:p w14:paraId="7E850B27" w14:textId="77777777" w:rsidR="00441EB9"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EJECUTADO</w:t>
            </w:r>
          </w:p>
          <w:p w14:paraId="212E12E9" w14:textId="31B16BE5"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w:t>
            </w:r>
          </w:p>
        </w:tc>
        <w:tc>
          <w:tcPr>
            <w:tcW w:w="774" w:type="pct"/>
            <w:tcBorders>
              <w:top w:val="single" w:sz="8" w:space="0" w:color="auto"/>
              <w:left w:val="nil"/>
              <w:bottom w:val="single" w:sz="4" w:space="0" w:color="auto"/>
              <w:right w:val="single" w:sz="8" w:space="0" w:color="auto"/>
            </w:tcBorders>
            <w:shd w:val="clear" w:color="000000" w:fill="DAE9F8"/>
            <w:vAlign w:val="bottom"/>
            <w:hideMark/>
          </w:tcPr>
          <w:p w14:paraId="13C81A46" w14:textId="77777777" w:rsidR="00441EB9"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w:t>
            </w:r>
          </w:p>
          <w:p w14:paraId="7F984916" w14:textId="6C97BA04"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sz w:val="18"/>
                <w:szCs w:val="18"/>
                <w:bdr w:val="none" w:sz="0" w:space="0" w:color="auto"/>
                <w:lang w:eastAsia="es-ES"/>
              </w:rPr>
            </w:pPr>
            <w:r w:rsidRPr="00A20126">
              <w:rPr>
                <w:rFonts w:eastAsia="Times New Roman"/>
                <w:b/>
                <w:bCs/>
                <w:sz w:val="18"/>
                <w:szCs w:val="18"/>
                <w:bdr w:val="none" w:sz="0" w:space="0" w:color="auto"/>
                <w:lang w:eastAsia="es-ES"/>
              </w:rPr>
              <w:t>EJECUCION</w:t>
            </w:r>
          </w:p>
        </w:tc>
      </w:tr>
      <w:tr w:rsidR="0021610B" w:rsidRPr="00A20126" w14:paraId="43DBE9C1" w14:textId="77777777" w:rsidTr="000269F0">
        <w:trPr>
          <w:trHeight w:val="334"/>
          <w:jc w:val="center"/>
        </w:trPr>
        <w:tc>
          <w:tcPr>
            <w:tcW w:w="2537" w:type="pct"/>
            <w:gridSpan w:val="3"/>
            <w:tcBorders>
              <w:top w:val="single" w:sz="4" w:space="0" w:color="auto"/>
              <w:left w:val="single" w:sz="8" w:space="0" w:color="auto"/>
              <w:bottom w:val="single" w:sz="4" w:space="0" w:color="auto"/>
              <w:right w:val="single" w:sz="4" w:space="0" w:color="auto"/>
            </w:tcBorders>
            <w:shd w:val="clear" w:color="000000" w:fill="D0D0D0"/>
            <w:vAlign w:val="center"/>
            <w:hideMark/>
          </w:tcPr>
          <w:p w14:paraId="6D11F04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AREA DE GENERACION DE DEMANDA Y COMUNICACION</w:t>
            </w:r>
          </w:p>
        </w:tc>
        <w:tc>
          <w:tcPr>
            <w:tcW w:w="837" w:type="pct"/>
            <w:tcBorders>
              <w:top w:val="nil"/>
              <w:left w:val="nil"/>
              <w:bottom w:val="single" w:sz="4" w:space="0" w:color="auto"/>
              <w:right w:val="single" w:sz="4" w:space="0" w:color="auto"/>
            </w:tcBorders>
            <w:shd w:val="clear" w:color="000000" w:fill="D0D0D0"/>
            <w:vAlign w:val="center"/>
            <w:hideMark/>
          </w:tcPr>
          <w:p w14:paraId="643AD52A"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28.993.797,00</w:t>
            </w:r>
          </w:p>
        </w:tc>
        <w:tc>
          <w:tcPr>
            <w:tcW w:w="853" w:type="pct"/>
            <w:tcBorders>
              <w:top w:val="nil"/>
              <w:left w:val="nil"/>
              <w:bottom w:val="single" w:sz="4" w:space="0" w:color="auto"/>
              <w:right w:val="single" w:sz="4" w:space="0" w:color="auto"/>
            </w:tcBorders>
            <w:shd w:val="clear" w:color="000000" w:fill="D0D0D0"/>
            <w:vAlign w:val="center"/>
            <w:hideMark/>
          </w:tcPr>
          <w:p w14:paraId="4010874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24.160.815,76</w:t>
            </w:r>
          </w:p>
        </w:tc>
        <w:tc>
          <w:tcPr>
            <w:tcW w:w="774" w:type="pct"/>
            <w:tcBorders>
              <w:top w:val="nil"/>
              <w:left w:val="nil"/>
              <w:bottom w:val="single" w:sz="4" w:space="0" w:color="auto"/>
              <w:right w:val="single" w:sz="8" w:space="0" w:color="auto"/>
            </w:tcBorders>
            <w:shd w:val="clear" w:color="000000" w:fill="D0D0D0"/>
            <w:vAlign w:val="center"/>
            <w:hideMark/>
          </w:tcPr>
          <w:p w14:paraId="55233CAF"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83,3%</w:t>
            </w:r>
          </w:p>
        </w:tc>
      </w:tr>
      <w:tr w:rsidR="00441EB9" w:rsidRPr="00A20126" w14:paraId="55138EE9" w14:textId="77777777" w:rsidTr="000269F0">
        <w:trPr>
          <w:trHeight w:val="286"/>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66A36555"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25734E0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promoción al cliente final</w:t>
            </w:r>
          </w:p>
        </w:tc>
        <w:tc>
          <w:tcPr>
            <w:tcW w:w="837" w:type="pct"/>
            <w:tcBorders>
              <w:top w:val="nil"/>
              <w:left w:val="nil"/>
              <w:bottom w:val="single" w:sz="4" w:space="0" w:color="auto"/>
              <w:right w:val="single" w:sz="4" w:space="0" w:color="auto"/>
            </w:tcBorders>
            <w:shd w:val="clear" w:color="000000" w:fill="A6C9EC"/>
            <w:vAlign w:val="center"/>
            <w:hideMark/>
          </w:tcPr>
          <w:p w14:paraId="5384A4A7"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23.561.065,00</w:t>
            </w:r>
          </w:p>
        </w:tc>
        <w:tc>
          <w:tcPr>
            <w:tcW w:w="853" w:type="pct"/>
            <w:tcBorders>
              <w:top w:val="nil"/>
              <w:left w:val="nil"/>
              <w:bottom w:val="single" w:sz="4" w:space="0" w:color="auto"/>
              <w:right w:val="single" w:sz="4" w:space="0" w:color="auto"/>
            </w:tcBorders>
            <w:shd w:val="clear" w:color="000000" w:fill="A6C9EC"/>
            <w:vAlign w:val="center"/>
            <w:hideMark/>
          </w:tcPr>
          <w:p w14:paraId="22AD7329"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19.265.117,40</w:t>
            </w:r>
          </w:p>
        </w:tc>
        <w:tc>
          <w:tcPr>
            <w:tcW w:w="774" w:type="pct"/>
            <w:tcBorders>
              <w:top w:val="nil"/>
              <w:left w:val="nil"/>
              <w:bottom w:val="single" w:sz="4" w:space="0" w:color="auto"/>
              <w:right w:val="single" w:sz="8" w:space="0" w:color="auto"/>
            </w:tcBorders>
            <w:shd w:val="clear" w:color="000000" w:fill="A6C9EC"/>
            <w:vAlign w:val="center"/>
            <w:hideMark/>
          </w:tcPr>
          <w:p w14:paraId="7327B339"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81,8%</w:t>
            </w:r>
          </w:p>
        </w:tc>
      </w:tr>
      <w:tr w:rsidR="00441EB9" w:rsidRPr="00A20126" w14:paraId="687ED4CD"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6A5E6E90"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43C4760F"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promoción al profesional en origen</w:t>
            </w:r>
          </w:p>
        </w:tc>
        <w:tc>
          <w:tcPr>
            <w:tcW w:w="837" w:type="pct"/>
            <w:tcBorders>
              <w:top w:val="nil"/>
              <w:left w:val="nil"/>
              <w:bottom w:val="single" w:sz="4" w:space="0" w:color="auto"/>
              <w:right w:val="single" w:sz="4" w:space="0" w:color="auto"/>
            </w:tcBorders>
            <w:shd w:val="clear" w:color="000000" w:fill="A6C9EC"/>
            <w:vAlign w:val="center"/>
            <w:hideMark/>
          </w:tcPr>
          <w:p w14:paraId="62F1FEEE"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3.570.000,00</w:t>
            </w:r>
          </w:p>
        </w:tc>
        <w:tc>
          <w:tcPr>
            <w:tcW w:w="853" w:type="pct"/>
            <w:tcBorders>
              <w:top w:val="nil"/>
              <w:left w:val="nil"/>
              <w:bottom w:val="single" w:sz="4" w:space="0" w:color="auto"/>
              <w:right w:val="single" w:sz="4" w:space="0" w:color="auto"/>
            </w:tcBorders>
            <w:shd w:val="clear" w:color="000000" w:fill="A6C9EC"/>
            <w:vAlign w:val="center"/>
            <w:hideMark/>
          </w:tcPr>
          <w:p w14:paraId="78CDD65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3.956.318,79</w:t>
            </w:r>
          </w:p>
        </w:tc>
        <w:tc>
          <w:tcPr>
            <w:tcW w:w="774" w:type="pct"/>
            <w:tcBorders>
              <w:top w:val="nil"/>
              <w:left w:val="nil"/>
              <w:bottom w:val="single" w:sz="4" w:space="0" w:color="auto"/>
              <w:right w:val="single" w:sz="8" w:space="0" w:color="auto"/>
            </w:tcBorders>
            <w:shd w:val="clear" w:color="000000" w:fill="A6C9EC"/>
            <w:vAlign w:val="center"/>
            <w:hideMark/>
          </w:tcPr>
          <w:p w14:paraId="0BA588D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110,8%</w:t>
            </w:r>
          </w:p>
        </w:tc>
      </w:tr>
      <w:tr w:rsidR="00441EB9" w:rsidRPr="00A20126" w14:paraId="7F711C52" w14:textId="77777777" w:rsidTr="000269F0">
        <w:trPr>
          <w:trHeight w:val="477"/>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64B6A79E"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4E494ED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com. corporativa y responsabilidad social</w:t>
            </w:r>
          </w:p>
        </w:tc>
        <w:tc>
          <w:tcPr>
            <w:tcW w:w="837" w:type="pct"/>
            <w:tcBorders>
              <w:top w:val="nil"/>
              <w:left w:val="nil"/>
              <w:bottom w:val="single" w:sz="4" w:space="0" w:color="auto"/>
              <w:right w:val="single" w:sz="4" w:space="0" w:color="auto"/>
            </w:tcBorders>
            <w:shd w:val="clear" w:color="000000" w:fill="A6C9EC"/>
            <w:vAlign w:val="center"/>
            <w:hideMark/>
          </w:tcPr>
          <w:p w14:paraId="6D632E6D"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1.862.732,00</w:t>
            </w:r>
          </w:p>
        </w:tc>
        <w:tc>
          <w:tcPr>
            <w:tcW w:w="853" w:type="pct"/>
            <w:tcBorders>
              <w:top w:val="nil"/>
              <w:left w:val="nil"/>
              <w:bottom w:val="single" w:sz="4" w:space="0" w:color="auto"/>
              <w:right w:val="single" w:sz="4" w:space="0" w:color="auto"/>
            </w:tcBorders>
            <w:shd w:val="clear" w:color="000000" w:fill="A6C9EC"/>
            <w:vAlign w:val="center"/>
            <w:hideMark/>
          </w:tcPr>
          <w:p w14:paraId="10F90A0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939.379,57</w:t>
            </w:r>
          </w:p>
        </w:tc>
        <w:tc>
          <w:tcPr>
            <w:tcW w:w="774" w:type="pct"/>
            <w:tcBorders>
              <w:top w:val="nil"/>
              <w:left w:val="nil"/>
              <w:bottom w:val="single" w:sz="4" w:space="0" w:color="auto"/>
              <w:right w:val="single" w:sz="8" w:space="0" w:color="auto"/>
            </w:tcBorders>
            <w:shd w:val="clear" w:color="000000" w:fill="A6C9EC"/>
            <w:vAlign w:val="center"/>
            <w:hideMark/>
          </w:tcPr>
          <w:p w14:paraId="3D018C53"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50,4%</w:t>
            </w:r>
          </w:p>
        </w:tc>
      </w:tr>
      <w:tr w:rsidR="0021610B" w:rsidRPr="00A20126" w14:paraId="496B426D" w14:textId="77777777" w:rsidTr="000269F0">
        <w:trPr>
          <w:trHeight w:val="334"/>
          <w:jc w:val="center"/>
        </w:trPr>
        <w:tc>
          <w:tcPr>
            <w:tcW w:w="2537" w:type="pct"/>
            <w:gridSpan w:val="3"/>
            <w:tcBorders>
              <w:top w:val="single" w:sz="4" w:space="0" w:color="auto"/>
              <w:left w:val="single" w:sz="8" w:space="0" w:color="auto"/>
              <w:bottom w:val="single" w:sz="4" w:space="0" w:color="auto"/>
              <w:right w:val="single" w:sz="4" w:space="0" w:color="auto"/>
            </w:tcBorders>
            <w:shd w:val="clear" w:color="000000" w:fill="D0D0D0"/>
            <w:vAlign w:val="center"/>
            <w:hideMark/>
          </w:tcPr>
          <w:p w14:paraId="315883A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AREA DE GESTION DE LA DEMANDA</w:t>
            </w:r>
          </w:p>
        </w:tc>
        <w:tc>
          <w:tcPr>
            <w:tcW w:w="837" w:type="pct"/>
            <w:tcBorders>
              <w:top w:val="nil"/>
              <w:left w:val="nil"/>
              <w:bottom w:val="single" w:sz="4" w:space="0" w:color="auto"/>
              <w:right w:val="single" w:sz="4" w:space="0" w:color="auto"/>
            </w:tcBorders>
            <w:shd w:val="clear" w:color="000000" w:fill="D0D0D0"/>
            <w:vAlign w:val="center"/>
            <w:hideMark/>
          </w:tcPr>
          <w:p w14:paraId="2BBE8B7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5.247.000,00</w:t>
            </w:r>
          </w:p>
        </w:tc>
        <w:tc>
          <w:tcPr>
            <w:tcW w:w="853" w:type="pct"/>
            <w:tcBorders>
              <w:top w:val="nil"/>
              <w:left w:val="nil"/>
              <w:bottom w:val="single" w:sz="4" w:space="0" w:color="auto"/>
              <w:right w:val="single" w:sz="4" w:space="0" w:color="auto"/>
            </w:tcBorders>
            <w:shd w:val="clear" w:color="000000" w:fill="D0D0D0"/>
            <w:vAlign w:val="center"/>
            <w:hideMark/>
          </w:tcPr>
          <w:p w14:paraId="47F9DF46"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5.339.303,94</w:t>
            </w:r>
          </w:p>
        </w:tc>
        <w:tc>
          <w:tcPr>
            <w:tcW w:w="774" w:type="pct"/>
            <w:tcBorders>
              <w:top w:val="nil"/>
              <w:left w:val="nil"/>
              <w:bottom w:val="single" w:sz="4" w:space="0" w:color="auto"/>
              <w:right w:val="single" w:sz="8" w:space="0" w:color="auto"/>
            </w:tcBorders>
            <w:shd w:val="clear" w:color="000000" w:fill="D0D0D0"/>
            <w:vAlign w:val="center"/>
            <w:hideMark/>
          </w:tcPr>
          <w:p w14:paraId="57F7685B"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101,8%</w:t>
            </w:r>
          </w:p>
        </w:tc>
      </w:tr>
      <w:tr w:rsidR="00441EB9" w:rsidRPr="00A20126" w14:paraId="3518DDAF" w14:textId="77777777" w:rsidTr="000269F0">
        <w:trPr>
          <w:trHeight w:val="477"/>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32E0217F"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5B71CD1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comercialización: Lado del proveedor</w:t>
            </w:r>
          </w:p>
        </w:tc>
        <w:tc>
          <w:tcPr>
            <w:tcW w:w="837" w:type="pct"/>
            <w:tcBorders>
              <w:top w:val="nil"/>
              <w:left w:val="nil"/>
              <w:bottom w:val="single" w:sz="4" w:space="0" w:color="auto"/>
              <w:right w:val="single" w:sz="4" w:space="0" w:color="auto"/>
            </w:tcBorders>
            <w:shd w:val="clear" w:color="000000" w:fill="A6C9EC"/>
            <w:vAlign w:val="center"/>
            <w:hideMark/>
          </w:tcPr>
          <w:p w14:paraId="37D4ED67"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890.000,00</w:t>
            </w:r>
          </w:p>
        </w:tc>
        <w:tc>
          <w:tcPr>
            <w:tcW w:w="853" w:type="pct"/>
            <w:tcBorders>
              <w:top w:val="nil"/>
              <w:left w:val="nil"/>
              <w:bottom w:val="single" w:sz="4" w:space="0" w:color="auto"/>
              <w:right w:val="single" w:sz="4" w:space="0" w:color="auto"/>
            </w:tcBorders>
            <w:shd w:val="clear" w:color="000000" w:fill="A6C9EC"/>
            <w:vAlign w:val="center"/>
            <w:hideMark/>
          </w:tcPr>
          <w:p w14:paraId="7EA4554A"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131.063,70</w:t>
            </w:r>
          </w:p>
        </w:tc>
        <w:tc>
          <w:tcPr>
            <w:tcW w:w="774" w:type="pct"/>
            <w:tcBorders>
              <w:top w:val="nil"/>
              <w:left w:val="nil"/>
              <w:bottom w:val="single" w:sz="4" w:space="0" w:color="auto"/>
              <w:right w:val="single" w:sz="8" w:space="0" w:color="auto"/>
            </w:tcBorders>
            <w:shd w:val="clear" w:color="000000" w:fill="A6C9EC"/>
            <w:vAlign w:val="center"/>
            <w:hideMark/>
          </w:tcPr>
          <w:p w14:paraId="01690607"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14,7%</w:t>
            </w:r>
          </w:p>
        </w:tc>
      </w:tr>
      <w:tr w:rsidR="00441EB9" w:rsidRPr="00A20126" w14:paraId="6B092802"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15FD63AF"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34E5FF23"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comercialización: Lado del cliente</w:t>
            </w:r>
          </w:p>
        </w:tc>
        <w:tc>
          <w:tcPr>
            <w:tcW w:w="837" w:type="pct"/>
            <w:tcBorders>
              <w:top w:val="nil"/>
              <w:left w:val="nil"/>
              <w:bottom w:val="single" w:sz="4" w:space="0" w:color="auto"/>
              <w:right w:val="single" w:sz="4" w:space="0" w:color="auto"/>
            </w:tcBorders>
            <w:shd w:val="clear" w:color="000000" w:fill="A6C9EC"/>
            <w:vAlign w:val="center"/>
            <w:hideMark/>
          </w:tcPr>
          <w:p w14:paraId="7679B9A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4.357.000,00</w:t>
            </w:r>
          </w:p>
        </w:tc>
        <w:tc>
          <w:tcPr>
            <w:tcW w:w="853" w:type="pct"/>
            <w:tcBorders>
              <w:top w:val="nil"/>
              <w:left w:val="nil"/>
              <w:bottom w:val="single" w:sz="4" w:space="0" w:color="auto"/>
              <w:right w:val="single" w:sz="4" w:space="0" w:color="auto"/>
            </w:tcBorders>
            <w:shd w:val="clear" w:color="000000" w:fill="A6C9EC"/>
            <w:vAlign w:val="center"/>
            <w:hideMark/>
          </w:tcPr>
          <w:p w14:paraId="36D3BB8E"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5.208.240,24</w:t>
            </w:r>
          </w:p>
        </w:tc>
        <w:tc>
          <w:tcPr>
            <w:tcW w:w="774" w:type="pct"/>
            <w:tcBorders>
              <w:top w:val="nil"/>
              <w:left w:val="nil"/>
              <w:bottom w:val="single" w:sz="4" w:space="0" w:color="auto"/>
              <w:right w:val="single" w:sz="8" w:space="0" w:color="auto"/>
            </w:tcBorders>
            <w:shd w:val="clear" w:color="000000" w:fill="A6C9EC"/>
            <w:vAlign w:val="center"/>
            <w:hideMark/>
          </w:tcPr>
          <w:p w14:paraId="73CF1943"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119,5%</w:t>
            </w:r>
          </w:p>
        </w:tc>
      </w:tr>
      <w:tr w:rsidR="0021610B" w:rsidRPr="00A20126" w14:paraId="5BE21551" w14:textId="77777777" w:rsidTr="000269F0">
        <w:trPr>
          <w:trHeight w:val="334"/>
          <w:jc w:val="center"/>
        </w:trPr>
        <w:tc>
          <w:tcPr>
            <w:tcW w:w="2537" w:type="pct"/>
            <w:gridSpan w:val="3"/>
            <w:tcBorders>
              <w:top w:val="single" w:sz="4" w:space="0" w:color="auto"/>
              <w:left w:val="single" w:sz="8" w:space="0" w:color="auto"/>
              <w:bottom w:val="single" w:sz="4" w:space="0" w:color="auto"/>
              <w:right w:val="single" w:sz="4" w:space="0" w:color="auto"/>
            </w:tcBorders>
            <w:shd w:val="clear" w:color="000000" w:fill="D0D0D0"/>
            <w:vAlign w:val="center"/>
            <w:hideMark/>
          </w:tcPr>
          <w:p w14:paraId="5950BA8E"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AREA DE MEJORA DE LA OFERTA</w:t>
            </w:r>
          </w:p>
        </w:tc>
        <w:tc>
          <w:tcPr>
            <w:tcW w:w="837" w:type="pct"/>
            <w:tcBorders>
              <w:top w:val="nil"/>
              <w:left w:val="nil"/>
              <w:bottom w:val="single" w:sz="4" w:space="0" w:color="auto"/>
              <w:right w:val="single" w:sz="4" w:space="0" w:color="auto"/>
            </w:tcBorders>
            <w:shd w:val="clear" w:color="000000" w:fill="D0D0D0"/>
            <w:vAlign w:val="center"/>
            <w:hideMark/>
          </w:tcPr>
          <w:p w14:paraId="0911ADBC" w14:textId="77777777" w:rsidR="0021610B" w:rsidRPr="00A20126" w:rsidRDefault="0021610B" w:rsidP="000269F0">
            <w:pPr>
              <w:pBdr>
                <w:top w:val="none" w:sz="0" w:space="0" w:color="auto"/>
                <w:left w:val="none" w:sz="0" w:space="0" w:color="auto"/>
                <w:bottom w:val="none" w:sz="0" w:space="0" w:color="auto"/>
                <w:right w:val="none" w:sz="0" w:space="0" w:color="auto"/>
                <w:between w:val="none" w:sz="0" w:space="0" w:color="auto"/>
                <w:bar w:val="none" w:sz="0" w:color="auto"/>
              </w:pBdr>
              <w:jc w:val="center"/>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14.664.294,00</w:t>
            </w:r>
          </w:p>
        </w:tc>
        <w:tc>
          <w:tcPr>
            <w:tcW w:w="853" w:type="pct"/>
            <w:tcBorders>
              <w:top w:val="nil"/>
              <w:left w:val="nil"/>
              <w:bottom w:val="single" w:sz="4" w:space="0" w:color="auto"/>
              <w:right w:val="single" w:sz="4" w:space="0" w:color="auto"/>
            </w:tcBorders>
            <w:shd w:val="clear" w:color="000000" w:fill="D0D0D0"/>
            <w:vAlign w:val="center"/>
            <w:hideMark/>
          </w:tcPr>
          <w:p w14:paraId="0642B81A"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12.568.774,28</w:t>
            </w:r>
          </w:p>
        </w:tc>
        <w:tc>
          <w:tcPr>
            <w:tcW w:w="774" w:type="pct"/>
            <w:tcBorders>
              <w:top w:val="nil"/>
              <w:left w:val="nil"/>
              <w:bottom w:val="single" w:sz="4" w:space="0" w:color="auto"/>
              <w:right w:val="single" w:sz="8" w:space="0" w:color="auto"/>
            </w:tcBorders>
            <w:shd w:val="clear" w:color="000000" w:fill="D0D0D0"/>
            <w:vAlign w:val="center"/>
            <w:hideMark/>
          </w:tcPr>
          <w:p w14:paraId="489D76C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85,7%</w:t>
            </w:r>
          </w:p>
        </w:tc>
      </w:tr>
      <w:tr w:rsidR="00441EB9" w:rsidRPr="00A20126" w14:paraId="0579F4D9"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0B58B5A5"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653D4006"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sostenibilidad ambiental</w:t>
            </w:r>
          </w:p>
        </w:tc>
        <w:tc>
          <w:tcPr>
            <w:tcW w:w="837" w:type="pct"/>
            <w:tcBorders>
              <w:top w:val="nil"/>
              <w:left w:val="nil"/>
              <w:bottom w:val="single" w:sz="4" w:space="0" w:color="auto"/>
              <w:right w:val="single" w:sz="4" w:space="0" w:color="auto"/>
            </w:tcBorders>
            <w:shd w:val="clear" w:color="000000" w:fill="A6C9EC"/>
            <w:vAlign w:val="center"/>
            <w:hideMark/>
          </w:tcPr>
          <w:p w14:paraId="79CE1226"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1.984.294,00</w:t>
            </w:r>
          </w:p>
        </w:tc>
        <w:tc>
          <w:tcPr>
            <w:tcW w:w="853" w:type="pct"/>
            <w:tcBorders>
              <w:top w:val="nil"/>
              <w:left w:val="nil"/>
              <w:bottom w:val="single" w:sz="4" w:space="0" w:color="auto"/>
              <w:right w:val="single" w:sz="4" w:space="0" w:color="auto"/>
            </w:tcBorders>
            <w:shd w:val="clear" w:color="000000" w:fill="A6C9EC"/>
            <w:vAlign w:val="center"/>
            <w:hideMark/>
          </w:tcPr>
          <w:p w14:paraId="719B3230"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1.465.892,62</w:t>
            </w:r>
          </w:p>
        </w:tc>
        <w:tc>
          <w:tcPr>
            <w:tcW w:w="774" w:type="pct"/>
            <w:tcBorders>
              <w:top w:val="nil"/>
              <w:left w:val="nil"/>
              <w:bottom w:val="single" w:sz="4" w:space="0" w:color="auto"/>
              <w:right w:val="single" w:sz="8" w:space="0" w:color="auto"/>
            </w:tcBorders>
            <w:shd w:val="clear" w:color="000000" w:fill="A6C9EC"/>
            <w:vAlign w:val="center"/>
            <w:hideMark/>
          </w:tcPr>
          <w:p w14:paraId="69E15B56"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73,9%</w:t>
            </w:r>
          </w:p>
        </w:tc>
      </w:tr>
      <w:tr w:rsidR="00441EB9" w:rsidRPr="00A20126" w14:paraId="798A5A51"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32B2CCF3"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106D4EE3"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mejora de producto turístico</w:t>
            </w:r>
          </w:p>
        </w:tc>
        <w:tc>
          <w:tcPr>
            <w:tcW w:w="837" w:type="pct"/>
            <w:tcBorders>
              <w:top w:val="nil"/>
              <w:left w:val="nil"/>
              <w:bottom w:val="single" w:sz="4" w:space="0" w:color="auto"/>
              <w:right w:val="single" w:sz="4" w:space="0" w:color="auto"/>
            </w:tcBorders>
            <w:shd w:val="clear" w:color="000000" w:fill="A6C9EC"/>
            <w:vAlign w:val="center"/>
            <w:hideMark/>
          </w:tcPr>
          <w:p w14:paraId="4C780E5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12.680.000,00</w:t>
            </w:r>
          </w:p>
        </w:tc>
        <w:tc>
          <w:tcPr>
            <w:tcW w:w="853" w:type="pct"/>
            <w:tcBorders>
              <w:top w:val="nil"/>
              <w:left w:val="nil"/>
              <w:bottom w:val="single" w:sz="4" w:space="0" w:color="auto"/>
              <w:right w:val="single" w:sz="4" w:space="0" w:color="auto"/>
            </w:tcBorders>
            <w:shd w:val="clear" w:color="000000" w:fill="A6C9EC"/>
            <w:vAlign w:val="center"/>
            <w:hideMark/>
          </w:tcPr>
          <w:p w14:paraId="34CA079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11.102.881,66</w:t>
            </w:r>
          </w:p>
        </w:tc>
        <w:tc>
          <w:tcPr>
            <w:tcW w:w="774" w:type="pct"/>
            <w:tcBorders>
              <w:top w:val="nil"/>
              <w:left w:val="nil"/>
              <w:bottom w:val="single" w:sz="4" w:space="0" w:color="auto"/>
              <w:right w:val="single" w:sz="8" w:space="0" w:color="auto"/>
            </w:tcBorders>
            <w:shd w:val="clear" w:color="000000" w:fill="A6C9EC"/>
            <w:vAlign w:val="center"/>
            <w:hideMark/>
          </w:tcPr>
          <w:p w14:paraId="45917D8D"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87,6%</w:t>
            </w:r>
          </w:p>
        </w:tc>
      </w:tr>
      <w:tr w:rsidR="0021610B" w:rsidRPr="00A20126" w14:paraId="52E85DFB" w14:textId="77777777" w:rsidTr="000269F0">
        <w:trPr>
          <w:trHeight w:val="334"/>
          <w:jc w:val="center"/>
        </w:trPr>
        <w:tc>
          <w:tcPr>
            <w:tcW w:w="2537" w:type="pct"/>
            <w:gridSpan w:val="3"/>
            <w:tcBorders>
              <w:top w:val="single" w:sz="4" w:space="0" w:color="auto"/>
              <w:left w:val="single" w:sz="8" w:space="0" w:color="auto"/>
              <w:bottom w:val="single" w:sz="4" w:space="0" w:color="auto"/>
              <w:right w:val="single" w:sz="4" w:space="0" w:color="auto"/>
            </w:tcBorders>
            <w:shd w:val="clear" w:color="000000" w:fill="D0D0D0"/>
            <w:vAlign w:val="center"/>
            <w:hideMark/>
          </w:tcPr>
          <w:p w14:paraId="4BB7DC4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AREA DE SOPORTE</w:t>
            </w:r>
          </w:p>
        </w:tc>
        <w:tc>
          <w:tcPr>
            <w:tcW w:w="837" w:type="pct"/>
            <w:tcBorders>
              <w:top w:val="nil"/>
              <w:left w:val="nil"/>
              <w:bottom w:val="single" w:sz="4" w:space="0" w:color="auto"/>
              <w:right w:val="single" w:sz="4" w:space="0" w:color="auto"/>
            </w:tcBorders>
            <w:shd w:val="clear" w:color="000000" w:fill="D0D0D0"/>
            <w:vAlign w:val="center"/>
            <w:hideMark/>
          </w:tcPr>
          <w:p w14:paraId="678B27A6"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8.239.725,00</w:t>
            </w:r>
          </w:p>
        </w:tc>
        <w:tc>
          <w:tcPr>
            <w:tcW w:w="853" w:type="pct"/>
            <w:tcBorders>
              <w:top w:val="nil"/>
              <w:left w:val="nil"/>
              <w:bottom w:val="single" w:sz="4" w:space="0" w:color="auto"/>
              <w:right w:val="single" w:sz="4" w:space="0" w:color="auto"/>
            </w:tcBorders>
            <w:shd w:val="clear" w:color="000000" w:fill="D0D0D0"/>
            <w:vAlign w:val="center"/>
            <w:hideMark/>
          </w:tcPr>
          <w:p w14:paraId="607CF58D"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4.557.765,71</w:t>
            </w:r>
          </w:p>
        </w:tc>
        <w:tc>
          <w:tcPr>
            <w:tcW w:w="774" w:type="pct"/>
            <w:tcBorders>
              <w:top w:val="nil"/>
              <w:left w:val="nil"/>
              <w:bottom w:val="single" w:sz="4" w:space="0" w:color="auto"/>
              <w:right w:val="single" w:sz="8" w:space="0" w:color="auto"/>
            </w:tcBorders>
            <w:shd w:val="clear" w:color="000000" w:fill="D0D0D0"/>
            <w:vAlign w:val="center"/>
            <w:hideMark/>
          </w:tcPr>
          <w:p w14:paraId="34E511CB"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55,3%</w:t>
            </w:r>
          </w:p>
        </w:tc>
      </w:tr>
      <w:tr w:rsidR="00441EB9" w:rsidRPr="00A20126" w14:paraId="7BFE5A80"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376A39BB"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013582B8"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digitalización y tecnología</w:t>
            </w:r>
          </w:p>
        </w:tc>
        <w:tc>
          <w:tcPr>
            <w:tcW w:w="837" w:type="pct"/>
            <w:tcBorders>
              <w:top w:val="nil"/>
              <w:left w:val="nil"/>
              <w:bottom w:val="single" w:sz="4" w:space="0" w:color="auto"/>
              <w:right w:val="single" w:sz="4" w:space="0" w:color="auto"/>
            </w:tcBorders>
            <w:shd w:val="clear" w:color="000000" w:fill="A6C9EC"/>
            <w:vAlign w:val="center"/>
            <w:hideMark/>
          </w:tcPr>
          <w:p w14:paraId="7CE480C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4.113.225,00</w:t>
            </w:r>
          </w:p>
        </w:tc>
        <w:tc>
          <w:tcPr>
            <w:tcW w:w="853" w:type="pct"/>
            <w:tcBorders>
              <w:top w:val="nil"/>
              <w:left w:val="nil"/>
              <w:bottom w:val="single" w:sz="4" w:space="0" w:color="auto"/>
              <w:right w:val="single" w:sz="4" w:space="0" w:color="auto"/>
            </w:tcBorders>
            <w:shd w:val="clear" w:color="000000" w:fill="A6C9EC"/>
            <w:vAlign w:val="center"/>
            <w:hideMark/>
          </w:tcPr>
          <w:p w14:paraId="652CDAAF"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2.132.721,79</w:t>
            </w:r>
          </w:p>
        </w:tc>
        <w:tc>
          <w:tcPr>
            <w:tcW w:w="774" w:type="pct"/>
            <w:tcBorders>
              <w:top w:val="nil"/>
              <w:left w:val="nil"/>
              <w:bottom w:val="single" w:sz="4" w:space="0" w:color="auto"/>
              <w:right w:val="single" w:sz="8" w:space="0" w:color="auto"/>
            </w:tcBorders>
            <w:shd w:val="clear" w:color="000000" w:fill="A6C9EC"/>
            <w:vAlign w:val="center"/>
            <w:hideMark/>
          </w:tcPr>
          <w:p w14:paraId="04CE5E25"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51,9%</w:t>
            </w:r>
          </w:p>
        </w:tc>
      </w:tr>
      <w:tr w:rsidR="00441EB9" w:rsidRPr="00A20126" w14:paraId="618FCD64"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67E2CF0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032CC9AA"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inteligencia turística y planificación</w:t>
            </w:r>
          </w:p>
        </w:tc>
        <w:tc>
          <w:tcPr>
            <w:tcW w:w="837" w:type="pct"/>
            <w:tcBorders>
              <w:top w:val="nil"/>
              <w:left w:val="nil"/>
              <w:bottom w:val="single" w:sz="4" w:space="0" w:color="auto"/>
              <w:right w:val="single" w:sz="4" w:space="0" w:color="auto"/>
            </w:tcBorders>
            <w:shd w:val="clear" w:color="000000" w:fill="A6C9EC"/>
            <w:vAlign w:val="center"/>
            <w:hideMark/>
          </w:tcPr>
          <w:p w14:paraId="68411FE0"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2.389.000,00</w:t>
            </w:r>
          </w:p>
        </w:tc>
        <w:tc>
          <w:tcPr>
            <w:tcW w:w="853" w:type="pct"/>
            <w:tcBorders>
              <w:top w:val="nil"/>
              <w:left w:val="nil"/>
              <w:bottom w:val="single" w:sz="4" w:space="0" w:color="auto"/>
              <w:right w:val="single" w:sz="4" w:space="0" w:color="auto"/>
            </w:tcBorders>
            <w:shd w:val="clear" w:color="000000" w:fill="A6C9EC"/>
            <w:vAlign w:val="center"/>
            <w:hideMark/>
          </w:tcPr>
          <w:p w14:paraId="2570B928"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2.211.030,19</w:t>
            </w:r>
          </w:p>
        </w:tc>
        <w:tc>
          <w:tcPr>
            <w:tcW w:w="774" w:type="pct"/>
            <w:tcBorders>
              <w:top w:val="nil"/>
              <w:left w:val="nil"/>
              <w:bottom w:val="single" w:sz="4" w:space="0" w:color="auto"/>
              <w:right w:val="single" w:sz="8" w:space="0" w:color="auto"/>
            </w:tcBorders>
            <w:shd w:val="clear" w:color="000000" w:fill="A6C9EC"/>
            <w:vAlign w:val="center"/>
            <w:hideMark/>
          </w:tcPr>
          <w:p w14:paraId="707C09C5"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92,6%</w:t>
            </w:r>
          </w:p>
        </w:tc>
      </w:tr>
      <w:tr w:rsidR="00441EB9" w:rsidRPr="00A20126" w14:paraId="4099B0B4"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64C754D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4E0F6C77"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mejora de la conectividad</w:t>
            </w:r>
          </w:p>
        </w:tc>
        <w:tc>
          <w:tcPr>
            <w:tcW w:w="837" w:type="pct"/>
            <w:tcBorders>
              <w:top w:val="nil"/>
              <w:left w:val="nil"/>
              <w:bottom w:val="single" w:sz="4" w:space="0" w:color="auto"/>
              <w:right w:val="single" w:sz="4" w:space="0" w:color="auto"/>
            </w:tcBorders>
            <w:shd w:val="clear" w:color="000000" w:fill="A6C9EC"/>
            <w:vAlign w:val="center"/>
            <w:hideMark/>
          </w:tcPr>
          <w:p w14:paraId="40C0E45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1.737.500,00</w:t>
            </w:r>
          </w:p>
        </w:tc>
        <w:tc>
          <w:tcPr>
            <w:tcW w:w="853" w:type="pct"/>
            <w:tcBorders>
              <w:top w:val="nil"/>
              <w:left w:val="nil"/>
              <w:bottom w:val="single" w:sz="4" w:space="0" w:color="auto"/>
              <w:right w:val="single" w:sz="4" w:space="0" w:color="auto"/>
            </w:tcBorders>
            <w:shd w:val="clear" w:color="000000" w:fill="A6C9EC"/>
            <w:vAlign w:val="center"/>
            <w:hideMark/>
          </w:tcPr>
          <w:p w14:paraId="43042EDA"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214.013,73</w:t>
            </w:r>
          </w:p>
        </w:tc>
        <w:tc>
          <w:tcPr>
            <w:tcW w:w="774" w:type="pct"/>
            <w:tcBorders>
              <w:top w:val="nil"/>
              <w:left w:val="nil"/>
              <w:bottom w:val="single" w:sz="4" w:space="0" w:color="auto"/>
              <w:right w:val="single" w:sz="8" w:space="0" w:color="auto"/>
            </w:tcBorders>
            <w:shd w:val="clear" w:color="000000" w:fill="A6C9EC"/>
            <w:vAlign w:val="center"/>
            <w:hideMark/>
          </w:tcPr>
          <w:p w14:paraId="12862DDA"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12,3%</w:t>
            </w:r>
          </w:p>
        </w:tc>
      </w:tr>
      <w:tr w:rsidR="0021610B" w:rsidRPr="00A20126" w14:paraId="444F0117" w14:textId="77777777" w:rsidTr="000269F0">
        <w:trPr>
          <w:trHeight w:val="334"/>
          <w:jc w:val="center"/>
        </w:trPr>
        <w:tc>
          <w:tcPr>
            <w:tcW w:w="2537" w:type="pct"/>
            <w:gridSpan w:val="3"/>
            <w:tcBorders>
              <w:top w:val="single" w:sz="4" w:space="0" w:color="auto"/>
              <w:left w:val="single" w:sz="8" w:space="0" w:color="auto"/>
              <w:bottom w:val="single" w:sz="4" w:space="0" w:color="auto"/>
              <w:right w:val="single" w:sz="4" w:space="0" w:color="auto"/>
            </w:tcBorders>
            <w:shd w:val="clear" w:color="000000" w:fill="D0D0D0"/>
            <w:vAlign w:val="center"/>
            <w:hideMark/>
          </w:tcPr>
          <w:p w14:paraId="631CBF2F"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EXPLOTACION</w:t>
            </w:r>
          </w:p>
        </w:tc>
        <w:tc>
          <w:tcPr>
            <w:tcW w:w="837" w:type="pct"/>
            <w:tcBorders>
              <w:top w:val="nil"/>
              <w:left w:val="nil"/>
              <w:bottom w:val="single" w:sz="4" w:space="0" w:color="auto"/>
              <w:right w:val="single" w:sz="4" w:space="0" w:color="auto"/>
            </w:tcBorders>
            <w:shd w:val="clear" w:color="000000" w:fill="D0D0D0"/>
            <w:vAlign w:val="center"/>
            <w:hideMark/>
          </w:tcPr>
          <w:p w14:paraId="60DF4716"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4.415.711,00</w:t>
            </w:r>
          </w:p>
        </w:tc>
        <w:tc>
          <w:tcPr>
            <w:tcW w:w="853" w:type="pct"/>
            <w:tcBorders>
              <w:top w:val="nil"/>
              <w:left w:val="nil"/>
              <w:bottom w:val="single" w:sz="4" w:space="0" w:color="auto"/>
              <w:right w:val="single" w:sz="4" w:space="0" w:color="auto"/>
            </w:tcBorders>
            <w:shd w:val="clear" w:color="000000" w:fill="D0D0D0"/>
            <w:vAlign w:val="center"/>
            <w:hideMark/>
          </w:tcPr>
          <w:p w14:paraId="70B70F19"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4.383.036,56</w:t>
            </w:r>
          </w:p>
        </w:tc>
        <w:tc>
          <w:tcPr>
            <w:tcW w:w="774" w:type="pct"/>
            <w:tcBorders>
              <w:top w:val="nil"/>
              <w:left w:val="nil"/>
              <w:bottom w:val="single" w:sz="4" w:space="0" w:color="auto"/>
              <w:right w:val="single" w:sz="8" w:space="0" w:color="auto"/>
            </w:tcBorders>
            <w:shd w:val="clear" w:color="000000" w:fill="D0D0D0"/>
            <w:vAlign w:val="center"/>
            <w:hideMark/>
          </w:tcPr>
          <w:p w14:paraId="39CB38CE"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99,3%</w:t>
            </w:r>
          </w:p>
        </w:tc>
      </w:tr>
      <w:tr w:rsidR="00441EB9" w:rsidRPr="00A20126" w14:paraId="1A1D192A" w14:textId="77777777" w:rsidTr="000269F0">
        <w:trPr>
          <w:trHeight w:val="334"/>
          <w:jc w:val="center"/>
        </w:trPr>
        <w:tc>
          <w:tcPr>
            <w:tcW w:w="374" w:type="pct"/>
            <w:tcBorders>
              <w:top w:val="single" w:sz="4" w:space="0" w:color="auto"/>
              <w:left w:val="single" w:sz="8" w:space="0" w:color="auto"/>
              <w:bottom w:val="single" w:sz="4" w:space="0" w:color="auto"/>
              <w:right w:val="single" w:sz="4" w:space="0" w:color="auto"/>
            </w:tcBorders>
            <w:shd w:val="clear" w:color="auto" w:fill="auto"/>
            <w:hideMark/>
          </w:tcPr>
          <w:p w14:paraId="25E9A96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 xml:space="preserve"> </w:t>
            </w:r>
          </w:p>
        </w:tc>
        <w:tc>
          <w:tcPr>
            <w:tcW w:w="2162" w:type="pct"/>
            <w:gridSpan w:val="2"/>
            <w:tcBorders>
              <w:top w:val="single" w:sz="4" w:space="0" w:color="auto"/>
              <w:left w:val="nil"/>
              <w:bottom w:val="single" w:sz="4" w:space="0" w:color="auto"/>
              <w:right w:val="single" w:sz="4" w:space="0" w:color="auto"/>
            </w:tcBorders>
            <w:shd w:val="clear" w:color="000000" w:fill="A6C9EC"/>
            <w:vAlign w:val="center"/>
            <w:hideMark/>
          </w:tcPr>
          <w:p w14:paraId="10155474"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Programa de Explotación</w:t>
            </w:r>
          </w:p>
        </w:tc>
        <w:tc>
          <w:tcPr>
            <w:tcW w:w="837" w:type="pct"/>
            <w:tcBorders>
              <w:top w:val="nil"/>
              <w:left w:val="nil"/>
              <w:bottom w:val="single" w:sz="4" w:space="0" w:color="auto"/>
              <w:right w:val="single" w:sz="4" w:space="0" w:color="auto"/>
            </w:tcBorders>
            <w:shd w:val="clear" w:color="000000" w:fill="A6C9EC"/>
            <w:vAlign w:val="center"/>
            <w:hideMark/>
          </w:tcPr>
          <w:p w14:paraId="1D558CCE"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4.415.711,00</w:t>
            </w:r>
          </w:p>
        </w:tc>
        <w:tc>
          <w:tcPr>
            <w:tcW w:w="853" w:type="pct"/>
            <w:tcBorders>
              <w:top w:val="nil"/>
              <w:left w:val="nil"/>
              <w:bottom w:val="single" w:sz="4" w:space="0" w:color="auto"/>
              <w:right w:val="single" w:sz="4" w:space="0" w:color="auto"/>
            </w:tcBorders>
            <w:shd w:val="clear" w:color="000000" w:fill="A6C9EC"/>
            <w:vAlign w:val="center"/>
            <w:hideMark/>
          </w:tcPr>
          <w:p w14:paraId="76078A2F"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i/>
                <w:iCs/>
                <w:color w:val="auto"/>
                <w:sz w:val="18"/>
                <w:szCs w:val="18"/>
                <w:bdr w:val="none" w:sz="0" w:space="0" w:color="auto"/>
                <w:lang w:eastAsia="es-ES"/>
              </w:rPr>
            </w:pPr>
            <w:r w:rsidRPr="00A20126">
              <w:rPr>
                <w:rFonts w:eastAsia="Times New Roman"/>
                <w:i/>
                <w:iCs/>
                <w:color w:val="auto"/>
                <w:sz w:val="18"/>
                <w:szCs w:val="18"/>
                <w:bdr w:val="none" w:sz="0" w:space="0" w:color="auto"/>
                <w:lang w:eastAsia="es-ES"/>
              </w:rPr>
              <w:t>4.383.036,56</w:t>
            </w:r>
          </w:p>
        </w:tc>
        <w:tc>
          <w:tcPr>
            <w:tcW w:w="774" w:type="pct"/>
            <w:tcBorders>
              <w:top w:val="nil"/>
              <w:left w:val="nil"/>
              <w:bottom w:val="single" w:sz="4" w:space="0" w:color="auto"/>
              <w:right w:val="single" w:sz="8" w:space="0" w:color="auto"/>
            </w:tcBorders>
            <w:shd w:val="clear" w:color="000000" w:fill="A6C9EC"/>
            <w:vAlign w:val="center"/>
            <w:hideMark/>
          </w:tcPr>
          <w:p w14:paraId="1A4D14A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color w:val="auto"/>
                <w:sz w:val="18"/>
                <w:szCs w:val="18"/>
                <w:bdr w:val="none" w:sz="0" w:space="0" w:color="auto"/>
                <w:lang w:eastAsia="es-ES"/>
              </w:rPr>
            </w:pPr>
            <w:r w:rsidRPr="00A20126">
              <w:rPr>
                <w:rFonts w:eastAsia="Times New Roman"/>
                <w:color w:val="auto"/>
                <w:sz w:val="18"/>
                <w:szCs w:val="18"/>
                <w:bdr w:val="none" w:sz="0" w:space="0" w:color="auto"/>
                <w:lang w:eastAsia="es-ES"/>
              </w:rPr>
              <w:t>99,3%</w:t>
            </w:r>
          </w:p>
        </w:tc>
      </w:tr>
      <w:tr w:rsidR="0021610B" w:rsidRPr="00A20126" w14:paraId="6F2AB72C" w14:textId="77777777" w:rsidTr="000269F0">
        <w:trPr>
          <w:trHeight w:val="334"/>
          <w:jc w:val="center"/>
        </w:trPr>
        <w:tc>
          <w:tcPr>
            <w:tcW w:w="2537" w:type="pct"/>
            <w:gridSpan w:val="3"/>
            <w:tcBorders>
              <w:top w:val="single" w:sz="4" w:space="0" w:color="auto"/>
              <w:left w:val="single" w:sz="8" w:space="0" w:color="auto"/>
              <w:bottom w:val="single" w:sz="8" w:space="0" w:color="auto"/>
              <w:right w:val="single" w:sz="4" w:space="0" w:color="auto"/>
            </w:tcBorders>
            <w:shd w:val="clear" w:color="000000" w:fill="D0D0D0"/>
            <w:vAlign w:val="center"/>
            <w:hideMark/>
          </w:tcPr>
          <w:p w14:paraId="695B2E55"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TOTALES</w:t>
            </w:r>
          </w:p>
        </w:tc>
        <w:tc>
          <w:tcPr>
            <w:tcW w:w="837" w:type="pct"/>
            <w:tcBorders>
              <w:top w:val="nil"/>
              <w:left w:val="nil"/>
              <w:bottom w:val="single" w:sz="8" w:space="0" w:color="auto"/>
              <w:right w:val="single" w:sz="4" w:space="0" w:color="auto"/>
            </w:tcBorders>
            <w:shd w:val="clear" w:color="000000" w:fill="D0D0D0"/>
            <w:vAlign w:val="center"/>
            <w:hideMark/>
          </w:tcPr>
          <w:p w14:paraId="6A0D570E"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61.560.527,00</w:t>
            </w:r>
          </w:p>
        </w:tc>
        <w:tc>
          <w:tcPr>
            <w:tcW w:w="853" w:type="pct"/>
            <w:tcBorders>
              <w:top w:val="nil"/>
              <w:left w:val="nil"/>
              <w:bottom w:val="single" w:sz="8" w:space="0" w:color="auto"/>
              <w:right w:val="single" w:sz="4" w:space="0" w:color="auto"/>
            </w:tcBorders>
            <w:shd w:val="clear" w:color="000000" w:fill="D0D0D0"/>
            <w:vAlign w:val="center"/>
            <w:hideMark/>
          </w:tcPr>
          <w:p w14:paraId="1CD1AEAC"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51.009.696,25</w:t>
            </w:r>
          </w:p>
        </w:tc>
        <w:tc>
          <w:tcPr>
            <w:tcW w:w="774" w:type="pct"/>
            <w:tcBorders>
              <w:top w:val="nil"/>
              <w:left w:val="nil"/>
              <w:bottom w:val="single" w:sz="8" w:space="0" w:color="auto"/>
              <w:right w:val="single" w:sz="8" w:space="0" w:color="auto"/>
            </w:tcBorders>
            <w:shd w:val="clear" w:color="000000" w:fill="D0D0D0"/>
            <w:vAlign w:val="center"/>
            <w:hideMark/>
          </w:tcPr>
          <w:p w14:paraId="3326B641" w14:textId="77777777" w:rsidR="0021610B" w:rsidRPr="00A20126" w:rsidRDefault="0021610B" w:rsidP="00441EB9">
            <w:pPr>
              <w:pBdr>
                <w:top w:val="none" w:sz="0" w:space="0" w:color="auto"/>
                <w:left w:val="none" w:sz="0" w:space="0" w:color="auto"/>
                <w:bottom w:val="none" w:sz="0" w:space="0" w:color="auto"/>
                <w:right w:val="none" w:sz="0" w:space="0" w:color="auto"/>
                <w:between w:val="none" w:sz="0" w:space="0" w:color="auto"/>
                <w:bar w:val="none" w:sz="0" w:color="auto"/>
              </w:pBdr>
              <w:jc w:val="right"/>
              <w:outlineLvl w:val="9"/>
              <w:rPr>
                <w:rFonts w:eastAsia="Times New Roman"/>
                <w:b/>
                <w:bCs/>
                <w:color w:val="auto"/>
                <w:sz w:val="18"/>
                <w:szCs w:val="18"/>
                <w:bdr w:val="none" w:sz="0" w:space="0" w:color="auto"/>
                <w:lang w:eastAsia="es-ES"/>
              </w:rPr>
            </w:pPr>
            <w:r w:rsidRPr="00A20126">
              <w:rPr>
                <w:rFonts w:eastAsia="Times New Roman"/>
                <w:b/>
                <w:bCs/>
                <w:color w:val="auto"/>
                <w:sz w:val="18"/>
                <w:szCs w:val="18"/>
                <w:bdr w:val="none" w:sz="0" w:space="0" w:color="auto"/>
                <w:lang w:eastAsia="es-ES"/>
              </w:rPr>
              <w:t>82,9%</w:t>
            </w:r>
          </w:p>
        </w:tc>
      </w:tr>
    </w:tbl>
    <w:p w14:paraId="2A3F7B67" w14:textId="0D349445" w:rsidR="0021610B" w:rsidRPr="0021610B" w:rsidRDefault="0021610B" w:rsidP="00F62F4D">
      <w:pPr>
        <w:pStyle w:val="Default"/>
        <w:widowControl w:val="0"/>
        <w:spacing w:before="240" w:after="120" w:line="260" w:lineRule="exact"/>
        <w:jc w:val="both"/>
        <w:rPr>
          <w:rFonts w:ascii="Arial" w:hAnsi="Arial" w:cs="Arial"/>
          <w:sz w:val="20"/>
          <w:szCs w:val="20"/>
        </w:rPr>
      </w:pPr>
      <w:r w:rsidRPr="0021610B">
        <w:rPr>
          <w:rFonts w:ascii="Arial" w:hAnsi="Arial" w:cs="Arial"/>
          <w:sz w:val="20"/>
          <w:szCs w:val="20"/>
        </w:rPr>
        <w:t>Se adjunta desglosada la misma información anterior con detalle por programa de actuación y planes:</w:t>
      </w:r>
    </w:p>
    <w:p w14:paraId="606DE1C7" w14:textId="64835B01"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lang w:val="es-ES_tradnl"/>
          <w14:textOutline w14:w="12700" w14:cap="flat" w14:cmpd="sng" w14:algn="ctr">
            <w14:noFill/>
            <w14:prstDash w14:val="solid"/>
            <w14:miter w14:lim="400000"/>
          </w14:textOutline>
        </w:rPr>
      </w:pPr>
      <w:r>
        <w:rPr>
          <w:bCs/>
          <w:color w:val="auto"/>
          <w:sz w:val="20"/>
          <w:szCs w:val="20"/>
        </w:rPr>
        <w:br w:type="page"/>
      </w:r>
    </w:p>
    <w:p w14:paraId="03CDF1EC" w14:textId="3528CB8C"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rPr>
      </w:pPr>
      <w:r w:rsidRPr="0021610B">
        <w:rPr>
          <w:noProof/>
          <w:sz w:val="20"/>
          <w:szCs w:val="20"/>
        </w:rPr>
        <w:lastRenderedPageBreak/>
        <w:drawing>
          <wp:anchor distT="0" distB="0" distL="114300" distR="114300" simplePos="0" relativeHeight="251658240" behindDoc="1" locked="0" layoutInCell="1" allowOverlap="1" wp14:anchorId="03B709B0" wp14:editId="507D5BBB">
            <wp:simplePos x="0" y="0"/>
            <wp:positionH relativeFrom="column">
              <wp:posOffset>72390</wp:posOffset>
            </wp:positionH>
            <wp:positionV relativeFrom="paragraph">
              <wp:posOffset>-127635</wp:posOffset>
            </wp:positionV>
            <wp:extent cx="4629150" cy="9349105"/>
            <wp:effectExtent l="0" t="0" r="0" b="4445"/>
            <wp:wrapNone/>
            <wp:docPr id="427099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71" cy="9349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91A69" w14:textId="77777777"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rPr>
      </w:pPr>
    </w:p>
    <w:p w14:paraId="1E87914B" w14:textId="77777777"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rPr>
      </w:pPr>
    </w:p>
    <w:p w14:paraId="420C04EF" w14:textId="77777777"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rPr>
      </w:pPr>
    </w:p>
    <w:p w14:paraId="6B6A91D1" w14:textId="77777777"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rPr>
      </w:pPr>
    </w:p>
    <w:p w14:paraId="3D19B476" w14:textId="77777777"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rPr>
      </w:pPr>
    </w:p>
    <w:p w14:paraId="3E141B52" w14:textId="77777777"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rPr>
      </w:pPr>
    </w:p>
    <w:p w14:paraId="1E4719EB" w14:textId="1E2CF733" w:rsidR="00A20126" w:rsidRDefault="00A20126">
      <w:pPr>
        <w:pBdr>
          <w:top w:val="none" w:sz="0" w:space="0" w:color="auto"/>
          <w:left w:val="none" w:sz="0" w:space="0" w:color="auto"/>
          <w:bottom w:val="none" w:sz="0" w:space="0" w:color="auto"/>
          <w:right w:val="none" w:sz="0" w:space="0" w:color="auto"/>
          <w:between w:val="none" w:sz="0" w:space="0" w:color="auto"/>
          <w:bar w:val="none" w:sz="0" w:color="auto"/>
        </w:pBdr>
        <w:outlineLvl w:val="9"/>
        <w:rPr>
          <w:bCs/>
          <w:color w:val="auto"/>
          <w:sz w:val="20"/>
          <w:szCs w:val="20"/>
          <w:lang w:val="es-ES_tradnl"/>
          <w14:textOutline w14:w="12700" w14:cap="flat" w14:cmpd="sng" w14:algn="ctr">
            <w14:noFill/>
            <w14:prstDash w14:val="solid"/>
            <w14:miter w14:lim="400000"/>
          </w14:textOutline>
        </w:rPr>
      </w:pPr>
      <w:r>
        <w:rPr>
          <w:bCs/>
          <w:color w:val="auto"/>
          <w:sz w:val="20"/>
          <w:szCs w:val="20"/>
        </w:rPr>
        <w:br w:type="page"/>
      </w:r>
    </w:p>
    <w:p w14:paraId="7C06CBBA" w14:textId="77777777" w:rsidR="0059131C" w:rsidRPr="0059131C" w:rsidRDefault="0059131C" w:rsidP="0059131C">
      <w:pPr>
        <w:pStyle w:val="CuerpoA"/>
        <w:keepNext/>
        <w:keepLines/>
        <w:widowControl w:val="0"/>
        <w:spacing w:before="120" w:after="120" w:line="288" w:lineRule="auto"/>
        <w:jc w:val="both"/>
        <w:rPr>
          <w:rFonts w:ascii="Arial" w:eastAsiaTheme="minorHAnsi" w:hAnsi="Arial" w:cs="Arial"/>
          <w:sz w:val="20"/>
          <w:szCs w:val="20"/>
          <w:bdr w:val="none" w:sz="0" w:space="0" w:color="auto"/>
          <w:lang w:val="es-ES" w:eastAsia="en-US"/>
        </w:rPr>
      </w:pPr>
      <w:r w:rsidRPr="0059131C">
        <w:rPr>
          <w:rFonts w:ascii="Arial" w:eastAsiaTheme="minorHAnsi" w:hAnsi="Arial" w:cs="Arial"/>
          <w:sz w:val="20"/>
          <w:szCs w:val="20"/>
          <w:bdr w:val="none" w:sz="0" w:space="0" w:color="auto"/>
          <w:lang w:val="es-ES" w:eastAsia="en-US"/>
        </w:rPr>
        <w:lastRenderedPageBreak/>
        <w:t>Es muy destacable para este ejercicio 2023, la capacidad que ha tenido Turismo de Islas Canarias para poder llegar al cliente final en 21 mercados europeos en 15 idiomas. Concretamente y gracias al talento de su equipo humano, las innovaciones tecnológicas desplegadas y el gran ecosistema de las empresas colaboradores han permitido impactar publicitariamente a 2.468.328.410 público final (+23,5 %) y a 1.758.208 público profesional (+233,1 %) en 2023 (Fuente lookertstudio.google.com (Turismo de Islas Canarias)), de forma segmentada y con los contenidos más afines para cada audiencia.</w:t>
      </w:r>
    </w:p>
    <w:p w14:paraId="7B0A4C01" w14:textId="1E8F076D"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 xml:space="preserve">Muestra de la gran eficacia de la promoción turística realizada por TIC son los </w:t>
      </w:r>
      <w:r w:rsidRPr="00564DB8">
        <w:rPr>
          <w:rFonts w:ascii="Arial" w:eastAsiaTheme="minorHAnsi" w:hAnsi="Arial" w:cs="Arial"/>
          <w:b/>
          <w:bCs/>
          <w:sz w:val="20"/>
          <w:szCs w:val="20"/>
          <w:bdr w:val="none" w:sz="0" w:space="0" w:color="auto"/>
          <w:lang w:val="es-ES" w:eastAsia="en-US"/>
        </w:rPr>
        <w:t>28 reconocimiento nacionales e internacionales</w:t>
      </w:r>
      <w:r w:rsidRPr="00532D57">
        <w:rPr>
          <w:rFonts w:ascii="Arial" w:eastAsiaTheme="minorHAnsi" w:hAnsi="Arial" w:cs="Arial"/>
          <w:sz w:val="20"/>
          <w:szCs w:val="20"/>
          <w:bdr w:val="none" w:sz="0" w:space="0" w:color="auto"/>
          <w:lang w:val="es-ES" w:eastAsia="en-US"/>
        </w:rPr>
        <w:t xml:space="preserve"> que las diferentes campañas promocionales han recibido durante el ejercicio de 2023 </w:t>
      </w:r>
      <w:r w:rsidR="00564DB8">
        <w:rPr>
          <w:rFonts w:ascii="Arial" w:eastAsiaTheme="minorHAnsi" w:hAnsi="Arial" w:cs="Arial"/>
          <w:sz w:val="20"/>
          <w:szCs w:val="20"/>
          <w:bdr w:val="none" w:sz="0" w:space="0" w:color="auto"/>
          <w:lang w:val="es-ES" w:eastAsia="en-US"/>
        </w:rPr>
        <w:t>(</w:t>
      </w:r>
      <w:r w:rsidRPr="00532D57">
        <w:rPr>
          <w:rFonts w:ascii="Arial" w:eastAsiaTheme="minorHAnsi" w:hAnsi="Arial" w:cs="Arial"/>
          <w:sz w:val="20"/>
          <w:szCs w:val="20"/>
          <w:bdr w:val="none" w:sz="0" w:space="0" w:color="auto"/>
          <w:lang w:val="es-ES" w:eastAsia="en-US"/>
        </w:rPr>
        <w:t>Consultar turismoislascanarias.com</w:t>
      </w:r>
      <w:r w:rsidR="00564DB8">
        <w:rPr>
          <w:rFonts w:ascii="Arial" w:eastAsiaTheme="minorHAnsi" w:hAnsi="Arial" w:cs="Arial"/>
          <w:sz w:val="20"/>
          <w:szCs w:val="20"/>
          <w:bdr w:val="none" w:sz="0" w:space="0" w:color="auto"/>
          <w:lang w:val="es-ES" w:eastAsia="en-US"/>
        </w:rPr>
        <w:t>).</w:t>
      </w:r>
    </w:p>
    <w:p w14:paraId="5512C3D7"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 xml:space="preserve">En ámbito de la sostenibilidad ambiental se distingue de forma excepcional el avance realizado en la ejecución del Plan de Acción Climático del destino Islas Canarias singularizado en el lanzamiento de la solución digital </w:t>
      </w:r>
      <w:r w:rsidRPr="00564DB8">
        <w:rPr>
          <w:rFonts w:ascii="Arial" w:eastAsiaTheme="minorHAnsi" w:hAnsi="Arial" w:cs="Arial"/>
          <w:b/>
          <w:bCs/>
          <w:sz w:val="20"/>
          <w:szCs w:val="20"/>
          <w:bdr w:val="none" w:sz="0" w:space="0" w:color="auto"/>
          <w:lang w:val="es-ES" w:eastAsia="en-US"/>
        </w:rPr>
        <w:t>“El Viaje a la Descarbonización”.</w:t>
      </w:r>
    </w:p>
    <w:p w14:paraId="4BEFE426"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 xml:space="preserve">Y en la </w:t>
      </w:r>
      <w:r w:rsidRPr="00564DB8">
        <w:rPr>
          <w:rFonts w:ascii="Arial" w:eastAsiaTheme="minorHAnsi" w:hAnsi="Arial" w:cs="Arial"/>
          <w:b/>
          <w:bCs/>
          <w:sz w:val="20"/>
          <w:szCs w:val="20"/>
          <w:bdr w:val="none" w:sz="0" w:space="0" w:color="auto"/>
          <w:lang w:val="es-ES" w:eastAsia="en-US"/>
        </w:rPr>
        <w:t>digitalización</w:t>
      </w:r>
      <w:r w:rsidRPr="00532D57">
        <w:rPr>
          <w:rFonts w:ascii="Arial" w:eastAsiaTheme="minorHAnsi" w:hAnsi="Arial" w:cs="Arial"/>
          <w:sz w:val="20"/>
          <w:szCs w:val="20"/>
          <w:bdr w:val="none" w:sz="0" w:space="0" w:color="auto"/>
          <w:lang w:val="es-ES" w:eastAsia="en-US"/>
        </w:rPr>
        <w:t xml:space="preserve"> sobresale entre otros logros, los avances en los proyectos de despliegue de la plataforma Google Cloud </w:t>
      </w:r>
      <w:proofErr w:type="spellStart"/>
      <w:r w:rsidRPr="00532D57">
        <w:rPr>
          <w:rFonts w:ascii="Arial" w:eastAsiaTheme="minorHAnsi" w:hAnsi="Arial" w:cs="Arial"/>
          <w:sz w:val="20"/>
          <w:szCs w:val="20"/>
          <w:bdr w:val="none" w:sz="0" w:space="0" w:color="auto"/>
          <w:lang w:val="es-ES" w:eastAsia="en-US"/>
        </w:rPr>
        <w:t>Platform</w:t>
      </w:r>
      <w:proofErr w:type="spellEnd"/>
      <w:r w:rsidRPr="00532D57">
        <w:rPr>
          <w:rFonts w:ascii="Arial" w:eastAsiaTheme="minorHAnsi" w:hAnsi="Arial" w:cs="Arial"/>
          <w:sz w:val="20"/>
          <w:szCs w:val="20"/>
          <w:bdr w:val="none" w:sz="0" w:space="0" w:color="auto"/>
          <w:lang w:val="es-ES" w:eastAsia="en-US"/>
        </w:rPr>
        <w:t>, como infraestructura base de todo el ecosistema digital del turismo de Canarias, el Data Lake, así como los avances en la integración y despliegue de la web visitlagomera.com y visitfuerteventura.com.</w:t>
      </w:r>
    </w:p>
    <w:p w14:paraId="4D1065DD"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 xml:space="preserve">Necesitan una explicación singular de los dos planes que tuvieron cero ejecuciones: por un lado, el </w:t>
      </w:r>
      <w:r w:rsidRPr="00564DB8">
        <w:rPr>
          <w:rFonts w:ascii="Arial" w:eastAsiaTheme="minorHAnsi" w:hAnsi="Arial" w:cs="Arial"/>
          <w:b/>
          <w:bCs/>
          <w:sz w:val="20"/>
          <w:szCs w:val="20"/>
          <w:bdr w:val="none" w:sz="0" w:space="0" w:color="auto"/>
          <w:lang w:val="es-ES" w:eastAsia="en-US"/>
        </w:rPr>
        <w:t>Plan de incentivos a la conectividad</w:t>
      </w:r>
      <w:r w:rsidRPr="00532D57">
        <w:rPr>
          <w:rFonts w:ascii="Arial" w:eastAsiaTheme="minorHAnsi" w:hAnsi="Arial" w:cs="Arial"/>
          <w:sz w:val="20"/>
          <w:szCs w:val="20"/>
          <w:bdr w:val="none" w:sz="0" w:space="0" w:color="auto"/>
          <w:lang w:val="es-ES" w:eastAsia="en-US"/>
        </w:rPr>
        <w:t xml:space="preserve"> que tuvo un nivel de ejecución de cero euros a pesar de haberse realizado y publicado la convocatoria de incentivos de la conectividad para nuevas rutas de la isla de La Palma, de acuerdo con la autorización comisión europea para una total de 18 rutas internacionales europeas. La nula ejecución se debió a que la convocatoria quedó desierta, por no resultar suficientemente atractiva para las compañías aéreas. Y, en segundo lugar, en lo referente a </w:t>
      </w:r>
      <w:r w:rsidRPr="00564DB8">
        <w:rPr>
          <w:rFonts w:ascii="Arial" w:eastAsiaTheme="minorHAnsi" w:hAnsi="Arial" w:cs="Arial"/>
          <w:b/>
          <w:bCs/>
          <w:sz w:val="20"/>
          <w:szCs w:val="20"/>
          <w:bdr w:val="none" w:sz="0" w:space="0" w:color="auto"/>
          <w:lang w:val="es-ES" w:eastAsia="en-US"/>
        </w:rPr>
        <w:t>Hub de innovación</w:t>
      </w:r>
      <w:r w:rsidRPr="00532D57">
        <w:rPr>
          <w:rFonts w:ascii="Arial" w:eastAsiaTheme="minorHAnsi" w:hAnsi="Arial" w:cs="Arial"/>
          <w:sz w:val="20"/>
          <w:szCs w:val="20"/>
          <w:bdr w:val="none" w:sz="0" w:space="0" w:color="auto"/>
          <w:lang w:val="es-ES" w:eastAsia="en-US"/>
        </w:rPr>
        <w:t xml:space="preserve"> la nula ejecución se ha debido al retraso en la incorporación del personal previsto al efecto en el IPE (técnico superior de innovación) y a la priorización del resto de planes de actuación.</w:t>
      </w:r>
    </w:p>
    <w:p w14:paraId="0920A3E2"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 xml:space="preserve">A nivel explotación, tal y como hemos mencionado a lo largo de este informe, </w:t>
      </w:r>
      <w:proofErr w:type="spellStart"/>
      <w:r w:rsidRPr="00532D57">
        <w:rPr>
          <w:rFonts w:ascii="Arial" w:eastAsiaTheme="minorHAnsi" w:hAnsi="Arial" w:cs="Arial"/>
          <w:sz w:val="20"/>
          <w:szCs w:val="20"/>
          <w:bdr w:val="none" w:sz="0" w:space="0" w:color="auto"/>
          <w:lang w:val="es-ES" w:eastAsia="en-US"/>
        </w:rPr>
        <w:t>Promotur</w:t>
      </w:r>
      <w:proofErr w:type="spellEnd"/>
      <w:r w:rsidRPr="00532D57">
        <w:rPr>
          <w:rFonts w:ascii="Arial" w:eastAsiaTheme="minorHAnsi" w:hAnsi="Arial" w:cs="Arial"/>
          <w:sz w:val="20"/>
          <w:szCs w:val="20"/>
          <w:bdr w:val="none" w:sz="0" w:space="0" w:color="auto"/>
          <w:lang w:val="es-ES" w:eastAsia="en-US"/>
        </w:rPr>
        <w:t xml:space="preserve"> Turismo Canarias S.A se le aprueba por el Gobierno de Canarias el instrumento de planificación estratégica (IPE PROMOTUR),  instrumento sui generis, para un periodo comprendido entre 2022-2024 que también trae consigo la </w:t>
      </w:r>
      <w:r w:rsidRPr="00564DB8">
        <w:rPr>
          <w:rFonts w:ascii="Arial" w:eastAsiaTheme="minorHAnsi" w:hAnsi="Arial" w:cs="Arial"/>
          <w:b/>
          <w:bCs/>
          <w:sz w:val="20"/>
          <w:szCs w:val="20"/>
          <w:bdr w:val="none" w:sz="0" w:space="0" w:color="auto"/>
          <w:lang w:val="es-ES" w:eastAsia="en-US"/>
        </w:rPr>
        <w:t>creación de nuevas áreas</w:t>
      </w:r>
      <w:r w:rsidRPr="00532D57">
        <w:rPr>
          <w:rFonts w:ascii="Arial" w:eastAsiaTheme="minorHAnsi" w:hAnsi="Arial" w:cs="Arial"/>
          <w:sz w:val="20"/>
          <w:szCs w:val="20"/>
          <w:bdr w:val="none" w:sz="0" w:space="0" w:color="auto"/>
          <w:lang w:val="es-ES" w:eastAsia="en-US"/>
        </w:rPr>
        <w:t xml:space="preserve">, departamentos o unidades de trabajo y/o incluso la </w:t>
      </w:r>
      <w:r w:rsidRPr="00564DB8">
        <w:rPr>
          <w:rFonts w:ascii="Arial" w:eastAsiaTheme="minorHAnsi" w:hAnsi="Arial" w:cs="Arial"/>
          <w:b/>
          <w:bCs/>
          <w:sz w:val="20"/>
          <w:szCs w:val="20"/>
          <w:bdr w:val="none" w:sz="0" w:space="0" w:color="auto"/>
          <w:lang w:val="es-ES" w:eastAsia="en-US"/>
        </w:rPr>
        <w:t>redefinición de las ya establecidas</w:t>
      </w:r>
      <w:r w:rsidRPr="00532D57">
        <w:rPr>
          <w:rFonts w:ascii="Arial" w:eastAsiaTheme="minorHAnsi" w:hAnsi="Arial" w:cs="Arial"/>
          <w:sz w:val="20"/>
          <w:szCs w:val="20"/>
          <w:bdr w:val="none" w:sz="0" w:space="0" w:color="auto"/>
          <w:lang w:val="es-ES" w:eastAsia="en-US"/>
        </w:rPr>
        <w:t>; todo ello basado en su experiencia como empresa consolidada en la gestión de la marca turística "Islas Canarias" y en la perfilación y alineación de su misión, valores y cultura empresarial.</w:t>
      </w:r>
    </w:p>
    <w:p w14:paraId="5785A46A"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 xml:space="preserve">Para ello, la entidad ha ido adaptando gradualmente su estructura organizativa para poder dar cumplimiento a las obligaciones de la transformación de los objetivos planteados, así, </w:t>
      </w:r>
      <w:r w:rsidRPr="00564DB8">
        <w:rPr>
          <w:rFonts w:ascii="Arial" w:eastAsiaTheme="minorHAnsi" w:hAnsi="Arial" w:cs="Arial"/>
          <w:b/>
          <w:bCs/>
          <w:sz w:val="20"/>
          <w:szCs w:val="20"/>
          <w:bdr w:val="none" w:sz="0" w:space="0" w:color="auto"/>
          <w:lang w:val="es-ES" w:eastAsia="en-US"/>
        </w:rPr>
        <w:t>de los 23 nuevos puestos de trabajo creados, se han cubierto hasta la fecha un total de 14</w:t>
      </w:r>
      <w:r w:rsidRPr="00532D57">
        <w:rPr>
          <w:rFonts w:ascii="Arial" w:eastAsiaTheme="minorHAnsi" w:hAnsi="Arial" w:cs="Arial"/>
          <w:sz w:val="20"/>
          <w:szCs w:val="20"/>
          <w:bdr w:val="none" w:sz="0" w:space="0" w:color="auto"/>
          <w:lang w:val="es-ES" w:eastAsia="en-US"/>
        </w:rPr>
        <w:t xml:space="preserve"> y, los 9 restantes están en proceso final de incorporación.</w:t>
      </w:r>
    </w:p>
    <w:p w14:paraId="75C20005" w14:textId="77777777" w:rsid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Adicionalmente, se han realizado contrataciones temporales en el marco de la disposición adicional quinta del Real Decreto-Ley 32/2021, de 28 de diciembre, de medidas urgentes para la reforma laboral, la garantía de la estabilidad en el empleo y la transformación del mercado de trabajo (BOE N.º 313, 30/12/2021), que indica que, se podrán suscribir contratos de duración determinada por parte de las entidades que integran el sector público, reguladas en el artículo 2 del Real Decreto-ley 36/2020, de 30 de diciembre, por el que se aprueban medidas urgentes para la modernización de la Administración Pública y para la ejecución del Plan de Recuperación, Transformación y Resiliencia, y también de aplicación para la suscripción de contratos de duración determinada que resulten necesarios para la ejecución de programas de carácter temporal cuya financiación provenga de fondos de la Unión Europea. En este marco se han realizado contrataciones temporales en 2023, auspiciadas en los instrumentos siguientes:</w:t>
      </w:r>
    </w:p>
    <w:p w14:paraId="092C31D9"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2E87B288"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w:t>
      </w:r>
      <w:r w:rsidRPr="00532D57">
        <w:rPr>
          <w:rFonts w:ascii="Arial" w:eastAsiaTheme="minorHAnsi" w:hAnsi="Arial" w:cs="Arial"/>
          <w:sz w:val="20"/>
          <w:szCs w:val="20"/>
          <w:bdr w:val="none" w:sz="0" w:space="0" w:color="auto"/>
          <w:lang w:val="es-ES" w:eastAsia="en-US"/>
        </w:rPr>
        <w:tab/>
        <w:t xml:space="preserve">Convenio de colaboración entre la Consejería de Turismo y Empleo del Gobierno de Canarias para la gestión de las subvenciones encomendadas a la Unidad Administrativa de carácter provisional (UAP) de la Consejería de Turismo y Empleo en orden a la agilización administrativa de los fondos procedentes del instrumento europeo de recuperación denominada “Next </w:t>
      </w:r>
      <w:proofErr w:type="spellStart"/>
      <w:r w:rsidRPr="00532D57">
        <w:rPr>
          <w:rFonts w:ascii="Arial" w:eastAsiaTheme="minorHAnsi" w:hAnsi="Arial" w:cs="Arial"/>
          <w:sz w:val="20"/>
          <w:szCs w:val="20"/>
          <w:bdr w:val="none" w:sz="0" w:space="0" w:color="auto"/>
          <w:lang w:val="es-ES" w:eastAsia="en-US"/>
        </w:rPr>
        <w:t>Generation</w:t>
      </w:r>
      <w:proofErr w:type="spellEnd"/>
      <w:r w:rsidRPr="00532D57">
        <w:rPr>
          <w:rFonts w:ascii="Arial" w:eastAsiaTheme="minorHAnsi" w:hAnsi="Arial" w:cs="Arial"/>
          <w:sz w:val="20"/>
          <w:szCs w:val="20"/>
          <w:bdr w:val="none" w:sz="0" w:space="0" w:color="auto"/>
          <w:lang w:val="es-ES" w:eastAsia="en-US"/>
        </w:rPr>
        <w:t xml:space="preserve"> UE” con 9 personas.</w:t>
      </w:r>
    </w:p>
    <w:p w14:paraId="26D8E8D8" w14:textId="77777777" w:rsidR="00532D57" w:rsidRP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w:t>
      </w:r>
      <w:r w:rsidRPr="00532D57">
        <w:rPr>
          <w:rFonts w:ascii="Arial" w:eastAsiaTheme="minorHAnsi" w:hAnsi="Arial" w:cs="Arial"/>
          <w:sz w:val="20"/>
          <w:szCs w:val="20"/>
          <w:bdr w:val="none" w:sz="0" w:space="0" w:color="auto"/>
          <w:lang w:val="es-ES" w:eastAsia="en-US"/>
        </w:rPr>
        <w:tab/>
        <w:t>Aportación de la Consejería de Turismo y Empleo para la Gestión Estructural del fondo de ayuda a la Recuperación para la Cohesión y los territorios de Europa (REACT-EU) con 4 personas.</w:t>
      </w:r>
    </w:p>
    <w:p w14:paraId="28FD349C" w14:textId="29F691D8" w:rsid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532D57">
        <w:rPr>
          <w:rFonts w:ascii="Arial" w:eastAsiaTheme="minorHAnsi" w:hAnsi="Arial" w:cs="Arial"/>
          <w:sz w:val="20"/>
          <w:szCs w:val="20"/>
          <w:bdr w:val="none" w:sz="0" w:space="0" w:color="auto"/>
          <w:lang w:val="es-ES" w:eastAsia="en-US"/>
        </w:rPr>
        <w:t xml:space="preserve">De estos cuadros explicativos se desprende que el </w:t>
      </w:r>
      <w:r w:rsidRPr="00564DB8">
        <w:rPr>
          <w:rFonts w:ascii="Arial" w:eastAsiaTheme="minorHAnsi" w:hAnsi="Arial" w:cs="Arial"/>
          <w:b/>
          <w:bCs/>
          <w:sz w:val="20"/>
          <w:szCs w:val="20"/>
          <w:bdr w:val="none" w:sz="0" w:space="0" w:color="auto"/>
          <w:lang w:val="es-ES" w:eastAsia="en-US"/>
        </w:rPr>
        <w:t>grado de ejecución general del Plan de Actuaciones 2023</w:t>
      </w:r>
      <w:r w:rsidRPr="00532D57">
        <w:rPr>
          <w:rFonts w:ascii="Arial" w:eastAsiaTheme="minorHAnsi" w:hAnsi="Arial" w:cs="Arial"/>
          <w:sz w:val="20"/>
          <w:szCs w:val="20"/>
          <w:bdr w:val="none" w:sz="0" w:space="0" w:color="auto"/>
          <w:lang w:val="es-ES" w:eastAsia="en-US"/>
        </w:rPr>
        <w:t xml:space="preserve"> por el equipo humano de </w:t>
      </w:r>
      <w:proofErr w:type="spellStart"/>
      <w:r w:rsidRPr="00532D57">
        <w:rPr>
          <w:rFonts w:ascii="Arial" w:eastAsiaTheme="minorHAnsi" w:hAnsi="Arial" w:cs="Arial"/>
          <w:sz w:val="20"/>
          <w:szCs w:val="20"/>
          <w:bdr w:val="none" w:sz="0" w:space="0" w:color="auto"/>
          <w:lang w:val="es-ES" w:eastAsia="en-US"/>
        </w:rPr>
        <w:t>Promotur</w:t>
      </w:r>
      <w:proofErr w:type="spellEnd"/>
      <w:r w:rsidRPr="00532D57">
        <w:rPr>
          <w:rFonts w:ascii="Arial" w:eastAsiaTheme="minorHAnsi" w:hAnsi="Arial" w:cs="Arial"/>
          <w:sz w:val="20"/>
          <w:szCs w:val="20"/>
          <w:bdr w:val="none" w:sz="0" w:space="0" w:color="auto"/>
          <w:lang w:val="es-ES" w:eastAsia="en-US"/>
        </w:rPr>
        <w:t xml:space="preserve">, Turismo Canarias, S.A. ha sido de un 82,9 % nominal, y si neutralizamos el efecto del plan de conectividad, dado que se ejecutó si bien no se incurrió en gasto alguno por los motivos explicados, la ejecución final de Plan de Actuaciones de 2023 </w:t>
      </w:r>
      <w:r w:rsidRPr="00564DB8">
        <w:rPr>
          <w:rFonts w:ascii="Arial" w:eastAsiaTheme="minorHAnsi" w:hAnsi="Arial" w:cs="Arial"/>
          <w:b/>
          <w:bCs/>
          <w:sz w:val="20"/>
          <w:szCs w:val="20"/>
          <w:bdr w:val="none" w:sz="0" w:space="0" w:color="auto"/>
          <w:lang w:val="es-ES" w:eastAsia="en-US"/>
        </w:rPr>
        <w:t>fue del 84</w:t>
      </w:r>
      <w:r w:rsidR="00564DB8">
        <w:rPr>
          <w:rFonts w:ascii="Arial" w:eastAsiaTheme="minorHAnsi" w:hAnsi="Arial" w:cs="Arial"/>
          <w:b/>
          <w:bCs/>
          <w:sz w:val="20"/>
          <w:szCs w:val="20"/>
          <w:bdr w:val="none" w:sz="0" w:space="0" w:color="auto"/>
          <w:lang w:val="es-ES" w:eastAsia="en-US"/>
        </w:rPr>
        <w:t>,</w:t>
      </w:r>
      <w:r w:rsidRPr="00564DB8">
        <w:rPr>
          <w:rFonts w:ascii="Arial" w:eastAsiaTheme="minorHAnsi" w:hAnsi="Arial" w:cs="Arial"/>
          <w:b/>
          <w:bCs/>
          <w:sz w:val="20"/>
          <w:szCs w:val="20"/>
          <w:bdr w:val="none" w:sz="0" w:space="0" w:color="auto"/>
          <w:lang w:val="es-ES" w:eastAsia="en-US"/>
        </w:rPr>
        <w:t>8</w:t>
      </w:r>
      <w:r w:rsidR="00555A06">
        <w:rPr>
          <w:rFonts w:ascii="Arial" w:eastAsiaTheme="minorHAnsi" w:hAnsi="Arial" w:cs="Arial"/>
          <w:b/>
          <w:bCs/>
          <w:sz w:val="20"/>
          <w:szCs w:val="20"/>
          <w:bdr w:val="none" w:sz="0" w:space="0" w:color="auto"/>
          <w:lang w:val="es-ES" w:eastAsia="en-US"/>
        </w:rPr>
        <w:t xml:space="preserve"> </w:t>
      </w:r>
      <w:r w:rsidRPr="00564DB8">
        <w:rPr>
          <w:rFonts w:ascii="Arial" w:eastAsiaTheme="minorHAnsi" w:hAnsi="Arial" w:cs="Arial"/>
          <w:b/>
          <w:bCs/>
          <w:sz w:val="20"/>
          <w:szCs w:val="20"/>
          <w:bdr w:val="none" w:sz="0" w:space="0" w:color="auto"/>
          <w:lang w:val="es-ES" w:eastAsia="en-US"/>
        </w:rPr>
        <w:t xml:space="preserve">% </w:t>
      </w:r>
      <w:r w:rsidRPr="00532D57">
        <w:rPr>
          <w:rFonts w:ascii="Arial" w:eastAsiaTheme="minorHAnsi" w:hAnsi="Arial" w:cs="Arial"/>
          <w:sz w:val="20"/>
          <w:szCs w:val="20"/>
          <w:bdr w:val="none" w:sz="0" w:space="0" w:color="auto"/>
          <w:lang w:val="es-ES" w:eastAsia="en-US"/>
        </w:rPr>
        <w:t>(2022 83,6 %)</w:t>
      </w:r>
    </w:p>
    <w:p w14:paraId="26CDB8E9" w14:textId="77777777" w:rsidR="00532D57" w:rsidRDefault="00532D57" w:rsidP="00532D57">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27E2ECBA" w14:textId="30B64D4F" w:rsidR="0021610B" w:rsidRDefault="0021610B"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eastAsiaTheme="minorHAnsi" w:hAnsi="Arial" w:cs="Arial"/>
          <w:b/>
          <w:bCs/>
          <w:sz w:val="20"/>
          <w:szCs w:val="20"/>
          <w:u w:val="single"/>
          <w:bdr w:val="none" w:sz="0" w:space="0" w:color="auto"/>
          <w:lang w:val="es-ES" w:eastAsia="en-US"/>
        </w:rPr>
        <w:t>Por líneas de financiación</w:t>
      </w:r>
      <w:r w:rsidRPr="0021610B">
        <w:rPr>
          <w:rFonts w:ascii="Arial" w:eastAsiaTheme="minorHAnsi" w:hAnsi="Arial" w:cs="Arial"/>
          <w:sz w:val="20"/>
          <w:szCs w:val="20"/>
          <w:bdr w:val="none" w:sz="0" w:space="0" w:color="auto"/>
          <w:lang w:val="es-ES" w:eastAsia="en-US"/>
        </w:rPr>
        <w:t xml:space="preserve"> (Aportaciones, Convenios, Encomiendas, Ferias y otros), la consecución de objetivos se muestra como sigue para el ejercicio 2023:</w:t>
      </w:r>
    </w:p>
    <w:p w14:paraId="03CEF61C" w14:textId="0B491740" w:rsidR="0047545A" w:rsidRDefault="0042598D"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r w:rsidRPr="0021610B">
        <w:rPr>
          <w:rFonts w:ascii="Arial" w:hAnsi="Arial" w:cs="Arial"/>
          <w:noProof/>
          <w:sz w:val="20"/>
          <w:szCs w:val="20"/>
        </w:rPr>
        <w:drawing>
          <wp:anchor distT="0" distB="0" distL="114300" distR="114300" simplePos="0" relativeHeight="251659264" behindDoc="1" locked="0" layoutInCell="1" allowOverlap="1" wp14:anchorId="07DD934C" wp14:editId="5E31593E">
            <wp:simplePos x="0" y="0"/>
            <wp:positionH relativeFrom="column">
              <wp:posOffset>100966</wp:posOffset>
            </wp:positionH>
            <wp:positionV relativeFrom="paragraph">
              <wp:posOffset>243840</wp:posOffset>
            </wp:positionV>
            <wp:extent cx="5067300" cy="4124358"/>
            <wp:effectExtent l="0" t="0" r="0" b="9525"/>
            <wp:wrapNone/>
            <wp:docPr id="170289962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9733" cy="4126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6105F" w14:textId="16D1D79B"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4D26A0A2"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752A71B0" w14:textId="2CBB3C61"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74798326"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1B577B03"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6E2879A9" w14:textId="0B1BB6C4" w:rsidR="00A14BC0" w:rsidRDefault="00A14BC0" w:rsidP="0042598D">
      <w:pPr>
        <w:pStyle w:val="CuerpoA"/>
        <w:keepNext/>
        <w:keepLines/>
        <w:widowControl w:val="0"/>
        <w:spacing w:before="120" w:after="120" w:line="260" w:lineRule="exact"/>
        <w:jc w:val="center"/>
        <w:rPr>
          <w:rFonts w:ascii="Arial" w:eastAsiaTheme="minorHAnsi" w:hAnsi="Arial" w:cs="Arial"/>
          <w:sz w:val="20"/>
          <w:szCs w:val="20"/>
          <w:bdr w:val="none" w:sz="0" w:space="0" w:color="auto"/>
          <w:lang w:val="es-ES" w:eastAsia="en-US"/>
        </w:rPr>
      </w:pPr>
    </w:p>
    <w:p w14:paraId="515298AC" w14:textId="2F5CBFD4"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6ECAA724"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5F7A087C"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2940F623"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1E49584E" w14:textId="265D390A"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27A40819"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15EA4CE5"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5BA7B1FA"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4AE008D2"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3670924C"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55464B84" w14:textId="77777777" w:rsidR="00A14BC0" w:rsidRDefault="00A14BC0" w:rsidP="0021610B">
      <w:pPr>
        <w:pStyle w:val="CuerpoA"/>
        <w:keepNext/>
        <w:keepLines/>
        <w:widowControl w:val="0"/>
        <w:spacing w:before="120" w:after="120" w:line="260" w:lineRule="exact"/>
        <w:jc w:val="both"/>
        <w:rPr>
          <w:rFonts w:ascii="Arial" w:eastAsiaTheme="minorHAnsi" w:hAnsi="Arial" w:cs="Arial"/>
          <w:sz w:val="20"/>
          <w:szCs w:val="20"/>
          <w:bdr w:val="none" w:sz="0" w:space="0" w:color="auto"/>
          <w:lang w:val="es-ES" w:eastAsia="en-US"/>
        </w:rPr>
      </w:pPr>
    </w:p>
    <w:p w14:paraId="036A26D6" w14:textId="77777777" w:rsidR="0047545A" w:rsidRDefault="0047545A" w:rsidP="00746376">
      <w:pPr>
        <w:pStyle w:val="CuerpoA"/>
        <w:keepNext/>
        <w:keepLines/>
        <w:widowControl w:val="0"/>
        <w:spacing w:before="240" w:after="120" w:line="260" w:lineRule="exact"/>
        <w:jc w:val="both"/>
        <w:rPr>
          <w:rFonts w:ascii="Arial" w:eastAsiaTheme="minorHAnsi" w:hAnsi="Arial" w:cs="Arial"/>
          <w:sz w:val="20"/>
          <w:szCs w:val="20"/>
          <w:bdr w:val="none" w:sz="0" w:space="0" w:color="auto"/>
          <w:lang w:val="es-ES" w:eastAsia="en-US"/>
        </w:rPr>
      </w:pPr>
    </w:p>
    <w:p w14:paraId="57BC78B2" w14:textId="4512F5BD" w:rsidR="0021610B" w:rsidRPr="0021610B" w:rsidRDefault="0021610B" w:rsidP="00746376">
      <w:pPr>
        <w:pStyle w:val="CuerpoA"/>
        <w:keepNext/>
        <w:keepLines/>
        <w:widowControl w:val="0"/>
        <w:spacing w:before="240" w:after="120" w:line="260" w:lineRule="exact"/>
        <w:jc w:val="both"/>
        <w:rPr>
          <w:rFonts w:ascii="Arial" w:eastAsiaTheme="minorHAnsi" w:hAnsi="Arial" w:cs="Arial"/>
          <w:sz w:val="20"/>
          <w:szCs w:val="20"/>
          <w:bdr w:val="none" w:sz="0" w:space="0" w:color="auto"/>
          <w:lang w:val="es-ES" w:eastAsia="en-US"/>
        </w:rPr>
      </w:pPr>
      <w:r w:rsidRPr="00F62F4D">
        <w:rPr>
          <w:rFonts w:ascii="Arial" w:eastAsiaTheme="minorHAnsi" w:hAnsi="Arial" w:cs="Arial"/>
          <w:sz w:val="20"/>
          <w:szCs w:val="20"/>
          <w:bdr w:val="none" w:sz="0" w:space="0" w:color="auto"/>
          <w:lang w:val="es-ES" w:eastAsia="en-US"/>
        </w:rPr>
        <w:t xml:space="preserve">De acuerdo con este detalle de </w:t>
      </w:r>
      <w:r w:rsidR="00746376" w:rsidRPr="00F62F4D">
        <w:rPr>
          <w:rFonts w:ascii="Arial" w:eastAsiaTheme="minorHAnsi" w:hAnsi="Arial" w:cs="Arial"/>
          <w:sz w:val="20"/>
          <w:szCs w:val="20"/>
          <w:bdr w:val="none" w:sz="0" w:space="0" w:color="auto"/>
          <w:lang w:val="es-ES" w:eastAsia="en-US"/>
        </w:rPr>
        <w:t>las a</w:t>
      </w:r>
      <w:r w:rsidRPr="00F62F4D">
        <w:rPr>
          <w:rFonts w:ascii="Arial" w:eastAsiaTheme="minorHAnsi" w:hAnsi="Arial" w:cs="Arial"/>
          <w:sz w:val="20"/>
          <w:szCs w:val="20"/>
          <w:bdr w:val="none" w:sz="0" w:space="0" w:color="auto"/>
          <w:lang w:val="es-ES" w:eastAsia="en-US"/>
        </w:rPr>
        <w:t xml:space="preserve">portaciones y </w:t>
      </w:r>
      <w:r w:rsidR="00746376" w:rsidRPr="00F62F4D">
        <w:rPr>
          <w:rFonts w:ascii="Arial" w:eastAsiaTheme="minorHAnsi" w:hAnsi="Arial" w:cs="Arial"/>
          <w:sz w:val="20"/>
          <w:szCs w:val="20"/>
          <w:bdr w:val="none" w:sz="0" w:space="0" w:color="auto"/>
          <w:lang w:val="es-ES" w:eastAsia="en-US"/>
        </w:rPr>
        <w:t>la ejecución de las mismas para el ejercicio 2023</w:t>
      </w:r>
      <w:r w:rsidRPr="00F62F4D">
        <w:rPr>
          <w:rFonts w:ascii="Arial" w:eastAsiaTheme="minorHAnsi" w:hAnsi="Arial" w:cs="Arial"/>
          <w:sz w:val="20"/>
          <w:szCs w:val="20"/>
          <w:bdr w:val="none" w:sz="0" w:space="0" w:color="auto"/>
          <w:lang w:val="es-ES" w:eastAsia="en-US"/>
        </w:rPr>
        <w:t xml:space="preserve">, la </w:t>
      </w:r>
      <w:r w:rsidR="00746376" w:rsidRPr="00F62F4D">
        <w:rPr>
          <w:rFonts w:ascii="Arial" w:eastAsiaTheme="minorHAnsi" w:hAnsi="Arial" w:cs="Arial"/>
          <w:sz w:val="20"/>
          <w:szCs w:val="20"/>
          <w:bdr w:val="none" w:sz="0" w:space="0" w:color="auto"/>
          <w:lang w:val="es-ES" w:eastAsia="en-US"/>
        </w:rPr>
        <w:t>Sociedad</w:t>
      </w:r>
      <w:r w:rsidRPr="00F62F4D">
        <w:rPr>
          <w:rFonts w:ascii="Arial" w:eastAsiaTheme="minorHAnsi" w:hAnsi="Arial" w:cs="Arial"/>
          <w:sz w:val="20"/>
          <w:szCs w:val="20"/>
          <w:bdr w:val="none" w:sz="0" w:space="0" w:color="auto"/>
          <w:lang w:val="es-ES" w:eastAsia="en-US"/>
        </w:rPr>
        <w:t xml:space="preserve"> ha gestionado fondos por 51 millones de </w:t>
      </w:r>
      <w:r w:rsidR="00746376" w:rsidRPr="00F62F4D">
        <w:rPr>
          <w:rFonts w:ascii="Arial" w:eastAsiaTheme="minorHAnsi" w:hAnsi="Arial" w:cs="Arial"/>
          <w:sz w:val="20"/>
          <w:szCs w:val="20"/>
          <w:bdr w:val="none" w:sz="0" w:space="0" w:color="auto"/>
          <w:lang w:val="es-ES" w:eastAsia="en-US"/>
        </w:rPr>
        <w:t>euros</w:t>
      </w:r>
      <w:r w:rsidRPr="00F62F4D">
        <w:rPr>
          <w:rFonts w:ascii="Arial" w:eastAsiaTheme="minorHAnsi" w:hAnsi="Arial" w:cs="Arial"/>
          <w:sz w:val="20"/>
          <w:szCs w:val="20"/>
          <w:bdr w:val="none" w:sz="0" w:space="0" w:color="auto"/>
          <w:lang w:val="es-ES" w:eastAsia="en-US"/>
        </w:rPr>
        <w:t xml:space="preserve">, en torno a 5 millones de </w:t>
      </w:r>
      <w:r w:rsidR="00746376" w:rsidRPr="00F62F4D">
        <w:rPr>
          <w:rFonts w:ascii="Arial" w:eastAsiaTheme="minorHAnsi" w:hAnsi="Arial" w:cs="Arial"/>
          <w:sz w:val="20"/>
          <w:szCs w:val="20"/>
          <w:bdr w:val="none" w:sz="0" w:space="0" w:color="auto"/>
          <w:lang w:val="es-ES" w:eastAsia="en-US"/>
        </w:rPr>
        <w:t>euros</w:t>
      </w:r>
      <w:r w:rsidRPr="00F62F4D">
        <w:rPr>
          <w:rFonts w:ascii="Arial" w:eastAsiaTheme="minorHAnsi" w:hAnsi="Arial" w:cs="Arial"/>
          <w:sz w:val="20"/>
          <w:szCs w:val="20"/>
          <w:bdr w:val="none" w:sz="0" w:space="0" w:color="auto"/>
          <w:lang w:val="es-ES" w:eastAsia="en-US"/>
        </w:rPr>
        <w:t xml:space="preserve"> más que en </w:t>
      </w:r>
      <w:r w:rsidR="00746376" w:rsidRPr="00F62F4D">
        <w:rPr>
          <w:rFonts w:ascii="Arial" w:eastAsiaTheme="minorHAnsi" w:hAnsi="Arial" w:cs="Arial"/>
          <w:sz w:val="20"/>
          <w:szCs w:val="20"/>
          <w:bdr w:val="none" w:sz="0" w:space="0" w:color="auto"/>
          <w:lang w:val="es-ES" w:eastAsia="en-US"/>
        </w:rPr>
        <w:t xml:space="preserve">el ejercicio </w:t>
      </w:r>
      <w:r w:rsidRPr="00F62F4D">
        <w:rPr>
          <w:rFonts w:ascii="Arial" w:eastAsiaTheme="minorHAnsi" w:hAnsi="Arial" w:cs="Arial"/>
          <w:sz w:val="20"/>
          <w:szCs w:val="20"/>
          <w:bdr w:val="none" w:sz="0" w:space="0" w:color="auto"/>
          <w:lang w:val="es-ES" w:eastAsia="en-US"/>
        </w:rPr>
        <w:t>2022, lo que supone un incremento del 11%.</w:t>
      </w:r>
    </w:p>
    <w:p w14:paraId="67AF987D" w14:textId="0DD8229B" w:rsidR="0021610B" w:rsidRPr="00F62F4D" w:rsidRDefault="0021610B" w:rsidP="00DF4773">
      <w:pPr>
        <w:pStyle w:val="CuerpoA"/>
        <w:keepNext/>
        <w:keepLines/>
        <w:widowControl w:val="0"/>
        <w:spacing w:before="240" w:after="120" w:line="260" w:lineRule="exact"/>
        <w:jc w:val="both"/>
        <w:rPr>
          <w:rFonts w:ascii="Arial" w:eastAsiaTheme="minorHAnsi" w:hAnsi="Arial" w:cs="Arial"/>
          <w:sz w:val="20"/>
          <w:szCs w:val="20"/>
          <w:bdr w:val="none" w:sz="0" w:space="0" w:color="auto"/>
          <w:lang w:val="es-ES" w:eastAsia="en-US"/>
        </w:rPr>
      </w:pPr>
      <w:r w:rsidRPr="00F62F4D">
        <w:rPr>
          <w:rFonts w:ascii="Arial" w:eastAsiaTheme="minorHAnsi" w:hAnsi="Arial" w:cs="Arial"/>
          <w:sz w:val="20"/>
          <w:szCs w:val="20"/>
          <w:bdr w:val="none" w:sz="0" w:space="0" w:color="auto"/>
          <w:lang w:val="es-ES" w:eastAsia="en-US"/>
        </w:rPr>
        <w:lastRenderedPageBreak/>
        <w:t xml:space="preserve">La situación </w:t>
      </w:r>
      <w:r w:rsidR="00746376" w:rsidRPr="00F62F4D">
        <w:rPr>
          <w:rFonts w:ascii="Arial" w:eastAsiaTheme="minorHAnsi" w:hAnsi="Arial" w:cs="Arial"/>
          <w:sz w:val="20"/>
          <w:szCs w:val="20"/>
          <w:bdr w:val="none" w:sz="0" w:space="0" w:color="auto"/>
          <w:lang w:val="es-ES" w:eastAsia="en-US"/>
        </w:rPr>
        <w:t>f</w:t>
      </w:r>
      <w:r w:rsidRPr="00F62F4D">
        <w:rPr>
          <w:rFonts w:ascii="Arial" w:eastAsiaTheme="minorHAnsi" w:hAnsi="Arial" w:cs="Arial"/>
          <w:sz w:val="20"/>
          <w:szCs w:val="20"/>
          <w:bdr w:val="none" w:sz="0" w:space="0" w:color="auto"/>
          <w:lang w:val="es-ES" w:eastAsia="en-US"/>
        </w:rPr>
        <w:t xml:space="preserve">inanciera de la </w:t>
      </w:r>
      <w:r w:rsidR="00746376" w:rsidRPr="00F62F4D">
        <w:rPr>
          <w:rFonts w:ascii="Arial" w:eastAsiaTheme="minorHAnsi" w:hAnsi="Arial" w:cs="Arial"/>
          <w:sz w:val="20"/>
          <w:szCs w:val="20"/>
          <w:bdr w:val="none" w:sz="0" w:space="0" w:color="auto"/>
          <w:lang w:val="es-ES" w:eastAsia="en-US"/>
        </w:rPr>
        <w:t>Sociedad</w:t>
      </w:r>
      <w:r w:rsidRPr="00F62F4D">
        <w:rPr>
          <w:rFonts w:ascii="Arial" w:eastAsiaTheme="minorHAnsi" w:hAnsi="Arial" w:cs="Arial"/>
          <w:sz w:val="20"/>
          <w:szCs w:val="20"/>
          <w:bdr w:val="none" w:sz="0" w:space="0" w:color="auto"/>
          <w:lang w:val="es-ES" w:eastAsia="en-US"/>
        </w:rPr>
        <w:t xml:space="preserve"> sigue mostrando indicadores positivos que aseguran la sostenibilidad financiera y su capacidad para financiar compromisos de gastos presentes y futuros dentro de los límites de patrimoniales (equilibrio financiero), deuda financiera y morosidad de deuda comercial (periodo medio de pago a proveedores PMP) conforme a los establecido en la Ley Orgánica 2/2012, de 27 de abril, la normativa de morosidad y la normativa europea.</w:t>
      </w:r>
    </w:p>
    <w:p w14:paraId="3B638227" w14:textId="65C84B1F" w:rsidR="0021610B" w:rsidRPr="00F62F4D" w:rsidRDefault="0021610B" w:rsidP="00746376">
      <w:pPr>
        <w:pStyle w:val="CuerpoA"/>
        <w:keepNext/>
        <w:keepLines/>
        <w:widowControl w:val="0"/>
        <w:spacing w:before="120" w:after="120" w:line="260" w:lineRule="exact"/>
        <w:jc w:val="both"/>
        <w:rPr>
          <w:rFonts w:ascii="Arial" w:eastAsia="Cambria" w:hAnsi="Arial" w:cs="Arial"/>
          <w:bCs/>
          <w:color w:val="auto"/>
          <w:sz w:val="20"/>
          <w:szCs w:val="20"/>
        </w:rPr>
      </w:pPr>
      <w:r w:rsidRPr="00F62F4D">
        <w:rPr>
          <w:rFonts w:ascii="Arial" w:eastAsiaTheme="minorHAnsi" w:hAnsi="Arial" w:cs="Arial"/>
          <w:sz w:val="20"/>
          <w:szCs w:val="20"/>
          <w:bdr w:val="none" w:sz="0" w:space="0" w:color="auto"/>
          <w:lang w:val="es-ES" w:eastAsia="en-US"/>
        </w:rPr>
        <w:t>A continuación, se muestra los principales indicadores de esta sociedad mercantil, entendido estos para una empresa cuyo nivel de ingresos est</w:t>
      </w:r>
      <w:r w:rsidR="00746376" w:rsidRPr="00F62F4D">
        <w:rPr>
          <w:rFonts w:ascii="Arial" w:eastAsiaTheme="minorHAnsi" w:hAnsi="Arial" w:cs="Arial"/>
          <w:sz w:val="20"/>
          <w:szCs w:val="20"/>
          <w:bdr w:val="none" w:sz="0" w:space="0" w:color="auto"/>
          <w:lang w:val="es-ES" w:eastAsia="en-US"/>
        </w:rPr>
        <w:t>á</w:t>
      </w:r>
      <w:r w:rsidRPr="00F62F4D">
        <w:rPr>
          <w:rFonts w:ascii="Arial" w:eastAsiaTheme="minorHAnsi" w:hAnsi="Arial" w:cs="Arial"/>
          <w:sz w:val="20"/>
          <w:szCs w:val="20"/>
          <w:bdr w:val="none" w:sz="0" w:space="0" w:color="auto"/>
          <w:lang w:val="es-ES" w:eastAsia="en-US"/>
        </w:rPr>
        <w:t xml:space="preserve"> soportado por aportaciones anuales o plurianuales desde la Consejería tutelante:</w:t>
      </w:r>
    </w:p>
    <w:p w14:paraId="7384ECAE" w14:textId="3E0BDC4A" w:rsidR="0021610B" w:rsidRPr="00F62F4D" w:rsidRDefault="0021610B">
      <w:pPr>
        <w:pStyle w:val="CuerpoA"/>
        <w:numPr>
          <w:ilvl w:val="0"/>
          <w:numId w:val="30"/>
        </w:numPr>
        <w:spacing w:before="120" w:after="120" w:line="260" w:lineRule="exact"/>
        <w:jc w:val="both"/>
        <w:rPr>
          <w:rFonts w:ascii="Arial" w:eastAsia="Cambria" w:hAnsi="Arial" w:cs="Arial"/>
          <w:bCs/>
          <w:color w:val="auto"/>
          <w:sz w:val="20"/>
          <w:szCs w:val="20"/>
        </w:rPr>
      </w:pPr>
      <w:r w:rsidRPr="00F62F4D">
        <w:rPr>
          <w:rFonts w:ascii="Arial" w:eastAsia="Cambria" w:hAnsi="Arial" w:cs="Arial"/>
          <w:bCs/>
          <w:color w:val="auto"/>
          <w:sz w:val="20"/>
          <w:szCs w:val="20"/>
          <w:u w:val="single"/>
        </w:rPr>
        <w:t>Equilibrio patrimonial</w:t>
      </w:r>
      <w:r w:rsidR="00746376" w:rsidRPr="00F62F4D">
        <w:rPr>
          <w:rFonts w:ascii="Arial" w:eastAsia="Cambria" w:hAnsi="Arial" w:cs="Arial"/>
          <w:bCs/>
          <w:color w:val="auto"/>
          <w:sz w:val="20"/>
          <w:szCs w:val="20"/>
          <w:u w:val="single"/>
        </w:rPr>
        <w:t>:</w:t>
      </w:r>
      <w:r w:rsidRPr="00F62F4D">
        <w:rPr>
          <w:rFonts w:ascii="Arial" w:eastAsia="Cambria" w:hAnsi="Arial" w:cs="Arial"/>
          <w:bCs/>
          <w:color w:val="auto"/>
          <w:sz w:val="20"/>
          <w:szCs w:val="20"/>
        </w:rPr>
        <w:t xml:space="preserve"> </w:t>
      </w:r>
      <w:r w:rsidRPr="00F62F4D">
        <w:rPr>
          <w:rFonts w:ascii="Arial" w:eastAsia="Cambria" w:hAnsi="Arial" w:cs="Arial"/>
          <w:b/>
          <w:color w:val="auto"/>
          <w:sz w:val="20"/>
          <w:szCs w:val="20"/>
        </w:rPr>
        <w:t>ESTABLE</w:t>
      </w:r>
      <w:r w:rsidRPr="00F62F4D">
        <w:rPr>
          <w:rFonts w:ascii="Arial" w:eastAsia="Cambria" w:hAnsi="Arial" w:cs="Arial"/>
          <w:bCs/>
          <w:color w:val="auto"/>
          <w:sz w:val="20"/>
          <w:szCs w:val="20"/>
        </w:rPr>
        <w:t xml:space="preserve"> (activo </w:t>
      </w:r>
      <w:r w:rsidR="002A5A80" w:rsidRPr="00F62F4D">
        <w:rPr>
          <w:rFonts w:ascii="Arial" w:eastAsia="Cambria" w:hAnsi="Arial" w:cs="Arial"/>
          <w:bCs/>
          <w:color w:val="auto"/>
          <w:sz w:val="20"/>
          <w:szCs w:val="20"/>
        </w:rPr>
        <w:t xml:space="preserve">no </w:t>
      </w:r>
      <w:r w:rsidRPr="00F62F4D">
        <w:rPr>
          <w:rFonts w:ascii="Arial" w:eastAsia="Cambria" w:hAnsi="Arial" w:cs="Arial"/>
          <w:bCs/>
          <w:color w:val="auto"/>
          <w:sz w:val="20"/>
          <w:szCs w:val="20"/>
        </w:rPr>
        <w:t>corriente sobre patrimonio neto) 2023</w:t>
      </w:r>
      <w:r w:rsidR="002A5A80" w:rsidRPr="00F62F4D">
        <w:rPr>
          <w:rFonts w:ascii="Arial" w:eastAsia="Cambria" w:hAnsi="Arial" w:cs="Arial"/>
          <w:bCs/>
          <w:color w:val="auto"/>
          <w:sz w:val="20"/>
          <w:szCs w:val="20"/>
        </w:rPr>
        <w:t>:</w:t>
      </w:r>
      <w:r w:rsidRPr="00F62F4D">
        <w:rPr>
          <w:rFonts w:ascii="Arial" w:eastAsia="Cambria" w:hAnsi="Arial" w:cs="Arial"/>
          <w:bCs/>
          <w:color w:val="auto"/>
          <w:sz w:val="20"/>
          <w:szCs w:val="20"/>
        </w:rPr>
        <w:t xml:space="preserve"> </w:t>
      </w:r>
      <w:r w:rsidR="002A5A80" w:rsidRPr="00F62F4D">
        <w:rPr>
          <w:rFonts w:ascii="Arial" w:eastAsia="Cambria" w:hAnsi="Arial" w:cs="Arial"/>
          <w:bCs/>
          <w:color w:val="auto"/>
          <w:sz w:val="20"/>
          <w:szCs w:val="20"/>
        </w:rPr>
        <w:t>0,36 puntos</w:t>
      </w:r>
      <w:r w:rsidRPr="00F62F4D">
        <w:rPr>
          <w:rFonts w:ascii="Arial" w:eastAsia="Cambria" w:hAnsi="Arial" w:cs="Arial"/>
          <w:bCs/>
          <w:color w:val="auto"/>
          <w:sz w:val="20"/>
          <w:szCs w:val="20"/>
        </w:rPr>
        <w:t xml:space="preserve"> (2022</w:t>
      </w:r>
      <w:r w:rsidR="002A5A80" w:rsidRPr="0059131C">
        <w:rPr>
          <w:rFonts w:ascii="Arial" w:eastAsia="Cambria" w:hAnsi="Arial" w:cs="Arial"/>
          <w:bCs/>
          <w:color w:val="auto"/>
          <w:sz w:val="20"/>
          <w:szCs w:val="20"/>
        </w:rPr>
        <w:t xml:space="preserve">: </w:t>
      </w:r>
      <w:r w:rsidR="00374F01" w:rsidRPr="0059131C">
        <w:rPr>
          <w:rFonts w:ascii="Arial" w:eastAsia="Cambria" w:hAnsi="Arial" w:cs="Arial"/>
          <w:bCs/>
          <w:color w:val="auto"/>
          <w:sz w:val="20"/>
          <w:szCs w:val="20"/>
        </w:rPr>
        <w:t>0,</w:t>
      </w:r>
      <w:r w:rsidR="002A5A80" w:rsidRPr="0059131C">
        <w:rPr>
          <w:rFonts w:ascii="Arial" w:eastAsia="Cambria" w:hAnsi="Arial" w:cs="Arial"/>
          <w:bCs/>
          <w:color w:val="auto"/>
          <w:sz w:val="20"/>
          <w:szCs w:val="20"/>
        </w:rPr>
        <w:t>49 puntos</w:t>
      </w:r>
      <w:r w:rsidRPr="0059131C">
        <w:rPr>
          <w:rFonts w:ascii="Arial" w:eastAsia="Cambria" w:hAnsi="Arial" w:cs="Arial"/>
          <w:bCs/>
          <w:color w:val="auto"/>
          <w:sz w:val="20"/>
          <w:szCs w:val="20"/>
        </w:rPr>
        <w:t>).</w:t>
      </w:r>
    </w:p>
    <w:p w14:paraId="4D78B93C" w14:textId="5FAD1293" w:rsidR="0021610B" w:rsidRPr="00F62F4D" w:rsidRDefault="0021610B">
      <w:pPr>
        <w:pStyle w:val="CuerpoA"/>
        <w:numPr>
          <w:ilvl w:val="0"/>
          <w:numId w:val="30"/>
        </w:numPr>
        <w:spacing w:before="120" w:after="120" w:line="260" w:lineRule="exact"/>
        <w:jc w:val="both"/>
        <w:rPr>
          <w:rFonts w:ascii="Arial" w:eastAsia="Cambria" w:hAnsi="Arial" w:cs="Arial"/>
          <w:bCs/>
          <w:color w:val="auto"/>
          <w:sz w:val="20"/>
          <w:szCs w:val="20"/>
        </w:rPr>
      </w:pPr>
      <w:r w:rsidRPr="00F62F4D">
        <w:rPr>
          <w:rFonts w:ascii="Arial" w:eastAsia="Cambria" w:hAnsi="Arial" w:cs="Arial"/>
          <w:bCs/>
          <w:color w:val="auto"/>
          <w:sz w:val="20"/>
          <w:szCs w:val="20"/>
          <w:u w:val="single"/>
        </w:rPr>
        <w:t>Situación patrimonial</w:t>
      </w:r>
      <w:r w:rsidR="00746376" w:rsidRPr="00F62F4D">
        <w:rPr>
          <w:rFonts w:ascii="Arial" w:eastAsia="Cambria" w:hAnsi="Arial" w:cs="Arial"/>
          <w:bCs/>
          <w:color w:val="auto"/>
          <w:sz w:val="20"/>
          <w:szCs w:val="20"/>
          <w:u w:val="single"/>
        </w:rPr>
        <w:t>:</w:t>
      </w:r>
      <w:r w:rsidRPr="00F62F4D">
        <w:rPr>
          <w:rFonts w:ascii="Arial" w:eastAsia="Cambria" w:hAnsi="Arial" w:cs="Arial"/>
          <w:bCs/>
          <w:color w:val="auto"/>
          <w:sz w:val="20"/>
          <w:szCs w:val="20"/>
        </w:rPr>
        <w:t xml:space="preserve"> </w:t>
      </w:r>
      <w:r w:rsidRPr="00F62F4D">
        <w:rPr>
          <w:rFonts w:ascii="Arial" w:eastAsia="Cambria" w:hAnsi="Arial" w:cs="Arial"/>
          <w:b/>
          <w:color w:val="auto"/>
          <w:sz w:val="20"/>
          <w:szCs w:val="20"/>
        </w:rPr>
        <w:t>ESTABLE</w:t>
      </w:r>
      <w:r w:rsidRPr="00F62F4D">
        <w:rPr>
          <w:rFonts w:ascii="Arial" w:eastAsia="Cambria" w:hAnsi="Arial" w:cs="Arial"/>
          <w:bCs/>
          <w:color w:val="auto"/>
          <w:sz w:val="20"/>
          <w:szCs w:val="20"/>
        </w:rPr>
        <w:t xml:space="preserve"> 2023 600</w:t>
      </w:r>
      <w:r w:rsidR="00746376" w:rsidRPr="00F62F4D">
        <w:rPr>
          <w:rFonts w:ascii="Arial" w:eastAsia="Cambria" w:hAnsi="Arial" w:cs="Arial"/>
          <w:bCs/>
          <w:color w:val="auto"/>
          <w:sz w:val="20"/>
          <w:szCs w:val="20"/>
        </w:rPr>
        <w:t xml:space="preserve"> miles de euros</w:t>
      </w:r>
      <w:r w:rsidRPr="00F62F4D">
        <w:rPr>
          <w:rFonts w:ascii="Arial" w:eastAsia="Cambria" w:hAnsi="Arial" w:cs="Arial"/>
          <w:bCs/>
          <w:color w:val="auto"/>
          <w:sz w:val="20"/>
          <w:szCs w:val="20"/>
        </w:rPr>
        <w:t xml:space="preserve"> (2022</w:t>
      </w:r>
      <w:r w:rsidR="00746376" w:rsidRPr="00F62F4D">
        <w:rPr>
          <w:rFonts w:ascii="Arial" w:eastAsia="Cambria" w:hAnsi="Arial" w:cs="Arial"/>
          <w:bCs/>
          <w:color w:val="auto"/>
          <w:sz w:val="20"/>
          <w:szCs w:val="20"/>
        </w:rPr>
        <w:t>: 600 miles de euros).</w:t>
      </w:r>
    </w:p>
    <w:p w14:paraId="2B670D89" w14:textId="7345CEAD" w:rsidR="0021610B" w:rsidRPr="00F62F4D" w:rsidRDefault="0021610B">
      <w:pPr>
        <w:pStyle w:val="CuerpoA"/>
        <w:numPr>
          <w:ilvl w:val="0"/>
          <w:numId w:val="30"/>
        </w:numPr>
        <w:spacing w:before="120" w:after="120" w:line="260" w:lineRule="exact"/>
        <w:jc w:val="both"/>
        <w:rPr>
          <w:rFonts w:ascii="Arial" w:eastAsia="Cambria" w:hAnsi="Arial" w:cs="Arial"/>
          <w:bCs/>
          <w:color w:val="auto"/>
          <w:sz w:val="20"/>
          <w:szCs w:val="20"/>
        </w:rPr>
      </w:pPr>
      <w:r w:rsidRPr="00F62F4D">
        <w:rPr>
          <w:rFonts w:ascii="Arial" w:eastAsia="Cambria" w:hAnsi="Arial" w:cs="Arial"/>
          <w:bCs/>
          <w:color w:val="auto"/>
          <w:sz w:val="20"/>
          <w:szCs w:val="20"/>
          <w:u w:val="single"/>
        </w:rPr>
        <w:t>Deuda Financiera</w:t>
      </w:r>
      <w:r w:rsidR="00746376" w:rsidRPr="00F62F4D">
        <w:rPr>
          <w:rFonts w:ascii="Arial" w:eastAsia="Cambria" w:hAnsi="Arial" w:cs="Arial"/>
          <w:b/>
          <w:color w:val="auto"/>
          <w:sz w:val="20"/>
          <w:szCs w:val="20"/>
        </w:rPr>
        <w:t>:</w:t>
      </w:r>
      <w:r w:rsidRPr="00F62F4D">
        <w:rPr>
          <w:rFonts w:ascii="Arial" w:eastAsia="Cambria" w:hAnsi="Arial" w:cs="Arial"/>
          <w:b/>
          <w:color w:val="auto"/>
          <w:sz w:val="20"/>
          <w:szCs w:val="20"/>
        </w:rPr>
        <w:t xml:space="preserve"> MUY BUENA</w:t>
      </w:r>
      <w:r w:rsidRPr="00F62F4D">
        <w:rPr>
          <w:rFonts w:ascii="Arial" w:eastAsia="Cambria" w:hAnsi="Arial" w:cs="Arial"/>
          <w:bCs/>
          <w:color w:val="auto"/>
          <w:sz w:val="20"/>
          <w:szCs w:val="20"/>
        </w:rPr>
        <w:t xml:space="preserve"> 2023</w:t>
      </w:r>
      <w:r w:rsidR="00746376" w:rsidRPr="00F62F4D">
        <w:rPr>
          <w:rFonts w:ascii="Arial" w:eastAsia="Cambria" w:hAnsi="Arial" w:cs="Arial"/>
          <w:bCs/>
          <w:color w:val="auto"/>
          <w:sz w:val="20"/>
          <w:szCs w:val="20"/>
        </w:rPr>
        <w:t>:</w:t>
      </w:r>
      <w:r w:rsidRPr="00F62F4D">
        <w:rPr>
          <w:rFonts w:ascii="Arial" w:eastAsia="Cambria" w:hAnsi="Arial" w:cs="Arial"/>
          <w:bCs/>
          <w:color w:val="auto"/>
          <w:sz w:val="20"/>
          <w:szCs w:val="20"/>
        </w:rPr>
        <w:t xml:space="preserve"> 0% (2022</w:t>
      </w:r>
      <w:r w:rsidR="00746376" w:rsidRPr="00F62F4D">
        <w:rPr>
          <w:rFonts w:ascii="Arial" w:eastAsia="Cambria" w:hAnsi="Arial" w:cs="Arial"/>
          <w:bCs/>
          <w:color w:val="auto"/>
          <w:sz w:val="20"/>
          <w:szCs w:val="20"/>
        </w:rPr>
        <w:t>:</w:t>
      </w:r>
      <w:r w:rsidRPr="00F62F4D">
        <w:rPr>
          <w:rFonts w:ascii="Arial" w:eastAsia="Cambria" w:hAnsi="Arial" w:cs="Arial"/>
          <w:bCs/>
          <w:color w:val="auto"/>
          <w:sz w:val="20"/>
          <w:szCs w:val="20"/>
        </w:rPr>
        <w:t xml:space="preserve"> 0</w:t>
      </w:r>
      <w:r w:rsidR="00555A06">
        <w:rPr>
          <w:rFonts w:ascii="Arial" w:eastAsia="Cambria" w:hAnsi="Arial" w:cs="Arial"/>
          <w:bCs/>
          <w:color w:val="auto"/>
          <w:sz w:val="20"/>
          <w:szCs w:val="20"/>
        </w:rPr>
        <w:t xml:space="preserve"> </w:t>
      </w:r>
      <w:r w:rsidRPr="00F62F4D">
        <w:rPr>
          <w:rFonts w:ascii="Arial" w:eastAsia="Cambria" w:hAnsi="Arial" w:cs="Arial"/>
          <w:bCs/>
          <w:color w:val="auto"/>
          <w:sz w:val="20"/>
          <w:szCs w:val="20"/>
        </w:rPr>
        <w:t>%).</w:t>
      </w:r>
    </w:p>
    <w:p w14:paraId="2B7F1956" w14:textId="02D6E740" w:rsidR="0021610B" w:rsidRPr="00F62F4D" w:rsidRDefault="0021610B">
      <w:pPr>
        <w:pStyle w:val="CuerpoA"/>
        <w:numPr>
          <w:ilvl w:val="0"/>
          <w:numId w:val="30"/>
        </w:numPr>
        <w:spacing w:before="120" w:after="120" w:line="260" w:lineRule="exact"/>
        <w:jc w:val="both"/>
        <w:rPr>
          <w:rFonts w:ascii="Arial" w:eastAsia="Cambria" w:hAnsi="Arial" w:cs="Arial"/>
          <w:bCs/>
          <w:color w:val="auto"/>
          <w:sz w:val="20"/>
          <w:szCs w:val="20"/>
        </w:rPr>
      </w:pPr>
      <w:r w:rsidRPr="00F62F4D">
        <w:rPr>
          <w:rFonts w:ascii="Arial" w:eastAsia="Cambria" w:hAnsi="Arial" w:cs="Arial"/>
          <w:bCs/>
          <w:color w:val="auto"/>
          <w:sz w:val="20"/>
          <w:szCs w:val="20"/>
          <w:u w:val="single"/>
        </w:rPr>
        <w:t>PMP (desde la fecha de conformidad de la factura)</w:t>
      </w:r>
      <w:r w:rsidR="00746376" w:rsidRPr="00F62F4D">
        <w:rPr>
          <w:rFonts w:ascii="Arial" w:eastAsia="Cambria" w:hAnsi="Arial" w:cs="Arial"/>
          <w:bCs/>
          <w:color w:val="auto"/>
          <w:sz w:val="20"/>
          <w:szCs w:val="20"/>
          <w:u w:val="single"/>
        </w:rPr>
        <w:t>:</w:t>
      </w:r>
      <w:r w:rsidRPr="00F62F4D">
        <w:rPr>
          <w:rFonts w:ascii="Arial" w:eastAsia="Cambria" w:hAnsi="Arial" w:cs="Arial"/>
          <w:bCs/>
          <w:color w:val="auto"/>
          <w:sz w:val="20"/>
          <w:szCs w:val="20"/>
        </w:rPr>
        <w:t xml:space="preserve"> </w:t>
      </w:r>
      <w:r w:rsidRPr="00F62F4D">
        <w:rPr>
          <w:rFonts w:ascii="Arial" w:eastAsia="Cambria" w:hAnsi="Arial" w:cs="Arial"/>
          <w:b/>
          <w:color w:val="auto"/>
          <w:sz w:val="20"/>
          <w:szCs w:val="20"/>
        </w:rPr>
        <w:t>MUY BUENA</w:t>
      </w:r>
      <w:r w:rsidRPr="00F62F4D">
        <w:rPr>
          <w:rFonts w:ascii="Arial" w:eastAsia="Cambria" w:hAnsi="Arial" w:cs="Arial"/>
          <w:bCs/>
          <w:color w:val="auto"/>
          <w:sz w:val="20"/>
          <w:szCs w:val="20"/>
        </w:rPr>
        <w:t xml:space="preserve"> 2023</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 xml:space="preserve"> 3</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44 días (2022</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 xml:space="preserve"> 3</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90 días).</w:t>
      </w:r>
    </w:p>
    <w:p w14:paraId="5B549C81" w14:textId="77777777" w:rsidR="00023F96" w:rsidRPr="00F62F4D" w:rsidRDefault="0021610B">
      <w:pPr>
        <w:pStyle w:val="CuerpoA"/>
        <w:numPr>
          <w:ilvl w:val="0"/>
          <w:numId w:val="30"/>
        </w:numPr>
        <w:spacing w:before="120" w:after="120" w:line="260" w:lineRule="exact"/>
        <w:jc w:val="both"/>
        <w:rPr>
          <w:rFonts w:ascii="Arial" w:eastAsia="Cambria" w:hAnsi="Arial" w:cs="Arial"/>
          <w:bCs/>
          <w:color w:val="auto"/>
          <w:sz w:val="20"/>
          <w:szCs w:val="20"/>
        </w:rPr>
      </w:pPr>
      <w:r w:rsidRPr="00F62F4D">
        <w:rPr>
          <w:rFonts w:ascii="Arial" w:eastAsia="Cambria" w:hAnsi="Arial" w:cs="Arial"/>
          <w:bCs/>
          <w:color w:val="auto"/>
          <w:sz w:val="20"/>
          <w:szCs w:val="20"/>
          <w:u w:val="single"/>
        </w:rPr>
        <w:t>Liquidez</w:t>
      </w:r>
      <w:r w:rsidR="00023F96" w:rsidRPr="00F62F4D">
        <w:rPr>
          <w:rFonts w:ascii="Arial" w:eastAsia="Cambria" w:hAnsi="Arial" w:cs="Arial"/>
          <w:bCs/>
          <w:color w:val="auto"/>
          <w:sz w:val="20"/>
          <w:szCs w:val="20"/>
          <w:u w:val="single"/>
        </w:rPr>
        <w:t>:</w:t>
      </w:r>
      <w:r w:rsidRPr="00F62F4D">
        <w:rPr>
          <w:rFonts w:ascii="Arial" w:eastAsia="Cambria" w:hAnsi="Arial" w:cs="Arial"/>
          <w:bCs/>
          <w:color w:val="auto"/>
          <w:sz w:val="20"/>
          <w:szCs w:val="20"/>
        </w:rPr>
        <w:t xml:space="preserve"> </w:t>
      </w:r>
      <w:r w:rsidRPr="00F62F4D">
        <w:rPr>
          <w:rFonts w:ascii="Arial" w:eastAsia="Cambria" w:hAnsi="Arial" w:cs="Arial"/>
          <w:b/>
          <w:color w:val="auto"/>
          <w:sz w:val="20"/>
          <w:szCs w:val="20"/>
        </w:rPr>
        <w:t>ALTA</w:t>
      </w:r>
      <w:r w:rsidRPr="00F62F4D">
        <w:rPr>
          <w:rFonts w:ascii="Arial" w:eastAsia="Cambria" w:hAnsi="Arial" w:cs="Arial"/>
          <w:bCs/>
          <w:color w:val="auto"/>
          <w:sz w:val="20"/>
          <w:szCs w:val="20"/>
        </w:rPr>
        <w:t xml:space="preserve"> 2023 15</w:t>
      </w:r>
      <w:r w:rsidR="00023F96" w:rsidRPr="00F62F4D">
        <w:rPr>
          <w:rFonts w:ascii="Arial" w:eastAsia="Cambria" w:hAnsi="Arial" w:cs="Arial"/>
          <w:bCs/>
          <w:color w:val="auto"/>
          <w:sz w:val="20"/>
          <w:szCs w:val="20"/>
        </w:rPr>
        <w:t>.000 miles de euros</w:t>
      </w:r>
      <w:r w:rsidRPr="00F62F4D">
        <w:rPr>
          <w:rFonts w:ascii="Arial" w:eastAsia="Cambria" w:hAnsi="Arial" w:cs="Arial"/>
          <w:bCs/>
          <w:color w:val="auto"/>
          <w:sz w:val="20"/>
          <w:szCs w:val="20"/>
        </w:rPr>
        <w:t xml:space="preserve"> (2022</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 xml:space="preserve"> 21</w:t>
      </w:r>
      <w:r w:rsidR="00023F96" w:rsidRPr="00F62F4D">
        <w:rPr>
          <w:rFonts w:ascii="Arial" w:eastAsia="Cambria" w:hAnsi="Arial" w:cs="Arial"/>
          <w:bCs/>
          <w:color w:val="auto"/>
          <w:sz w:val="20"/>
          <w:szCs w:val="20"/>
        </w:rPr>
        <w:t>.000 miles de euros</w:t>
      </w:r>
      <w:r w:rsidRPr="00F62F4D">
        <w:rPr>
          <w:rFonts w:ascii="Arial" w:eastAsia="Cambria" w:hAnsi="Arial" w:cs="Arial"/>
          <w:bCs/>
          <w:color w:val="auto"/>
          <w:sz w:val="20"/>
          <w:szCs w:val="20"/>
        </w:rPr>
        <w:t>).</w:t>
      </w:r>
    </w:p>
    <w:p w14:paraId="179F7EC9" w14:textId="1C105DF5" w:rsidR="0021610B" w:rsidRPr="00F62F4D" w:rsidRDefault="0021610B">
      <w:pPr>
        <w:pStyle w:val="CuerpoA"/>
        <w:numPr>
          <w:ilvl w:val="0"/>
          <w:numId w:val="30"/>
        </w:numPr>
        <w:spacing w:before="120" w:after="120" w:line="260" w:lineRule="exact"/>
        <w:jc w:val="both"/>
        <w:rPr>
          <w:rFonts w:ascii="Arial" w:eastAsia="Cambria" w:hAnsi="Arial" w:cs="Arial"/>
          <w:bCs/>
          <w:color w:val="auto"/>
          <w:sz w:val="20"/>
          <w:szCs w:val="20"/>
        </w:rPr>
      </w:pPr>
      <w:r w:rsidRPr="00F62F4D">
        <w:rPr>
          <w:rFonts w:ascii="Arial" w:eastAsia="Cambria" w:hAnsi="Arial" w:cs="Arial"/>
          <w:bCs/>
          <w:color w:val="auto"/>
          <w:sz w:val="20"/>
          <w:szCs w:val="20"/>
          <w:u w:val="single"/>
        </w:rPr>
        <w:t>Solvencia (capacidad de pago sobre pasivo a corto)</w:t>
      </w:r>
      <w:r w:rsidR="00023F96" w:rsidRPr="00F62F4D">
        <w:rPr>
          <w:rFonts w:ascii="Arial" w:eastAsia="Cambria" w:hAnsi="Arial" w:cs="Arial"/>
          <w:bCs/>
          <w:color w:val="auto"/>
          <w:sz w:val="20"/>
          <w:szCs w:val="20"/>
          <w:u w:val="single"/>
        </w:rPr>
        <w:t>:</w:t>
      </w:r>
      <w:r w:rsidRPr="00F62F4D">
        <w:rPr>
          <w:rFonts w:ascii="Arial" w:eastAsia="Cambria" w:hAnsi="Arial" w:cs="Arial"/>
          <w:bCs/>
          <w:color w:val="auto"/>
          <w:sz w:val="20"/>
          <w:szCs w:val="20"/>
        </w:rPr>
        <w:t xml:space="preserve"> </w:t>
      </w:r>
      <w:r w:rsidRPr="00F62F4D">
        <w:rPr>
          <w:rFonts w:ascii="Arial" w:eastAsia="Cambria" w:hAnsi="Arial" w:cs="Arial"/>
          <w:b/>
          <w:color w:val="auto"/>
          <w:sz w:val="20"/>
          <w:szCs w:val="20"/>
        </w:rPr>
        <w:t>MUY BUENA</w:t>
      </w:r>
      <w:r w:rsidRPr="00F62F4D">
        <w:rPr>
          <w:rFonts w:ascii="Arial" w:eastAsia="Cambria" w:hAnsi="Arial" w:cs="Arial"/>
          <w:bCs/>
          <w:color w:val="auto"/>
          <w:sz w:val="20"/>
          <w:szCs w:val="20"/>
        </w:rPr>
        <w:t xml:space="preserve"> 2023</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 xml:space="preserve"> 1</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07</w:t>
      </w:r>
      <w:r w:rsidR="002A5A80" w:rsidRPr="00F62F4D">
        <w:rPr>
          <w:rFonts w:ascii="Arial" w:eastAsia="Cambria" w:hAnsi="Arial" w:cs="Arial"/>
          <w:bCs/>
          <w:color w:val="auto"/>
          <w:sz w:val="20"/>
          <w:szCs w:val="20"/>
        </w:rPr>
        <w:t xml:space="preserve"> puntos</w:t>
      </w:r>
      <w:r w:rsidRPr="00F62F4D">
        <w:rPr>
          <w:rFonts w:ascii="Arial" w:eastAsia="Cambria" w:hAnsi="Arial" w:cs="Arial"/>
          <w:bCs/>
          <w:color w:val="auto"/>
          <w:sz w:val="20"/>
          <w:szCs w:val="20"/>
        </w:rPr>
        <w:t xml:space="preserve"> (2022</w:t>
      </w:r>
      <w:r w:rsidR="00023F96" w:rsidRPr="00F62F4D">
        <w:rPr>
          <w:rFonts w:ascii="Arial" w:eastAsia="Cambria" w:hAnsi="Arial" w:cs="Arial"/>
          <w:bCs/>
          <w:color w:val="auto"/>
          <w:sz w:val="20"/>
          <w:szCs w:val="20"/>
        </w:rPr>
        <w:t xml:space="preserve">: </w:t>
      </w:r>
      <w:r w:rsidRPr="00F62F4D">
        <w:rPr>
          <w:rFonts w:ascii="Arial" w:eastAsia="Cambria" w:hAnsi="Arial" w:cs="Arial"/>
          <w:bCs/>
          <w:color w:val="auto"/>
          <w:sz w:val="20"/>
          <w:szCs w:val="20"/>
        </w:rPr>
        <w:t>1</w:t>
      </w:r>
      <w:r w:rsidR="00023F96" w:rsidRPr="00F62F4D">
        <w:rPr>
          <w:rFonts w:ascii="Arial" w:eastAsia="Cambria" w:hAnsi="Arial" w:cs="Arial"/>
          <w:bCs/>
          <w:color w:val="auto"/>
          <w:sz w:val="20"/>
          <w:szCs w:val="20"/>
        </w:rPr>
        <w:t>,</w:t>
      </w:r>
      <w:r w:rsidRPr="00F62F4D">
        <w:rPr>
          <w:rFonts w:ascii="Arial" w:eastAsia="Cambria" w:hAnsi="Arial" w:cs="Arial"/>
          <w:bCs/>
          <w:color w:val="auto"/>
          <w:sz w:val="20"/>
          <w:szCs w:val="20"/>
        </w:rPr>
        <w:t>1</w:t>
      </w:r>
      <w:r w:rsidR="002A5A80" w:rsidRPr="00F62F4D">
        <w:rPr>
          <w:rFonts w:ascii="Arial" w:eastAsia="Cambria" w:hAnsi="Arial" w:cs="Arial"/>
          <w:bCs/>
          <w:color w:val="auto"/>
          <w:sz w:val="20"/>
          <w:szCs w:val="20"/>
        </w:rPr>
        <w:t>5 puntos).</w:t>
      </w:r>
    </w:p>
    <w:p w14:paraId="2786B5DC" w14:textId="77777777" w:rsidR="0021610B" w:rsidRPr="0021610B" w:rsidRDefault="0021610B" w:rsidP="00DF4773">
      <w:pPr>
        <w:spacing w:before="240" w:after="120" w:line="260" w:lineRule="exact"/>
        <w:rPr>
          <w:b/>
          <w:color w:val="auto"/>
          <w:sz w:val="20"/>
          <w:szCs w:val="20"/>
        </w:rPr>
      </w:pPr>
      <w:r w:rsidRPr="0021610B">
        <w:rPr>
          <w:b/>
          <w:color w:val="auto"/>
          <w:sz w:val="20"/>
          <w:szCs w:val="20"/>
        </w:rPr>
        <w:t xml:space="preserve">2.2 DATOS Y PERSPECTIVAS PARA 2024 </w:t>
      </w:r>
    </w:p>
    <w:p w14:paraId="4BEFDA67" w14:textId="2229DE56" w:rsidR="0021610B" w:rsidRPr="00F62F4D" w:rsidRDefault="0021610B" w:rsidP="0021610B">
      <w:pPr>
        <w:spacing w:before="120" w:after="120" w:line="260" w:lineRule="exact"/>
        <w:jc w:val="both"/>
        <w:rPr>
          <w:rFonts w:eastAsiaTheme="minorHAnsi"/>
          <w:sz w:val="20"/>
          <w:szCs w:val="20"/>
          <w:bdr w:val="none" w:sz="0" w:space="0" w:color="auto"/>
          <w:lang w:eastAsia="en-US"/>
        </w:rPr>
      </w:pPr>
      <w:r w:rsidRPr="0021610B">
        <w:rPr>
          <w:rFonts w:eastAsiaTheme="minorHAnsi"/>
          <w:sz w:val="20"/>
          <w:szCs w:val="20"/>
          <w:bdr w:val="none" w:sz="0" w:space="0" w:color="auto"/>
          <w:lang w:eastAsia="en-US"/>
        </w:rPr>
        <w:t xml:space="preserve">Las perspectivas, no exentas de incertidumbre ante la situación económica y geopolítica internacional, no pueden ser más favorables, de acuerdo con las impresiones descritas en el apartado 1.2 de este informe y, por tanto, será en </w:t>
      </w:r>
      <w:r w:rsidRPr="00F62F4D">
        <w:rPr>
          <w:rFonts w:eastAsiaTheme="minorHAnsi"/>
          <w:sz w:val="20"/>
          <w:szCs w:val="20"/>
          <w:bdr w:val="none" w:sz="0" w:space="0" w:color="auto"/>
          <w:lang w:eastAsia="en-US"/>
        </w:rPr>
        <w:t xml:space="preserve">este </w:t>
      </w:r>
      <w:r w:rsidR="00023F96" w:rsidRPr="00F62F4D">
        <w:rPr>
          <w:rFonts w:eastAsiaTheme="minorHAnsi"/>
          <w:sz w:val="20"/>
          <w:szCs w:val="20"/>
          <w:bdr w:val="none" w:sz="0" w:space="0" w:color="auto"/>
          <w:lang w:eastAsia="en-US"/>
        </w:rPr>
        <w:t>ejercicio</w:t>
      </w:r>
      <w:r w:rsidRPr="00F62F4D">
        <w:rPr>
          <w:rFonts w:eastAsiaTheme="minorHAnsi"/>
          <w:sz w:val="20"/>
          <w:szCs w:val="20"/>
          <w:bdr w:val="none" w:sz="0" w:space="0" w:color="auto"/>
          <w:lang w:eastAsia="en-US"/>
        </w:rPr>
        <w:t xml:space="preserve"> 2024 donde el equipo humano de </w:t>
      </w:r>
      <w:proofErr w:type="spellStart"/>
      <w:r w:rsidRPr="00F62F4D">
        <w:rPr>
          <w:rFonts w:eastAsiaTheme="minorHAnsi"/>
          <w:sz w:val="20"/>
          <w:szCs w:val="20"/>
          <w:bdr w:val="none" w:sz="0" w:space="0" w:color="auto"/>
          <w:lang w:eastAsia="en-US"/>
        </w:rPr>
        <w:t>Promotur</w:t>
      </w:r>
      <w:proofErr w:type="spellEnd"/>
      <w:r w:rsidRPr="00F62F4D">
        <w:rPr>
          <w:rFonts w:eastAsiaTheme="minorHAnsi"/>
          <w:sz w:val="20"/>
          <w:szCs w:val="20"/>
          <w:bdr w:val="none" w:sz="0" w:space="0" w:color="auto"/>
          <w:lang w:eastAsia="en-US"/>
        </w:rPr>
        <w:t xml:space="preserve"> Turismo Canarias, S.A. emprenderá y complementará con ilusión nuevos retos.</w:t>
      </w:r>
    </w:p>
    <w:p w14:paraId="032385DF" w14:textId="5816C06D" w:rsidR="0021610B" w:rsidRPr="0021610B" w:rsidRDefault="0021610B" w:rsidP="0021610B">
      <w:pPr>
        <w:spacing w:before="120" w:after="120" w:line="260" w:lineRule="exact"/>
        <w:jc w:val="both"/>
        <w:rPr>
          <w:rFonts w:eastAsiaTheme="minorHAnsi"/>
          <w:sz w:val="20"/>
          <w:szCs w:val="20"/>
          <w:bdr w:val="none" w:sz="0" w:space="0" w:color="auto"/>
          <w:lang w:eastAsia="en-US"/>
        </w:rPr>
      </w:pPr>
      <w:r w:rsidRPr="00F62F4D">
        <w:rPr>
          <w:rFonts w:eastAsiaTheme="minorHAnsi"/>
          <w:sz w:val="20"/>
          <w:szCs w:val="20"/>
          <w:bdr w:val="none" w:sz="0" w:space="0" w:color="auto"/>
          <w:lang w:eastAsia="en-US"/>
        </w:rPr>
        <w:t xml:space="preserve">A la fecha de este informe, la </w:t>
      </w:r>
      <w:r w:rsidR="00023F96" w:rsidRPr="00F62F4D">
        <w:rPr>
          <w:rFonts w:eastAsiaTheme="minorHAnsi"/>
          <w:sz w:val="20"/>
          <w:szCs w:val="20"/>
          <w:bdr w:val="none" w:sz="0" w:space="0" w:color="auto"/>
          <w:lang w:eastAsia="en-US"/>
        </w:rPr>
        <w:t>S</w:t>
      </w:r>
      <w:r w:rsidRPr="00F62F4D">
        <w:rPr>
          <w:rFonts w:eastAsiaTheme="minorHAnsi"/>
          <w:sz w:val="20"/>
          <w:szCs w:val="20"/>
          <w:bdr w:val="none" w:sz="0" w:space="0" w:color="auto"/>
          <w:lang w:eastAsia="en-US"/>
        </w:rPr>
        <w:t xml:space="preserve">ociedad ya tiene aprobado en los Presupuestos Generales de la Comunidad Autónoma de Canarias para 2024 (Ley 7/2023, de 27 de diciembre), varias partidas que sumadas a otras aportaciones plurianuales y Convenio hacen un total de 64.564.411,20 </w:t>
      </w:r>
      <w:r w:rsidR="00023F96" w:rsidRPr="00F62F4D">
        <w:rPr>
          <w:rFonts w:eastAsiaTheme="minorHAnsi"/>
          <w:sz w:val="20"/>
          <w:szCs w:val="20"/>
          <w:bdr w:val="none" w:sz="0" w:space="0" w:color="auto"/>
          <w:lang w:eastAsia="en-US"/>
        </w:rPr>
        <w:t>euros</w:t>
      </w:r>
      <w:r w:rsidRPr="00F62F4D">
        <w:rPr>
          <w:rFonts w:eastAsiaTheme="minorHAnsi"/>
          <w:sz w:val="20"/>
          <w:szCs w:val="20"/>
          <w:bdr w:val="none" w:sz="0" w:space="0" w:color="auto"/>
          <w:lang w:eastAsia="en-US"/>
        </w:rPr>
        <w:t xml:space="preserve"> (4</w:t>
      </w:r>
      <w:r w:rsidR="00023F96" w:rsidRPr="00F62F4D">
        <w:rPr>
          <w:rFonts w:eastAsiaTheme="minorHAnsi"/>
          <w:sz w:val="20"/>
          <w:szCs w:val="20"/>
          <w:bdr w:val="none" w:sz="0" w:space="0" w:color="auto"/>
          <w:lang w:eastAsia="en-US"/>
        </w:rPr>
        <w:t>,</w:t>
      </w:r>
      <w:r w:rsidRPr="00F62F4D">
        <w:rPr>
          <w:rFonts w:eastAsiaTheme="minorHAnsi"/>
          <w:sz w:val="20"/>
          <w:szCs w:val="20"/>
          <w:bdr w:val="none" w:sz="0" w:space="0" w:color="auto"/>
          <w:lang w:eastAsia="en-US"/>
        </w:rPr>
        <w:t>87</w:t>
      </w:r>
      <w:r w:rsidR="00555A06">
        <w:rPr>
          <w:rFonts w:eastAsiaTheme="minorHAnsi"/>
          <w:sz w:val="20"/>
          <w:szCs w:val="20"/>
          <w:bdr w:val="none" w:sz="0" w:space="0" w:color="auto"/>
          <w:lang w:eastAsia="en-US"/>
        </w:rPr>
        <w:t xml:space="preserve"> </w:t>
      </w:r>
      <w:r w:rsidRPr="00F62F4D">
        <w:rPr>
          <w:rFonts w:eastAsiaTheme="minorHAnsi"/>
          <w:sz w:val="20"/>
          <w:szCs w:val="20"/>
          <w:bdr w:val="none" w:sz="0" w:space="0" w:color="auto"/>
          <w:lang w:eastAsia="en-US"/>
        </w:rPr>
        <w:t>% más que 2022), todo ello dentro del marco del principio de estabilidad presupuestaria con un excelente valor de eficiencia que se corroboran a través de su estabilidad financiera y su alto</w:t>
      </w:r>
      <w:r w:rsidRPr="0021610B">
        <w:rPr>
          <w:rFonts w:eastAsiaTheme="minorHAnsi"/>
          <w:sz w:val="20"/>
          <w:szCs w:val="20"/>
          <w:bdr w:val="none" w:sz="0" w:space="0" w:color="auto"/>
          <w:lang w:eastAsia="en-US"/>
        </w:rPr>
        <w:t xml:space="preserve"> nivel de cumplimiento en ejecución de gasto.</w:t>
      </w:r>
    </w:p>
    <w:p w14:paraId="71532A19" w14:textId="2999F643" w:rsidR="00023F96" w:rsidRDefault="0021610B" w:rsidP="0021610B">
      <w:pPr>
        <w:spacing w:before="120" w:after="120" w:line="260" w:lineRule="exact"/>
        <w:jc w:val="both"/>
        <w:rPr>
          <w:rFonts w:eastAsiaTheme="minorHAnsi"/>
          <w:sz w:val="20"/>
          <w:szCs w:val="20"/>
          <w:bdr w:val="none" w:sz="0" w:space="0" w:color="auto"/>
          <w:lang w:eastAsia="en-US"/>
        </w:rPr>
      </w:pPr>
      <w:r w:rsidRPr="0021610B">
        <w:rPr>
          <w:rFonts w:eastAsiaTheme="minorHAnsi"/>
          <w:sz w:val="20"/>
          <w:szCs w:val="20"/>
          <w:bdr w:val="none" w:sz="0" w:space="0" w:color="auto"/>
          <w:lang w:eastAsia="en-US"/>
        </w:rPr>
        <w:t>A continuación, se desglosa la naturaleza de cada una de ellas:</w:t>
      </w:r>
    </w:p>
    <w:p w14:paraId="128928C8" w14:textId="42FCD37D" w:rsidR="00023F96" w:rsidRDefault="0042598D">
      <w:pPr>
        <w:pBdr>
          <w:top w:val="none" w:sz="0" w:space="0" w:color="auto"/>
          <w:left w:val="none" w:sz="0" w:space="0" w:color="auto"/>
          <w:bottom w:val="none" w:sz="0" w:space="0" w:color="auto"/>
          <w:right w:val="none" w:sz="0" w:space="0" w:color="auto"/>
          <w:between w:val="none" w:sz="0" w:space="0" w:color="auto"/>
          <w:bar w:val="none" w:sz="0" w:color="auto"/>
        </w:pBdr>
        <w:outlineLvl w:val="9"/>
        <w:rPr>
          <w:rFonts w:eastAsiaTheme="minorHAnsi"/>
          <w:sz w:val="20"/>
          <w:szCs w:val="20"/>
          <w:bdr w:val="none" w:sz="0" w:space="0" w:color="auto"/>
          <w:lang w:eastAsia="en-US"/>
        </w:rPr>
      </w:pPr>
      <w:r w:rsidRPr="0021610B">
        <w:rPr>
          <w:noProof/>
          <w:sz w:val="20"/>
          <w:szCs w:val="20"/>
        </w:rPr>
        <w:drawing>
          <wp:anchor distT="0" distB="0" distL="114300" distR="114300" simplePos="0" relativeHeight="251660288" behindDoc="1" locked="0" layoutInCell="1" allowOverlap="1" wp14:anchorId="75218A84" wp14:editId="6A985197">
            <wp:simplePos x="0" y="0"/>
            <wp:positionH relativeFrom="column">
              <wp:posOffset>767715</wp:posOffset>
            </wp:positionH>
            <wp:positionV relativeFrom="paragraph">
              <wp:posOffset>85090</wp:posOffset>
            </wp:positionV>
            <wp:extent cx="3781425" cy="3416300"/>
            <wp:effectExtent l="0" t="0" r="9525" b="0"/>
            <wp:wrapNone/>
            <wp:docPr id="10357912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842" cy="3416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2F8A7" w14:textId="7E4C1DBF" w:rsidR="0021610B" w:rsidRDefault="0021610B" w:rsidP="0021610B">
      <w:pPr>
        <w:spacing w:before="120" w:after="120" w:line="260" w:lineRule="exact"/>
        <w:jc w:val="both"/>
        <w:rPr>
          <w:rFonts w:eastAsiaTheme="minorHAnsi"/>
          <w:sz w:val="20"/>
          <w:szCs w:val="20"/>
          <w:bdr w:val="none" w:sz="0" w:space="0" w:color="auto"/>
          <w:lang w:eastAsia="en-US"/>
        </w:rPr>
      </w:pPr>
    </w:p>
    <w:p w14:paraId="7889400E" w14:textId="3D5D651D" w:rsidR="00023F96" w:rsidRDefault="00023F96" w:rsidP="0021610B">
      <w:pPr>
        <w:spacing w:before="120" w:after="120" w:line="260" w:lineRule="exact"/>
        <w:jc w:val="both"/>
        <w:rPr>
          <w:rFonts w:eastAsiaTheme="minorHAnsi"/>
          <w:sz w:val="20"/>
          <w:szCs w:val="20"/>
          <w:bdr w:val="none" w:sz="0" w:space="0" w:color="auto"/>
          <w:lang w:eastAsia="en-US"/>
        </w:rPr>
      </w:pPr>
    </w:p>
    <w:p w14:paraId="61C6A63C" w14:textId="658C4503" w:rsidR="00023F96" w:rsidRDefault="00023F96" w:rsidP="0021610B">
      <w:pPr>
        <w:spacing w:before="120" w:after="120" w:line="260" w:lineRule="exact"/>
        <w:jc w:val="both"/>
        <w:rPr>
          <w:rFonts w:eastAsiaTheme="minorHAnsi"/>
          <w:sz w:val="20"/>
          <w:szCs w:val="20"/>
          <w:bdr w:val="none" w:sz="0" w:space="0" w:color="auto"/>
          <w:lang w:eastAsia="en-US"/>
        </w:rPr>
      </w:pPr>
    </w:p>
    <w:p w14:paraId="1D7417D4"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159C7364"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59166A4C"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20513667"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3FAD6785"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3007A0C6"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001B4C62"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7CB1D444" w14:textId="77777777" w:rsidR="00023F96" w:rsidRDefault="00023F96" w:rsidP="0021610B">
      <w:pPr>
        <w:spacing w:before="120" w:after="120" w:line="260" w:lineRule="exact"/>
        <w:jc w:val="both"/>
        <w:rPr>
          <w:rFonts w:eastAsiaTheme="minorHAnsi"/>
          <w:sz w:val="20"/>
          <w:szCs w:val="20"/>
          <w:bdr w:val="none" w:sz="0" w:space="0" w:color="auto"/>
          <w:lang w:eastAsia="en-US"/>
        </w:rPr>
      </w:pPr>
    </w:p>
    <w:p w14:paraId="413745B0" w14:textId="77777777" w:rsidR="0021610B" w:rsidRPr="0021610B" w:rsidRDefault="0021610B" w:rsidP="0021610B">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0" w:lineRule="exact"/>
        <w:jc w:val="both"/>
        <w:outlineLvl w:val="9"/>
        <w:rPr>
          <w:rFonts w:eastAsiaTheme="minorHAnsi"/>
          <w:sz w:val="20"/>
          <w:szCs w:val="20"/>
          <w:bdr w:val="none" w:sz="0" w:space="0" w:color="auto"/>
          <w:lang w:eastAsia="en-US"/>
        </w:rPr>
      </w:pPr>
      <w:r w:rsidRPr="0021610B">
        <w:rPr>
          <w:rFonts w:eastAsiaTheme="minorHAnsi"/>
          <w:sz w:val="20"/>
          <w:szCs w:val="20"/>
          <w:bdr w:val="none" w:sz="0" w:space="0" w:color="auto"/>
          <w:lang w:eastAsia="en-US"/>
        </w:rPr>
        <w:lastRenderedPageBreak/>
        <w:t xml:space="preserve">La definición de estas aportaciones se reflejará en un </w:t>
      </w:r>
      <w:r w:rsidRPr="0021610B">
        <w:rPr>
          <w:rFonts w:eastAsiaTheme="minorHAnsi"/>
          <w:b/>
          <w:bCs/>
          <w:sz w:val="20"/>
          <w:szCs w:val="20"/>
          <w:bdr w:val="none" w:sz="0" w:space="0" w:color="auto"/>
          <w:lang w:eastAsia="en-US"/>
        </w:rPr>
        <w:t xml:space="preserve">Plan de Acción para el 2024 </w:t>
      </w:r>
      <w:r w:rsidRPr="0021610B">
        <w:rPr>
          <w:rFonts w:eastAsiaTheme="minorHAnsi"/>
          <w:sz w:val="20"/>
          <w:szCs w:val="20"/>
          <w:bdr w:val="none" w:sz="0" w:space="0" w:color="auto"/>
          <w:lang w:eastAsia="en-US"/>
        </w:rPr>
        <w:t>y definirá las líneas de actuación para cada departamento estructural de la entidad.</w:t>
      </w:r>
    </w:p>
    <w:p w14:paraId="45C1024A" w14:textId="77777777" w:rsidR="0021610B" w:rsidRPr="0021610B" w:rsidRDefault="0021610B">
      <w:pPr>
        <w:pStyle w:val="Prrafodelista"/>
        <w:numPr>
          <w:ilvl w:val="0"/>
          <w:numId w:val="27"/>
        </w:numPr>
        <w:spacing w:before="360" w:after="120" w:line="260" w:lineRule="exact"/>
        <w:contextualSpacing/>
        <w:outlineLvl w:val="2"/>
        <w:rPr>
          <w:rFonts w:ascii="Arial" w:hAnsi="Arial" w:cs="Arial"/>
          <w:b/>
          <w:color w:val="auto"/>
          <w:sz w:val="20"/>
          <w:szCs w:val="20"/>
        </w:rPr>
      </w:pPr>
      <w:r w:rsidRPr="0021610B">
        <w:rPr>
          <w:rFonts w:ascii="Arial" w:hAnsi="Arial" w:cs="Arial"/>
          <w:b/>
          <w:color w:val="auto"/>
          <w:sz w:val="20"/>
          <w:szCs w:val="20"/>
        </w:rPr>
        <w:t>ACONTECIMIENTOS POSTERIORES AL CIERRE</w:t>
      </w:r>
    </w:p>
    <w:p w14:paraId="3EB3988C" w14:textId="77777777" w:rsidR="0021610B" w:rsidRPr="0021610B" w:rsidRDefault="0021610B" w:rsidP="0021610B">
      <w:pPr>
        <w:spacing w:before="120" w:after="120" w:line="260" w:lineRule="exact"/>
        <w:jc w:val="both"/>
        <w:rPr>
          <w:rFonts w:eastAsiaTheme="minorHAnsi"/>
          <w:sz w:val="20"/>
          <w:szCs w:val="20"/>
          <w:bdr w:val="none" w:sz="0" w:space="0" w:color="auto"/>
          <w:lang w:eastAsia="en-US"/>
        </w:rPr>
      </w:pPr>
      <w:r w:rsidRPr="0021610B">
        <w:rPr>
          <w:rFonts w:eastAsiaTheme="minorHAnsi"/>
          <w:sz w:val="20"/>
          <w:szCs w:val="20"/>
          <w:bdr w:val="none" w:sz="0" w:space="0" w:color="auto"/>
          <w:lang w:eastAsia="en-US"/>
        </w:rPr>
        <w:t>En el tiempo transcurrido desde el 31 de diciembre de 2023 hasta la formulación de las cuentas anuales, los hechos acaecidos ya han sido puestos de manifiesto a lo largo de la Memoria, no habiendo más que reseñar salvo lo allí incluido.</w:t>
      </w:r>
    </w:p>
    <w:p w14:paraId="6AE9EB5C" w14:textId="77777777" w:rsidR="0021610B" w:rsidRPr="0021610B" w:rsidRDefault="0021610B">
      <w:pPr>
        <w:pStyle w:val="Prrafodelista"/>
        <w:numPr>
          <w:ilvl w:val="0"/>
          <w:numId w:val="27"/>
        </w:numPr>
        <w:spacing w:before="360" w:after="120" w:line="260" w:lineRule="exact"/>
        <w:contextualSpacing/>
        <w:outlineLvl w:val="2"/>
        <w:rPr>
          <w:rFonts w:ascii="Arial" w:hAnsi="Arial" w:cs="Arial"/>
          <w:b/>
          <w:color w:val="auto"/>
          <w:sz w:val="20"/>
          <w:szCs w:val="20"/>
        </w:rPr>
      </w:pPr>
      <w:r w:rsidRPr="0021610B">
        <w:rPr>
          <w:rFonts w:ascii="Arial" w:hAnsi="Arial" w:cs="Arial"/>
          <w:b/>
          <w:color w:val="auto"/>
          <w:sz w:val="20"/>
          <w:szCs w:val="20"/>
        </w:rPr>
        <w:t>INVESTIGACIÓN Y DESARROLLO</w:t>
      </w:r>
    </w:p>
    <w:p w14:paraId="633AFDC6" w14:textId="77777777" w:rsidR="0021610B" w:rsidRPr="0021610B" w:rsidRDefault="0021610B" w:rsidP="0021610B">
      <w:pPr>
        <w:spacing w:before="120" w:after="120" w:line="260" w:lineRule="exact"/>
        <w:jc w:val="both"/>
        <w:rPr>
          <w:rFonts w:eastAsiaTheme="minorHAnsi"/>
          <w:sz w:val="20"/>
          <w:szCs w:val="20"/>
          <w:bdr w:val="none" w:sz="0" w:space="0" w:color="auto"/>
          <w:lang w:eastAsia="en-US"/>
        </w:rPr>
      </w:pPr>
      <w:r w:rsidRPr="0021610B">
        <w:rPr>
          <w:rFonts w:eastAsiaTheme="minorHAnsi"/>
          <w:sz w:val="20"/>
          <w:szCs w:val="20"/>
          <w:bdr w:val="none" w:sz="0" w:space="0" w:color="auto"/>
          <w:lang w:eastAsia="en-US"/>
        </w:rPr>
        <w:t>Durante el ejercicio 2023, la Sociedad no ha realizado actividad alguna en materia de Investigación y Desarrollo.</w:t>
      </w:r>
    </w:p>
    <w:p w14:paraId="024EEEEC" w14:textId="77777777" w:rsidR="0021610B" w:rsidRPr="0021610B" w:rsidRDefault="0021610B">
      <w:pPr>
        <w:pStyle w:val="Prrafodelista"/>
        <w:numPr>
          <w:ilvl w:val="0"/>
          <w:numId w:val="27"/>
        </w:numPr>
        <w:spacing w:before="360" w:after="120" w:line="260" w:lineRule="exact"/>
        <w:contextualSpacing/>
        <w:outlineLvl w:val="2"/>
        <w:rPr>
          <w:rFonts w:ascii="Arial" w:hAnsi="Arial" w:cs="Arial"/>
          <w:b/>
          <w:color w:val="auto"/>
          <w:sz w:val="20"/>
          <w:szCs w:val="20"/>
        </w:rPr>
      </w:pPr>
      <w:r w:rsidRPr="0021610B">
        <w:rPr>
          <w:rFonts w:ascii="Arial" w:hAnsi="Arial" w:cs="Arial"/>
          <w:b/>
          <w:color w:val="auto"/>
          <w:sz w:val="20"/>
          <w:szCs w:val="20"/>
        </w:rPr>
        <w:t xml:space="preserve"> ACCIONES PROPIAS</w:t>
      </w:r>
    </w:p>
    <w:p w14:paraId="47F63AD0" w14:textId="77777777" w:rsidR="0021610B" w:rsidRPr="0021610B" w:rsidRDefault="0021610B" w:rsidP="0021610B">
      <w:pPr>
        <w:spacing w:before="120" w:after="120" w:line="260" w:lineRule="exact"/>
        <w:jc w:val="both"/>
        <w:outlineLvl w:val="9"/>
        <w:rPr>
          <w:rFonts w:eastAsiaTheme="minorHAnsi"/>
          <w:sz w:val="20"/>
          <w:szCs w:val="20"/>
          <w:bdr w:val="none" w:sz="0" w:space="0" w:color="auto"/>
          <w:lang w:eastAsia="en-US"/>
        </w:rPr>
      </w:pPr>
      <w:r w:rsidRPr="0021610B">
        <w:rPr>
          <w:rFonts w:eastAsiaTheme="minorHAnsi"/>
          <w:sz w:val="20"/>
          <w:szCs w:val="20"/>
          <w:bdr w:val="none" w:sz="0" w:space="0" w:color="auto"/>
          <w:lang w:eastAsia="en-US"/>
        </w:rPr>
        <w:t xml:space="preserve">La Sociedad no tiene ni ha realizado operaciones con acciones propias durante el ejercicio 2023. </w:t>
      </w:r>
    </w:p>
    <w:p w14:paraId="14703FE6" w14:textId="77777777" w:rsidR="0021610B" w:rsidRPr="0021610B" w:rsidRDefault="0021610B">
      <w:pPr>
        <w:pStyle w:val="Prrafodelista"/>
        <w:numPr>
          <w:ilvl w:val="0"/>
          <w:numId w:val="27"/>
        </w:numPr>
        <w:spacing w:before="360" w:after="120" w:line="260" w:lineRule="exact"/>
        <w:contextualSpacing/>
        <w:outlineLvl w:val="2"/>
        <w:rPr>
          <w:rFonts w:ascii="Arial" w:hAnsi="Arial" w:cs="Arial"/>
          <w:b/>
          <w:color w:val="auto"/>
          <w:sz w:val="20"/>
          <w:szCs w:val="20"/>
        </w:rPr>
      </w:pPr>
      <w:r w:rsidRPr="0021610B">
        <w:rPr>
          <w:rFonts w:ascii="Arial" w:hAnsi="Arial" w:cs="Arial"/>
          <w:b/>
          <w:color w:val="auto"/>
          <w:sz w:val="20"/>
          <w:szCs w:val="20"/>
        </w:rPr>
        <w:t>INSTRUMENTOS FINANCIEROS</w:t>
      </w:r>
    </w:p>
    <w:p w14:paraId="6A7E74D0" w14:textId="77777777" w:rsidR="0021610B" w:rsidRPr="0021610B" w:rsidRDefault="0021610B" w:rsidP="0021610B">
      <w:pPr>
        <w:spacing w:before="120" w:after="120" w:line="260" w:lineRule="exact"/>
        <w:jc w:val="both"/>
        <w:outlineLvl w:val="9"/>
        <w:rPr>
          <w:rFonts w:eastAsiaTheme="minorHAnsi"/>
          <w:sz w:val="20"/>
          <w:szCs w:val="20"/>
          <w:bdr w:val="none" w:sz="0" w:space="0" w:color="auto"/>
          <w:lang w:eastAsia="en-US"/>
        </w:rPr>
      </w:pPr>
      <w:r w:rsidRPr="0021610B">
        <w:rPr>
          <w:rFonts w:eastAsiaTheme="minorHAnsi"/>
          <w:sz w:val="20"/>
          <w:szCs w:val="20"/>
          <w:bdr w:val="none" w:sz="0" w:space="0" w:color="auto"/>
          <w:lang w:eastAsia="en-US"/>
        </w:rPr>
        <w:t>La Sociedad no tiene ni ha realizado operaciones con derivados financieros durante el ejercicio 2023.</w:t>
      </w:r>
    </w:p>
    <w:p w14:paraId="0B573CF8" w14:textId="77777777" w:rsidR="0021610B" w:rsidRPr="0021610B" w:rsidRDefault="0021610B">
      <w:pPr>
        <w:pStyle w:val="Prrafodelista"/>
        <w:numPr>
          <w:ilvl w:val="0"/>
          <w:numId w:val="27"/>
        </w:numPr>
        <w:spacing w:before="360" w:after="120" w:line="260" w:lineRule="exact"/>
        <w:contextualSpacing/>
        <w:outlineLvl w:val="2"/>
        <w:rPr>
          <w:rFonts w:ascii="Arial" w:hAnsi="Arial" w:cs="Arial"/>
          <w:b/>
          <w:color w:val="auto"/>
          <w:sz w:val="20"/>
          <w:szCs w:val="20"/>
        </w:rPr>
      </w:pPr>
      <w:r w:rsidRPr="0021610B">
        <w:rPr>
          <w:rFonts w:ascii="Arial" w:hAnsi="Arial" w:cs="Arial"/>
          <w:b/>
          <w:color w:val="auto"/>
          <w:sz w:val="20"/>
          <w:szCs w:val="20"/>
        </w:rPr>
        <w:t>INFORMACIÓN SOBRE EL MEDIO AMBIENTE</w:t>
      </w:r>
    </w:p>
    <w:p w14:paraId="74DB2317" w14:textId="77777777" w:rsidR="0021610B" w:rsidRPr="0021610B" w:rsidRDefault="0021610B" w:rsidP="0021610B">
      <w:pPr>
        <w:spacing w:before="120" w:after="120" w:line="260" w:lineRule="exact"/>
        <w:jc w:val="both"/>
        <w:outlineLvl w:val="9"/>
        <w:rPr>
          <w:rFonts w:eastAsiaTheme="minorHAnsi"/>
          <w:sz w:val="20"/>
          <w:szCs w:val="20"/>
          <w:bdr w:val="none" w:sz="0" w:space="0" w:color="auto"/>
          <w:lang w:eastAsia="en-US"/>
        </w:rPr>
      </w:pPr>
      <w:r w:rsidRPr="0021610B">
        <w:rPr>
          <w:rFonts w:eastAsiaTheme="minorHAnsi"/>
          <w:sz w:val="20"/>
          <w:szCs w:val="20"/>
          <w:bdr w:val="none" w:sz="0" w:space="0" w:color="auto"/>
          <w:lang w:eastAsia="en-US"/>
        </w:rPr>
        <w:t>La Sociedad mantiene sus instalaciones constantemente en un estado que permite cumplir con todas las normas referentes al Medio Ambiente. No ha sido necesario incurrir en gastos particulares y tampoco fue necesaria la dotación de provisiones.</w:t>
      </w:r>
    </w:p>
    <w:p w14:paraId="15DE1422" w14:textId="77777777" w:rsidR="0021610B" w:rsidRPr="00E46CA0" w:rsidRDefault="0021610B" w:rsidP="0021610B">
      <w:pPr>
        <w:spacing w:before="120" w:after="120" w:line="260" w:lineRule="exact"/>
        <w:jc w:val="both"/>
        <w:outlineLvl w:val="9"/>
        <w:rPr>
          <w:rFonts w:ascii="Calibri" w:eastAsiaTheme="minorHAnsi" w:hAnsi="Calibri" w:cs="Calibri"/>
          <w:sz w:val="23"/>
          <w:szCs w:val="23"/>
          <w:bdr w:val="none" w:sz="0" w:space="0" w:color="auto"/>
          <w:lang w:eastAsia="en-US"/>
        </w:rPr>
      </w:pPr>
      <w:r w:rsidRPr="0021610B">
        <w:rPr>
          <w:rFonts w:eastAsiaTheme="minorHAnsi"/>
          <w:sz w:val="20"/>
          <w:szCs w:val="20"/>
          <w:bdr w:val="none" w:sz="0" w:space="0" w:color="auto"/>
          <w:lang w:eastAsia="en-US"/>
        </w:rPr>
        <w:t>Y más allá del ámbito de la sociedad, esta ha realizado y aprobado en su Consejo de Administración y en el seno del Consejo Canario de Turismo, El Plan Maestro de Acción Climática 2022-2030 del destino Islas Canarias</w:t>
      </w:r>
    </w:p>
    <w:p w14:paraId="188D1044" w14:textId="77777777" w:rsidR="00D03D56" w:rsidRDefault="00D03D56" w:rsidP="00D03D56">
      <w:pPr>
        <w:tabs>
          <w:tab w:val="left" w:pos="567"/>
          <w:tab w:val="left" w:pos="1134"/>
          <w:tab w:val="left" w:pos="1587"/>
        </w:tabs>
        <w:jc w:val="both"/>
        <w:rPr>
          <w:sz w:val="20"/>
          <w:szCs w:val="22"/>
        </w:rPr>
      </w:pPr>
    </w:p>
    <w:p w14:paraId="0D31ECA6" w14:textId="77777777" w:rsidR="00841182" w:rsidRPr="0083433F" w:rsidRDefault="00841182" w:rsidP="006220A2">
      <w:pPr>
        <w:tabs>
          <w:tab w:val="left" w:pos="567"/>
          <w:tab w:val="left" w:pos="1134"/>
          <w:tab w:val="left" w:pos="1587"/>
        </w:tabs>
        <w:jc w:val="both"/>
        <w:rPr>
          <w:sz w:val="20"/>
          <w:szCs w:val="22"/>
        </w:rPr>
        <w:sectPr w:rsidR="00841182" w:rsidRPr="0083433F" w:rsidSect="00F62F4D">
          <w:headerReference w:type="default" r:id="rId17"/>
          <w:pgSz w:w="11900" w:h="16840" w:code="9"/>
          <w:pgMar w:top="1701" w:right="1418" w:bottom="1418" w:left="1701" w:header="1020" w:footer="680" w:gutter="0"/>
          <w:cols w:space="708"/>
          <w:docGrid w:linePitch="360"/>
        </w:sectPr>
      </w:pPr>
    </w:p>
    <w:p w14:paraId="4F5045BD" w14:textId="3D26D844" w:rsidR="00841182" w:rsidRPr="0083433F" w:rsidRDefault="00841182" w:rsidP="006220A2">
      <w:pPr>
        <w:tabs>
          <w:tab w:val="left" w:pos="567"/>
          <w:tab w:val="left" w:pos="1134"/>
          <w:tab w:val="left" w:pos="1587"/>
        </w:tabs>
        <w:jc w:val="both"/>
        <w:rPr>
          <w:b/>
          <w:sz w:val="20"/>
          <w:szCs w:val="22"/>
        </w:rPr>
      </w:pPr>
      <w:r w:rsidRPr="0083433F">
        <w:rPr>
          <w:b/>
          <w:sz w:val="20"/>
          <w:szCs w:val="22"/>
        </w:rPr>
        <w:lastRenderedPageBreak/>
        <w:t>FORMULACIÓN CUENTAS ANUALES EJERCICIO 20</w:t>
      </w:r>
      <w:r w:rsidR="00A42A87">
        <w:rPr>
          <w:b/>
          <w:sz w:val="20"/>
          <w:szCs w:val="22"/>
        </w:rPr>
        <w:t>2</w:t>
      </w:r>
      <w:r w:rsidR="002F4654">
        <w:rPr>
          <w:b/>
          <w:sz w:val="20"/>
          <w:szCs w:val="22"/>
        </w:rPr>
        <w:t>3</w:t>
      </w:r>
      <w:r w:rsidRPr="0083433F">
        <w:rPr>
          <w:b/>
          <w:sz w:val="20"/>
          <w:szCs w:val="22"/>
        </w:rPr>
        <w:t xml:space="preserve"> E INFORME DE GESTIÓN</w:t>
      </w:r>
    </w:p>
    <w:p w14:paraId="1C266B8F" w14:textId="0CF1B9C6" w:rsidR="006220A2" w:rsidRPr="0083433F" w:rsidRDefault="006220A2" w:rsidP="00E34164">
      <w:pPr>
        <w:tabs>
          <w:tab w:val="left" w:pos="567"/>
          <w:tab w:val="left" w:pos="1134"/>
          <w:tab w:val="left" w:pos="1587"/>
        </w:tabs>
        <w:spacing w:before="120" w:after="120" w:line="260" w:lineRule="exact"/>
        <w:jc w:val="both"/>
        <w:rPr>
          <w:sz w:val="20"/>
          <w:szCs w:val="22"/>
        </w:rPr>
      </w:pPr>
      <w:r w:rsidRPr="00532D57">
        <w:rPr>
          <w:sz w:val="20"/>
          <w:szCs w:val="22"/>
        </w:rPr>
        <w:t xml:space="preserve">Reunidos los administradores de </w:t>
      </w:r>
      <w:r w:rsidRPr="00532D57">
        <w:rPr>
          <w:b/>
          <w:caps/>
          <w:sz w:val="20"/>
          <w:szCs w:val="22"/>
        </w:rPr>
        <w:t>Promotur Turismo Canarias S.A.</w:t>
      </w:r>
      <w:r w:rsidRPr="00532D57">
        <w:rPr>
          <w:caps/>
          <w:sz w:val="20"/>
          <w:szCs w:val="22"/>
        </w:rPr>
        <w:t>,</w:t>
      </w:r>
      <w:r w:rsidRPr="00532D57">
        <w:rPr>
          <w:sz w:val="20"/>
          <w:szCs w:val="22"/>
        </w:rPr>
        <w:t xml:space="preserve"> en fecha </w:t>
      </w:r>
      <w:r w:rsidR="007A7245" w:rsidRPr="00532D57">
        <w:rPr>
          <w:sz w:val="20"/>
          <w:szCs w:val="22"/>
        </w:rPr>
        <w:t>2</w:t>
      </w:r>
      <w:r w:rsidR="00EF311E" w:rsidRPr="00532D57">
        <w:rPr>
          <w:sz w:val="20"/>
          <w:szCs w:val="22"/>
        </w:rPr>
        <w:t>2</w:t>
      </w:r>
      <w:r w:rsidRPr="00532D57">
        <w:rPr>
          <w:sz w:val="20"/>
          <w:szCs w:val="22"/>
        </w:rPr>
        <w:t xml:space="preserve"> de marzo de 20</w:t>
      </w:r>
      <w:r w:rsidR="007A7245" w:rsidRPr="00532D57">
        <w:rPr>
          <w:sz w:val="20"/>
          <w:szCs w:val="22"/>
        </w:rPr>
        <w:t>24</w:t>
      </w:r>
      <w:r w:rsidRPr="00E40E25">
        <w:rPr>
          <w:sz w:val="20"/>
          <w:szCs w:val="22"/>
        </w:rPr>
        <w:t xml:space="preserve"> y en cumplimiento de los requisitos establecidos en los artículos 253 de la Ley de Sociedades de Capital y del artículo 31 del Código de Comercio, proceden a formular las cuentas anuales y el informe de gestión del ejercicio anual terminado el 31 de diciembre de 20</w:t>
      </w:r>
      <w:r w:rsidR="000E5182" w:rsidRPr="00E40E25">
        <w:rPr>
          <w:sz w:val="20"/>
          <w:szCs w:val="22"/>
        </w:rPr>
        <w:t>2</w:t>
      </w:r>
      <w:r w:rsidR="00EF311E">
        <w:rPr>
          <w:sz w:val="20"/>
          <w:szCs w:val="22"/>
        </w:rPr>
        <w:t>3</w:t>
      </w:r>
      <w:r w:rsidRPr="00E40E25">
        <w:rPr>
          <w:sz w:val="20"/>
          <w:szCs w:val="22"/>
        </w:rPr>
        <w:t xml:space="preserve">, las cuales vienen constituidas por los documentos anexos que preceden a este escrito, cuyas hojas se </w:t>
      </w:r>
      <w:r w:rsidRPr="00F62F4D">
        <w:rPr>
          <w:sz w:val="20"/>
          <w:szCs w:val="22"/>
        </w:rPr>
        <w:t xml:space="preserve">presentan ordenadas correlativamente de la 1 a la </w:t>
      </w:r>
      <w:r w:rsidR="00EB2CFB" w:rsidRPr="00F62F4D">
        <w:rPr>
          <w:sz w:val="20"/>
          <w:szCs w:val="22"/>
        </w:rPr>
        <w:t>4</w:t>
      </w:r>
      <w:r w:rsidR="00F62F4D" w:rsidRPr="00F62F4D">
        <w:rPr>
          <w:sz w:val="20"/>
          <w:szCs w:val="22"/>
        </w:rPr>
        <w:t>7</w:t>
      </w:r>
      <w:r w:rsidRPr="00F62F4D">
        <w:rPr>
          <w:sz w:val="20"/>
          <w:szCs w:val="22"/>
        </w:rPr>
        <w:t>.</w:t>
      </w:r>
    </w:p>
    <w:p w14:paraId="55CE2D88" w14:textId="77777777" w:rsidR="006220A2" w:rsidRPr="0083433F" w:rsidRDefault="006220A2" w:rsidP="006220A2">
      <w:pPr>
        <w:tabs>
          <w:tab w:val="left" w:pos="567"/>
          <w:tab w:val="left" w:pos="1134"/>
          <w:tab w:val="left" w:pos="1587"/>
        </w:tabs>
        <w:jc w:val="both"/>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4386"/>
      </w:tblGrid>
      <w:tr w:rsidR="006220A2" w:rsidRPr="00EA4BDD" w14:paraId="45F0ED1E" w14:textId="77777777" w:rsidTr="006E6F4D">
        <w:trPr>
          <w:trHeight w:val="1361"/>
        </w:trPr>
        <w:tc>
          <w:tcPr>
            <w:tcW w:w="2500" w:type="pct"/>
          </w:tcPr>
          <w:p w14:paraId="61B5ABB2" w14:textId="7B5EFC95" w:rsidR="006220A2" w:rsidRPr="00EA4BDD" w:rsidRDefault="00040D6A" w:rsidP="00C01236">
            <w:pPr>
              <w:jc w:val="center"/>
              <w:rPr>
                <w:sz w:val="20"/>
                <w:szCs w:val="20"/>
              </w:rPr>
            </w:pPr>
            <w:proofErr w:type="spellStart"/>
            <w:r w:rsidRPr="00EA4BDD">
              <w:rPr>
                <w:sz w:val="20"/>
                <w:szCs w:val="20"/>
                <w:lang w:val="pt-BR"/>
              </w:rPr>
              <w:t>Dª</w:t>
            </w:r>
            <w:proofErr w:type="spellEnd"/>
            <w:r w:rsidRPr="00EA4BDD">
              <w:rPr>
                <w:sz w:val="20"/>
                <w:szCs w:val="20"/>
                <w:lang w:val="pt-BR"/>
              </w:rPr>
              <w:t>.</w:t>
            </w:r>
            <w:r w:rsidR="00E34164" w:rsidRPr="00EA4BDD">
              <w:rPr>
                <w:sz w:val="20"/>
                <w:szCs w:val="20"/>
                <w:lang w:val="pt-BR"/>
              </w:rPr>
              <w:t xml:space="preserve"> </w:t>
            </w:r>
            <w:r w:rsidR="00540221" w:rsidRPr="00EA4BDD">
              <w:rPr>
                <w:sz w:val="20"/>
                <w:szCs w:val="20"/>
              </w:rPr>
              <w:t>Jéssica del Carmen de León Verdugo</w:t>
            </w:r>
          </w:p>
        </w:tc>
        <w:tc>
          <w:tcPr>
            <w:tcW w:w="2500" w:type="pct"/>
          </w:tcPr>
          <w:p w14:paraId="1188BE15" w14:textId="4ED775C7" w:rsidR="006220A2" w:rsidRPr="00EA4BDD" w:rsidRDefault="00040D6A" w:rsidP="00E8209A">
            <w:pPr>
              <w:jc w:val="center"/>
              <w:rPr>
                <w:sz w:val="20"/>
                <w:szCs w:val="20"/>
              </w:rPr>
            </w:pPr>
            <w:r w:rsidRPr="00EA4BDD">
              <w:rPr>
                <w:sz w:val="20"/>
                <w:szCs w:val="20"/>
              </w:rPr>
              <w:t xml:space="preserve">D. </w:t>
            </w:r>
            <w:r w:rsidR="00540221" w:rsidRPr="00EA4BDD">
              <w:rPr>
                <w:sz w:val="20"/>
                <w:szCs w:val="20"/>
              </w:rPr>
              <w:t>José Manuel Sanabria Díaz</w:t>
            </w:r>
          </w:p>
        </w:tc>
      </w:tr>
      <w:tr w:rsidR="006220A2" w:rsidRPr="00EA4BDD" w14:paraId="722E450B" w14:textId="77777777" w:rsidTr="006E6F4D">
        <w:trPr>
          <w:trHeight w:val="1361"/>
        </w:trPr>
        <w:tc>
          <w:tcPr>
            <w:tcW w:w="2500" w:type="pct"/>
          </w:tcPr>
          <w:p w14:paraId="46C5684C" w14:textId="77777777" w:rsidR="006220A2" w:rsidRPr="00EA4BDD" w:rsidRDefault="00040D6A" w:rsidP="00C01236">
            <w:pPr>
              <w:jc w:val="center"/>
              <w:rPr>
                <w:sz w:val="20"/>
                <w:szCs w:val="20"/>
              </w:rPr>
            </w:pPr>
            <w:r w:rsidRPr="00EA4BDD">
              <w:rPr>
                <w:sz w:val="20"/>
                <w:szCs w:val="20"/>
              </w:rPr>
              <w:t xml:space="preserve">D. José María </w:t>
            </w:r>
            <w:proofErr w:type="spellStart"/>
            <w:r w:rsidRPr="00EA4BDD">
              <w:rPr>
                <w:sz w:val="20"/>
                <w:szCs w:val="20"/>
              </w:rPr>
              <w:t>Mañaricúa</w:t>
            </w:r>
            <w:proofErr w:type="spellEnd"/>
            <w:r w:rsidRPr="00EA4BDD">
              <w:rPr>
                <w:sz w:val="20"/>
                <w:szCs w:val="20"/>
              </w:rPr>
              <w:t xml:space="preserve"> Aristondo</w:t>
            </w:r>
          </w:p>
        </w:tc>
        <w:tc>
          <w:tcPr>
            <w:tcW w:w="2500" w:type="pct"/>
          </w:tcPr>
          <w:p w14:paraId="1E3F01A1" w14:textId="5FE5E21D" w:rsidR="006220A2" w:rsidRPr="00EA4BDD" w:rsidRDefault="00040D6A" w:rsidP="00C01236">
            <w:pPr>
              <w:jc w:val="center"/>
              <w:rPr>
                <w:sz w:val="20"/>
                <w:szCs w:val="20"/>
              </w:rPr>
            </w:pPr>
            <w:proofErr w:type="spellStart"/>
            <w:r w:rsidRPr="00EA4BDD">
              <w:rPr>
                <w:sz w:val="20"/>
                <w:szCs w:val="20"/>
                <w:lang w:val="pt-BR"/>
              </w:rPr>
              <w:t>D</w:t>
            </w:r>
            <w:r w:rsidR="00BB1445" w:rsidRPr="00EA4BDD">
              <w:rPr>
                <w:sz w:val="20"/>
                <w:szCs w:val="20"/>
                <w:lang w:val="pt-BR"/>
              </w:rPr>
              <w:t>ª</w:t>
            </w:r>
            <w:proofErr w:type="spellEnd"/>
            <w:r w:rsidRPr="00EA4BDD">
              <w:rPr>
                <w:sz w:val="20"/>
                <w:szCs w:val="20"/>
                <w:lang w:val="pt-BR"/>
              </w:rPr>
              <w:t>. Susana Pérez Represa</w:t>
            </w:r>
          </w:p>
        </w:tc>
      </w:tr>
      <w:tr w:rsidR="006220A2" w:rsidRPr="00EA4BDD" w14:paraId="0AD3DE96" w14:textId="77777777" w:rsidTr="006E6F4D">
        <w:trPr>
          <w:trHeight w:val="1361"/>
        </w:trPr>
        <w:tc>
          <w:tcPr>
            <w:tcW w:w="2500" w:type="pct"/>
            <w:shd w:val="clear" w:color="auto" w:fill="auto"/>
          </w:tcPr>
          <w:p w14:paraId="741BA2BD" w14:textId="77777777" w:rsidR="006220A2" w:rsidRPr="00EA4BDD" w:rsidRDefault="00040D6A" w:rsidP="00C01236">
            <w:pPr>
              <w:jc w:val="center"/>
              <w:rPr>
                <w:sz w:val="20"/>
                <w:szCs w:val="20"/>
                <w:lang w:val="pt-BR"/>
              </w:rPr>
            </w:pPr>
            <w:r w:rsidRPr="00EA4BDD">
              <w:rPr>
                <w:sz w:val="20"/>
                <w:szCs w:val="20"/>
                <w:lang w:val="pt-BR"/>
              </w:rPr>
              <w:t xml:space="preserve">D. Jorge </w:t>
            </w:r>
            <w:proofErr w:type="spellStart"/>
            <w:r w:rsidRPr="00EA4BDD">
              <w:rPr>
                <w:sz w:val="20"/>
                <w:szCs w:val="20"/>
                <w:lang w:val="pt-BR"/>
              </w:rPr>
              <w:t>Marichal</w:t>
            </w:r>
            <w:proofErr w:type="spellEnd"/>
            <w:r w:rsidRPr="00EA4BDD">
              <w:rPr>
                <w:sz w:val="20"/>
                <w:szCs w:val="20"/>
                <w:lang w:val="pt-BR"/>
              </w:rPr>
              <w:t xml:space="preserve"> González</w:t>
            </w:r>
          </w:p>
        </w:tc>
        <w:tc>
          <w:tcPr>
            <w:tcW w:w="2500" w:type="pct"/>
          </w:tcPr>
          <w:p w14:paraId="633F34A7" w14:textId="77777777" w:rsidR="006220A2" w:rsidRPr="00EA4BDD" w:rsidRDefault="00040D6A" w:rsidP="00C01236">
            <w:pPr>
              <w:jc w:val="center"/>
              <w:rPr>
                <w:sz w:val="20"/>
                <w:szCs w:val="20"/>
              </w:rPr>
            </w:pPr>
            <w:r w:rsidRPr="00EA4BDD">
              <w:rPr>
                <w:sz w:val="20"/>
                <w:szCs w:val="20"/>
                <w:lang w:val="pt-BR"/>
              </w:rPr>
              <w:t xml:space="preserve">D. </w:t>
            </w:r>
            <w:proofErr w:type="spellStart"/>
            <w:r w:rsidRPr="00EA4BDD">
              <w:rPr>
                <w:sz w:val="20"/>
                <w:szCs w:val="20"/>
                <w:lang w:val="pt-BR"/>
              </w:rPr>
              <w:t>Antonio</w:t>
            </w:r>
            <w:proofErr w:type="spellEnd"/>
            <w:r w:rsidRPr="00EA4BDD">
              <w:rPr>
                <w:sz w:val="20"/>
                <w:szCs w:val="20"/>
                <w:lang w:val="pt-BR"/>
              </w:rPr>
              <w:t xml:space="preserve"> </w:t>
            </w:r>
            <w:proofErr w:type="spellStart"/>
            <w:r w:rsidRPr="00EA4BDD">
              <w:rPr>
                <w:sz w:val="20"/>
                <w:szCs w:val="20"/>
                <w:lang w:val="pt-BR"/>
              </w:rPr>
              <w:t>Hormiga</w:t>
            </w:r>
            <w:proofErr w:type="spellEnd"/>
            <w:r w:rsidRPr="00EA4BDD">
              <w:rPr>
                <w:sz w:val="20"/>
                <w:szCs w:val="20"/>
                <w:lang w:val="pt-BR"/>
              </w:rPr>
              <w:t xml:space="preserve"> Alonso</w:t>
            </w:r>
          </w:p>
        </w:tc>
      </w:tr>
      <w:tr w:rsidR="00040D6A" w:rsidRPr="00EA4BDD" w14:paraId="08B8A8C8" w14:textId="77777777" w:rsidTr="006E6F4D">
        <w:trPr>
          <w:trHeight w:val="1361"/>
        </w:trPr>
        <w:tc>
          <w:tcPr>
            <w:tcW w:w="2500" w:type="pct"/>
          </w:tcPr>
          <w:p w14:paraId="7D0ED3E4" w14:textId="77777777" w:rsidR="00040D6A" w:rsidRPr="00EA4BDD" w:rsidRDefault="00040D6A" w:rsidP="00C01236">
            <w:pPr>
              <w:jc w:val="center"/>
              <w:rPr>
                <w:sz w:val="20"/>
                <w:szCs w:val="20"/>
              </w:rPr>
            </w:pPr>
            <w:r w:rsidRPr="00EA4BDD">
              <w:rPr>
                <w:sz w:val="20"/>
                <w:szCs w:val="20"/>
                <w:lang w:val="pt-BR"/>
              </w:rPr>
              <w:t>D. José Gilberto Moreno García</w:t>
            </w:r>
          </w:p>
        </w:tc>
        <w:tc>
          <w:tcPr>
            <w:tcW w:w="2500" w:type="pct"/>
          </w:tcPr>
          <w:p w14:paraId="3CE3C2E5" w14:textId="2F98FF54" w:rsidR="00040D6A" w:rsidRPr="00EA4BDD" w:rsidRDefault="00040D6A" w:rsidP="00C01236">
            <w:pPr>
              <w:jc w:val="center"/>
              <w:rPr>
                <w:sz w:val="20"/>
                <w:szCs w:val="20"/>
              </w:rPr>
            </w:pPr>
            <w:r w:rsidRPr="00EA4BDD">
              <w:rPr>
                <w:sz w:val="20"/>
                <w:szCs w:val="20"/>
              </w:rPr>
              <w:t xml:space="preserve">D. </w:t>
            </w:r>
            <w:r w:rsidR="00E40E25" w:rsidRPr="00EA4BDD">
              <w:rPr>
                <w:sz w:val="20"/>
                <w:szCs w:val="20"/>
              </w:rPr>
              <w:t>Luis López Chapi</w:t>
            </w:r>
          </w:p>
        </w:tc>
      </w:tr>
      <w:tr w:rsidR="00040D6A" w:rsidRPr="00EA4BDD" w14:paraId="4D365EE5" w14:textId="77777777" w:rsidTr="006E6F4D">
        <w:trPr>
          <w:trHeight w:val="1361"/>
        </w:trPr>
        <w:tc>
          <w:tcPr>
            <w:tcW w:w="2500" w:type="pct"/>
          </w:tcPr>
          <w:p w14:paraId="2F2FAF1D" w14:textId="4BB48B4F" w:rsidR="00040D6A" w:rsidRPr="00EA4BDD" w:rsidRDefault="00540221">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48"/>
              <w:contextualSpacing/>
              <w:jc w:val="center"/>
              <w:rPr>
                <w:rFonts w:ascii="Arial" w:hAnsi="Arial" w:cs="Arial"/>
                <w:sz w:val="20"/>
                <w:szCs w:val="20"/>
              </w:rPr>
            </w:pPr>
            <w:r w:rsidRPr="00EA4BDD">
              <w:rPr>
                <w:rFonts w:ascii="Arial" w:hAnsi="Arial" w:cs="Arial"/>
                <w:sz w:val="20"/>
                <w:szCs w:val="20"/>
              </w:rPr>
              <w:t xml:space="preserve">Héctor Mateo </w:t>
            </w:r>
            <w:proofErr w:type="spellStart"/>
            <w:r w:rsidRPr="00EA4BDD">
              <w:rPr>
                <w:rFonts w:ascii="Arial" w:hAnsi="Arial" w:cs="Arial"/>
                <w:sz w:val="20"/>
                <w:szCs w:val="20"/>
              </w:rPr>
              <w:t>Castañeyra</w:t>
            </w:r>
            <w:proofErr w:type="spellEnd"/>
          </w:p>
        </w:tc>
        <w:tc>
          <w:tcPr>
            <w:tcW w:w="2500" w:type="pct"/>
          </w:tcPr>
          <w:p w14:paraId="535DB6B0" w14:textId="348D2321" w:rsidR="00040D6A" w:rsidRPr="00EA4BDD" w:rsidRDefault="00040D6A" w:rsidP="00C01236">
            <w:pPr>
              <w:jc w:val="center"/>
              <w:rPr>
                <w:sz w:val="20"/>
                <w:szCs w:val="20"/>
              </w:rPr>
            </w:pPr>
            <w:r w:rsidRPr="00EA4BDD">
              <w:rPr>
                <w:sz w:val="20"/>
                <w:szCs w:val="20"/>
              </w:rPr>
              <w:t xml:space="preserve">D. </w:t>
            </w:r>
            <w:r w:rsidR="00540221" w:rsidRPr="00EA4BDD">
              <w:rPr>
                <w:sz w:val="20"/>
                <w:szCs w:val="20"/>
              </w:rPr>
              <w:t>Miguel Ángel Rodríguez Martínez</w:t>
            </w:r>
          </w:p>
        </w:tc>
      </w:tr>
      <w:tr w:rsidR="00040D6A" w:rsidRPr="00EA4BDD" w14:paraId="33272DC0" w14:textId="77777777" w:rsidTr="006E6F4D">
        <w:trPr>
          <w:trHeight w:val="1361"/>
        </w:trPr>
        <w:tc>
          <w:tcPr>
            <w:tcW w:w="2500" w:type="pct"/>
          </w:tcPr>
          <w:p w14:paraId="39E352AE" w14:textId="7B72A6BE" w:rsidR="00040D6A" w:rsidRPr="00EA4BDD" w:rsidRDefault="00EF311E" w:rsidP="00C01236">
            <w:pPr>
              <w:jc w:val="center"/>
              <w:rPr>
                <w:sz w:val="20"/>
                <w:szCs w:val="20"/>
                <w:lang w:val="pt-BR"/>
              </w:rPr>
            </w:pPr>
            <w:proofErr w:type="spellStart"/>
            <w:r w:rsidRPr="00EA4BDD">
              <w:rPr>
                <w:sz w:val="20"/>
                <w:szCs w:val="20"/>
                <w:lang w:val="pt-BR"/>
              </w:rPr>
              <w:t>Dª</w:t>
            </w:r>
            <w:proofErr w:type="spellEnd"/>
            <w:r w:rsidRPr="00EA4BDD">
              <w:rPr>
                <w:sz w:val="20"/>
                <w:szCs w:val="20"/>
                <w:lang w:val="pt-BR"/>
              </w:rPr>
              <w:t xml:space="preserve">. </w:t>
            </w:r>
            <w:r w:rsidRPr="00EA4BDD">
              <w:rPr>
                <w:sz w:val="20"/>
                <w:szCs w:val="20"/>
              </w:rPr>
              <w:t>María Méndez Castro</w:t>
            </w:r>
          </w:p>
        </w:tc>
        <w:tc>
          <w:tcPr>
            <w:tcW w:w="2500" w:type="pct"/>
          </w:tcPr>
          <w:p w14:paraId="60E7AEBB" w14:textId="77136A2B" w:rsidR="00040D6A" w:rsidRPr="00EA4BDD" w:rsidRDefault="00040D6A" w:rsidP="00C01236">
            <w:pPr>
              <w:jc w:val="center"/>
              <w:rPr>
                <w:sz w:val="20"/>
                <w:szCs w:val="20"/>
                <w:lang w:val="pt-BR"/>
              </w:rPr>
            </w:pPr>
            <w:proofErr w:type="spellStart"/>
            <w:r w:rsidRPr="00EA4BDD">
              <w:rPr>
                <w:sz w:val="20"/>
                <w:szCs w:val="20"/>
                <w:lang w:val="pt-BR"/>
              </w:rPr>
              <w:t>D</w:t>
            </w:r>
            <w:r w:rsidR="001B1738" w:rsidRPr="00EA4BDD">
              <w:rPr>
                <w:sz w:val="20"/>
                <w:szCs w:val="20"/>
                <w:lang w:val="pt-BR"/>
              </w:rPr>
              <w:t>ª</w:t>
            </w:r>
            <w:proofErr w:type="spellEnd"/>
            <w:r w:rsidRPr="00EA4BDD">
              <w:rPr>
                <w:sz w:val="20"/>
                <w:szCs w:val="20"/>
                <w:lang w:val="pt-BR"/>
              </w:rPr>
              <w:t xml:space="preserve">. </w:t>
            </w:r>
            <w:r w:rsidR="00540221" w:rsidRPr="00EA4BDD">
              <w:rPr>
                <w:sz w:val="20"/>
                <w:szCs w:val="20"/>
              </w:rPr>
              <w:t>María Belén Díaz Elías</w:t>
            </w:r>
          </w:p>
        </w:tc>
      </w:tr>
      <w:tr w:rsidR="00040D6A" w:rsidRPr="00E40E25" w14:paraId="3889995B" w14:textId="77777777" w:rsidTr="008C7670">
        <w:trPr>
          <w:trHeight w:val="1361"/>
        </w:trPr>
        <w:tc>
          <w:tcPr>
            <w:tcW w:w="2500" w:type="pct"/>
            <w:tcBorders>
              <w:bottom w:val="single" w:sz="4" w:space="0" w:color="auto"/>
            </w:tcBorders>
          </w:tcPr>
          <w:p w14:paraId="0112F539" w14:textId="453E9741" w:rsidR="00040D6A" w:rsidRPr="00EA4BDD" w:rsidRDefault="00540221" w:rsidP="00C01236">
            <w:pPr>
              <w:jc w:val="center"/>
              <w:rPr>
                <w:sz w:val="20"/>
                <w:szCs w:val="20"/>
              </w:rPr>
            </w:pPr>
            <w:r w:rsidRPr="00EA4BDD">
              <w:rPr>
                <w:sz w:val="20"/>
                <w:szCs w:val="20"/>
              </w:rPr>
              <w:t>Dª. María Isabel Méndez Almenara</w:t>
            </w:r>
          </w:p>
        </w:tc>
        <w:tc>
          <w:tcPr>
            <w:tcW w:w="2500" w:type="pct"/>
            <w:tcBorders>
              <w:bottom w:val="single" w:sz="4" w:space="0" w:color="auto"/>
            </w:tcBorders>
          </w:tcPr>
          <w:p w14:paraId="4F563059" w14:textId="19C7F691" w:rsidR="00040D6A" w:rsidRPr="00EA4BDD" w:rsidRDefault="00040D6A" w:rsidP="00C01236">
            <w:pPr>
              <w:jc w:val="center"/>
              <w:rPr>
                <w:sz w:val="20"/>
                <w:szCs w:val="20"/>
                <w:lang w:val="pt-BR"/>
              </w:rPr>
            </w:pPr>
          </w:p>
        </w:tc>
      </w:tr>
    </w:tbl>
    <w:p w14:paraId="01112712" w14:textId="77777777" w:rsidR="00D95B27" w:rsidRPr="00852114" w:rsidRDefault="00D95B27" w:rsidP="00040D6A">
      <w:pPr>
        <w:pStyle w:val="bullet"/>
        <w:numPr>
          <w:ilvl w:val="0"/>
          <w:numId w:val="0"/>
        </w:numPr>
        <w:rPr>
          <w:sz w:val="20"/>
          <w:szCs w:val="20"/>
          <w:lang w:val="es-ES"/>
        </w:rPr>
      </w:pPr>
    </w:p>
    <w:sectPr w:rsidR="00D95B27" w:rsidRPr="00852114" w:rsidSect="00064105">
      <w:headerReference w:type="default" r:id="rId18"/>
      <w:footerReference w:type="default" r:id="rId19"/>
      <w:pgSz w:w="11900" w:h="16840" w:code="9"/>
      <w:pgMar w:top="1701" w:right="1418" w:bottom="1418" w:left="1701"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D4B5" w14:textId="77777777" w:rsidR="008C0A74" w:rsidRDefault="008C0A74" w:rsidP="00A06021">
      <w:r>
        <w:separator/>
      </w:r>
    </w:p>
  </w:endnote>
  <w:endnote w:type="continuationSeparator" w:id="0">
    <w:p w14:paraId="3ECB2EE5" w14:textId="77777777" w:rsidR="008C0A74" w:rsidRDefault="008C0A74"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G Omega">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Frutiger-Bold">
    <w:altName w:val="Times New Roman"/>
    <w:charset w:val="00"/>
    <w:family w:val="auto"/>
    <w:pitch w:val="variable"/>
    <w:sig w:usb0="800000A3" w:usb1="00000000" w:usb2="00000000" w:usb3="00000000" w:csb0="00000009"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8090" w14:textId="77777777" w:rsidR="00F62F4D" w:rsidRDefault="00F62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3022615"/>
      <w:docPartObj>
        <w:docPartGallery w:val="Page Numbers (Bottom of Page)"/>
        <w:docPartUnique/>
      </w:docPartObj>
    </w:sdtPr>
    <w:sdtEndPr>
      <w:rPr>
        <w:sz w:val="18"/>
        <w:szCs w:val="18"/>
      </w:rPr>
    </w:sdtEndPr>
    <w:sdtContent>
      <w:sdt>
        <w:sdtPr>
          <w:rPr>
            <w:sz w:val="18"/>
            <w:szCs w:val="18"/>
          </w:rPr>
          <w:id w:val="-1259218990"/>
          <w:docPartObj>
            <w:docPartGallery w:val="Page Numbers (Top of Page)"/>
            <w:docPartUnique/>
          </w:docPartObj>
        </w:sdtPr>
        <w:sdtEndPr/>
        <w:sdtContent>
          <w:p w14:paraId="00751285" w14:textId="7BD47D75" w:rsidR="004A2576" w:rsidRPr="002E3C11" w:rsidRDefault="004A2576" w:rsidP="0045206D">
            <w:pPr>
              <w:pStyle w:val="Piedepgina"/>
              <w:jc w:val="right"/>
              <w:rPr>
                <w:sz w:val="18"/>
                <w:szCs w:val="18"/>
              </w:rPr>
            </w:pPr>
            <w:r w:rsidRPr="002E3C11">
              <w:rPr>
                <w:b/>
                <w:noProof/>
                <w:sz w:val="18"/>
                <w:szCs w:val="18"/>
                <w:lang w:eastAsia="es-ES"/>
              </w:rPr>
              <w:drawing>
                <wp:anchor distT="0" distB="0" distL="114300" distR="114300" simplePos="0" relativeHeight="251689984" behindDoc="1" locked="0" layoutInCell="1" allowOverlap="1" wp14:anchorId="5F69B0A1" wp14:editId="74AA03F3">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Pr="002E3C11">
              <w:rPr>
                <w:sz w:val="18"/>
                <w:szCs w:val="18"/>
              </w:rPr>
              <w:t xml:space="preserve">Página </w:t>
            </w:r>
            <w:r w:rsidRPr="002E3C11">
              <w:rPr>
                <w:sz w:val="18"/>
                <w:szCs w:val="18"/>
              </w:rPr>
              <w:fldChar w:fldCharType="begin"/>
            </w:r>
            <w:r w:rsidRPr="002E3C11">
              <w:rPr>
                <w:sz w:val="18"/>
                <w:szCs w:val="18"/>
              </w:rPr>
              <w:instrText>PAGE</w:instrText>
            </w:r>
            <w:r w:rsidRPr="002E3C11">
              <w:rPr>
                <w:sz w:val="18"/>
                <w:szCs w:val="18"/>
              </w:rPr>
              <w:fldChar w:fldCharType="separate"/>
            </w:r>
            <w:r w:rsidRPr="002E3C11">
              <w:rPr>
                <w:noProof/>
                <w:sz w:val="18"/>
                <w:szCs w:val="18"/>
              </w:rPr>
              <w:t>35</w:t>
            </w:r>
            <w:r w:rsidRPr="002E3C11">
              <w:rPr>
                <w:sz w:val="18"/>
                <w:szCs w:val="18"/>
              </w:rPr>
              <w:fldChar w:fldCharType="end"/>
            </w:r>
            <w:r w:rsidRPr="002E3C11">
              <w:rPr>
                <w:sz w:val="18"/>
                <w:szCs w:val="18"/>
              </w:rPr>
              <w:t xml:space="preserve"> de </w:t>
            </w:r>
            <w:r>
              <w:rPr>
                <w:sz w:val="18"/>
                <w:szCs w:val="18"/>
              </w:rPr>
              <w:t>4</w:t>
            </w:r>
            <w:r w:rsidR="00DF4773">
              <w:rPr>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919B" w14:textId="77777777" w:rsidR="004A2576" w:rsidRDefault="004A2576" w:rsidP="001E00FD">
    <w:pPr>
      <w:pStyle w:val="Piedepgina"/>
    </w:pPr>
    <w:r>
      <w:rPr>
        <w:noProof/>
        <w:lang w:eastAsia="es-ES"/>
      </w:rPr>
      <w:drawing>
        <wp:anchor distT="0" distB="0" distL="114300" distR="114300" simplePos="0" relativeHeight="251681792" behindDoc="1" locked="0" layoutInCell="1" allowOverlap="1" wp14:anchorId="7874F6C5" wp14:editId="3A2BDF46">
          <wp:simplePos x="0" y="0"/>
          <wp:positionH relativeFrom="column">
            <wp:posOffset>-486270</wp:posOffset>
          </wp:positionH>
          <wp:positionV relativeFrom="page">
            <wp:posOffset>9611173</wp:posOffset>
          </wp:positionV>
          <wp:extent cx="7111365" cy="10452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206407"/>
      <w:docPartObj>
        <w:docPartGallery w:val="Page Numbers (Bottom of Page)"/>
        <w:docPartUnique/>
      </w:docPartObj>
    </w:sdtPr>
    <w:sdtEndPr/>
    <w:sdtContent>
      <w:p w14:paraId="6A53E1AC" w14:textId="69D1DB97" w:rsidR="004A2576" w:rsidRPr="00E34164" w:rsidRDefault="0059131C" w:rsidP="0073325C">
        <w:pPr>
          <w:pStyle w:val="Piedepgina"/>
          <w:jc w:val="right"/>
          <w:rPr>
            <w:sz w:val="18"/>
            <w:szCs w:val="18"/>
          </w:rPr>
        </w:pPr>
        <w:sdt>
          <w:sdtPr>
            <w:rPr>
              <w:sz w:val="18"/>
              <w:szCs w:val="18"/>
            </w:rPr>
            <w:id w:val="365097293"/>
            <w:docPartObj>
              <w:docPartGallery w:val="Page Numbers (Top of Page)"/>
              <w:docPartUnique/>
            </w:docPartObj>
          </w:sdtPr>
          <w:sdtEndPr/>
          <w:sdtContent>
            <w:r w:rsidR="004A2576" w:rsidRPr="00E34164">
              <w:rPr>
                <w:b/>
                <w:noProof/>
                <w:sz w:val="18"/>
                <w:szCs w:val="18"/>
                <w:lang w:eastAsia="es-ES"/>
              </w:rPr>
              <w:drawing>
                <wp:anchor distT="0" distB="0" distL="114300" distR="114300" simplePos="0" relativeHeight="251694080" behindDoc="1" locked="0" layoutInCell="1" allowOverlap="1" wp14:anchorId="7DBBE055" wp14:editId="2B9A0C60">
                  <wp:simplePos x="0" y="0"/>
                  <wp:positionH relativeFrom="page">
                    <wp:posOffset>-124970</wp:posOffset>
                  </wp:positionH>
                  <wp:positionV relativeFrom="paragraph">
                    <wp:posOffset>975581</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sidR="004A2576" w:rsidRPr="00E34164">
              <w:rPr>
                <w:sz w:val="18"/>
                <w:szCs w:val="18"/>
              </w:rPr>
              <w:t xml:space="preserve">Página </w:t>
            </w:r>
            <w:r w:rsidR="004A2576" w:rsidRPr="00E34164">
              <w:rPr>
                <w:sz w:val="18"/>
                <w:szCs w:val="18"/>
              </w:rPr>
              <w:fldChar w:fldCharType="begin"/>
            </w:r>
            <w:r w:rsidR="004A2576" w:rsidRPr="00E34164">
              <w:rPr>
                <w:sz w:val="18"/>
                <w:szCs w:val="18"/>
              </w:rPr>
              <w:instrText>PAGE</w:instrText>
            </w:r>
            <w:r w:rsidR="004A2576" w:rsidRPr="00E34164">
              <w:rPr>
                <w:sz w:val="18"/>
                <w:szCs w:val="18"/>
              </w:rPr>
              <w:fldChar w:fldCharType="separate"/>
            </w:r>
            <w:r w:rsidR="004A2576" w:rsidRPr="00E34164">
              <w:rPr>
                <w:noProof/>
                <w:sz w:val="18"/>
                <w:szCs w:val="18"/>
              </w:rPr>
              <w:t>36</w:t>
            </w:r>
            <w:r w:rsidR="004A2576" w:rsidRPr="00E34164">
              <w:rPr>
                <w:sz w:val="18"/>
                <w:szCs w:val="18"/>
              </w:rPr>
              <w:fldChar w:fldCharType="end"/>
            </w:r>
            <w:r w:rsidR="004A2576" w:rsidRPr="00E34164">
              <w:rPr>
                <w:sz w:val="18"/>
                <w:szCs w:val="18"/>
              </w:rPr>
              <w:t xml:space="preserve"> de </w:t>
            </w:r>
            <w:r w:rsidR="004A2576">
              <w:rPr>
                <w:sz w:val="18"/>
                <w:szCs w:val="18"/>
              </w:rPr>
              <w:t>4</w:t>
            </w:r>
            <w:r w:rsidR="00DF4773">
              <w:rPr>
                <w:sz w:val="18"/>
                <w:szCs w:val="18"/>
              </w:rPr>
              <w:t>7</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BA09" w14:textId="77777777" w:rsidR="008C0A74" w:rsidRDefault="008C0A74" w:rsidP="00A06021">
      <w:r>
        <w:separator/>
      </w:r>
    </w:p>
  </w:footnote>
  <w:footnote w:type="continuationSeparator" w:id="0">
    <w:p w14:paraId="3484A989" w14:textId="77777777" w:rsidR="008C0A74" w:rsidRDefault="008C0A74"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435C" w14:textId="77777777" w:rsidR="00F62F4D" w:rsidRDefault="00F62F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A4D4" w14:textId="77777777" w:rsidR="004A2576" w:rsidRDefault="004A2576" w:rsidP="003849D9">
    <w:pPr>
      <w:pStyle w:val="Encabezado"/>
      <w:rPr>
        <w:b/>
        <w:snapToGrid w:val="0"/>
        <w:sz w:val="20"/>
      </w:rPr>
    </w:pPr>
    <w:r>
      <w:rPr>
        <w:b/>
        <w:noProof/>
        <w:lang w:eastAsia="es-ES"/>
      </w:rPr>
      <w:drawing>
        <wp:anchor distT="0" distB="0" distL="114300" distR="114300" simplePos="0" relativeHeight="251686911" behindDoc="1" locked="0" layoutInCell="1" allowOverlap="1" wp14:anchorId="065374C5" wp14:editId="02709AE2">
          <wp:simplePos x="0" y="0"/>
          <wp:positionH relativeFrom="page">
            <wp:posOffset>10063</wp:posOffset>
          </wp:positionH>
          <wp:positionV relativeFrom="paragraph">
            <wp:posOffset>-728735</wp:posOffset>
          </wp:positionV>
          <wp:extent cx="6972300" cy="108172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2300" cy="1081720"/>
                  </a:xfrm>
                  <a:prstGeom prst="rect">
                    <a:avLst/>
                  </a:prstGeom>
                </pic:spPr>
              </pic:pic>
            </a:graphicData>
          </a:graphic>
          <wp14:sizeRelH relativeFrom="page">
            <wp14:pctWidth>0</wp14:pctWidth>
          </wp14:sizeRelH>
          <wp14:sizeRelV relativeFrom="page">
            <wp14:pctHeight>0</wp14:pctHeight>
          </wp14:sizeRelV>
        </wp:anchor>
      </w:drawing>
    </w:r>
  </w:p>
  <w:p w14:paraId="18D63D59" w14:textId="32598AB5" w:rsidR="004A2576" w:rsidRPr="004A41D6" w:rsidRDefault="004A2576" w:rsidP="003849D9">
    <w:pPr>
      <w:pStyle w:val="Encabezado"/>
      <w:rPr>
        <w:iCs/>
        <w:sz w:val="16"/>
        <w:szCs w:val="16"/>
      </w:rPr>
    </w:pPr>
    <w:r w:rsidRPr="004A41D6">
      <w:rPr>
        <w:iCs/>
        <w:snapToGrid w:val="0"/>
        <w:sz w:val="16"/>
        <w:szCs w:val="16"/>
      </w:rPr>
      <w:t xml:space="preserve">Cuentas </w:t>
    </w:r>
    <w:r w:rsidR="001B5A15">
      <w:rPr>
        <w:iCs/>
        <w:snapToGrid w:val="0"/>
        <w:sz w:val="16"/>
        <w:szCs w:val="16"/>
      </w:rPr>
      <w:t>a</w:t>
    </w:r>
    <w:r w:rsidRPr="004A41D6">
      <w:rPr>
        <w:iCs/>
        <w:snapToGrid w:val="0"/>
        <w:sz w:val="16"/>
        <w:szCs w:val="16"/>
      </w:rPr>
      <w:t>nuales de PROMOTUR TURISMO CANARIAS, S.A. – Ejercicio 202</w:t>
    </w:r>
    <w:r w:rsidR="00833E13">
      <w:rPr>
        <w:iCs/>
        <w:snapToGrid w:val="0"/>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9807" w14:textId="77777777" w:rsidR="004A2576" w:rsidRDefault="004A2576" w:rsidP="00A06021">
    <w:pPr>
      <w:pStyle w:val="Encabezado"/>
    </w:pPr>
    <w:r>
      <w:rPr>
        <w:b/>
        <w:noProof/>
        <w:lang w:eastAsia="es-ES"/>
      </w:rPr>
      <w:drawing>
        <wp:anchor distT="0" distB="0" distL="114300" distR="114300" simplePos="0" relativeHeight="251679744" behindDoc="1" locked="0" layoutInCell="1" allowOverlap="1" wp14:anchorId="39667DF5" wp14:editId="2BFB036F">
          <wp:simplePos x="0" y="0"/>
          <wp:positionH relativeFrom="page">
            <wp:align>right</wp:align>
          </wp:positionH>
          <wp:positionV relativeFrom="paragraph">
            <wp:posOffset>-1015776</wp:posOffset>
          </wp:positionV>
          <wp:extent cx="7679055" cy="1078230"/>
          <wp:effectExtent l="0" t="0" r="0" b="0"/>
          <wp:wrapTight wrapText="bothSides">
            <wp:wrapPolygon edited="0">
              <wp:start x="3161" y="6106"/>
              <wp:lineTo x="3161" y="16792"/>
              <wp:lineTo x="3483" y="16792"/>
              <wp:lineTo x="18219" y="15265"/>
              <wp:lineTo x="18219" y="12212"/>
              <wp:lineTo x="17415" y="9541"/>
              <wp:lineTo x="16075" y="6106"/>
              <wp:lineTo x="3161" y="6106"/>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9055" cy="1078230"/>
                  </a:xfrm>
                  <a:prstGeom prst="rect">
                    <a:avLst/>
                  </a:prstGeom>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6432" behindDoc="1" locked="1" layoutInCell="1" allowOverlap="1" wp14:anchorId="57BF9496" wp14:editId="6BB42178">
          <wp:simplePos x="0" y="0"/>
          <wp:positionH relativeFrom="column">
            <wp:posOffset>-1102995</wp:posOffset>
          </wp:positionH>
          <wp:positionV relativeFrom="page">
            <wp:posOffset>1697990</wp:posOffset>
          </wp:positionV>
          <wp:extent cx="640715" cy="69475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5514" w14:textId="0FADEDC9" w:rsidR="004A2576" w:rsidRPr="00064105" w:rsidRDefault="004A2576" w:rsidP="003849D9">
    <w:pPr>
      <w:pStyle w:val="Encabezado"/>
      <w:rPr>
        <w:iCs/>
        <w:snapToGrid w:val="0"/>
        <w:sz w:val="16"/>
        <w:szCs w:val="16"/>
      </w:rPr>
    </w:pPr>
    <w:r>
      <w:rPr>
        <w:b/>
        <w:noProof/>
        <w:lang w:eastAsia="es-ES"/>
      </w:rPr>
      <w:drawing>
        <wp:anchor distT="0" distB="0" distL="114300" distR="114300" simplePos="0" relativeHeight="251687936" behindDoc="1" locked="0" layoutInCell="1" allowOverlap="1" wp14:anchorId="62BD342C" wp14:editId="5B486D50">
          <wp:simplePos x="0" y="0"/>
          <wp:positionH relativeFrom="page">
            <wp:posOffset>-100965</wp:posOffset>
          </wp:positionH>
          <wp:positionV relativeFrom="paragraph">
            <wp:posOffset>-842645</wp:posOffset>
          </wp:positionV>
          <wp:extent cx="7531100" cy="105745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1057455"/>
                  </a:xfrm>
                  <a:prstGeom prst="rect">
                    <a:avLst/>
                  </a:prstGeom>
                </pic:spPr>
              </pic:pic>
            </a:graphicData>
          </a:graphic>
          <wp14:sizeRelH relativeFrom="page">
            <wp14:pctWidth>0</wp14:pctWidth>
          </wp14:sizeRelH>
          <wp14:sizeRelV relativeFrom="page">
            <wp14:pctHeight>0</wp14:pctHeight>
          </wp14:sizeRelV>
        </wp:anchor>
      </w:drawing>
    </w:r>
    <w:r w:rsidRPr="00064105">
      <w:rPr>
        <w:iCs/>
        <w:snapToGrid w:val="0"/>
        <w:sz w:val="16"/>
        <w:szCs w:val="16"/>
      </w:rPr>
      <w:t xml:space="preserve">Informe de Gestión de </w:t>
    </w:r>
    <w:r w:rsidRPr="004A41D6">
      <w:rPr>
        <w:iCs/>
        <w:snapToGrid w:val="0"/>
        <w:sz w:val="16"/>
        <w:szCs w:val="16"/>
      </w:rPr>
      <w:t>PROMOTUR TURISMO CANARIAS, S.A. – Ejercicio 202</w:t>
    </w:r>
    <w:r w:rsidR="007A7245">
      <w:rPr>
        <w:iCs/>
        <w:snapToGrid w:val="0"/>
        <w:sz w:val="16"/>
        <w:szCs w:val="16"/>
      </w:rPr>
      <w:t>3</w:t>
    </w:r>
  </w:p>
  <w:p w14:paraId="1984A38E" w14:textId="46DDCFE8" w:rsidR="004A2576" w:rsidRPr="00A75530" w:rsidRDefault="004A2576" w:rsidP="003849D9">
    <w:pPr>
      <w:pStyle w:val="Encabezado"/>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19FD" w14:textId="77777777" w:rsidR="004A2576" w:rsidRDefault="004A2576" w:rsidP="003849D9">
    <w:pPr>
      <w:pStyle w:val="Encabezado"/>
    </w:pPr>
    <w:r>
      <w:rPr>
        <w:b/>
        <w:noProof/>
        <w:lang w:eastAsia="es-ES"/>
      </w:rPr>
      <w:drawing>
        <wp:anchor distT="0" distB="0" distL="114300" distR="114300" simplePos="0" relativeHeight="251692032" behindDoc="1" locked="0" layoutInCell="1" allowOverlap="1" wp14:anchorId="56D1A75D" wp14:editId="5F22D9E5">
          <wp:simplePos x="0" y="0"/>
          <wp:positionH relativeFrom="page">
            <wp:posOffset>-132715</wp:posOffset>
          </wp:positionH>
          <wp:positionV relativeFrom="paragraph">
            <wp:posOffset>-787400</wp:posOffset>
          </wp:positionV>
          <wp:extent cx="7435850" cy="1043940"/>
          <wp:effectExtent l="0" t="0" r="0" b="0"/>
          <wp:wrapTight wrapText="bothSides">
            <wp:wrapPolygon edited="0">
              <wp:start x="3154" y="6307"/>
              <wp:lineTo x="3154" y="16555"/>
              <wp:lineTo x="3542" y="16555"/>
              <wp:lineTo x="18206" y="14978"/>
              <wp:lineTo x="18206" y="11825"/>
              <wp:lineTo x="17653" y="10248"/>
              <wp:lineTo x="16103" y="6307"/>
              <wp:lineTo x="3154" y="6307"/>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5850" cy="1043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95946"/>
    <w:multiLevelType w:val="hybridMultilevel"/>
    <w:tmpl w:val="3086D8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B6790"/>
    <w:multiLevelType w:val="multilevel"/>
    <w:tmpl w:val="07860056"/>
    <w:lvl w:ilvl="0">
      <w:start w:val="1"/>
      <w:numFmt w:val="decimal"/>
      <w:lvlText w:val="%1"/>
      <w:lvlJc w:val="left"/>
      <w:pPr>
        <w:ind w:left="405" w:hanging="405"/>
      </w:pPr>
      <w:rPr>
        <w:rFonts w:hint="default"/>
        <w:b/>
        <w:sz w:val="24"/>
      </w:rPr>
    </w:lvl>
    <w:lvl w:ilvl="1">
      <w:start w:val="1"/>
      <w:numFmt w:val="decimal"/>
      <w:lvlText w:val="%1.%2"/>
      <w:lvlJc w:val="left"/>
      <w:pPr>
        <w:ind w:left="405" w:hanging="405"/>
      </w:pPr>
      <w:rPr>
        <w:rFonts w:ascii="Arial" w:hAnsi="Arial" w:cs="Arial" w:hint="default"/>
        <w:b/>
        <w:sz w:val="20"/>
        <w:szCs w:val="20"/>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2" w15:restartNumberingAfterBreak="0">
    <w:nsid w:val="07B431FF"/>
    <w:multiLevelType w:val="hybridMultilevel"/>
    <w:tmpl w:val="8A2EB29E"/>
    <w:lvl w:ilvl="0" w:tplc="2A3CB45A">
      <w:start w:val="1"/>
      <w:numFmt w:val="lowerLetter"/>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384BC0"/>
    <w:multiLevelType w:val="hybridMultilevel"/>
    <w:tmpl w:val="873ED2AA"/>
    <w:lvl w:ilvl="0" w:tplc="63760D8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5" w15:restartNumberingAfterBreak="0">
    <w:nsid w:val="0EA628A0"/>
    <w:multiLevelType w:val="hybridMultilevel"/>
    <w:tmpl w:val="59D0188C"/>
    <w:styleLink w:val="Estiloimportado6"/>
    <w:lvl w:ilvl="0" w:tplc="3BA46934">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AB4900A">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DF85DB4">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21F62E6C">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9D0318E">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604A5F0">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84240324">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820C29C">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68AC22F2">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7" w15:restartNumberingAfterBreak="0">
    <w:nsid w:val="12B60594"/>
    <w:multiLevelType w:val="multilevel"/>
    <w:tmpl w:val="02F0F144"/>
    <w:lvl w:ilvl="0">
      <w:start w:val="1"/>
      <w:numFmt w:val="decimal"/>
      <w:lvlText w:val="%1"/>
      <w:lvlJc w:val="left"/>
      <w:pPr>
        <w:tabs>
          <w:tab w:val="num" w:pos="595"/>
        </w:tabs>
        <w:ind w:left="595" w:hanging="595"/>
      </w:pPr>
    </w:lvl>
    <w:lvl w:ilvl="1">
      <w:start w:val="1"/>
      <w:numFmt w:val="decimal"/>
      <w:pStyle w:val="Listaconnmeros4"/>
      <w:lvlText w:val="%2"/>
      <w:lvlJc w:val="left"/>
      <w:pPr>
        <w:tabs>
          <w:tab w:val="num" w:pos="1191"/>
        </w:tabs>
        <w:ind w:left="1191" w:hanging="595"/>
      </w:pPr>
    </w:lvl>
    <w:lvl w:ilvl="2">
      <w:start w:val="1"/>
      <w:numFmt w:val="decimal"/>
      <w:pStyle w:val="Listaconnmeros5"/>
      <w:lvlText w:val="%3"/>
      <w:lvlJc w:val="left"/>
      <w:pPr>
        <w:tabs>
          <w:tab w:val="num" w:pos="1786"/>
        </w:tabs>
        <w:ind w:left="1786" w:hanging="595"/>
      </w:pPr>
    </w:lvl>
    <w:lvl w:ilvl="3">
      <w:start w:val="1"/>
      <w:numFmt w:val="decimal"/>
      <w:pStyle w:val="Listaconnmeros4"/>
      <w:lvlText w:val="%4"/>
      <w:lvlJc w:val="left"/>
      <w:pPr>
        <w:tabs>
          <w:tab w:val="num" w:pos="2381"/>
        </w:tabs>
        <w:ind w:left="2381" w:hanging="595"/>
      </w:pPr>
    </w:lvl>
    <w:lvl w:ilvl="4">
      <w:start w:val="1"/>
      <w:numFmt w:val="decimal"/>
      <w:pStyle w:val="Listaconnmeros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15:restartNumberingAfterBreak="0">
    <w:nsid w:val="12CC4C02"/>
    <w:multiLevelType w:val="hybridMultilevel"/>
    <w:tmpl w:val="696E1272"/>
    <w:styleLink w:val="Estiloimportado7"/>
    <w:lvl w:ilvl="0" w:tplc="060C7B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686A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CEB8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C4A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9AB8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C0BE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E0F2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DAD5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D45C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A67DC1"/>
    <w:multiLevelType w:val="hybridMultilevel"/>
    <w:tmpl w:val="EA08F104"/>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B11AF5"/>
    <w:multiLevelType w:val="hybridMultilevel"/>
    <w:tmpl w:val="CE6CAF38"/>
    <w:styleLink w:val="Estiloimportado2"/>
    <w:lvl w:ilvl="0" w:tplc="7442A4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6B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5E40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BE55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DE09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10FC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8494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92E1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D463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A86429"/>
    <w:multiLevelType w:val="hybridMultilevel"/>
    <w:tmpl w:val="6A7A424E"/>
    <w:styleLink w:val="Nmero"/>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b/>
        <w:bCs/>
        <w:caps w:val="0"/>
        <w:smallCaps w:val="0"/>
        <w:strike w:val="0"/>
        <w:dstrike w:val="0"/>
        <w:outline w:val="0"/>
        <w:emboss w:val="0"/>
        <w:imprint w:val="0"/>
        <w:spacing w:val="0"/>
        <w:w w:val="100"/>
        <w:kern w:val="0"/>
        <w:position w:val="0"/>
        <w:highlight w:val="none"/>
        <w:vertAlign w:val="baseline"/>
      </w:rPr>
    </w:lvl>
    <w:lvl w:ilvl="1" w:tplc="26863B9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841AD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7666B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DC3AA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FB0F1D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27A1A3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6A653AE">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BC5D3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1C754A7"/>
    <w:multiLevelType w:val="hybridMultilevel"/>
    <w:tmpl w:val="C69CF8E0"/>
    <w:styleLink w:val="Estiloimportado8"/>
    <w:lvl w:ilvl="0" w:tplc="6C2ADE76">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C22086">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E1A5CBC">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1E4C93EA">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9E22054">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C1E9474">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BB089FBE">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EAE9666">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BF2B138">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1CD3AF1"/>
    <w:multiLevelType w:val="hybridMultilevel"/>
    <w:tmpl w:val="EA569B2C"/>
    <w:lvl w:ilvl="0" w:tplc="CA74425E">
      <w:start w:val="3"/>
      <w:numFmt w:val="lowerLetter"/>
      <w:lvlText w:val="%1)"/>
      <w:lvlJc w:val="left"/>
      <w:pPr>
        <w:ind w:left="644"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7"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4652A0"/>
    <w:multiLevelType w:val="hybridMultilevel"/>
    <w:tmpl w:val="37AC1A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1F439E"/>
    <w:multiLevelType w:val="hybridMultilevel"/>
    <w:tmpl w:val="9F56135C"/>
    <w:styleLink w:val="Estiloimportado5"/>
    <w:lvl w:ilvl="0" w:tplc="083424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DE39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38E3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589F6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5019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807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02C2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3AB5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EEB3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85D330C"/>
    <w:multiLevelType w:val="hybridMultilevel"/>
    <w:tmpl w:val="689E0556"/>
    <w:lvl w:ilvl="0" w:tplc="BE623DA2">
      <w:start w:val="1"/>
      <w:numFmt w:val="decimal"/>
      <w:lvlText w:val="%1."/>
      <w:lvlJc w:val="left"/>
      <w:pPr>
        <w:tabs>
          <w:tab w:val="num" w:pos="360"/>
        </w:tabs>
        <w:ind w:left="360" w:hanging="360"/>
      </w:pPr>
      <w:rPr>
        <w:rFonts w:hint="default"/>
        <w:b/>
        <w:i w:val="0"/>
        <w:sz w:val="20"/>
        <w:szCs w:val="22"/>
      </w:rPr>
    </w:lvl>
    <w:lvl w:ilvl="1" w:tplc="E8443EE8">
      <w:start w:val="1"/>
      <w:numFmt w:val="lowerRoman"/>
      <w:lvlText w:val="(%2)"/>
      <w:lvlJc w:val="left"/>
      <w:pPr>
        <w:tabs>
          <w:tab w:val="num" w:pos="1800"/>
        </w:tabs>
        <w:ind w:left="1800" w:hanging="720"/>
      </w:pPr>
      <w:rPr>
        <w:rFonts w:hint="default"/>
        <w:b w:val="0"/>
        <w:i/>
        <w:sz w:val="20"/>
        <w:szCs w:val="20"/>
      </w:rPr>
    </w:lvl>
    <w:lvl w:ilvl="2" w:tplc="7C52E0C4">
      <w:start w:val="1"/>
      <w:numFmt w:val="lowerRoman"/>
      <w:lvlText w:val="(%3)"/>
      <w:lvlJc w:val="left"/>
      <w:pPr>
        <w:tabs>
          <w:tab w:val="num" w:pos="2700"/>
        </w:tabs>
        <w:ind w:left="2700" w:hanging="720"/>
      </w:pPr>
      <w:rPr>
        <w:rFonts w:hint="default"/>
        <w:b w:val="0"/>
        <w:i/>
        <w:sz w:val="20"/>
        <w:szCs w:val="20"/>
      </w:rPr>
    </w:lvl>
    <w:lvl w:ilvl="3" w:tplc="303CB2E4">
      <w:start w:val="1"/>
      <w:numFmt w:val="lowerLetter"/>
      <w:lvlText w:val="%4)"/>
      <w:lvlJc w:val="left"/>
      <w:pPr>
        <w:ind w:left="2880" w:hanging="360"/>
      </w:pPr>
      <w:rPr>
        <w:rFonts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8C6330"/>
    <w:multiLevelType w:val="hybridMultilevel"/>
    <w:tmpl w:val="2506D886"/>
    <w:lvl w:ilvl="0" w:tplc="0BEA6550">
      <w:start w:val="1"/>
      <w:numFmt w:val="lowerLetter"/>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ED962B4"/>
    <w:multiLevelType w:val="multilevel"/>
    <w:tmpl w:val="C29698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381ACF"/>
    <w:multiLevelType w:val="hybridMultilevel"/>
    <w:tmpl w:val="73589C56"/>
    <w:lvl w:ilvl="0" w:tplc="7BB8A4B2">
      <w:start w:val="1"/>
      <w:numFmt w:val="lowerLetter"/>
      <w:lvlText w:val="%1)"/>
      <w:lvlJc w:val="left"/>
      <w:pPr>
        <w:tabs>
          <w:tab w:val="num" w:pos="360"/>
        </w:tabs>
        <w:ind w:left="360" w:hanging="360"/>
      </w:pPr>
      <w:rPr>
        <w:rFonts w:hint="default"/>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6533332C"/>
    <w:multiLevelType w:val="hybridMultilevel"/>
    <w:tmpl w:val="D200C1D0"/>
    <w:styleLink w:val="Estiloimportado4"/>
    <w:lvl w:ilvl="0" w:tplc="046017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A0DC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84A1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92ED4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AC86F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06E43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D688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3247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FA2B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3A2A41"/>
    <w:multiLevelType w:val="hybridMultilevel"/>
    <w:tmpl w:val="B34E4D14"/>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191874"/>
    <w:multiLevelType w:val="hybridMultilevel"/>
    <w:tmpl w:val="7F58D8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3B263D"/>
    <w:multiLevelType w:val="hybridMultilevel"/>
    <w:tmpl w:val="57A6D806"/>
    <w:lvl w:ilvl="0" w:tplc="0C0A0017">
      <w:start w:val="1"/>
      <w:numFmt w:val="lowerLetter"/>
      <w:lvlText w:val="%1)"/>
      <w:lvlJc w:val="left"/>
      <w:pPr>
        <w:ind w:left="720" w:hanging="360"/>
      </w:pPr>
    </w:lvl>
    <w:lvl w:ilvl="1" w:tplc="DC10118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6F1037"/>
    <w:multiLevelType w:val="hybridMultilevel"/>
    <w:tmpl w:val="8C8E942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7486167"/>
    <w:multiLevelType w:val="hybridMultilevel"/>
    <w:tmpl w:val="273C8294"/>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3113DD"/>
    <w:multiLevelType w:val="hybridMultilevel"/>
    <w:tmpl w:val="EDD8F5B2"/>
    <w:lvl w:ilvl="0" w:tplc="E0969FD4">
      <w:start w:val="1"/>
      <w:numFmt w:val="lowerLetter"/>
      <w:lvlText w:val="%1)"/>
      <w:lvlJc w:val="left"/>
      <w:pPr>
        <w:ind w:left="3479"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FD97A91"/>
    <w:multiLevelType w:val="multilevel"/>
    <w:tmpl w:val="95763550"/>
    <w:lvl w:ilvl="0">
      <w:numFmt w:val="decimal"/>
      <w:lvlText w:val="%1."/>
      <w:lvlJc w:val="left"/>
      <w:pPr>
        <w:ind w:left="360" w:hanging="360"/>
      </w:pPr>
      <w:rPr>
        <w:rFonts w:hint="default"/>
      </w:rPr>
    </w:lvl>
    <w:lvl w:ilvl="1">
      <w:start w:val="2"/>
      <w:numFmt w:val="decimal"/>
      <w:isLgl/>
      <w:lvlText w:val="%1.%2"/>
      <w:lvlJc w:val="left"/>
      <w:pPr>
        <w:ind w:left="405" w:hanging="405"/>
      </w:pPr>
      <w:rPr>
        <w:rFonts w:ascii="Arial" w:hAnsi="Arial" w:cs="Arial" w:hint="default"/>
        <w:b/>
        <w:sz w:val="20"/>
        <w:szCs w:val="20"/>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1080" w:hanging="108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440" w:hanging="144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800" w:hanging="1800"/>
      </w:pPr>
      <w:rPr>
        <w:rFonts w:hint="default"/>
        <w:b/>
        <w:sz w:val="24"/>
      </w:rPr>
    </w:lvl>
    <w:lvl w:ilvl="8">
      <w:start w:val="1"/>
      <w:numFmt w:val="decimal"/>
      <w:isLgl/>
      <w:lvlText w:val="%1.%2.%3.%4.%5.%6.%7.%8.%9"/>
      <w:lvlJc w:val="left"/>
      <w:pPr>
        <w:ind w:left="1800" w:hanging="1800"/>
      </w:pPr>
      <w:rPr>
        <w:rFonts w:hint="default"/>
        <w:b/>
        <w:sz w:val="24"/>
      </w:rPr>
    </w:lvl>
  </w:abstractNum>
  <w:num w:numId="1" w16cid:durableId="722758381">
    <w:abstractNumId w:val="17"/>
  </w:num>
  <w:num w:numId="2" w16cid:durableId="109053610">
    <w:abstractNumId w:val="6"/>
  </w:num>
  <w:num w:numId="3" w16cid:durableId="387536466">
    <w:abstractNumId w:val="26"/>
  </w:num>
  <w:num w:numId="4" w16cid:durableId="1123885038">
    <w:abstractNumId w:val="10"/>
  </w:num>
  <w:num w:numId="5" w16cid:durableId="297539902">
    <w:abstractNumId w:val="12"/>
  </w:num>
  <w:num w:numId="6" w16cid:durableId="635600114">
    <w:abstractNumId w:val="20"/>
  </w:num>
  <w:num w:numId="7" w16cid:durableId="2045668522">
    <w:abstractNumId w:val="7"/>
  </w:num>
  <w:num w:numId="8" w16cid:durableId="1813327691">
    <w:abstractNumId w:val="4"/>
  </w:num>
  <w:num w:numId="9" w16cid:durableId="1177189884">
    <w:abstractNumId w:val="16"/>
  </w:num>
  <w:num w:numId="10" w16cid:durableId="513110193">
    <w:abstractNumId w:val="9"/>
  </w:num>
  <w:num w:numId="11" w16cid:durableId="214127020">
    <w:abstractNumId w:val="2"/>
  </w:num>
  <w:num w:numId="12" w16cid:durableId="820460788">
    <w:abstractNumId w:val="23"/>
  </w:num>
  <w:num w:numId="13" w16cid:durableId="1352492174">
    <w:abstractNumId w:val="21"/>
  </w:num>
  <w:num w:numId="14" w16cid:durableId="1926185966">
    <w:abstractNumId w:val="31"/>
  </w:num>
  <w:num w:numId="15" w16cid:durableId="847253538">
    <w:abstractNumId w:val="25"/>
  </w:num>
  <w:num w:numId="16" w16cid:durableId="415395877">
    <w:abstractNumId w:val="22"/>
  </w:num>
  <w:num w:numId="17" w16cid:durableId="958072182">
    <w:abstractNumId w:val="30"/>
  </w:num>
  <w:num w:numId="18" w16cid:durableId="168956788">
    <w:abstractNumId w:val="15"/>
  </w:num>
  <w:num w:numId="19" w16cid:durableId="753286434">
    <w:abstractNumId w:val="13"/>
  </w:num>
  <w:num w:numId="20" w16cid:durableId="1906408018">
    <w:abstractNumId w:val="11"/>
  </w:num>
  <w:num w:numId="21" w16cid:durableId="405996981">
    <w:abstractNumId w:val="24"/>
  </w:num>
  <w:num w:numId="22" w16cid:durableId="2023891607">
    <w:abstractNumId w:val="19"/>
  </w:num>
  <w:num w:numId="23" w16cid:durableId="581986252">
    <w:abstractNumId w:val="5"/>
  </w:num>
  <w:num w:numId="24" w16cid:durableId="1844053439">
    <w:abstractNumId w:val="8"/>
  </w:num>
  <w:num w:numId="25" w16cid:durableId="801581117">
    <w:abstractNumId w:val="14"/>
  </w:num>
  <w:num w:numId="26" w16cid:durableId="1994945391">
    <w:abstractNumId w:val="28"/>
  </w:num>
  <w:num w:numId="27" w16cid:durableId="31081225">
    <w:abstractNumId w:val="32"/>
  </w:num>
  <w:num w:numId="28" w16cid:durableId="1653560466">
    <w:abstractNumId w:val="0"/>
  </w:num>
  <w:num w:numId="29" w16cid:durableId="863640442">
    <w:abstractNumId w:val="1"/>
  </w:num>
  <w:num w:numId="30" w16cid:durableId="999046405">
    <w:abstractNumId w:val="27"/>
  </w:num>
  <w:num w:numId="31" w16cid:durableId="773017847">
    <w:abstractNumId w:val="3"/>
  </w:num>
  <w:num w:numId="32" w16cid:durableId="926770582">
    <w:abstractNumId w:val="29"/>
  </w:num>
  <w:num w:numId="33" w16cid:durableId="138236007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A2"/>
    <w:rsid w:val="000027F9"/>
    <w:rsid w:val="000047D6"/>
    <w:rsid w:val="00004C93"/>
    <w:rsid w:val="00005631"/>
    <w:rsid w:val="00006A70"/>
    <w:rsid w:val="0000769D"/>
    <w:rsid w:val="00013C46"/>
    <w:rsid w:val="00014555"/>
    <w:rsid w:val="00022891"/>
    <w:rsid w:val="00022F57"/>
    <w:rsid w:val="00023227"/>
    <w:rsid w:val="00023F96"/>
    <w:rsid w:val="000268CE"/>
    <w:rsid w:val="000269F0"/>
    <w:rsid w:val="00026BFA"/>
    <w:rsid w:val="00030521"/>
    <w:rsid w:val="000322A4"/>
    <w:rsid w:val="00035595"/>
    <w:rsid w:val="00037346"/>
    <w:rsid w:val="00037561"/>
    <w:rsid w:val="00040D6A"/>
    <w:rsid w:val="00041856"/>
    <w:rsid w:val="000440E6"/>
    <w:rsid w:val="0004659E"/>
    <w:rsid w:val="0004770D"/>
    <w:rsid w:val="00051D20"/>
    <w:rsid w:val="00052BF5"/>
    <w:rsid w:val="00056CDF"/>
    <w:rsid w:val="000612E0"/>
    <w:rsid w:val="00061F97"/>
    <w:rsid w:val="000623EC"/>
    <w:rsid w:val="00063EF4"/>
    <w:rsid w:val="00064105"/>
    <w:rsid w:val="00064F9F"/>
    <w:rsid w:val="00065019"/>
    <w:rsid w:val="00066C08"/>
    <w:rsid w:val="00067147"/>
    <w:rsid w:val="000715CB"/>
    <w:rsid w:val="00071D2C"/>
    <w:rsid w:val="000724EE"/>
    <w:rsid w:val="00074A4F"/>
    <w:rsid w:val="00075944"/>
    <w:rsid w:val="00077070"/>
    <w:rsid w:val="000778A8"/>
    <w:rsid w:val="00077B1B"/>
    <w:rsid w:val="00077FF8"/>
    <w:rsid w:val="00085996"/>
    <w:rsid w:val="000868A4"/>
    <w:rsid w:val="00093D1F"/>
    <w:rsid w:val="0009429D"/>
    <w:rsid w:val="00094A91"/>
    <w:rsid w:val="00094C69"/>
    <w:rsid w:val="000A0387"/>
    <w:rsid w:val="000A1698"/>
    <w:rsid w:val="000A34DD"/>
    <w:rsid w:val="000A3FFB"/>
    <w:rsid w:val="000A6567"/>
    <w:rsid w:val="000A6A90"/>
    <w:rsid w:val="000A70C7"/>
    <w:rsid w:val="000A7F1B"/>
    <w:rsid w:val="000B2D3E"/>
    <w:rsid w:val="000B47C8"/>
    <w:rsid w:val="000B52AE"/>
    <w:rsid w:val="000B5966"/>
    <w:rsid w:val="000B6D98"/>
    <w:rsid w:val="000C2595"/>
    <w:rsid w:val="000C2B02"/>
    <w:rsid w:val="000C3260"/>
    <w:rsid w:val="000C344E"/>
    <w:rsid w:val="000C37FA"/>
    <w:rsid w:val="000C51DB"/>
    <w:rsid w:val="000C7CE0"/>
    <w:rsid w:val="000D187A"/>
    <w:rsid w:val="000D22C1"/>
    <w:rsid w:val="000D57C6"/>
    <w:rsid w:val="000D720C"/>
    <w:rsid w:val="000D76CC"/>
    <w:rsid w:val="000E12D1"/>
    <w:rsid w:val="000E1D9E"/>
    <w:rsid w:val="000E2049"/>
    <w:rsid w:val="000E486B"/>
    <w:rsid w:val="000E5182"/>
    <w:rsid w:val="000E5621"/>
    <w:rsid w:val="000E5AB3"/>
    <w:rsid w:val="000F0A0E"/>
    <w:rsid w:val="000F0BE8"/>
    <w:rsid w:val="000F190D"/>
    <w:rsid w:val="000F3823"/>
    <w:rsid w:val="000F5366"/>
    <w:rsid w:val="001028B8"/>
    <w:rsid w:val="00102B83"/>
    <w:rsid w:val="00110AC1"/>
    <w:rsid w:val="00111FC7"/>
    <w:rsid w:val="00112D26"/>
    <w:rsid w:val="001131DF"/>
    <w:rsid w:val="00113A06"/>
    <w:rsid w:val="00113C04"/>
    <w:rsid w:val="001145E6"/>
    <w:rsid w:val="00116267"/>
    <w:rsid w:val="00116AEF"/>
    <w:rsid w:val="0012116C"/>
    <w:rsid w:val="00121E60"/>
    <w:rsid w:val="00125C20"/>
    <w:rsid w:val="00131D27"/>
    <w:rsid w:val="00133239"/>
    <w:rsid w:val="00135E45"/>
    <w:rsid w:val="00136A7F"/>
    <w:rsid w:val="00140586"/>
    <w:rsid w:val="00143155"/>
    <w:rsid w:val="00144303"/>
    <w:rsid w:val="00144FB3"/>
    <w:rsid w:val="0014698A"/>
    <w:rsid w:val="001476DB"/>
    <w:rsid w:val="001504BF"/>
    <w:rsid w:val="00156559"/>
    <w:rsid w:val="00156E4B"/>
    <w:rsid w:val="00157635"/>
    <w:rsid w:val="001604EE"/>
    <w:rsid w:val="00160F6C"/>
    <w:rsid w:val="00162C8C"/>
    <w:rsid w:val="0016552F"/>
    <w:rsid w:val="00170181"/>
    <w:rsid w:val="0017030D"/>
    <w:rsid w:val="001715D7"/>
    <w:rsid w:val="00173DFA"/>
    <w:rsid w:val="001743D3"/>
    <w:rsid w:val="00176581"/>
    <w:rsid w:val="00176BA0"/>
    <w:rsid w:val="00181C52"/>
    <w:rsid w:val="001823B1"/>
    <w:rsid w:val="00184908"/>
    <w:rsid w:val="00184A9E"/>
    <w:rsid w:val="001857D8"/>
    <w:rsid w:val="001941F7"/>
    <w:rsid w:val="001946E6"/>
    <w:rsid w:val="00195823"/>
    <w:rsid w:val="001958DD"/>
    <w:rsid w:val="001A038E"/>
    <w:rsid w:val="001A4656"/>
    <w:rsid w:val="001A7CD1"/>
    <w:rsid w:val="001B1738"/>
    <w:rsid w:val="001B1D99"/>
    <w:rsid w:val="001B3292"/>
    <w:rsid w:val="001B46F3"/>
    <w:rsid w:val="001B5A15"/>
    <w:rsid w:val="001B79CB"/>
    <w:rsid w:val="001B7D27"/>
    <w:rsid w:val="001B7EC0"/>
    <w:rsid w:val="001C41C7"/>
    <w:rsid w:val="001C58A9"/>
    <w:rsid w:val="001C66D9"/>
    <w:rsid w:val="001C6975"/>
    <w:rsid w:val="001C7151"/>
    <w:rsid w:val="001C7E63"/>
    <w:rsid w:val="001D0C22"/>
    <w:rsid w:val="001D2BE2"/>
    <w:rsid w:val="001D401D"/>
    <w:rsid w:val="001D4E55"/>
    <w:rsid w:val="001D6767"/>
    <w:rsid w:val="001E00FD"/>
    <w:rsid w:val="001E5EC8"/>
    <w:rsid w:val="001F49F8"/>
    <w:rsid w:val="001F5E6C"/>
    <w:rsid w:val="001F7A68"/>
    <w:rsid w:val="00200AD5"/>
    <w:rsid w:val="00200D1B"/>
    <w:rsid w:val="00203B25"/>
    <w:rsid w:val="00204098"/>
    <w:rsid w:val="00206243"/>
    <w:rsid w:val="00206334"/>
    <w:rsid w:val="002109C5"/>
    <w:rsid w:val="0021370E"/>
    <w:rsid w:val="00215893"/>
    <w:rsid w:val="0021610B"/>
    <w:rsid w:val="00216CCF"/>
    <w:rsid w:val="002174D8"/>
    <w:rsid w:val="00217CEC"/>
    <w:rsid w:val="00222A9D"/>
    <w:rsid w:val="00222FEE"/>
    <w:rsid w:val="0022442F"/>
    <w:rsid w:val="00224A31"/>
    <w:rsid w:val="0022661E"/>
    <w:rsid w:val="00232D19"/>
    <w:rsid w:val="00232E4A"/>
    <w:rsid w:val="00232FF9"/>
    <w:rsid w:val="00234CDF"/>
    <w:rsid w:val="00236065"/>
    <w:rsid w:val="002375AD"/>
    <w:rsid w:val="00240C47"/>
    <w:rsid w:val="00241C65"/>
    <w:rsid w:val="002427AC"/>
    <w:rsid w:val="00242FC2"/>
    <w:rsid w:val="002477D5"/>
    <w:rsid w:val="00247EFE"/>
    <w:rsid w:val="00252876"/>
    <w:rsid w:val="0025368E"/>
    <w:rsid w:val="002536C5"/>
    <w:rsid w:val="002555C0"/>
    <w:rsid w:val="002577AD"/>
    <w:rsid w:val="00261795"/>
    <w:rsid w:val="00263EE8"/>
    <w:rsid w:val="002654AA"/>
    <w:rsid w:val="00267FB3"/>
    <w:rsid w:val="00272FC9"/>
    <w:rsid w:val="00274775"/>
    <w:rsid w:val="00274EE1"/>
    <w:rsid w:val="00280EF8"/>
    <w:rsid w:val="002823AE"/>
    <w:rsid w:val="00282647"/>
    <w:rsid w:val="00282FB1"/>
    <w:rsid w:val="00283801"/>
    <w:rsid w:val="00286D62"/>
    <w:rsid w:val="0028724B"/>
    <w:rsid w:val="0029048A"/>
    <w:rsid w:val="002917C6"/>
    <w:rsid w:val="00292276"/>
    <w:rsid w:val="0029421E"/>
    <w:rsid w:val="00295A1A"/>
    <w:rsid w:val="00296ADC"/>
    <w:rsid w:val="002972DE"/>
    <w:rsid w:val="00297CBF"/>
    <w:rsid w:val="002A0E51"/>
    <w:rsid w:val="002A12E1"/>
    <w:rsid w:val="002A3D30"/>
    <w:rsid w:val="002A444E"/>
    <w:rsid w:val="002A5A80"/>
    <w:rsid w:val="002A61B3"/>
    <w:rsid w:val="002A7AA9"/>
    <w:rsid w:val="002B1377"/>
    <w:rsid w:val="002B29DF"/>
    <w:rsid w:val="002B2E50"/>
    <w:rsid w:val="002B36B3"/>
    <w:rsid w:val="002B422A"/>
    <w:rsid w:val="002B4A4B"/>
    <w:rsid w:val="002B673F"/>
    <w:rsid w:val="002B6C07"/>
    <w:rsid w:val="002B7F89"/>
    <w:rsid w:val="002C0078"/>
    <w:rsid w:val="002C1F0C"/>
    <w:rsid w:val="002C53CE"/>
    <w:rsid w:val="002C7202"/>
    <w:rsid w:val="002D1FCD"/>
    <w:rsid w:val="002D4285"/>
    <w:rsid w:val="002D429A"/>
    <w:rsid w:val="002D46EE"/>
    <w:rsid w:val="002D6427"/>
    <w:rsid w:val="002D73E2"/>
    <w:rsid w:val="002E1C4E"/>
    <w:rsid w:val="002E2791"/>
    <w:rsid w:val="002E2D28"/>
    <w:rsid w:val="002E37F9"/>
    <w:rsid w:val="002E3C11"/>
    <w:rsid w:val="002E3DE5"/>
    <w:rsid w:val="002E4354"/>
    <w:rsid w:val="002E7227"/>
    <w:rsid w:val="002F4654"/>
    <w:rsid w:val="002F4CCB"/>
    <w:rsid w:val="002F5FA7"/>
    <w:rsid w:val="002F682F"/>
    <w:rsid w:val="00302391"/>
    <w:rsid w:val="00304D7A"/>
    <w:rsid w:val="0030596B"/>
    <w:rsid w:val="00306A4F"/>
    <w:rsid w:val="00306D4F"/>
    <w:rsid w:val="00306E28"/>
    <w:rsid w:val="0031018D"/>
    <w:rsid w:val="00312C0B"/>
    <w:rsid w:val="00321478"/>
    <w:rsid w:val="003214B8"/>
    <w:rsid w:val="00322988"/>
    <w:rsid w:val="00322D31"/>
    <w:rsid w:val="00322E9D"/>
    <w:rsid w:val="00323C6B"/>
    <w:rsid w:val="003240AC"/>
    <w:rsid w:val="003245BF"/>
    <w:rsid w:val="003254FA"/>
    <w:rsid w:val="00325C27"/>
    <w:rsid w:val="0033779A"/>
    <w:rsid w:val="00343211"/>
    <w:rsid w:val="00345259"/>
    <w:rsid w:val="00345D0E"/>
    <w:rsid w:val="00346101"/>
    <w:rsid w:val="00350591"/>
    <w:rsid w:val="00352C5B"/>
    <w:rsid w:val="003539EC"/>
    <w:rsid w:val="0035534D"/>
    <w:rsid w:val="00355E8C"/>
    <w:rsid w:val="00361A3D"/>
    <w:rsid w:val="00361B34"/>
    <w:rsid w:val="00361C02"/>
    <w:rsid w:val="003626BA"/>
    <w:rsid w:val="0036471A"/>
    <w:rsid w:val="003704B2"/>
    <w:rsid w:val="00371E52"/>
    <w:rsid w:val="003722DE"/>
    <w:rsid w:val="00374E98"/>
    <w:rsid w:val="00374F01"/>
    <w:rsid w:val="00376FAC"/>
    <w:rsid w:val="003801D3"/>
    <w:rsid w:val="0038090B"/>
    <w:rsid w:val="00380D81"/>
    <w:rsid w:val="00381420"/>
    <w:rsid w:val="00382952"/>
    <w:rsid w:val="00382980"/>
    <w:rsid w:val="003849D9"/>
    <w:rsid w:val="0039193B"/>
    <w:rsid w:val="00391C14"/>
    <w:rsid w:val="00392703"/>
    <w:rsid w:val="0039296B"/>
    <w:rsid w:val="00393B00"/>
    <w:rsid w:val="00395ADC"/>
    <w:rsid w:val="00396CA4"/>
    <w:rsid w:val="00396EF8"/>
    <w:rsid w:val="003A0588"/>
    <w:rsid w:val="003A372A"/>
    <w:rsid w:val="003A4111"/>
    <w:rsid w:val="003A50C9"/>
    <w:rsid w:val="003A65CE"/>
    <w:rsid w:val="003A6C51"/>
    <w:rsid w:val="003A749C"/>
    <w:rsid w:val="003A7BAA"/>
    <w:rsid w:val="003A7C0E"/>
    <w:rsid w:val="003B2290"/>
    <w:rsid w:val="003B2544"/>
    <w:rsid w:val="003B2D35"/>
    <w:rsid w:val="003B4D48"/>
    <w:rsid w:val="003B5254"/>
    <w:rsid w:val="003B548A"/>
    <w:rsid w:val="003B5950"/>
    <w:rsid w:val="003B6DBC"/>
    <w:rsid w:val="003C0451"/>
    <w:rsid w:val="003C1332"/>
    <w:rsid w:val="003C189C"/>
    <w:rsid w:val="003C1930"/>
    <w:rsid w:val="003D034B"/>
    <w:rsid w:val="003D08A2"/>
    <w:rsid w:val="003D1564"/>
    <w:rsid w:val="003D1B57"/>
    <w:rsid w:val="003D1D1F"/>
    <w:rsid w:val="003D20EB"/>
    <w:rsid w:val="003D3B22"/>
    <w:rsid w:val="003D3F6E"/>
    <w:rsid w:val="003D4867"/>
    <w:rsid w:val="003D6D7D"/>
    <w:rsid w:val="003E127C"/>
    <w:rsid w:val="003E1340"/>
    <w:rsid w:val="003E1A27"/>
    <w:rsid w:val="003E27B2"/>
    <w:rsid w:val="003E5A51"/>
    <w:rsid w:val="003E75F6"/>
    <w:rsid w:val="003F01E0"/>
    <w:rsid w:val="003F5A2E"/>
    <w:rsid w:val="00400EF1"/>
    <w:rsid w:val="0040371E"/>
    <w:rsid w:val="00403785"/>
    <w:rsid w:val="00403F0F"/>
    <w:rsid w:val="00411493"/>
    <w:rsid w:val="0041190B"/>
    <w:rsid w:val="00411C50"/>
    <w:rsid w:val="0041318E"/>
    <w:rsid w:val="00414B3D"/>
    <w:rsid w:val="00415573"/>
    <w:rsid w:val="004161BD"/>
    <w:rsid w:val="00416FC5"/>
    <w:rsid w:val="00417BE6"/>
    <w:rsid w:val="004208BD"/>
    <w:rsid w:val="00421F84"/>
    <w:rsid w:val="004227CE"/>
    <w:rsid w:val="004236F4"/>
    <w:rsid w:val="0042510C"/>
    <w:rsid w:val="004255AF"/>
    <w:rsid w:val="0042598D"/>
    <w:rsid w:val="004261D1"/>
    <w:rsid w:val="004269B8"/>
    <w:rsid w:val="0042745B"/>
    <w:rsid w:val="00430922"/>
    <w:rsid w:val="00430FDA"/>
    <w:rsid w:val="00431587"/>
    <w:rsid w:val="004318A7"/>
    <w:rsid w:val="004331A5"/>
    <w:rsid w:val="00433906"/>
    <w:rsid w:val="00435866"/>
    <w:rsid w:val="00437B1A"/>
    <w:rsid w:val="0044142F"/>
    <w:rsid w:val="00441EB9"/>
    <w:rsid w:val="0044471E"/>
    <w:rsid w:val="00445336"/>
    <w:rsid w:val="00447408"/>
    <w:rsid w:val="00447C36"/>
    <w:rsid w:val="0045206D"/>
    <w:rsid w:val="0045288C"/>
    <w:rsid w:val="00452A52"/>
    <w:rsid w:val="00452BC9"/>
    <w:rsid w:val="00454A59"/>
    <w:rsid w:val="00456D4B"/>
    <w:rsid w:val="00457C8B"/>
    <w:rsid w:val="00462D8D"/>
    <w:rsid w:val="0046371B"/>
    <w:rsid w:val="00463A19"/>
    <w:rsid w:val="0047053A"/>
    <w:rsid w:val="00470F32"/>
    <w:rsid w:val="004720AC"/>
    <w:rsid w:val="00472545"/>
    <w:rsid w:val="00472E15"/>
    <w:rsid w:val="0047349F"/>
    <w:rsid w:val="0047545A"/>
    <w:rsid w:val="004772D1"/>
    <w:rsid w:val="004777E0"/>
    <w:rsid w:val="00484275"/>
    <w:rsid w:val="00485AF2"/>
    <w:rsid w:val="00485EDD"/>
    <w:rsid w:val="00490AC6"/>
    <w:rsid w:val="0049245C"/>
    <w:rsid w:val="004941E4"/>
    <w:rsid w:val="0049584C"/>
    <w:rsid w:val="004959C1"/>
    <w:rsid w:val="004965EB"/>
    <w:rsid w:val="00496A6A"/>
    <w:rsid w:val="00497BA8"/>
    <w:rsid w:val="00497BBB"/>
    <w:rsid w:val="004A104F"/>
    <w:rsid w:val="004A2576"/>
    <w:rsid w:val="004A41D6"/>
    <w:rsid w:val="004A54EC"/>
    <w:rsid w:val="004B1700"/>
    <w:rsid w:val="004B1A17"/>
    <w:rsid w:val="004B46C7"/>
    <w:rsid w:val="004B7053"/>
    <w:rsid w:val="004C5A43"/>
    <w:rsid w:val="004C62E4"/>
    <w:rsid w:val="004D0B1C"/>
    <w:rsid w:val="004D34CC"/>
    <w:rsid w:val="004E32CD"/>
    <w:rsid w:val="004E5A86"/>
    <w:rsid w:val="004E657A"/>
    <w:rsid w:val="004E7CD6"/>
    <w:rsid w:val="004F02E4"/>
    <w:rsid w:val="004F05A0"/>
    <w:rsid w:val="004F5879"/>
    <w:rsid w:val="004F7552"/>
    <w:rsid w:val="004F7AF3"/>
    <w:rsid w:val="00501020"/>
    <w:rsid w:val="005037A8"/>
    <w:rsid w:val="00510137"/>
    <w:rsid w:val="00511FA6"/>
    <w:rsid w:val="00512261"/>
    <w:rsid w:val="00515CDC"/>
    <w:rsid w:val="005255F2"/>
    <w:rsid w:val="00526C3A"/>
    <w:rsid w:val="00532D57"/>
    <w:rsid w:val="005339D3"/>
    <w:rsid w:val="00540221"/>
    <w:rsid w:val="00540FEA"/>
    <w:rsid w:val="005434FC"/>
    <w:rsid w:val="00543507"/>
    <w:rsid w:val="0054621C"/>
    <w:rsid w:val="005462D0"/>
    <w:rsid w:val="0054637F"/>
    <w:rsid w:val="00546AFE"/>
    <w:rsid w:val="00547143"/>
    <w:rsid w:val="00552027"/>
    <w:rsid w:val="0055254B"/>
    <w:rsid w:val="00552684"/>
    <w:rsid w:val="00552936"/>
    <w:rsid w:val="00554C19"/>
    <w:rsid w:val="00555A06"/>
    <w:rsid w:val="00556E1C"/>
    <w:rsid w:val="00556F48"/>
    <w:rsid w:val="00562268"/>
    <w:rsid w:val="005644E5"/>
    <w:rsid w:val="00564DB8"/>
    <w:rsid w:val="0056595F"/>
    <w:rsid w:val="00567092"/>
    <w:rsid w:val="0057127A"/>
    <w:rsid w:val="00571DEB"/>
    <w:rsid w:val="00572031"/>
    <w:rsid w:val="0057231A"/>
    <w:rsid w:val="00573442"/>
    <w:rsid w:val="00575182"/>
    <w:rsid w:val="00575E57"/>
    <w:rsid w:val="00576388"/>
    <w:rsid w:val="0058030F"/>
    <w:rsid w:val="00580F44"/>
    <w:rsid w:val="0058330F"/>
    <w:rsid w:val="00583645"/>
    <w:rsid w:val="005846A3"/>
    <w:rsid w:val="00585227"/>
    <w:rsid w:val="005873E7"/>
    <w:rsid w:val="00590594"/>
    <w:rsid w:val="0059131C"/>
    <w:rsid w:val="00592E6A"/>
    <w:rsid w:val="00593CEC"/>
    <w:rsid w:val="005A0FA3"/>
    <w:rsid w:val="005A1911"/>
    <w:rsid w:val="005A1CFC"/>
    <w:rsid w:val="005A360B"/>
    <w:rsid w:val="005A444E"/>
    <w:rsid w:val="005A6619"/>
    <w:rsid w:val="005A6965"/>
    <w:rsid w:val="005A6FEF"/>
    <w:rsid w:val="005B1141"/>
    <w:rsid w:val="005B2CA4"/>
    <w:rsid w:val="005B6BD0"/>
    <w:rsid w:val="005B7238"/>
    <w:rsid w:val="005C29A2"/>
    <w:rsid w:val="005C4CF5"/>
    <w:rsid w:val="005D19D6"/>
    <w:rsid w:val="005D2B4E"/>
    <w:rsid w:val="005D3D49"/>
    <w:rsid w:val="005D7621"/>
    <w:rsid w:val="005E0C54"/>
    <w:rsid w:val="005E201B"/>
    <w:rsid w:val="005E23ED"/>
    <w:rsid w:val="005E5AD2"/>
    <w:rsid w:val="005E66DC"/>
    <w:rsid w:val="005E7BDC"/>
    <w:rsid w:val="005F6BBE"/>
    <w:rsid w:val="00601586"/>
    <w:rsid w:val="00601A06"/>
    <w:rsid w:val="00601DB3"/>
    <w:rsid w:val="00603985"/>
    <w:rsid w:val="00604402"/>
    <w:rsid w:val="00604430"/>
    <w:rsid w:val="00613F70"/>
    <w:rsid w:val="00615565"/>
    <w:rsid w:val="006220A2"/>
    <w:rsid w:val="00623FCA"/>
    <w:rsid w:val="006248B7"/>
    <w:rsid w:val="0062683D"/>
    <w:rsid w:val="0063096F"/>
    <w:rsid w:val="0063334D"/>
    <w:rsid w:val="0063457A"/>
    <w:rsid w:val="00634704"/>
    <w:rsid w:val="0063724F"/>
    <w:rsid w:val="00637728"/>
    <w:rsid w:val="00640101"/>
    <w:rsid w:val="0064184F"/>
    <w:rsid w:val="006439D4"/>
    <w:rsid w:val="00644201"/>
    <w:rsid w:val="00646619"/>
    <w:rsid w:val="006523E1"/>
    <w:rsid w:val="00652744"/>
    <w:rsid w:val="00652FA1"/>
    <w:rsid w:val="00653214"/>
    <w:rsid w:val="006543C1"/>
    <w:rsid w:val="006579C4"/>
    <w:rsid w:val="006617F6"/>
    <w:rsid w:val="00661E2A"/>
    <w:rsid w:val="00663F02"/>
    <w:rsid w:val="00664EB9"/>
    <w:rsid w:val="00667183"/>
    <w:rsid w:val="00667463"/>
    <w:rsid w:val="0066765D"/>
    <w:rsid w:val="006748A4"/>
    <w:rsid w:val="00674AB4"/>
    <w:rsid w:val="006801C1"/>
    <w:rsid w:val="00680448"/>
    <w:rsid w:val="0068399C"/>
    <w:rsid w:val="00685956"/>
    <w:rsid w:val="00685F35"/>
    <w:rsid w:val="00687716"/>
    <w:rsid w:val="00691B37"/>
    <w:rsid w:val="00691F3B"/>
    <w:rsid w:val="00693BB6"/>
    <w:rsid w:val="00694C46"/>
    <w:rsid w:val="00694E33"/>
    <w:rsid w:val="00694E39"/>
    <w:rsid w:val="0069591A"/>
    <w:rsid w:val="006A1502"/>
    <w:rsid w:val="006A4779"/>
    <w:rsid w:val="006A5379"/>
    <w:rsid w:val="006A5A2C"/>
    <w:rsid w:val="006B0821"/>
    <w:rsid w:val="006B15AE"/>
    <w:rsid w:val="006B31A1"/>
    <w:rsid w:val="006B56B4"/>
    <w:rsid w:val="006B5B03"/>
    <w:rsid w:val="006B7ECA"/>
    <w:rsid w:val="006C2D55"/>
    <w:rsid w:val="006C4782"/>
    <w:rsid w:val="006C61B5"/>
    <w:rsid w:val="006C6979"/>
    <w:rsid w:val="006D2B5D"/>
    <w:rsid w:val="006D30E7"/>
    <w:rsid w:val="006D373F"/>
    <w:rsid w:val="006D37A3"/>
    <w:rsid w:val="006D42A8"/>
    <w:rsid w:val="006D502E"/>
    <w:rsid w:val="006D5571"/>
    <w:rsid w:val="006D5DC1"/>
    <w:rsid w:val="006E21EB"/>
    <w:rsid w:val="006E2A92"/>
    <w:rsid w:val="006E3FEF"/>
    <w:rsid w:val="006E5A24"/>
    <w:rsid w:val="006E6E08"/>
    <w:rsid w:val="006E6F4D"/>
    <w:rsid w:val="006E72F2"/>
    <w:rsid w:val="006F5361"/>
    <w:rsid w:val="006F5F89"/>
    <w:rsid w:val="00701735"/>
    <w:rsid w:val="007022BA"/>
    <w:rsid w:val="00702391"/>
    <w:rsid w:val="0070430A"/>
    <w:rsid w:val="00704907"/>
    <w:rsid w:val="00706DDF"/>
    <w:rsid w:val="007078BF"/>
    <w:rsid w:val="00710A40"/>
    <w:rsid w:val="0071126B"/>
    <w:rsid w:val="00712D3F"/>
    <w:rsid w:val="00714155"/>
    <w:rsid w:val="00716059"/>
    <w:rsid w:val="00716A99"/>
    <w:rsid w:val="00717F26"/>
    <w:rsid w:val="00720788"/>
    <w:rsid w:val="007210BA"/>
    <w:rsid w:val="007233EF"/>
    <w:rsid w:val="00723F3F"/>
    <w:rsid w:val="00724835"/>
    <w:rsid w:val="00724D7B"/>
    <w:rsid w:val="00725815"/>
    <w:rsid w:val="00725A7D"/>
    <w:rsid w:val="00725D74"/>
    <w:rsid w:val="0073325C"/>
    <w:rsid w:val="00734BAD"/>
    <w:rsid w:val="007413EB"/>
    <w:rsid w:val="00743AA4"/>
    <w:rsid w:val="00743C43"/>
    <w:rsid w:val="00744388"/>
    <w:rsid w:val="00746376"/>
    <w:rsid w:val="00746A5E"/>
    <w:rsid w:val="00750A62"/>
    <w:rsid w:val="00754309"/>
    <w:rsid w:val="00754640"/>
    <w:rsid w:val="00754BAD"/>
    <w:rsid w:val="0075517F"/>
    <w:rsid w:val="0075646D"/>
    <w:rsid w:val="00756961"/>
    <w:rsid w:val="0075792A"/>
    <w:rsid w:val="007579CC"/>
    <w:rsid w:val="007639B1"/>
    <w:rsid w:val="00767602"/>
    <w:rsid w:val="007714E0"/>
    <w:rsid w:val="007753C3"/>
    <w:rsid w:val="007775B2"/>
    <w:rsid w:val="007804E8"/>
    <w:rsid w:val="00781AB7"/>
    <w:rsid w:val="00781F0B"/>
    <w:rsid w:val="007825C6"/>
    <w:rsid w:val="00784500"/>
    <w:rsid w:val="00784A95"/>
    <w:rsid w:val="0078563B"/>
    <w:rsid w:val="00785864"/>
    <w:rsid w:val="0078666C"/>
    <w:rsid w:val="00787B38"/>
    <w:rsid w:val="00791951"/>
    <w:rsid w:val="00791EA5"/>
    <w:rsid w:val="00792C0E"/>
    <w:rsid w:val="00797DBD"/>
    <w:rsid w:val="007A0EB8"/>
    <w:rsid w:val="007A4277"/>
    <w:rsid w:val="007A6B38"/>
    <w:rsid w:val="007A7245"/>
    <w:rsid w:val="007A7F04"/>
    <w:rsid w:val="007B1AD4"/>
    <w:rsid w:val="007B2046"/>
    <w:rsid w:val="007B20B9"/>
    <w:rsid w:val="007B27DA"/>
    <w:rsid w:val="007B4E43"/>
    <w:rsid w:val="007B50EC"/>
    <w:rsid w:val="007B55EF"/>
    <w:rsid w:val="007B6698"/>
    <w:rsid w:val="007B6A11"/>
    <w:rsid w:val="007C425D"/>
    <w:rsid w:val="007C7F1C"/>
    <w:rsid w:val="007D28E0"/>
    <w:rsid w:val="007D680E"/>
    <w:rsid w:val="007E0B23"/>
    <w:rsid w:val="007E462E"/>
    <w:rsid w:val="007E661F"/>
    <w:rsid w:val="007E6D2B"/>
    <w:rsid w:val="007E7835"/>
    <w:rsid w:val="007E7A97"/>
    <w:rsid w:val="007F2865"/>
    <w:rsid w:val="007F3953"/>
    <w:rsid w:val="007F40B6"/>
    <w:rsid w:val="007F48B7"/>
    <w:rsid w:val="007F5EAB"/>
    <w:rsid w:val="007F7378"/>
    <w:rsid w:val="008002D2"/>
    <w:rsid w:val="00801015"/>
    <w:rsid w:val="00801980"/>
    <w:rsid w:val="0080257D"/>
    <w:rsid w:val="00803471"/>
    <w:rsid w:val="008046C2"/>
    <w:rsid w:val="008063DC"/>
    <w:rsid w:val="00807933"/>
    <w:rsid w:val="00807D98"/>
    <w:rsid w:val="00811681"/>
    <w:rsid w:val="00813C69"/>
    <w:rsid w:val="00814174"/>
    <w:rsid w:val="00814E7A"/>
    <w:rsid w:val="008230D3"/>
    <w:rsid w:val="00823399"/>
    <w:rsid w:val="00826EF5"/>
    <w:rsid w:val="0083127F"/>
    <w:rsid w:val="00831BAC"/>
    <w:rsid w:val="00832C26"/>
    <w:rsid w:val="008335C9"/>
    <w:rsid w:val="00833E13"/>
    <w:rsid w:val="0083433F"/>
    <w:rsid w:val="0083711A"/>
    <w:rsid w:val="00840DE8"/>
    <w:rsid w:val="00841182"/>
    <w:rsid w:val="008459B8"/>
    <w:rsid w:val="00851654"/>
    <w:rsid w:val="00851B1B"/>
    <w:rsid w:val="00852114"/>
    <w:rsid w:val="00852663"/>
    <w:rsid w:val="00856EA0"/>
    <w:rsid w:val="0086380F"/>
    <w:rsid w:val="00865454"/>
    <w:rsid w:val="00865B58"/>
    <w:rsid w:val="00866EC2"/>
    <w:rsid w:val="00870D43"/>
    <w:rsid w:val="0087116E"/>
    <w:rsid w:val="00872E8D"/>
    <w:rsid w:val="00876EB6"/>
    <w:rsid w:val="00877F34"/>
    <w:rsid w:val="00881880"/>
    <w:rsid w:val="0088391B"/>
    <w:rsid w:val="008842B4"/>
    <w:rsid w:val="00891AE6"/>
    <w:rsid w:val="00892DE4"/>
    <w:rsid w:val="00897398"/>
    <w:rsid w:val="00897658"/>
    <w:rsid w:val="008A1827"/>
    <w:rsid w:val="008A224F"/>
    <w:rsid w:val="008A2B22"/>
    <w:rsid w:val="008B14CA"/>
    <w:rsid w:val="008B1A55"/>
    <w:rsid w:val="008B2F3D"/>
    <w:rsid w:val="008B4094"/>
    <w:rsid w:val="008B575B"/>
    <w:rsid w:val="008C0170"/>
    <w:rsid w:val="008C019D"/>
    <w:rsid w:val="008C0A74"/>
    <w:rsid w:val="008C1360"/>
    <w:rsid w:val="008C1BB7"/>
    <w:rsid w:val="008C3607"/>
    <w:rsid w:val="008C5361"/>
    <w:rsid w:val="008C63CA"/>
    <w:rsid w:val="008C7670"/>
    <w:rsid w:val="008C7C5B"/>
    <w:rsid w:val="008D2705"/>
    <w:rsid w:val="008D275F"/>
    <w:rsid w:val="008D2839"/>
    <w:rsid w:val="008D2CC2"/>
    <w:rsid w:val="008D42A8"/>
    <w:rsid w:val="008D53BF"/>
    <w:rsid w:val="008D73BD"/>
    <w:rsid w:val="008D7FF4"/>
    <w:rsid w:val="008E57E1"/>
    <w:rsid w:val="008E59B0"/>
    <w:rsid w:val="008E62FF"/>
    <w:rsid w:val="008E734E"/>
    <w:rsid w:val="008E73A6"/>
    <w:rsid w:val="008F0420"/>
    <w:rsid w:val="008F08BE"/>
    <w:rsid w:val="008F157F"/>
    <w:rsid w:val="008F20A3"/>
    <w:rsid w:val="008F34A0"/>
    <w:rsid w:val="008F4B4E"/>
    <w:rsid w:val="008F635C"/>
    <w:rsid w:val="008F72ED"/>
    <w:rsid w:val="00900988"/>
    <w:rsid w:val="00901CFD"/>
    <w:rsid w:val="00903894"/>
    <w:rsid w:val="00903C15"/>
    <w:rsid w:val="00907E84"/>
    <w:rsid w:val="00907EA9"/>
    <w:rsid w:val="00910001"/>
    <w:rsid w:val="00910B13"/>
    <w:rsid w:val="009112F6"/>
    <w:rsid w:val="009123B2"/>
    <w:rsid w:val="00912A10"/>
    <w:rsid w:val="00912E6F"/>
    <w:rsid w:val="0091696E"/>
    <w:rsid w:val="0091748D"/>
    <w:rsid w:val="00920E21"/>
    <w:rsid w:val="00932392"/>
    <w:rsid w:val="00940461"/>
    <w:rsid w:val="0094063E"/>
    <w:rsid w:val="00940F21"/>
    <w:rsid w:val="00942070"/>
    <w:rsid w:val="00942AC3"/>
    <w:rsid w:val="00945812"/>
    <w:rsid w:val="009524CA"/>
    <w:rsid w:val="009527C4"/>
    <w:rsid w:val="00954AA6"/>
    <w:rsid w:val="00954BA5"/>
    <w:rsid w:val="00956D35"/>
    <w:rsid w:val="00960471"/>
    <w:rsid w:val="00960E49"/>
    <w:rsid w:val="00961CFD"/>
    <w:rsid w:val="009642FA"/>
    <w:rsid w:val="00964D0D"/>
    <w:rsid w:val="00965BA3"/>
    <w:rsid w:val="00972FA9"/>
    <w:rsid w:val="00973506"/>
    <w:rsid w:val="00973730"/>
    <w:rsid w:val="00973D88"/>
    <w:rsid w:val="0097484D"/>
    <w:rsid w:val="00975FFC"/>
    <w:rsid w:val="00976A40"/>
    <w:rsid w:val="00977E78"/>
    <w:rsid w:val="0098694D"/>
    <w:rsid w:val="00986F8E"/>
    <w:rsid w:val="00990647"/>
    <w:rsid w:val="00990A3A"/>
    <w:rsid w:val="00990AB7"/>
    <w:rsid w:val="00991F63"/>
    <w:rsid w:val="00992840"/>
    <w:rsid w:val="00993E1D"/>
    <w:rsid w:val="009A1CDA"/>
    <w:rsid w:val="009A2A1E"/>
    <w:rsid w:val="009A2F81"/>
    <w:rsid w:val="009A334E"/>
    <w:rsid w:val="009A441A"/>
    <w:rsid w:val="009A4A35"/>
    <w:rsid w:val="009B0773"/>
    <w:rsid w:val="009B444A"/>
    <w:rsid w:val="009B51EF"/>
    <w:rsid w:val="009B6041"/>
    <w:rsid w:val="009C202C"/>
    <w:rsid w:val="009C2A23"/>
    <w:rsid w:val="009C2BAD"/>
    <w:rsid w:val="009C441C"/>
    <w:rsid w:val="009C498D"/>
    <w:rsid w:val="009C5A83"/>
    <w:rsid w:val="009C5B93"/>
    <w:rsid w:val="009C6D31"/>
    <w:rsid w:val="009C718D"/>
    <w:rsid w:val="009C72B4"/>
    <w:rsid w:val="009C7621"/>
    <w:rsid w:val="009D0745"/>
    <w:rsid w:val="009D5C40"/>
    <w:rsid w:val="009E1CF7"/>
    <w:rsid w:val="009E2926"/>
    <w:rsid w:val="009E2F2D"/>
    <w:rsid w:val="009E3E60"/>
    <w:rsid w:val="009E4433"/>
    <w:rsid w:val="009E45BB"/>
    <w:rsid w:val="009F1AC7"/>
    <w:rsid w:val="009F3016"/>
    <w:rsid w:val="009F348E"/>
    <w:rsid w:val="009F5973"/>
    <w:rsid w:val="009F6B6F"/>
    <w:rsid w:val="009F6DA0"/>
    <w:rsid w:val="009F7D5D"/>
    <w:rsid w:val="00A009EA"/>
    <w:rsid w:val="00A039AB"/>
    <w:rsid w:val="00A04128"/>
    <w:rsid w:val="00A05A11"/>
    <w:rsid w:val="00A06021"/>
    <w:rsid w:val="00A063E7"/>
    <w:rsid w:val="00A11A5E"/>
    <w:rsid w:val="00A1201B"/>
    <w:rsid w:val="00A121FF"/>
    <w:rsid w:val="00A14949"/>
    <w:rsid w:val="00A14BC0"/>
    <w:rsid w:val="00A15557"/>
    <w:rsid w:val="00A15B2A"/>
    <w:rsid w:val="00A160CF"/>
    <w:rsid w:val="00A178A6"/>
    <w:rsid w:val="00A20126"/>
    <w:rsid w:val="00A20743"/>
    <w:rsid w:val="00A25C02"/>
    <w:rsid w:val="00A25CEC"/>
    <w:rsid w:val="00A304AB"/>
    <w:rsid w:val="00A30AB8"/>
    <w:rsid w:val="00A34718"/>
    <w:rsid w:val="00A347E9"/>
    <w:rsid w:val="00A3680E"/>
    <w:rsid w:val="00A40674"/>
    <w:rsid w:val="00A40E6F"/>
    <w:rsid w:val="00A4210A"/>
    <w:rsid w:val="00A42A87"/>
    <w:rsid w:val="00A47E7E"/>
    <w:rsid w:val="00A5041E"/>
    <w:rsid w:val="00A50435"/>
    <w:rsid w:val="00A5196F"/>
    <w:rsid w:val="00A526A7"/>
    <w:rsid w:val="00A53B56"/>
    <w:rsid w:val="00A54244"/>
    <w:rsid w:val="00A54830"/>
    <w:rsid w:val="00A55920"/>
    <w:rsid w:val="00A61EB2"/>
    <w:rsid w:val="00A628B2"/>
    <w:rsid w:val="00A62913"/>
    <w:rsid w:val="00A62EFB"/>
    <w:rsid w:val="00A648CF"/>
    <w:rsid w:val="00A6604E"/>
    <w:rsid w:val="00A66166"/>
    <w:rsid w:val="00A6616B"/>
    <w:rsid w:val="00A679E0"/>
    <w:rsid w:val="00A700C7"/>
    <w:rsid w:val="00A721D1"/>
    <w:rsid w:val="00A75530"/>
    <w:rsid w:val="00A76DB8"/>
    <w:rsid w:val="00A7700C"/>
    <w:rsid w:val="00A77EBF"/>
    <w:rsid w:val="00A8074D"/>
    <w:rsid w:val="00A807E1"/>
    <w:rsid w:val="00A86619"/>
    <w:rsid w:val="00A86B67"/>
    <w:rsid w:val="00A90C6C"/>
    <w:rsid w:val="00A935F4"/>
    <w:rsid w:val="00A95AD9"/>
    <w:rsid w:val="00A95D59"/>
    <w:rsid w:val="00AA190B"/>
    <w:rsid w:val="00AA4EEB"/>
    <w:rsid w:val="00AB4061"/>
    <w:rsid w:val="00AC0D8E"/>
    <w:rsid w:val="00AC0F67"/>
    <w:rsid w:val="00AC38AC"/>
    <w:rsid w:val="00AC40F6"/>
    <w:rsid w:val="00AC52D4"/>
    <w:rsid w:val="00AC7167"/>
    <w:rsid w:val="00AD73A0"/>
    <w:rsid w:val="00AD7E92"/>
    <w:rsid w:val="00AE5CFA"/>
    <w:rsid w:val="00AE6657"/>
    <w:rsid w:val="00AF19D8"/>
    <w:rsid w:val="00AF493F"/>
    <w:rsid w:val="00AF4CD2"/>
    <w:rsid w:val="00B00A6F"/>
    <w:rsid w:val="00B02419"/>
    <w:rsid w:val="00B04211"/>
    <w:rsid w:val="00B055D7"/>
    <w:rsid w:val="00B05CA5"/>
    <w:rsid w:val="00B05E03"/>
    <w:rsid w:val="00B06A04"/>
    <w:rsid w:val="00B10DE7"/>
    <w:rsid w:val="00B144A9"/>
    <w:rsid w:val="00B1785B"/>
    <w:rsid w:val="00B17C47"/>
    <w:rsid w:val="00B251C8"/>
    <w:rsid w:val="00B25C3F"/>
    <w:rsid w:val="00B30148"/>
    <w:rsid w:val="00B30832"/>
    <w:rsid w:val="00B31880"/>
    <w:rsid w:val="00B33A26"/>
    <w:rsid w:val="00B3763E"/>
    <w:rsid w:val="00B4079B"/>
    <w:rsid w:val="00B42311"/>
    <w:rsid w:val="00B45634"/>
    <w:rsid w:val="00B46D86"/>
    <w:rsid w:val="00B47627"/>
    <w:rsid w:val="00B546B7"/>
    <w:rsid w:val="00B56472"/>
    <w:rsid w:val="00B60403"/>
    <w:rsid w:val="00B615BF"/>
    <w:rsid w:val="00B6701C"/>
    <w:rsid w:val="00B67903"/>
    <w:rsid w:val="00B709F2"/>
    <w:rsid w:val="00B74897"/>
    <w:rsid w:val="00B74D0B"/>
    <w:rsid w:val="00B809B7"/>
    <w:rsid w:val="00B80F2F"/>
    <w:rsid w:val="00B81A0F"/>
    <w:rsid w:val="00B82BCC"/>
    <w:rsid w:val="00B84071"/>
    <w:rsid w:val="00B847DA"/>
    <w:rsid w:val="00B84CC7"/>
    <w:rsid w:val="00B84DA4"/>
    <w:rsid w:val="00B85EEA"/>
    <w:rsid w:val="00B875FB"/>
    <w:rsid w:val="00B91626"/>
    <w:rsid w:val="00B93FDD"/>
    <w:rsid w:val="00B94784"/>
    <w:rsid w:val="00B961C1"/>
    <w:rsid w:val="00B96EF1"/>
    <w:rsid w:val="00B9729C"/>
    <w:rsid w:val="00BA0A03"/>
    <w:rsid w:val="00BA529E"/>
    <w:rsid w:val="00BA5560"/>
    <w:rsid w:val="00BA59D0"/>
    <w:rsid w:val="00BA74DA"/>
    <w:rsid w:val="00BB07CB"/>
    <w:rsid w:val="00BB1445"/>
    <w:rsid w:val="00BB2CD8"/>
    <w:rsid w:val="00BB4230"/>
    <w:rsid w:val="00BB5B4B"/>
    <w:rsid w:val="00BB6BB5"/>
    <w:rsid w:val="00BB6BB6"/>
    <w:rsid w:val="00BB72F7"/>
    <w:rsid w:val="00BB76C6"/>
    <w:rsid w:val="00BB7CE0"/>
    <w:rsid w:val="00BC004A"/>
    <w:rsid w:val="00BC0EAA"/>
    <w:rsid w:val="00BC1D00"/>
    <w:rsid w:val="00BC3FA9"/>
    <w:rsid w:val="00BC4177"/>
    <w:rsid w:val="00BC53E0"/>
    <w:rsid w:val="00BC7948"/>
    <w:rsid w:val="00BC7B66"/>
    <w:rsid w:val="00BD10D4"/>
    <w:rsid w:val="00BD1CC5"/>
    <w:rsid w:val="00BD3B7B"/>
    <w:rsid w:val="00BD5A1B"/>
    <w:rsid w:val="00BD680E"/>
    <w:rsid w:val="00BE129A"/>
    <w:rsid w:val="00BE2B7B"/>
    <w:rsid w:val="00BE57E2"/>
    <w:rsid w:val="00BE5DE6"/>
    <w:rsid w:val="00BE76DE"/>
    <w:rsid w:val="00BF3F0E"/>
    <w:rsid w:val="00BF47F0"/>
    <w:rsid w:val="00BF65D0"/>
    <w:rsid w:val="00BF6A88"/>
    <w:rsid w:val="00C003BB"/>
    <w:rsid w:val="00C00537"/>
    <w:rsid w:val="00C01236"/>
    <w:rsid w:val="00C01F3D"/>
    <w:rsid w:val="00C04E2C"/>
    <w:rsid w:val="00C060F2"/>
    <w:rsid w:val="00C113FE"/>
    <w:rsid w:val="00C13F57"/>
    <w:rsid w:val="00C15BD4"/>
    <w:rsid w:val="00C16578"/>
    <w:rsid w:val="00C16766"/>
    <w:rsid w:val="00C16D40"/>
    <w:rsid w:val="00C20837"/>
    <w:rsid w:val="00C2117E"/>
    <w:rsid w:val="00C251EF"/>
    <w:rsid w:val="00C3003B"/>
    <w:rsid w:val="00C447AA"/>
    <w:rsid w:val="00C44A46"/>
    <w:rsid w:val="00C52F68"/>
    <w:rsid w:val="00C554F9"/>
    <w:rsid w:val="00C56400"/>
    <w:rsid w:val="00C56E74"/>
    <w:rsid w:val="00C652D8"/>
    <w:rsid w:val="00C65EFD"/>
    <w:rsid w:val="00C669BB"/>
    <w:rsid w:val="00C66D69"/>
    <w:rsid w:val="00C67F6F"/>
    <w:rsid w:val="00C70D03"/>
    <w:rsid w:val="00C72B3F"/>
    <w:rsid w:val="00C73E63"/>
    <w:rsid w:val="00C746C1"/>
    <w:rsid w:val="00C75016"/>
    <w:rsid w:val="00C75886"/>
    <w:rsid w:val="00C7650F"/>
    <w:rsid w:val="00C76624"/>
    <w:rsid w:val="00C82F49"/>
    <w:rsid w:val="00C830C9"/>
    <w:rsid w:val="00C86D31"/>
    <w:rsid w:val="00C87167"/>
    <w:rsid w:val="00C87412"/>
    <w:rsid w:val="00C90531"/>
    <w:rsid w:val="00C90FD6"/>
    <w:rsid w:val="00C93969"/>
    <w:rsid w:val="00C95AAF"/>
    <w:rsid w:val="00C97B50"/>
    <w:rsid w:val="00C97B7D"/>
    <w:rsid w:val="00CA02DE"/>
    <w:rsid w:val="00CA0A25"/>
    <w:rsid w:val="00CA185F"/>
    <w:rsid w:val="00CA7AF6"/>
    <w:rsid w:val="00CB003A"/>
    <w:rsid w:val="00CB02BB"/>
    <w:rsid w:val="00CC3262"/>
    <w:rsid w:val="00CC7A4A"/>
    <w:rsid w:val="00CD1281"/>
    <w:rsid w:val="00CD13D3"/>
    <w:rsid w:val="00CD26FA"/>
    <w:rsid w:val="00CD3131"/>
    <w:rsid w:val="00CD636F"/>
    <w:rsid w:val="00CD6566"/>
    <w:rsid w:val="00CD7884"/>
    <w:rsid w:val="00CE02FA"/>
    <w:rsid w:val="00CE03BE"/>
    <w:rsid w:val="00CE3C1A"/>
    <w:rsid w:val="00CE5DF2"/>
    <w:rsid w:val="00CE6549"/>
    <w:rsid w:val="00CE6C42"/>
    <w:rsid w:val="00CF28F6"/>
    <w:rsid w:val="00CF5A82"/>
    <w:rsid w:val="00CF69E6"/>
    <w:rsid w:val="00D00E30"/>
    <w:rsid w:val="00D01C6C"/>
    <w:rsid w:val="00D0273B"/>
    <w:rsid w:val="00D02FCE"/>
    <w:rsid w:val="00D03D56"/>
    <w:rsid w:val="00D0415E"/>
    <w:rsid w:val="00D053B4"/>
    <w:rsid w:val="00D05FEC"/>
    <w:rsid w:val="00D06769"/>
    <w:rsid w:val="00D15C58"/>
    <w:rsid w:val="00D202F6"/>
    <w:rsid w:val="00D219EE"/>
    <w:rsid w:val="00D235C9"/>
    <w:rsid w:val="00D24671"/>
    <w:rsid w:val="00D25633"/>
    <w:rsid w:val="00D26E96"/>
    <w:rsid w:val="00D3384E"/>
    <w:rsid w:val="00D34C69"/>
    <w:rsid w:val="00D357B3"/>
    <w:rsid w:val="00D36170"/>
    <w:rsid w:val="00D365EE"/>
    <w:rsid w:val="00D3744D"/>
    <w:rsid w:val="00D44970"/>
    <w:rsid w:val="00D509C6"/>
    <w:rsid w:val="00D51508"/>
    <w:rsid w:val="00D52E64"/>
    <w:rsid w:val="00D56777"/>
    <w:rsid w:val="00D57DCF"/>
    <w:rsid w:val="00D61675"/>
    <w:rsid w:val="00D63680"/>
    <w:rsid w:val="00D64516"/>
    <w:rsid w:val="00D65DC9"/>
    <w:rsid w:val="00D66664"/>
    <w:rsid w:val="00D66995"/>
    <w:rsid w:val="00D67C6B"/>
    <w:rsid w:val="00D73022"/>
    <w:rsid w:val="00D80D91"/>
    <w:rsid w:val="00D82DEA"/>
    <w:rsid w:val="00D8391F"/>
    <w:rsid w:val="00D83BF6"/>
    <w:rsid w:val="00D840DF"/>
    <w:rsid w:val="00D84E7D"/>
    <w:rsid w:val="00D877DD"/>
    <w:rsid w:val="00D90D20"/>
    <w:rsid w:val="00D9270E"/>
    <w:rsid w:val="00D93900"/>
    <w:rsid w:val="00D93E12"/>
    <w:rsid w:val="00D94FFC"/>
    <w:rsid w:val="00D95B27"/>
    <w:rsid w:val="00D97ABB"/>
    <w:rsid w:val="00DA1EFA"/>
    <w:rsid w:val="00DA5AD4"/>
    <w:rsid w:val="00DA650E"/>
    <w:rsid w:val="00DA7911"/>
    <w:rsid w:val="00DA79F6"/>
    <w:rsid w:val="00DB1E0F"/>
    <w:rsid w:val="00DB4135"/>
    <w:rsid w:val="00DC1493"/>
    <w:rsid w:val="00DC2490"/>
    <w:rsid w:val="00DC4561"/>
    <w:rsid w:val="00DC4B4F"/>
    <w:rsid w:val="00DC6996"/>
    <w:rsid w:val="00DD13B4"/>
    <w:rsid w:val="00DD76A2"/>
    <w:rsid w:val="00DE08F6"/>
    <w:rsid w:val="00DE1DD6"/>
    <w:rsid w:val="00DE320C"/>
    <w:rsid w:val="00DF0182"/>
    <w:rsid w:val="00DF139B"/>
    <w:rsid w:val="00DF4773"/>
    <w:rsid w:val="00DF4BF7"/>
    <w:rsid w:val="00DF7631"/>
    <w:rsid w:val="00DF7E65"/>
    <w:rsid w:val="00E02983"/>
    <w:rsid w:val="00E03618"/>
    <w:rsid w:val="00E0430A"/>
    <w:rsid w:val="00E046AA"/>
    <w:rsid w:val="00E10974"/>
    <w:rsid w:val="00E109EE"/>
    <w:rsid w:val="00E130AA"/>
    <w:rsid w:val="00E13A2F"/>
    <w:rsid w:val="00E13C1C"/>
    <w:rsid w:val="00E15B19"/>
    <w:rsid w:val="00E160E1"/>
    <w:rsid w:val="00E204E5"/>
    <w:rsid w:val="00E23FE6"/>
    <w:rsid w:val="00E256FC"/>
    <w:rsid w:val="00E269EC"/>
    <w:rsid w:val="00E26F66"/>
    <w:rsid w:val="00E33393"/>
    <w:rsid w:val="00E334E8"/>
    <w:rsid w:val="00E34164"/>
    <w:rsid w:val="00E36FF0"/>
    <w:rsid w:val="00E40672"/>
    <w:rsid w:val="00E40E25"/>
    <w:rsid w:val="00E42075"/>
    <w:rsid w:val="00E46870"/>
    <w:rsid w:val="00E50CFD"/>
    <w:rsid w:val="00E50D95"/>
    <w:rsid w:val="00E50FF4"/>
    <w:rsid w:val="00E575E8"/>
    <w:rsid w:val="00E604F6"/>
    <w:rsid w:val="00E605E5"/>
    <w:rsid w:val="00E61015"/>
    <w:rsid w:val="00E612CB"/>
    <w:rsid w:val="00E6315F"/>
    <w:rsid w:val="00E712D5"/>
    <w:rsid w:val="00E71681"/>
    <w:rsid w:val="00E721DC"/>
    <w:rsid w:val="00E72AE3"/>
    <w:rsid w:val="00E72BC6"/>
    <w:rsid w:val="00E76A07"/>
    <w:rsid w:val="00E8209A"/>
    <w:rsid w:val="00E823FB"/>
    <w:rsid w:val="00E87C68"/>
    <w:rsid w:val="00E906B0"/>
    <w:rsid w:val="00E90EEA"/>
    <w:rsid w:val="00E95C1B"/>
    <w:rsid w:val="00E97A0B"/>
    <w:rsid w:val="00EA4BDD"/>
    <w:rsid w:val="00EA53D1"/>
    <w:rsid w:val="00EA7B40"/>
    <w:rsid w:val="00EB074B"/>
    <w:rsid w:val="00EB2BBD"/>
    <w:rsid w:val="00EB2CFB"/>
    <w:rsid w:val="00EB4DAF"/>
    <w:rsid w:val="00EB731A"/>
    <w:rsid w:val="00EC15AF"/>
    <w:rsid w:val="00EC270D"/>
    <w:rsid w:val="00EC29B8"/>
    <w:rsid w:val="00EC5A5C"/>
    <w:rsid w:val="00EC5B36"/>
    <w:rsid w:val="00EC7B18"/>
    <w:rsid w:val="00ED2A51"/>
    <w:rsid w:val="00ED5389"/>
    <w:rsid w:val="00EE2732"/>
    <w:rsid w:val="00EE4E08"/>
    <w:rsid w:val="00EE7F26"/>
    <w:rsid w:val="00EF0DE6"/>
    <w:rsid w:val="00EF202A"/>
    <w:rsid w:val="00EF311E"/>
    <w:rsid w:val="00EF5376"/>
    <w:rsid w:val="00EF6EBF"/>
    <w:rsid w:val="00EF7826"/>
    <w:rsid w:val="00F0148C"/>
    <w:rsid w:val="00F01829"/>
    <w:rsid w:val="00F03509"/>
    <w:rsid w:val="00F04E54"/>
    <w:rsid w:val="00F0611A"/>
    <w:rsid w:val="00F06EE1"/>
    <w:rsid w:val="00F11CDD"/>
    <w:rsid w:val="00F13106"/>
    <w:rsid w:val="00F13C69"/>
    <w:rsid w:val="00F13C6F"/>
    <w:rsid w:val="00F15628"/>
    <w:rsid w:val="00F16643"/>
    <w:rsid w:val="00F241B7"/>
    <w:rsid w:val="00F25A85"/>
    <w:rsid w:val="00F25BCC"/>
    <w:rsid w:val="00F26194"/>
    <w:rsid w:val="00F372AF"/>
    <w:rsid w:val="00F423E2"/>
    <w:rsid w:val="00F4437C"/>
    <w:rsid w:val="00F44EAB"/>
    <w:rsid w:val="00F47B07"/>
    <w:rsid w:val="00F47B3B"/>
    <w:rsid w:val="00F5041C"/>
    <w:rsid w:val="00F50518"/>
    <w:rsid w:val="00F509FC"/>
    <w:rsid w:val="00F569D5"/>
    <w:rsid w:val="00F57652"/>
    <w:rsid w:val="00F605FF"/>
    <w:rsid w:val="00F618D3"/>
    <w:rsid w:val="00F61C20"/>
    <w:rsid w:val="00F621B0"/>
    <w:rsid w:val="00F62799"/>
    <w:rsid w:val="00F62F4D"/>
    <w:rsid w:val="00F63441"/>
    <w:rsid w:val="00F67EE5"/>
    <w:rsid w:val="00F741B4"/>
    <w:rsid w:val="00F75CC0"/>
    <w:rsid w:val="00F76C5B"/>
    <w:rsid w:val="00F80C42"/>
    <w:rsid w:val="00F83F3A"/>
    <w:rsid w:val="00F86F16"/>
    <w:rsid w:val="00F9163F"/>
    <w:rsid w:val="00F92D2C"/>
    <w:rsid w:val="00F97D36"/>
    <w:rsid w:val="00FA1D48"/>
    <w:rsid w:val="00FA269F"/>
    <w:rsid w:val="00FA2F7B"/>
    <w:rsid w:val="00FA3E52"/>
    <w:rsid w:val="00FA3F42"/>
    <w:rsid w:val="00FA4067"/>
    <w:rsid w:val="00FA7CB6"/>
    <w:rsid w:val="00FB2137"/>
    <w:rsid w:val="00FB27C9"/>
    <w:rsid w:val="00FB43C8"/>
    <w:rsid w:val="00FB4D9A"/>
    <w:rsid w:val="00FC013C"/>
    <w:rsid w:val="00FC226B"/>
    <w:rsid w:val="00FC5BBE"/>
    <w:rsid w:val="00FC70CC"/>
    <w:rsid w:val="00FC7D65"/>
    <w:rsid w:val="00FD0726"/>
    <w:rsid w:val="00FD1BEA"/>
    <w:rsid w:val="00FD445C"/>
    <w:rsid w:val="00FD5BF3"/>
    <w:rsid w:val="00FD61DC"/>
    <w:rsid w:val="00FE082B"/>
    <w:rsid w:val="00FE1E8C"/>
    <w:rsid w:val="00FE44A7"/>
    <w:rsid w:val="00FE6985"/>
    <w:rsid w:val="00FE7C4C"/>
    <w:rsid w:val="00FF1AF3"/>
    <w:rsid w:val="00FF1FD2"/>
    <w:rsid w:val="00FF35D6"/>
    <w:rsid w:val="00FF478C"/>
    <w:rsid w:val="00FF5498"/>
    <w:rsid w:val="00FF5F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5A2A5BE"/>
  <w14:defaultImageDpi w14:val="32767"/>
  <w15:chartTrackingRefBased/>
  <w15:docId w15:val="{9B689413-BF74-4976-A1C9-A2C30AAC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A2"/>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qFormat/>
    <w:rsid w:val="00A06021"/>
    <w:pPr>
      <w:numPr>
        <w:numId w:val="4"/>
      </w:numPr>
      <w:outlineLvl w:val="0"/>
    </w:pPr>
    <w:rPr>
      <w:rFonts w:ascii="Arial" w:hAnsi="Arial" w:cs="Arial"/>
      <w:b/>
    </w:rPr>
  </w:style>
  <w:style w:type="paragraph" w:styleId="Ttulo2">
    <w:name w:val="heading 2"/>
    <w:basedOn w:val="Ttulo1"/>
    <w:next w:val="Normal"/>
    <w:link w:val="Ttulo2Car"/>
    <w:unhideWhenUsed/>
    <w:qFormat/>
    <w:rsid w:val="00A06021"/>
    <w:pPr>
      <w:numPr>
        <w:ilvl w:val="1"/>
      </w:numPr>
      <w:outlineLvl w:val="1"/>
    </w:pPr>
  </w:style>
  <w:style w:type="paragraph" w:styleId="Ttulo3">
    <w:name w:val="heading 3"/>
    <w:basedOn w:val="Ttulo2"/>
    <w:next w:val="Normal"/>
    <w:link w:val="Ttulo3Car"/>
    <w:unhideWhenUsed/>
    <w:qFormat/>
    <w:rsid w:val="00A06021"/>
    <w:pPr>
      <w:numPr>
        <w:ilvl w:val="2"/>
      </w:numPr>
      <w:outlineLvl w:val="2"/>
    </w:pPr>
  </w:style>
  <w:style w:type="paragraph" w:styleId="Ttulo4">
    <w:name w:val="heading 4"/>
    <w:basedOn w:val="Normal"/>
    <w:next w:val="Normal"/>
    <w:link w:val="Ttulo4Car"/>
    <w:uiPriority w:val="9"/>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jc w:val="both"/>
      <w:outlineLvl w:val="3"/>
    </w:pPr>
    <w:rPr>
      <w:rFonts w:ascii="CG Omega" w:eastAsia="Times New Roman" w:hAnsi="CG Omega" w:cs="Times New Roman"/>
      <w:snapToGrid w:val="0"/>
      <w:sz w:val="22"/>
      <w:szCs w:val="20"/>
      <w:u w:val="single"/>
      <w:bdr w:val="none" w:sz="0" w:space="0" w:color="auto"/>
      <w:lang w:eastAsia="es-ES"/>
    </w:rPr>
  </w:style>
  <w:style w:type="paragraph" w:styleId="Ttulo5">
    <w:name w:val="heading 5"/>
    <w:basedOn w:val="Normal"/>
    <w:next w:val="Normal"/>
    <w:link w:val="Ttulo5Car"/>
    <w:uiPriority w:val="9"/>
    <w:unhideWhenUsed/>
    <w:qFormat/>
    <w:rsid w:val="006220A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5"/>
    </w:pPr>
    <w:rPr>
      <w:rFonts w:ascii="CG Omega" w:eastAsia="Times New Roman" w:hAnsi="CG Omega" w:cs="Times New Roman"/>
      <w:b/>
      <w:snapToGrid w:val="0"/>
      <w:sz w:val="20"/>
      <w:szCs w:val="20"/>
      <w:bdr w:val="none" w:sz="0" w:space="0" w:color="auto"/>
      <w:lang w:eastAsia="es-ES"/>
    </w:rPr>
  </w:style>
  <w:style w:type="paragraph" w:styleId="Ttulo7">
    <w:name w:val="heading 7"/>
    <w:basedOn w:val="Normal"/>
    <w:next w:val="Normal"/>
    <w:link w:val="Ttulo7Car"/>
    <w:uiPriority w:val="9"/>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187" w:lineRule="exact"/>
      <w:outlineLvl w:val="6"/>
    </w:pPr>
    <w:rPr>
      <w:rFonts w:ascii="CG Omega" w:eastAsia="Times New Roman" w:hAnsi="CG Omega" w:cs="Times New Roman"/>
      <w:b/>
      <w:snapToGrid w:val="0"/>
      <w:sz w:val="18"/>
      <w:szCs w:val="20"/>
      <w:bdr w:val="none" w:sz="0" w:space="0" w:color="auto"/>
      <w:lang w:eastAsia="es-ES"/>
    </w:rPr>
  </w:style>
  <w:style w:type="paragraph" w:styleId="Ttulo8">
    <w:name w:val="heading 8"/>
    <w:basedOn w:val="Normal"/>
    <w:next w:val="Normal"/>
    <w:link w:val="Ttulo8Car"/>
    <w:uiPriority w:val="9"/>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CG Omega" w:eastAsia="Times New Roman" w:hAnsi="CG Omega" w:cs="Times New Roman"/>
      <w:b/>
      <w:snapToGrid w:val="0"/>
      <w:sz w:val="18"/>
      <w:szCs w:val="20"/>
      <w:u w:val="single"/>
      <w:bdr w:val="none" w:sz="0" w:space="0" w:color="auto"/>
      <w:lang w:eastAsia="es-ES"/>
    </w:rPr>
  </w:style>
  <w:style w:type="paragraph" w:styleId="Ttulo9">
    <w:name w:val="heading 9"/>
    <w:basedOn w:val="Normal"/>
    <w:next w:val="Normal"/>
    <w:link w:val="Ttulo9Car"/>
    <w:uiPriority w:val="9"/>
    <w:qFormat/>
    <w:rsid w:val="006220A2"/>
    <w:pPr>
      <w:keepNext/>
      <w:widowControl w:val="0"/>
      <w:pBdr>
        <w:top w:val="none" w:sz="0" w:space="0" w:color="auto"/>
        <w:left w:val="none" w:sz="0" w:space="0" w:color="auto"/>
        <w:bottom w:val="none" w:sz="0" w:space="0" w:color="auto"/>
        <w:right w:val="none" w:sz="0" w:space="0" w:color="auto"/>
        <w:between w:val="none" w:sz="0" w:space="0" w:color="auto"/>
        <w:bar w:val="none" w:sz="0" w:color="auto"/>
      </w:pBdr>
      <w:jc w:val="right"/>
      <w:outlineLvl w:val="8"/>
    </w:pPr>
    <w:rPr>
      <w:rFonts w:ascii="CG Omega" w:eastAsia="Times New Roman" w:hAnsi="CG Omega" w:cs="Times New Roman"/>
      <w:b/>
      <w:snapToGrid w:val="0"/>
      <w:sz w:val="18"/>
      <w:szCs w:val="20"/>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804E8"/>
    <w:pPr>
      <w:tabs>
        <w:tab w:val="center" w:pos="4252"/>
        <w:tab w:val="right" w:pos="8504"/>
      </w:tabs>
    </w:pPr>
  </w:style>
  <w:style w:type="character" w:customStyle="1" w:styleId="EncabezadoCar">
    <w:name w:val="Encabezado Car"/>
    <w:basedOn w:val="Fuentedeprrafopredeter"/>
    <w:link w:val="Encabezado"/>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uiPriority w:val="34"/>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2"/>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3"/>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nhideWhenUsed/>
    <w:rsid w:val="0075646D"/>
    <w:rPr>
      <w:color w:val="0563C1" w:themeColor="hyperlink"/>
      <w:u w:val="single"/>
    </w:rPr>
  </w:style>
  <w:style w:type="character" w:customStyle="1" w:styleId="Ttulo1Car">
    <w:name w:val="Título 1 Car"/>
    <w:basedOn w:val="Fuentedeprrafopredeter"/>
    <w:link w:val="Ttulo1"/>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5"/>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uiPriority w:val="34"/>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customStyle="1" w:styleId="TextePrinc">
    <w:name w:val="TextePrin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textAlignment w:val="baseline"/>
      <w:outlineLvl w:val="9"/>
    </w:pPr>
    <w:rPr>
      <w:rFonts w:eastAsia="Times New Roman" w:cs="Times New Roman"/>
      <w:noProof/>
      <w:sz w:val="18"/>
      <w:szCs w:val="20"/>
      <w:bdr w:val="none" w:sz="0" w:space="0" w:color="auto"/>
      <w:lang w:eastAsia="es-ES"/>
    </w:rPr>
  </w:style>
  <w:style w:type="character" w:customStyle="1" w:styleId="Ttulo5Car">
    <w:name w:val="Título 5 Car"/>
    <w:basedOn w:val="Fuentedeprrafopredeter"/>
    <w:link w:val="Ttulo5"/>
    <w:uiPriority w:val="9"/>
    <w:rsid w:val="006220A2"/>
    <w:rPr>
      <w:rFonts w:asciiTheme="majorHAnsi" w:eastAsiaTheme="majorEastAsia" w:hAnsiTheme="majorHAnsi" w:cstheme="majorBidi"/>
      <w:color w:val="2F5496" w:themeColor="accent1" w:themeShade="BF"/>
      <w:u w:color="000000"/>
      <w:bdr w:val="nil"/>
      <w:lang w:val="es-ES" w:eastAsia="es-ES_tradnl"/>
    </w:rPr>
  </w:style>
  <w:style w:type="character" w:customStyle="1" w:styleId="Ttulo4Car">
    <w:name w:val="Título 4 Car"/>
    <w:basedOn w:val="Fuentedeprrafopredeter"/>
    <w:link w:val="Ttulo4"/>
    <w:uiPriority w:val="9"/>
    <w:rsid w:val="006220A2"/>
    <w:rPr>
      <w:rFonts w:ascii="CG Omega" w:eastAsia="Times New Roman" w:hAnsi="CG Omega" w:cs="Times New Roman"/>
      <w:snapToGrid w:val="0"/>
      <w:color w:val="000000"/>
      <w:sz w:val="22"/>
      <w:szCs w:val="20"/>
      <w:u w:val="single" w:color="000000"/>
      <w:lang w:val="es-ES" w:eastAsia="es-ES"/>
    </w:rPr>
  </w:style>
  <w:style w:type="character" w:customStyle="1" w:styleId="Ttulo6Car">
    <w:name w:val="Título 6 Car"/>
    <w:basedOn w:val="Fuentedeprrafopredeter"/>
    <w:link w:val="Ttulo6"/>
    <w:uiPriority w:val="9"/>
    <w:rsid w:val="006220A2"/>
    <w:rPr>
      <w:rFonts w:ascii="CG Omega" w:eastAsia="Times New Roman" w:hAnsi="CG Omega" w:cs="Times New Roman"/>
      <w:b/>
      <w:snapToGrid w:val="0"/>
      <w:color w:val="000000"/>
      <w:sz w:val="20"/>
      <w:szCs w:val="20"/>
      <w:u w:color="000000"/>
      <w:lang w:val="es-ES" w:eastAsia="es-ES"/>
    </w:rPr>
  </w:style>
  <w:style w:type="character" w:customStyle="1" w:styleId="Ttulo7Car">
    <w:name w:val="Título 7 Car"/>
    <w:basedOn w:val="Fuentedeprrafopredeter"/>
    <w:link w:val="Ttulo7"/>
    <w:uiPriority w:val="9"/>
    <w:rsid w:val="006220A2"/>
    <w:rPr>
      <w:rFonts w:ascii="CG Omega" w:eastAsia="Times New Roman" w:hAnsi="CG Omega" w:cs="Times New Roman"/>
      <w:b/>
      <w:snapToGrid w:val="0"/>
      <w:color w:val="000000"/>
      <w:sz w:val="18"/>
      <w:szCs w:val="20"/>
      <w:u w:color="000000"/>
      <w:lang w:val="es-ES" w:eastAsia="es-ES"/>
    </w:rPr>
  </w:style>
  <w:style w:type="character" w:customStyle="1" w:styleId="Ttulo8Car">
    <w:name w:val="Título 8 Car"/>
    <w:basedOn w:val="Fuentedeprrafopredeter"/>
    <w:link w:val="Ttulo8"/>
    <w:uiPriority w:val="9"/>
    <w:rsid w:val="006220A2"/>
    <w:rPr>
      <w:rFonts w:ascii="CG Omega" w:eastAsia="Times New Roman" w:hAnsi="CG Omega" w:cs="Times New Roman"/>
      <w:b/>
      <w:snapToGrid w:val="0"/>
      <w:color w:val="000000"/>
      <w:sz w:val="18"/>
      <w:szCs w:val="20"/>
      <w:u w:val="single" w:color="000000"/>
      <w:lang w:val="es-ES" w:eastAsia="es-ES"/>
    </w:rPr>
  </w:style>
  <w:style w:type="character" w:customStyle="1" w:styleId="Ttulo9Car">
    <w:name w:val="Título 9 Car"/>
    <w:basedOn w:val="Fuentedeprrafopredeter"/>
    <w:link w:val="Ttulo9"/>
    <w:uiPriority w:val="9"/>
    <w:rsid w:val="006220A2"/>
    <w:rPr>
      <w:rFonts w:ascii="CG Omega" w:eastAsia="Times New Roman" w:hAnsi="CG Omega" w:cs="Times New Roman"/>
      <w:b/>
      <w:snapToGrid w:val="0"/>
      <w:color w:val="000000"/>
      <w:sz w:val="18"/>
      <w:szCs w:val="20"/>
      <w:u w:color="000000"/>
      <w:lang w:val="es-ES" w:eastAsia="es-ES"/>
    </w:rPr>
  </w:style>
  <w:style w:type="character" w:styleId="Nmerodepgina">
    <w:name w:val="page number"/>
    <w:basedOn w:val="Fuentedeprrafopredeter"/>
    <w:rsid w:val="006220A2"/>
  </w:style>
  <w:style w:type="paragraph" w:styleId="Sangradetextonormal">
    <w:name w:val="Body Text Indent"/>
    <w:basedOn w:val="Normal"/>
    <w:link w:val="Sangradetextonormal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Cs w:val="20"/>
      <w:bdr w:val="none" w:sz="0" w:space="0" w:color="auto"/>
      <w:lang w:eastAsia="es-ES"/>
    </w:rPr>
  </w:style>
  <w:style w:type="character" w:customStyle="1" w:styleId="SangradetextonormalCar">
    <w:name w:val="Sangría de texto normal Car"/>
    <w:basedOn w:val="Fuentedeprrafopredeter"/>
    <w:link w:val="Sangradetextonormal"/>
    <w:rsid w:val="006220A2"/>
    <w:rPr>
      <w:rFonts w:ascii="CG Omega" w:eastAsia="Times New Roman" w:hAnsi="CG Omega" w:cs="Times New Roman"/>
      <w:snapToGrid w:val="0"/>
      <w:color w:val="000000"/>
      <w:szCs w:val="20"/>
      <w:u w:color="000000"/>
      <w:lang w:val="es-ES" w:eastAsia="es-ES"/>
    </w:rPr>
  </w:style>
  <w:style w:type="paragraph" w:styleId="Mapadeldocumento">
    <w:name w:val="Document Map"/>
    <w:basedOn w:val="Normal"/>
    <w:link w:val="MapadeldocumentoCar"/>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outlineLvl w:val="9"/>
    </w:pPr>
    <w:rPr>
      <w:rFonts w:ascii="Tahoma" w:eastAsia="Times New Roman" w:hAnsi="Tahoma" w:cs="Times New Roman"/>
      <w:color w:val="auto"/>
      <w:sz w:val="22"/>
      <w:szCs w:val="20"/>
      <w:bdr w:val="none" w:sz="0" w:space="0" w:color="auto"/>
      <w:lang w:eastAsia="en-US"/>
    </w:rPr>
  </w:style>
  <w:style w:type="character" w:customStyle="1" w:styleId="MapadeldocumentoCar">
    <w:name w:val="Mapa del documento Car"/>
    <w:basedOn w:val="Fuentedeprrafopredeter"/>
    <w:link w:val="Mapadeldocumento"/>
    <w:semiHidden/>
    <w:rsid w:val="006220A2"/>
    <w:rPr>
      <w:rFonts w:ascii="Tahoma" w:eastAsia="Times New Roman" w:hAnsi="Tahoma" w:cs="Times New Roman"/>
      <w:sz w:val="22"/>
      <w:szCs w:val="20"/>
      <w:u w:color="000000"/>
      <w:shd w:val="clear" w:color="auto" w:fill="000080"/>
      <w:lang w:val="es-ES"/>
    </w:rPr>
  </w:style>
  <w:style w:type="paragraph" w:styleId="Textoindependiente">
    <w:name w:val="Body Text"/>
    <w:basedOn w:val="Normal"/>
    <w:link w:val="Texto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G Omega" w:eastAsia="Times New Roman" w:hAnsi="CG Omega" w:cs="Times New Roman"/>
      <w:i/>
      <w:snapToGrid w:val="0"/>
      <w:color w:val="FF0000"/>
      <w:sz w:val="28"/>
      <w:szCs w:val="20"/>
      <w:bdr w:val="none" w:sz="0" w:space="0" w:color="auto"/>
      <w:lang w:eastAsia="es-ES"/>
    </w:rPr>
  </w:style>
  <w:style w:type="character" w:customStyle="1" w:styleId="TextoindependienteCar">
    <w:name w:val="Texto independiente Car"/>
    <w:basedOn w:val="Fuentedeprrafopredeter"/>
    <w:link w:val="Textoindependiente"/>
    <w:rsid w:val="006220A2"/>
    <w:rPr>
      <w:rFonts w:ascii="CG Omega" w:eastAsia="Times New Roman" w:hAnsi="CG Omega" w:cs="Times New Roman"/>
      <w:i/>
      <w:snapToGrid w:val="0"/>
      <w:color w:val="FF0000"/>
      <w:sz w:val="28"/>
      <w:szCs w:val="20"/>
      <w:u w:color="000000"/>
      <w:lang w:val="es-ES" w:eastAsia="es-ES"/>
    </w:rPr>
  </w:style>
  <w:style w:type="paragraph" w:styleId="Sangra2detindependiente">
    <w:name w:val="Body Text Indent 2"/>
    <w:basedOn w:val="Normal"/>
    <w:link w:val="Sangra2detindependienteCar"/>
    <w:rsid w:val="006220A2"/>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outlineLvl w:val="9"/>
    </w:pPr>
    <w:rPr>
      <w:rFonts w:ascii="CG Omega" w:eastAsia="Times New Roman" w:hAnsi="CG Omega" w:cs="Times New Roman"/>
      <w:snapToGrid w:val="0"/>
      <w:sz w:val="22"/>
      <w:szCs w:val="20"/>
      <w:bdr w:val="none" w:sz="0" w:space="0" w:color="auto"/>
      <w:lang w:eastAsia="es-ES"/>
    </w:rPr>
  </w:style>
  <w:style w:type="character" w:customStyle="1" w:styleId="Sangra2detindependienteCar">
    <w:name w:val="Sangría 2 de t. independiente Car"/>
    <w:basedOn w:val="Fuentedeprrafopredeter"/>
    <w:link w:val="Sangra2detindependiente"/>
    <w:rsid w:val="006220A2"/>
    <w:rPr>
      <w:rFonts w:ascii="CG Omega" w:eastAsia="Times New Roman" w:hAnsi="CG Omega" w:cs="Times New Roman"/>
      <w:snapToGrid w:val="0"/>
      <w:color w:val="000000"/>
      <w:sz w:val="22"/>
      <w:szCs w:val="20"/>
      <w:u w:color="000000"/>
      <w:lang w:val="es-ES" w:eastAsia="es-ES"/>
    </w:rPr>
  </w:style>
  <w:style w:type="paragraph" w:styleId="Textoindependiente2">
    <w:name w:val="Body Text 2"/>
    <w:basedOn w:val="Normal"/>
    <w:link w:val="Textoindependiente2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2Car">
    <w:name w:val="Texto independiente 2 Car"/>
    <w:basedOn w:val="Fuentedeprrafopredeter"/>
    <w:link w:val="Textoindependiente2"/>
    <w:rsid w:val="006220A2"/>
    <w:rPr>
      <w:rFonts w:ascii="CG Omega" w:eastAsia="Times New Roman" w:hAnsi="CG Omega" w:cs="Times New Roman"/>
      <w:i/>
      <w:snapToGrid w:val="0"/>
      <w:color w:val="000000"/>
      <w:sz w:val="22"/>
      <w:szCs w:val="20"/>
      <w:u w:color="000000"/>
      <w:lang w:val="es-ES" w:eastAsia="es-ES"/>
    </w:rPr>
  </w:style>
  <w:style w:type="paragraph" w:styleId="Textoindependiente3">
    <w:name w:val="Body Text 3"/>
    <w:basedOn w:val="Normal"/>
    <w:link w:val="Textoindependiente3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i/>
      <w:snapToGrid w:val="0"/>
      <w:sz w:val="22"/>
      <w:szCs w:val="20"/>
      <w:bdr w:val="none" w:sz="0" w:space="0" w:color="auto"/>
      <w:lang w:eastAsia="es-ES"/>
    </w:rPr>
  </w:style>
  <w:style w:type="character" w:customStyle="1" w:styleId="Textoindependiente3Car">
    <w:name w:val="Texto independiente 3 Car"/>
    <w:basedOn w:val="Fuentedeprrafopredeter"/>
    <w:link w:val="Textoindependiente3"/>
    <w:rsid w:val="006220A2"/>
    <w:rPr>
      <w:rFonts w:ascii="CG Omega" w:eastAsia="Times New Roman" w:hAnsi="CG Omega" w:cs="Times New Roman"/>
      <w:i/>
      <w:snapToGrid w:val="0"/>
      <w:color w:val="000000"/>
      <w:sz w:val="22"/>
      <w:szCs w:val="20"/>
      <w:u w:color="000000"/>
      <w:lang w:val="es-ES" w:eastAsia="es-ES"/>
    </w:rPr>
  </w:style>
  <w:style w:type="paragraph" w:styleId="Sangra3detindependiente">
    <w:name w:val="Body Text Indent 3"/>
    <w:basedOn w:val="Normal"/>
    <w:link w:val="Sangra3detindependienteCar"/>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7"/>
      <w:outlineLvl w:val="9"/>
    </w:pPr>
    <w:rPr>
      <w:rFonts w:ascii="CG Omega" w:eastAsia="Times New Roman" w:hAnsi="CG Omega" w:cs="Times New Roman"/>
      <w:snapToGrid w:val="0"/>
      <w:sz w:val="22"/>
      <w:szCs w:val="20"/>
      <w:bdr w:val="none" w:sz="0" w:space="0" w:color="auto"/>
      <w:lang w:eastAsia="es-ES"/>
    </w:rPr>
  </w:style>
  <w:style w:type="character" w:customStyle="1" w:styleId="Sangra3detindependienteCar">
    <w:name w:val="Sangría 3 de t. independiente Car"/>
    <w:basedOn w:val="Fuentedeprrafopredeter"/>
    <w:link w:val="Sangra3detindependiente"/>
    <w:rsid w:val="006220A2"/>
    <w:rPr>
      <w:rFonts w:ascii="CG Omega" w:eastAsia="Times New Roman" w:hAnsi="CG Omega" w:cs="Times New Roman"/>
      <w:snapToGrid w:val="0"/>
      <w:color w:val="000000"/>
      <w:sz w:val="22"/>
      <w:szCs w:val="20"/>
      <w:u w:color="000000"/>
      <w:lang w:val="es-ES" w:eastAsia="es-ES"/>
    </w:rPr>
  </w:style>
  <w:style w:type="paragraph" w:customStyle="1" w:styleId="Disclaimer">
    <w:name w:val="Disclaim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Address">
    <w:name w:val="Address"/>
    <w:basedOn w:val="Normal"/>
    <w:rsid w:val="006220A2"/>
    <w:pPr>
      <w:pBdr>
        <w:top w:val="none" w:sz="0" w:space="0" w:color="auto"/>
        <w:left w:val="single" w:sz="4" w:space="6" w:color="auto"/>
        <w:bottom w:val="none" w:sz="0" w:space="0" w:color="auto"/>
        <w:right w:val="none" w:sz="0" w:space="0" w:color="auto"/>
        <w:between w:val="none" w:sz="0" w:space="0" w:color="auto"/>
        <w:bar w:val="none" w:sz="0" w:color="auto"/>
      </w:pBdr>
      <w:spacing w:line="200" w:lineRule="exact"/>
      <w:outlineLvl w:val="9"/>
    </w:pPr>
    <w:rPr>
      <w:rFonts w:ascii="Times New Roman" w:eastAsia="Times New Roman" w:hAnsi="Times New Roman" w:cs="Times New Roman"/>
      <w:color w:val="auto"/>
      <w:sz w:val="16"/>
      <w:szCs w:val="20"/>
      <w:bdr w:val="none" w:sz="0" w:space="0" w:color="auto"/>
      <w:lang w:val="es-ES_tradnl" w:eastAsia="en-US"/>
    </w:rPr>
  </w:style>
  <w:style w:type="paragraph" w:customStyle="1" w:styleId="Indent3">
    <w:name w:val="Inden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line="290" w:lineRule="atLeast"/>
      <w:ind w:left="2160"/>
      <w:outlineLvl w:val="9"/>
    </w:pPr>
    <w:rPr>
      <w:rFonts w:ascii="Times New Roman" w:eastAsia="Times New Roman" w:hAnsi="Times New Roman" w:cs="Times New Roman"/>
      <w:color w:val="auto"/>
      <w:szCs w:val="20"/>
      <w:bdr w:val="none" w:sz="0" w:space="0" w:color="auto"/>
      <w:lang w:val="es-ES_tradnl" w:eastAsia="en-US"/>
    </w:rPr>
  </w:style>
  <w:style w:type="paragraph" w:styleId="Textonotapie">
    <w:name w:val="footnote text"/>
    <w:basedOn w:val="Normal"/>
    <w:link w:val="TextonotapieCar"/>
    <w:uiPriority w:val="99"/>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G Omega" w:eastAsia="Times New Roman" w:hAnsi="CG Omega" w:cs="Times New Roman"/>
      <w:color w:val="auto"/>
      <w:sz w:val="20"/>
      <w:szCs w:val="20"/>
      <w:bdr w:val="none" w:sz="0" w:space="0" w:color="auto"/>
      <w:lang w:eastAsia="en-US"/>
    </w:rPr>
  </w:style>
  <w:style w:type="character" w:customStyle="1" w:styleId="TextonotapieCar">
    <w:name w:val="Texto nota pie Car"/>
    <w:basedOn w:val="Fuentedeprrafopredeter"/>
    <w:link w:val="Textonotapie"/>
    <w:uiPriority w:val="99"/>
    <w:semiHidden/>
    <w:rsid w:val="006220A2"/>
    <w:rPr>
      <w:rFonts w:ascii="CG Omega" w:eastAsia="Times New Roman" w:hAnsi="CG Omega" w:cs="Times New Roman"/>
      <w:sz w:val="20"/>
      <w:szCs w:val="20"/>
      <w:u w:color="000000"/>
      <w:lang w:val="es-ES"/>
    </w:rPr>
  </w:style>
  <w:style w:type="paragraph" w:customStyle="1" w:styleId="Estilo1">
    <w:name w:val="Estil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34"/>
      </w:tabs>
      <w:ind w:left="1134" w:hanging="1134"/>
      <w:outlineLvl w:val="9"/>
    </w:pPr>
    <w:rPr>
      <w:rFonts w:ascii="CG Omega" w:eastAsia="Times New Roman" w:hAnsi="CG Omega" w:cs="Times New Roman"/>
      <w:b/>
      <w:caps/>
      <w:color w:val="auto"/>
      <w:sz w:val="22"/>
      <w:szCs w:val="20"/>
      <w:bdr w:val="none" w:sz="0" w:space="0" w:color="auto"/>
      <w:lang w:eastAsia="en-US"/>
    </w:rPr>
  </w:style>
  <w:style w:type="paragraph" w:customStyle="1" w:styleId="Pdc">
    <w:name w:val="Pd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285"/>
        <w:tab w:val="left" w:leader="dot" w:pos="567"/>
        <w:tab w:val="left" w:leader="dot" w:pos="852"/>
        <w:tab w:val="left" w:leader="dot" w:pos="1134"/>
        <w:tab w:val="left" w:leader="dot" w:pos="1419"/>
        <w:tab w:val="left" w:leader="dot" w:pos="1701"/>
        <w:tab w:val="left" w:leader="dot" w:pos="1986"/>
        <w:tab w:val="left" w:leader="dot" w:pos="2268"/>
        <w:tab w:val="left" w:leader="dot" w:pos="2553"/>
        <w:tab w:val="left" w:leader="dot" w:pos="2835"/>
        <w:tab w:val="left" w:leader="dot" w:pos="3120"/>
        <w:tab w:val="left" w:leader="dot" w:pos="3402"/>
        <w:tab w:val="left" w:leader="dot" w:pos="3687"/>
        <w:tab w:val="left" w:leader="dot" w:pos="3969"/>
        <w:tab w:val="left" w:leader="dot" w:pos="4254"/>
        <w:tab w:val="left" w:leader="dot" w:pos="4536"/>
        <w:tab w:val="left" w:leader="dot" w:pos="4821"/>
        <w:tab w:val="left" w:leader="dot" w:pos="5100"/>
        <w:tab w:val="left" w:leader="dot" w:pos="5382"/>
        <w:tab w:val="left" w:leader="dot" w:pos="5667"/>
        <w:tab w:val="left" w:leader="dot" w:pos="5949"/>
        <w:tab w:val="left" w:leader="dot" w:pos="6234"/>
        <w:tab w:val="left" w:leader="dot" w:pos="6516"/>
        <w:tab w:val="left" w:leader="dot" w:pos="6801"/>
        <w:tab w:val="left" w:leader="dot" w:pos="7083"/>
        <w:tab w:val="left" w:leader="dot" w:pos="7368"/>
      </w:tabs>
      <w:overflowPunct w:val="0"/>
      <w:autoSpaceDE w:val="0"/>
      <w:autoSpaceDN w:val="0"/>
      <w:adjustRightInd w:val="0"/>
      <w:jc w:val="both"/>
      <w:textAlignment w:val="baseline"/>
      <w:outlineLvl w:val="9"/>
    </w:pPr>
    <w:rPr>
      <w:rFonts w:ascii="Times New Roman" w:eastAsia="Times New Roman" w:hAnsi="Times New Roman" w:cs="Times New Roman"/>
      <w:noProof/>
      <w:color w:val="FFFF00"/>
      <w:sz w:val="20"/>
      <w:szCs w:val="20"/>
      <w:bdr w:val="none" w:sz="0" w:space="0" w:color="auto"/>
      <w:lang w:eastAsia="es-ES"/>
    </w:rPr>
  </w:style>
  <w:style w:type="paragraph" w:customStyle="1" w:styleId="CelluleCourant">
    <w:name w:val="CelluleCouran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character" w:customStyle="1" w:styleId="fmteuro">
    <w:name w:val="fmteuro"/>
    <w:rsid w:val="006220A2"/>
    <w:rPr>
      <w:rFonts w:ascii="Times" w:hAnsi="Times"/>
      <w:sz w:val="24"/>
    </w:rPr>
  </w:style>
  <w:style w:type="paragraph" w:styleId="Remitedesobre">
    <w:name w:val="envelope return"/>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Frutiger-Light" w:eastAsia="Times New Roman" w:hAnsi="Frutiger-Light" w:cs="Times New Roman"/>
      <w:color w:val="auto"/>
      <w:sz w:val="20"/>
      <w:szCs w:val="20"/>
      <w:bdr w:val="none" w:sz="0" w:space="0" w:color="auto"/>
      <w:lang w:val="es-ES_tradnl" w:eastAsia="es-ES"/>
    </w:rPr>
  </w:style>
  <w:style w:type="paragraph" w:customStyle="1" w:styleId="Numeros">
    <w:name w:val="Numero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80"/>
      <w:textAlignment w:val="baseline"/>
      <w:outlineLvl w:val="9"/>
    </w:pPr>
    <w:rPr>
      <w:rFonts w:eastAsia="Times New Roman" w:cs="Times New Roman"/>
      <w:b/>
      <w:noProof/>
      <w:color w:val="FFFF00"/>
      <w:szCs w:val="20"/>
      <w:bdr w:val="none" w:sz="0" w:space="0" w:color="auto"/>
      <w:lang w:eastAsia="es-ES"/>
    </w:rPr>
  </w:style>
  <w:style w:type="paragraph" w:customStyle="1" w:styleId="Style1">
    <w:name w:val="Style 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2">
    <w:name w:val="Style 2"/>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tLeast"/>
      <w:ind w:left="288" w:hanging="252"/>
      <w:outlineLvl w:val="9"/>
    </w:pPr>
    <w:rPr>
      <w:rFonts w:ascii="Times New Roman" w:eastAsia="Times New Roman" w:hAnsi="Times New Roman" w:cs="Times New Roman"/>
      <w:color w:val="auto"/>
      <w:sz w:val="20"/>
      <w:bdr w:val="none" w:sz="0" w:space="0" w:color="auto"/>
      <w:lang w:val="en-US" w:eastAsia="en-US"/>
    </w:rPr>
  </w:style>
  <w:style w:type="paragraph" w:customStyle="1" w:styleId="Preci">
    <w:name w:val="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ableFootnote">
    <w:name w:val="Table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TableTitle">
    <w:name w:val="TableTitl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10">
    <w:name w:val="Titre 10"/>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Style8">
    <w:name w:val="Style 8"/>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16" w:line="228"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4">
    <w:name w:val="Style 4"/>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00" w:lineRule="atLeast"/>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3">
    <w:name w:val="Style 3"/>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24"/>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5">
    <w:name w:val="Style 5"/>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7">
    <w:name w:val="Style 7"/>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52" w:line="240" w:lineRule="atLeast"/>
      <w:jc w:val="center"/>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6">
    <w:name w:val="Style 6"/>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hanging="288"/>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9">
    <w:name w:val="Style 9"/>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right="216" w:firstLine="57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0">
    <w:name w:val="Style 10"/>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2" w:after="252" w:line="168" w:lineRule="exact"/>
      <w:ind w:left="216"/>
      <w:outlineLvl w:val="9"/>
    </w:pPr>
    <w:rPr>
      <w:rFonts w:ascii="Times New Roman" w:eastAsia="Times New Roman" w:hAnsi="Times New Roman" w:cs="Times New Roman"/>
      <w:color w:val="auto"/>
      <w:sz w:val="20"/>
      <w:bdr w:val="none" w:sz="0" w:space="0" w:color="auto"/>
      <w:lang w:val="en-US" w:eastAsia="en-US"/>
    </w:rPr>
  </w:style>
  <w:style w:type="paragraph" w:customStyle="1" w:styleId="Style11">
    <w:name w:val="Style 11"/>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624" w:lineRule="exact"/>
      <w:jc w:val="center"/>
      <w:outlineLvl w:val="9"/>
    </w:pPr>
    <w:rPr>
      <w:rFonts w:ascii="Times New Roman" w:eastAsia="Times New Roman" w:hAnsi="Times New Roman" w:cs="Times New Roman"/>
      <w:color w:val="auto"/>
      <w:sz w:val="20"/>
      <w:bdr w:val="none" w:sz="0" w:space="0" w:color="auto"/>
      <w:lang w:val="en-US" w:eastAsia="en-US"/>
    </w:rPr>
  </w:style>
  <w:style w:type="paragraph" w:styleId="Textodebloque">
    <w:name w:val="Block Text"/>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6" w:right="142"/>
      <w:outlineLvl w:val="9"/>
    </w:pPr>
    <w:rPr>
      <w:rFonts w:ascii="Times New Roman" w:eastAsia="Times New Roman" w:hAnsi="Times New Roman" w:cs="Times New Roman"/>
      <w:color w:val="auto"/>
      <w:spacing w:val="-2"/>
      <w:sz w:val="16"/>
      <w:szCs w:val="16"/>
      <w:bdr w:val="none" w:sz="0" w:space="0" w:color="auto"/>
      <w:lang w:val="en-US" w:eastAsia="en-US"/>
    </w:rPr>
  </w:style>
  <w:style w:type="paragraph" w:styleId="Listaconvietas">
    <w:name w:val="List Bull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2">
    <w:name w:val="List Bullet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3">
    <w:name w:val="List Bullet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4">
    <w:name w:val="List Bullet 4"/>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vietas5">
    <w:name w:val="List Bullet 5"/>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735"/>
      </w:tabs>
      <w:spacing w:after="240" w:line="240" w:lineRule="atLeast"/>
      <w:ind w:left="735" w:hanging="735"/>
      <w:outlineLvl w:val="9"/>
    </w:pPr>
    <w:rPr>
      <w:rFonts w:eastAsia="Times New Roman" w:cs="Times New Roman"/>
      <w:color w:val="auto"/>
      <w:sz w:val="20"/>
      <w:szCs w:val="20"/>
      <w:bdr w:val="none" w:sz="0" w:space="0" w:color="auto"/>
      <w:lang w:val="en-GB" w:eastAsia="en-US"/>
    </w:rPr>
  </w:style>
  <w:style w:type="paragraph" w:styleId="Listaconnmeros">
    <w:name w:val="List Number"/>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595"/>
      </w:tabs>
      <w:spacing w:after="240" w:line="240" w:lineRule="atLeast"/>
      <w:ind w:left="595" w:hanging="595"/>
      <w:outlineLvl w:val="9"/>
    </w:pPr>
    <w:rPr>
      <w:rFonts w:eastAsia="Times New Roman" w:cs="Times New Roman"/>
      <w:color w:val="auto"/>
      <w:sz w:val="20"/>
      <w:szCs w:val="20"/>
      <w:bdr w:val="none" w:sz="0" w:space="0" w:color="auto"/>
      <w:lang w:val="en-GB" w:eastAsia="en-US"/>
    </w:rPr>
  </w:style>
  <w:style w:type="paragraph" w:styleId="Listaconnmeros2">
    <w:name w:val="List Number 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191"/>
      </w:tabs>
      <w:spacing w:after="240" w:line="240" w:lineRule="atLeast"/>
      <w:ind w:left="1191" w:hanging="595"/>
      <w:outlineLvl w:val="9"/>
    </w:pPr>
    <w:rPr>
      <w:rFonts w:eastAsia="Times New Roman" w:cs="Times New Roman"/>
      <w:color w:val="auto"/>
      <w:sz w:val="20"/>
      <w:szCs w:val="20"/>
      <w:bdr w:val="none" w:sz="0" w:space="0" w:color="auto"/>
      <w:lang w:val="en-GB" w:eastAsia="en-US"/>
    </w:rPr>
  </w:style>
  <w:style w:type="paragraph" w:styleId="Listaconnmeros3">
    <w:name w:val="List Number 3"/>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num" w:pos="1786"/>
      </w:tabs>
      <w:spacing w:after="240" w:line="240" w:lineRule="atLeast"/>
      <w:ind w:left="1786" w:hanging="595"/>
      <w:outlineLvl w:val="9"/>
    </w:pPr>
    <w:rPr>
      <w:rFonts w:eastAsia="Times New Roman" w:cs="Times New Roman"/>
      <w:color w:val="auto"/>
      <w:sz w:val="20"/>
      <w:szCs w:val="20"/>
      <w:bdr w:val="none" w:sz="0" w:space="0" w:color="auto"/>
      <w:lang w:val="en-GB" w:eastAsia="en-US"/>
    </w:rPr>
  </w:style>
  <w:style w:type="paragraph" w:styleId="Listaconnmeros4">
    <w:name w:val="List Number 4"/>
    <w:basedOn w:val="Normal"/>
    <w:rsid w:val="006220A2"/>
    <w:pPr>
      <w:numPr>
        <w:ilvl w:val="3"/>
        <w:numId w:val="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styleId="Listaconnmeros5">
    <w:name w:val="List Number 5"/>
    <w:basedOn w:val="Normal"/>
    <w:rsid w:val="006220A2"/>
    <w:pPr>
      <w:numPr>
        <w:ilvl w:val="4"/>
        <w:numId w:val="7"/>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outlineLvl w:val="9"/>
    </w:pPr>
    <w:rPr>
      <w:rFonts w:eastAsia="Times New Roman" w:cs="Times New Roman"/>
      <w:color w:val="auto"/>
      <w:sz w:val="20"/>
      <w:szCs w:val="20"/>
      <w:bdr w:val="none" w:sz="0" w:space="0" w:color="auto"/>
      <w:lang w:val="en-GB" w:eastAsia="en-US"/>
    </w:rPr>
  </w:style>
  <w:style w:type="paragraph" w:customStyle="1" w:styleId="TableBullet">
    <w:name w:val="Table Bullet"/>
    <w:basedOn w:val="TableText"/>
    <w:rsid w:val="006220A2"/>
    <w:pPr>
      <w:numPr>
        <w:numId w:val="8"/>
      </w:numPr>
    </w:pPr>
  </w:style>
  <w:style w:type="paragraph" w:customStyle="1" w:styleId="TableText">
    <w:name w:val="Table Tex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20" w:after="170" w:line="240" w:lineRule="atLeast"/>
      <w:outlineLvl w:val="9"/>
    </w:pPr>
    <w:rPr>
      <w:rFonts w:eastAsia="Times New Roman" w:cs="Times New Roman"/>
      <w:color w:val="auto"/>
      <w:sz w:val="20"/>
      <w:szCs w:val="20"/>
      <w:bdr w:val="none" w:sz="0" w:space="0" w:color="auto"/>
      <w:lang w:val="en-GB" w:eastAsia="en-US"/>
    </w:rPr>
  </w:style>
  <w:style w:type="paragraph" w:customStyle="1" w:styleId="TableListNumber">
    <w:name w:val="Table List Number"/>
    <w:basedOn w:val="TableText"/>
    <w:rsid w:val="006220A2"/>
    <w:pPr>
      <w:numPr>
        <w:numId w:val="9"/>
      </w:numPr>
      <w:tabs>
        <w:tab w:val="left" w:pos="298"/>
      </w:tabs>
    </w:pPr>
  </w:style>
  <w:style w:type="paragraph" w:customStyle="1" w:styleId="TableColumnHeader">
    <w:name w:val="Table Column Header"/>
    <w:basedOn w:val="TableText"/>
    <w:rsid w:val="006220A2"/>
    <w:rPr>
      <w:b/>
    </w:rPr>
  </w:style>
  <w:style w:type="character" w:styleId="Refdecomentario">
    <w:name w:val="annotation reference"/>
    <w:semiHidden/>
    <w:rsid w:val="006220A2"/>
    <w:rPr>
      <w:sz w:val="16"/>
      <w:szCs w:val="16"/>
    </w:rPr>
  </w:style>
  <w:style w:type="paragraph" w:customStyle="1" w:styleId="TableRowHeader">
    <w:name w:val="Table Row Header"/>
    <w:basedOn w:val="Normal"/>
    <w:rsid w:val="006220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
      <w:outlineLvl w:val="9"/>
    </w:pPr>
    <w:rPr>
      <w:rFonts w:ascii="Times New Roman" w:eastAsia="Times New Roman" w:hAnsi="Times New Roman" w:cs="Times New Roman"/>
      <w:color w:val="auto"/>
      <w:spacing w:val="-2"/>
      <w:sz w:val="16"/>
      <w:szCs w:val="16"/>
      <w:bdr w:val="none" w:sz="0" w:space="0" w:color="auto"/>
      <w:lang w:val="en-GB" w:eastAsia="en-US"/>
    </w:rPr>
  </w:style>
  <w:style w:type="paragraph" w:customStyle="1" w:styleId="Body">
    <w:name w:va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Bulleted">
    <w:name w:val="Bulle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Body">
    <w:name w:val="CellBody"/>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Heading">
    <w:name w:val="CellHeading"/>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CelluleIntitul">
    <w:name w:val="Cellule Intitulé"/>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Footnote">
    <w:name w:val="Footnote"/>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Times New Roman" w:eastAsia="Times New Roman" w:hAnsi="Times New Roman" w:cs="Times New Roman"/>
      <w:noProof/>
      <w:sz w:val="20"/>
      <w:szCs w:val="20"/>
      <w:bdr w:val="none" w:sz="0" w:space="0" w:color="auto"/>
      <w:lang w:eastAsia="es-ES"/>
    </w:rPr>
  </w:style>
  <w:style w:type="paragraph" w:customStyle="1" w:styleId="Heading1">
    <w:name w:val="Heading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80" w:after="120"/>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Heading2">
    <w:name w:val="Heading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6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HeadingRunIn">
    <w:name w:val="HeadingRunIn"/>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Indented">
    <w:name w:val="Indent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
    <w:name w:val="Numbere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Numbered1">
    <w:name w:val="Numbered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overflowPunct w:val="0"/>
      <w:autoSpaceDE w:val="0"/>
      <w:autoSpaceDN w:val="0"/>
      <w:adjustRightInd w:val="0"/>
      <w:ind w:left="285" w:hanging="285"/>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extePreci">
    <w:name w:val="TextePreci"/>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ind w:left="285"/>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
    <w:name w:val="TexteSecond"/>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ind w:left="433"/>
      <w:jc w:val="both"/>
      <w:textAlignment w:val="baseline"/>
      <w:outlineLvl w:val="9"/>
    </w:pPr>
    <w:rPr>
      <w:rFonts w:eastAsia="Times New Roman" w:cs="Times New Roman"/>
      <w:noProof/>
      <w:sz w:val="18"/>
      <w:szCs w:val="20"/>
      <w:bdr w:val="none" w:sz="0" w:space="0" w:color="auto"/>
      <w:lang w:eastAsia="es-ES"/>
    </w:rPr>
  </w:style>
  <w:style w:type="paragraph" w:customStyle="1" w:styleId="TexteSecondNonRet">
    <w:name w:val="TexteSecondNonRet"/>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eastAsia="Times New Roman" w:cs="Times New Roman"/>
      <w:noProof/>
      <w:sz w:val="18"/>
      <w:szCs w:val="20"/>
      <w:bdr w:val="none" w:sz="0" w:space="0" w:color="auto"/>
      <w:lang w:eastAsia="es-ES"/>
    </w:rPr>
  </w:style>
  <w:style w:type="paragraph" w:customStyle="1" w:styleId="Title1">
    <w:name w:val="Title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480" w:after="240" w:line="360" w:lineRule="atLeast"/>
      <w:jc w:val="center"/>
      <w:textAlignment w:val="baseline"/>
      <w:outlineLvl w:val="9"/>
    </w:pPr>
    <w:rPr>
      <w:rFonts w:ascii="Times New Roman" w:eastAsia="Times New Roman" w:hAnsi="Times New Roman" w:cs="Times New Roman"/>
      <w:b/>
      <w:noProof/>
      <w:sz w:val="36"/>
      <w:szCs w:val="20"/>
      <w:bdr w:val="none" w:sz="0" w:space="0" w:color="auto"/>
      <w:lang w:eastAsia="es-ES"/>
    </w:rPr>
  </w:style>
  <w:style w:type="paragraph" w:customStyle="1" w:styleId="Titre1">
    <w:name w:val="Titre 1"/>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1Intro">
    <w:name w:val="Titre 1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10Bis">
    <w:name w:val="Titre 10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color w:val="0000FF"/>
      <w:sz w:val="28"/>
      <w:szCs w:val="20"/>
      <w:bdr w:val="none" w:sz="0" w:space="0" w:color="auto"/>
      <w:lang w:eastAsia="es-ES"/>
    </w:rPr>
  </w:style>
  <w:style w:type="paragraph" w:customStyle="1" w:styleId="Titre11">
    <w:name w:val="Titre 1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2">
    <w:name w:val="Titre 2"/>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bis">
    <w:name w:val="Titre 2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ascii="Times New Roman" w:eastAsia="Times New Roman" w:hAnsi="Times New Roman" w:cs="Times New Roman"/>
      <w:b/>
      <w:noProof/>
      <w:sz w:val="48"/>
      <w:szCs w:val="20"/>
      <w:bdr w:val="none" w:sz="0" w:space="0" w:color="auto"/>
      <w:lang w:eastAsia="es-ES"/>
    </w:rPr>
  </w:style>
  <w:style w:type="paragraph" w:customStyle="1" w:styleId="Titre2Intro">
    <w:name w:val="Titre 2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417" w:line="26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
    <w:name w:val="Titre 3"/>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Bis">
    <w:name w:val="Titre 3 Bis"/>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400" w:lineRule="atLeast"/>
      <w:jc w:val="center"/>
      <w:textAlignment w:val="baseline"/>
      <w:outlineLvl w:val="9"/>
    </w:pPr>
    <w:rPr>
      <w:rFonts w:ascii="Times New Roman" w:eastAsia="Times New Roman" w:hAnsi="Times New Roman" w:cs="Times New Roman"/>
      <w:b/>
      <w:noProof/>
      <w:sz w:val="32"/>
      <w:szCs w:val="20"/>
      <w:bdr w:val="none" w:sz="0" w:space="0" w:color="auto"/>
      <w:lang w:eastAsia="es-ES"/>
    </w:rPr>
  </w:style>
  <w:style w:type="paragraph" w:customStyle="1" w:styleId="Titre3Intro">
    <w:name w:val="Titre 3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4">
    <w:name w:val="Titre 4"/>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380" w:lineRule="atLeast"/>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4Intro">
    <w:name w:val="Titre 4 Intro"/>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line="260" w:lineRule="atLeast"/>
      <w:jc w:val="center"/>
      <w:textAlignment w:val="baseline"/>
      <w:outlineLvl w:val="9"/>
    </w:pPr>
    <w:rPr>
      <w:rFonts w:eastAsia="Times New Roman" w:cs="Times New Roman"/>
      <w:b/>
      <w:noProof/>
      <w:szCs w:val="20"/>
      <w:bdr w:val="none" w:sz="0" w:space="0" w:color="auto"/>
      <w:lang w:eastAsia="es-ES"/>
    </w:rPr>
  </w:style>
  <w:style w:type="paragraph" w:customStyle="1" w:styleId="Titre5">
    <w:name w:val="Titre 5"/>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6">
    <w:name w:val="Titre 6"/>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200"/>
      <w:jc w:val="center"/>
      <w:textAlignment w:val="baseline"/>
      <w:outlineLvl w:val="9"/>
    </w:pPr>
    <w:rPr>
      <w:rFonts w:ascii="Times New Roman" w:eastAsia="Times New Roman" w:hAnsi="Times New Roman" w:cs="Times New Roman"/>
      <w:b/>
      <w:noProof/>
      <w:sz w:val="28"/>
      <w:szCs w:val="20"/>
      <w:bdr w:val="none" w:sz="0" w:space="0" w:color="auto"/>
      <w:lang w:eastAsia="es-ES"/>
    </w:rPr>
  </w:style>
  <w:style w:type="paragraph" w:customStyle="1" w:styleId="Titre7">
    <w:name w:val="Titre 7"/>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after="240"/>
      <w:jc w:val="center"/>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itre8">
    <w:name w:val="Titre 8"/>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jc w:val="center"/>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itre9">
    <w:name w:val="Titre 9"/>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b/>
      <w:noProof/>
      <w:color w:val="FFFF00"/>
      <w:sz w:val="28"/>
      <w:szCs w:val="20"/>
      <w:bdr w:val="none" w:sz="0" w:space="0" w:color="auto"/>
      <w:lang w:eastAsia="es-ES"/>
    </w:rPr>
  </w:style>
  <w:style w:type="paragraph" w:customStyle="1" w:styleId="Titre9Bis">
    <w:name w:val="Titre 9 Bis"/>
    <w:basedOn w:val="Normal"/>
    <w:rsid w:val="006220A2"/>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itreTableau">
    <w:name w:val="TitreTableau"/>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85"/>
      <w:textAlignment w:val="baseline"/>
      <w:outlineLvl w:val="9"/>
    </w:pPr>
    <w:rPr>
      <w:rFonts w:ascii="Times New Roman" w:eastAsia="Times New Roman" w:hAnsi="Times New Roman" w:cs="Times New Roman"/>
      <w:b/>
      <w:noProof/>
      <w:sz w:val="20"/>
      <w:szCs w:val="20"/>
      <w:bdr w:val="none" w:sz="0" w:space="0" w:color="auto"/>
      <w:lang w:eastAsia="es-ES"/>
    </w:rPr>
  </w:style>
  <w:style w:type="paragraph" w:customStyle="1" w:styleId="TM">
    <w:name w:val="TM"/>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100" w:line="260" w:lineRule="atLeast"/>
      <w:textAlignment w:val="baseline"/>
      <w:outlineLvl w:val="9"/>
    </w:pPr>
    <w:rPr>
      <w:rFonts w:ascii="Times New Roman" w:eastAsia="Times New Roman" w:hAnsi="Times New Roman" w:cs="Times New Roman"/>
      <w:noProof/>
      <w:color w:val="0000FF"/>
      <w:sz w:val="26"/>
      <w:szCs w:val="20"/>
      <w:bdr w:val="none" w:sz="0" w:space="0" w:color="auto"/>
      <w:lang w:eastAsia="es-ES"/>
    </w:rPr>
  </w:style>
  <w:style w:type="paragraph" w:customStyle="1" w:styleId="Tniv">
    <w:name w:val="Tniv"/>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nivIntro">
    <w:name w:val="Tniv Intro"/>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703"/>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line="260" w:lineRule="atLeast"/>
      <w:textAlignment w:val="baseline"/>
      <w:outlineLvl w:val="9"/>
    </w:pPr>
    <w:rPr>
      <w:rFonts w:ascii="Times New Roman" w:eastAsia="Times New Roman" w:hAnsi="Times New Roman" w:cs="Times New Roman"/>
      <w:b/>
      <w:noProof/>
      <w:szCs w:val="20"/>
      <w:bdr w:val="none" w:sz="0" w:space="0" w:color="auto"/>
      <w:lang w:eastAsia="es-ES"/>
    </w:rPr>
  </w:style>
  <w:style w:type="paragraph" w:customStyle="1" w:styleId="TP">
    <w:name w:val="TP"/>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jc w:val="both"/>
      <w:textAlignment w:val="baseline"/>
      <w:outlineLvl w:val="9"/>
    </w:pPr>
    <w:rPr>
      <w:rFonts w:ascii="Times New Roman" w:eastAsia="Times New Roman" w:hAnsi="Times New Roman" w:cs="Times New Roman"/>
      <w:noProof/>
      <w:szCs w:val="20"/>
      <w:bdr w:val="none" w:sz="0" w:space="0" w:color="auto"/>
      <w:lang w:eastAsia="es-ES"/>
    </w:rPr>
  </w:style>
  <w:style w:type="paragraph" w:customStyle="1" w:styleId="Tpc">
    <w:name w:val="Tpc"/>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433"/>
      <w:jc w:val="both"/>
      <w:textAlignment w:val="baseline"/>
      <w:outlineLvl w:val="9"/>
    </w:pPr>
    <w:rPr>
      <w:rFonts w:eastAsia="Times New Roman" w:cs="Times New Roman"/>
      <w:b/>
      <w:noProof/>
      <w:sz w:val="20"/>
      <w:szCs w:val="20"/>
      <w:bdr w:val="none" w:sz="0" w:space="0" w:color="auto"/>
      <w:lang w:eastAsia="es-ES"/>
    </w:rPr>
  </w:style>
  <w:style w:type="character" w:customStyle="1" w:styleId="Emphasis1">
    <w:name w:val="Emphasis1"/>
    <w:rsid w:val="006220A2"/>
    <w:rPr>
      <w:i/>
    </w:rPr>
  </w:style>
  <w:style w:type="character" w:customStyle="1" w:styleId="EquationVariables">
    <w:name w:val="EquationVariables"/>
    <w:rsid w:val="006220A2"/>
    <w:rPr>
      <w:i/>
    </w:rPr>
  </w:style>
  <w:style w:type="character" w:customStyle="1" w:styleId="Euro">
    <w:name w:val="Euro"/>
    <w:rsid w:val="006220A2"/>
    <w:rPr>
      <w:rFonts w:ascii="Times" w:hAnsi="Times"/>
      <w:sz w:val="24"/>
    </w:rPr>
  </w:style>
  <w:style w:type="character" w:customStyle="1" w:styleId="euro0">
    <w:name w:val="euro"/>
    <w:rsid w:val="006220A2"/>
    <w:rPr>
      <w:rFonts w:ascii="Times New Roman" w:hAnsi="Times New Roman"/>
      <w:color w:val="000000"/>
      <w:sz w:val="22"/>
    </w:rPr>
  </w:style>
  <w:style w:type="character" w:customStyle="1" w:styleId="FmArial">
    <w:name w:val="FmArial"/>
    <w:rsid w:val="006220A2"/>
    <w:rPr>
      <w:rFonts w:ascii="Arial" w:hAnsi="Arial"/>
      <w:sz w:val="24"/>
    </w:rPr>
  </w:style>
  <w:style w:type="character" w:customStyle="1" w:styleId="FmSymbol">
    <w:name w:val="FmSymbol"/>
    <w:rsid w:val="006220A2"/>
    <w:rPr>
      <w:rFonts w:ascii="Symbol" w:hAnsi="Symbol"/>
      <w:sz w:val="24"/>
    </w:rPr>
  </w:style>
  <w:style w:type="character" w:customStyle="1" w:styleId="FmWingdings">
    <w:name w:val="FmWingdings"/>
    <w:rsid w:val="006220A2"/>
    <w:rPr>
      <w:rFonts w:ascii="Wingdings" w:hAnsi="Wingdings"/>
      <w:sz w:val="24"/>
    </w:rPr>
  </w:style>
  <w:style w:type="character" w:customStyle="1" w:styleId="Gras">
    <w:name w:val="Gras"/>
    <w:rsid w:val="006220A2"/>
    <w:rPr>
      <w:rFonts w:ascii="Arial" w:hAnsi="Arial"/>
      <w:b/>
      <w:sz w:val="24"/>
    </w:rPr>
  </w:style>
  <w:style w:type="character" w:customStyle="1" w:styleId="GrasItal">
    <w:name w:val="GrasItal"/>
    <w:rsid w:val="006220A2"/>
    <w:rPr>
      <w:rFonts w:ascii="Arial" w:hAnsi="Arial"/>
      <w:b/>
      <w:i/>
      <w:sz w:val="24"/>
    </w:rPr>
  </w:style>
  <w:style w:type="character" w:customStyle="1" w:styleId="Refdoc">
    <w:name w:val="Refdoc"/>
    <w:basedOn w:val="Fuentedeprrafopredeter"/>
    <w:rsid w:val="006220A2"/>
  </w:style>
  <w:style w:type="character" w:customStyle="1" w:styleId="Rtx">
    <w:name w:val="Rtx"/>
    <w:basedOn w:val="Fuentedeprrafopredeter"/>
    <w:rsid w:val="006220A2"/>
  </w:style>
  <w:style w:type="character" w:customStyle="1" w:styleId="Sno">
    <w:name w:val="Sno"/>
    <w:rsid w:val="006220A2"/>
    <w:rPr>
      <w:rFonts w:ascii="Times" w:hAnsi="Times"/>
      <w:sz w:val="18"/>
    </w:rPr>
  </w:style>
  <w:style w:type="paragraph" w:customStyle="1" w:styleId="xl27">
    <w:name w:val="xl27"/>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outlineLvl w:val="9"/>
    </w:pPr>
    <w:rPr>
      <w:rFonts w:ascii="Frutiger-Bold" w:eastAsia="Arial Unicode MS" w:hAnsi="Frutiger-Bold" w:cs="Arial Unicode MS"/>
      <w:color w:val="auto"/>
      <w:sz w:val="16"/>
      <w:szCs w:val="16"/>
      <w:bdr w:val="none" w:sz="0" w:space="0" w:color="auto"/>
      <w:lang w:eastAsia="es-ES"/>
    </w:rPr>
  </w:style>
  <w:style w:type="paragraph" w:customStyle="1" w:styleId="sangrado1">
    <w:name w:val="sangrado1"/>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outlineLvl w:val="9"/>
    </w:pPr>
    <w:rPr>
      <w:rFonts w:ascii="Univers" w:eastAsia="Times New Roman" w:hAnsi="Univers" w:cs="Times New Roman"/>
      <w:color w:val="auto"/>
      <w:sz w:val="22"/>
      <w:szCs w:val="20"/>
      <w:bdr w:val="none" w:sz="0" w:space="0" w:color="auto"/>
      <w:lang w:val="es-ES_tradnl" w:eastAsia="es-ES"/>
    </w:rPr>
  </w:style>
  <w:style w:type="paragraph" w:customStyle="1" w:styleId="sangrado2">
    <w:name w:val="sangrado2"/>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ind w:left="1418" w:hanging="709"/>
      <w:jc w:val="both"/>
      <w:outlineLvl w:val="9"/>
    </w:pPr>
    <w:rPr>
      <w:rFonts w:ascii="Univers" w:eastAsia="Times New Roman" w:hAnsi="Univers" w:cs="Times New Roman"/>
      <w:color w:val="auto"/>
      <w:sz w:val="22"/>
      <w:szCs w:val="20"/>
      <w:bdr w:val="none" w:sz="0" w:space="0" w:color="auto"/>
      <w:lang w:val="es-ES_tradnl" w:eastAsia="es-ES"/>
    </w:rPr>
  </w:style>
  <w:style w:type="table" w:styleId="Tablaconcuadrcula">
    <w:name w:val="Table Grid"/>
    <w:basedOn w:val="Tablanormal"/>
    <w:rsid w:val="006220A2"/>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220A2"/>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ourier New" w:eastAsia="Times New Roman" w:hAnsi="Courier New" w:cs="Courier New"/>
      <w:color w:val="auto"/>
      <w:sz w:val="20"/>
      <w:szCs w:val="20"/>
      <w:bdr w:val="none" w:sz="0" w:space="0" w:color="auto"/>
      <w:lang w:eastAsia="es-ES"/>
    </w:rPr>
  </w:style>
  <w:style w:type="character" w:customStyle="1" w:styleId="TextosinformatoCar">
    <w:name w:val="Texto sin formato Car"/>
    <w:basedOn w:val="Fuentedeprrafopredeter"/>
    <w:link w:val="Textosinformato"/>
    <w:rsid w:val="006220A2"/>
    <w:rPr>
      <w:rFonts w:ascii="Courier New" w:eastAsia="Times New Roman" w:hAnsi="Courier New" w:cs="Courier New"/>
      <w:sz w:val="20"/>
      <w:szCs w:val="20"/>
      <w:u w:color="000000"/>
      <w:lang w:val="es-ES" w:eastAsia="es-ES"/>
    </w:rPr>
  </w:style>
  <w:style w:type="paragraph" w:styleId="Tabladeilustraciones">
    <w:name w:val="table of figures"/>
    <w:basedOn w:val="Normal"/>
    <w:next w:val="Normal"/>
    <w:semiHidden/>
    <w:rsid w:val="006220A2"/>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pPr>
    <w:rPr>
      <w:rFonts w:ascii="Book Antiqua" w:eastAsia="Times New Roman" w:hAnsi="Book Antiqua" w:cs="Times New Roman"/>
      <w:color w:val="auto"/>
      <w:sz w:val="20"/>
      <w:szCs w:val="20"/>
      <w:bdr w:val="none" w:sz="0" w:space="0" w:color="auto"/>
      <w:lang w:eastAsia="en-US"/>
    </w:rPr>
  </w:style>
  <w:style w:type="paragraph" w:customStyle="1" w:styleId="a">
    <w:name w:val="a"/>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ind w:left="1276" w:right="-28" w:hanging="284"/>
      <w:jc w:val="both"/>
      <w:outlineLvl w:val="9"/>
    </w:pPr>
    <w:rPr>
      <w:rFonts w:ascii="Times New Roman" w:eastAsia="Times New Roman" w:hAnsi="Times New Roman" w:cs="Times New Roman"/>
      <w:color w:val="auto"/>
      <w:szCs w:val="20"/>
      <w:bdr w:val="none" w:sz="0" w:space="0" w:color="auto"/>
      <w:lang w:eastAsia="en-US"/>
    </w:rPr>
  </w:style>
  <w:style w:type="paragraph" w:customStyle="1" w:styleId="tab">
    <w:name w:val="tab"/>
    <w:basedOn w:val="Normal"/>
    <w:rsid w:val="006220A2"/>
    <w:pPr>
      <w:keepLines/>
      <w:pBdr>
        <w:top w:val="none" w:sz="0" w:space="0" w:color="auto"/>
        <w:left w:val="none" w:sz="0" w:space="0" w:color="auto"/>
        <w:bottom w:val="none" w:sz="0" w:space="0" w:color="auto"/>
        <w:right w:val="none" w:sz="0" w:space="0" w:color="auto"/>
        <w:between w:val="none" w:sz="0" w:space="0" w:color="auto"/>
        <w:bar w:val="none" w:sz="0" w:color="auto"/>
      </w:pBdr>
      <w:ind w:left="20"/>
      <w:jc w:val="both"/>
      <w:outlineLvl w:val="9"/>
    </w:pPr>
    <w:rPr>
      <w:rFonts w:ascii="Times" w:eastAsia="Times New Roman" w:hAnsi="Times" w:cs="Times New Roman"/>
      <w:color w:val="auto"/>
      <w:sz w:val="28"/>
      <w:szCs w:val="20"/>
      <w:bdr w:val="none" w:sz="0" w:space="0" w:color="auto"/>
      <w:lang w:eastAsia="en-US"/>
    </w:rPr>
  </w:style>
  <w:style w:type="paragraph" w:customStyle="1" w:styleId="F2-normal">
    <w:name w:val="_F2-normal"/>
    <w:basedOn w:val="Normal"/>
    <w:rsid w:val="006220A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jc w:val="both"/>
      <w:outlineLvl w:val="9"/>
    </w:pPr>
    <w:rPr>
      <w:rFonts w:ascii="Times New Roman" w:eastAsia="Times New Roman" w:hAnsi="Times New Roman" w:cs="Times New Roman"/>
      <w:color w:val="auto"/>
      <w:szCs w:val="20"/>
      <w:bdr w:val="none" w:sz="0" w:space="0" w:color="auto"/>
      <w:lang w:eastAsia="en-US"/>
    </w:rPr>
  </w:style>
  <w:style w:type="paragraph" w:styleId="NormalWeb">
    <w:name w:val="Normal (Web)"/>
    <w:basedOn w:val="Normal"/>
    <w:uiPriority w:val="99"/>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9"/>
    </w:pPr>
    <w:rPr>
      <w:rFonts w:ascii="Times New Roman" w:eastAsia="Times New Roman" w:hAnsi="Times New Roman" w:cs="Times New Roman"/>
      <w:color w:val="auto"/>
      <w:bdr w:val="none" w:sz="0" w:space="0" w:color="auto"/>
      <w:lang w:eastAsia="es-ES"/>
    </w:rPr>
  </w:style>
  <w:style w:type="paragraph" w:styleId="Textodeglobo">
    <w:name w:val="Balloon Text"/>
    <w:basedOn w:val="Normal"/>
    <w:link w:val="TextodegloboCar"/>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ahoma" w:eastAsia="Times" w:hAnsi="Tahoma" w:cs="Tahoma"/>
      <w:color w:val="auto"/>
      <w:sz w:val="16"/>
      <w:szCs w:val="16"/>
      <w:bdr w:val="none" w:sz="0" w:space="0" w:color="auto"/>
      <w:lang w:val="es-ES_tradnl" w:eastAsia="es-ES"/>
    </w:rPr>
  </w:style>
  <w:style w:type="character" w:customStyle="1" w:styleId="TextodegloboCar">
    <w:name w:val="Texto de globo Car"/>
    <w:basedOn w:val="Fuentedeprrafopredeter"/>
    <w:link w:val="Textodeglobo"/>
    <w:rsid w:val="006220A2"/>
    <w:rPr>
      <w:rFonts w:ascii="Tahoma" w:eastAsia="Times" w:hAnsi="Tahoma" w:cs="Tahoma"/>
      <w:sz w:val="16"/>
      <w:szCs w:val="16"/>
      <w:u w:color="000000"/>
      <w:lang w:eastAsia="es-ES"/>
    </w:rPr>
  </w:style>
  <w:style w:type="paragraph" w:styleId="Textocomentario">
    <w:name w:val="annotation text"/>
    <w:basedOn w:val="Normal"/>
    <w:link w:val="TextocomentarioCar"/>
    <w:unhideWhenUsed/>
    <w:rsid w:val="006220A2"/>
    <w:pPr>
      <w:pBdr>
        <w:top w:val="none" w:sz="0" w:space="0" w:color="auto"/>
        <w:left w:val="none" w:sz="0" w:space="0" w:color="auto"/>
        <w:bottom w:val="none" w:sz="0" w:space="0" w:color="auto"/>
        <w:right w:val="none" w:sz="0" w:space="0" w:color="auto"/>
        <w:between w:val="none" w:sz="0" w:space="0" w:color="auto"/>
        <w:bar w:val="none" w:sz="0" w:color="auto"/>
      </w:pBdr>
      <w:ind w:left="284"/>
      <w:outlineLvl w:val="9"/>
    </w:pPr>
    <w:rPr>
      <w:rFonts w:ascii="Times" w:eastAsia="Times" w:hAnsi="Times" w:cs="Times New Roman"/>
      <w:color w:val="auto"/>
      <w:sz w:val="20"/>
      <w:szCs w:val="20"/>
      <w:bdr w:val="none" w:sz="0" w:space="0" w:color="auto"/>
      <w:lang w:val="es-ES_tradnl" w:eastAsia="es-ES"/>
    </w:rPr>
  </w:style>
  <w:style w:type="character" w:customStyle="1" w:styleId="TextocomentarioCar">
    <w:name w:val="Texto comentario Car"/>
    <w:basedOn w:val="Fuentedeprrafopredeter"/>
    <w:link w:val="Textocomentario"/>
    <w:rsid w:val="006220A2"/>
    <w:rPr>
      <w:rFonts w:ascii="Times" w:eastAsia="Times" w:hAnsi="Times" w:cs="Times New Roman"/>
      <w:sz w:val="20"/>
      <w:szCs w:val="20"/>
      <w:u w:color="000000"/>
      <w:lang w:eastAsia="es-ES"/>
    </w:rPr>
  </w:style>
  <w:style w:type="paragraph" w:styleId="Asuntodelcomentario">
    <w:name w:val="annotation subject"/>
    <w:basedOn w:val="Textocomentario"/>
    <w:next w:val="Textocomentario"/>
    <w:link w:val="AsuntodelcomentarioCar"/>
    <w:semiHidden/>
    <w:unhideWhenUsed/>
    <w:rsid w:val="006220A2"/>
    <w:rPr>
      <w:b/>
      <w:bCs/>
    </w:rPr>
  </w:style>
  <w:style w:type="character" w:customStyle="1" w:styleId="AsuntodelcomentarioCar">
    <w:name w:val="Asunto del comentario Car"/>
    <w:basedOn w:val="TextocomentarioCar"/>
    <w:link w:val="Asuntodelcomentario"/>
    <w:semiHidden/>
    <w:rsid w:val="006220A2"/>
    <w:rPr>
      <w:rFonts w:ascii="Times" w:eastAsia="Times" w:hAnsi="Times" w:cs="Times New Roman"/>
      <w:b/>
      <w:bCs/>
      <w:sz w:val="20"/>
      <w:szCs w:val="20"/>
      <w:u w:color="000000"/>
      <w:lang w:eastAsia="es-ES"/>
    </w:rPr>
  </w:style>
  <w:style w:type="numbering" w:customStyle="1" w:styleId="Nmero">
    <w:name w:val="Número"/>
    <w:rsid w:val="002536C5"/>
    <w:pPr>
      <w:numPr>
        <w:numId w:val="19"/>
      </w:numPr>
    </w:pPr>
  </w:style>
  <w:style w:type="paragraph" w:customStyle="1" w:styleId="Estndar">
    <w:name w:val="Estándar"/>
    <w:rsid w:val="001B7D27"/>
    <w:rPr>
      <w:rFonts w:ascii="Times New Roman" w:eastAsia="Times New Roman" w:hAnsi="Times New Roman" w:cs="Times New Roman"/>
      <w:snapToGrid w:val="0"/>
      <w:color w:val="000000"/>
      <w:szCs w:val="20"/>
      <w:lang w:val="es-ES" w:eastAsia="es-ES"/>
    </w:rPr>
  </w:style>
  <w:style w:type="numbering" w:customStyle="1" w:styleId="Estiloimportado2">
    <w:name w:val="Estilo importado 2"/>
    <w:rsid w:val="00D03D56"/>
    <w:pPr>
      <w:numPr>
        <w:numId w:val="20"/>
      </w:numPr>
    </w:pPr>
  </w:style>
  <w:style w:type="numbering" w:customStyle="1" w:styleId="Estiloimportado4">
    <w:name w:val="Estilo importado 4"/>
    <w:rsid w:val="00D03D56"/>
    <w:pPr>
      <w:numPr>
        <w:numId w:val="21"/>
      </w:numPr>
    </w:pPr>
  </w:style>
  <w:style w:type="numbering" w:customStyle="1" w:styleId="Estiloimportado5">
    <w:name w:val="Estilo importado 5"/>
    <w:rsid w:val="00D03D56"/>
    <w:pPr>
      <w:numPr>
        <w:numId w:val="22"/>
      </w:numPr>
    </w:pPr>
  </w:style>
  <w:style w:type="numbering" w:customStyle="1" w:styleId="Estiloimportado6">
    <w:name w:val="Estilo importado 6"/>
    <w:rsid w:val="00D03D56"/>
    <w:pPr>
      <w:numPr>
        <w:numId w:val="23"/>
      </w:numPr>
    </w:pPr>
  </w:style>
  <w:style w:type="numbering" w:customStyle="1" w:styleId="Estiloimportado7">
    <w:name w:val="Estilo importado 7"/>
    <w:rsid w:val="00D03D56"/>
    <w:pPr>
      <w:numPr>
        <w:numId w:val="24"/>
      </w:numPr>
    </w:pPr>
  </w:style>
  <w:style w:type="numbering" w:customStyle="1" w:styleId="Estiloimportado8">
    <w:name w:val="Estilo importado 8"/>
    <w:rsid w:val="00D03D56"/>
    <w:pPr>
      <w:numPr>
        <w:numId w:val="25"/>
      </w:numPr>
    </w:pPr>
  </w:style>
  <w:style w:type="paragraph" w:customStyle="1" w:styleId="CuerpoA">
    <w:name w:val="Cuerpo A"/>
    <w:rsid w:val="00463A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ES_tradnl"/>
      <w14:textOutline w14:w="12700" w14:cap="flat" w14:cmpd="sng" w14:algn="ctr">
        <w14:noFill/>
        <w14:prstDash w14:val="solid"/>
        <w14:miter w14:lim="400000"/>
      </w14:textOutline>
    </w:rPr>
  </w:style>
  <w:style w:type="character" w:styleId="Refdenotaalpie">
    <w:name w:val="footnote reference"/>
    <w:basedOn w:val="Fuentedeprrafopredeter"/>
    <w:uiPriority w:val="99"/>
    <w:semiHidden/>
    <w:unhideWhenUsed/>
    <w:rsid w:val="00463A19"/>
    <w:rPr>
      <w:vertAlign w:val="superscript"/>
    </w:rPr>
  </w:style>
  <w:style w:type="paragraph" w:styleId="Ttulo">
    <w:name w:val="Title"/>
    <w:basedOn w:val="Normal"/>
    <w:next w:val="Normal"/>
    <w:link w:val="TtuloCar"/>
    <w:uiPriority w:val="10"/>
    <w:qFormat/>
    <w:rsid w:val="002161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1610B"/>
    <w:rPr>
      <w:rFonts w:asciiTheme="majorHAnsi" w:eastAsiaTheme="majorEastAsia" w:hAnsiTheme="majorHAnsi" w:cstheme="majorBidi"/>
      <w:color w:val="000000"/>
      <w:spacing w:val="-10"/>
      <w:kern w:val="28"/>
      <w:sz w:val="56"/>
      <w:szCs w:val="56"/>
      <w:u w:color="000000"/>
      <w:bdr w:val="nil"/>
      <w:lang w:val="es-ES" w:eastAsia="es-ES_tradnl"/>
      <w14:ligatures w14:val="standardContextual"/>
    </w:rPr>
  </w:style>
  <w:style w:type="paragraph" w:styleId="Subttulo">
    <w:name w:val="Subtitle"/>
    <w:basedOn w:val="Normal"/>
    <w:next w:val="Normal"/>
    <w:link w:val="SubttuloCar"/>
    <w:uiPriority w:val="11"/>
    <w:qFormat/>
    <w:rsid w:val="0021610B"/>
    <w:pPr>
      <w:numPr>
        <w:ilvl w:val="1"/>
      </w:numPr>
    </w:pPr>
    <w:rPr>
      <w:rFonts w:eastAsiaTheme="majorEastAsia"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21610B"/>
    <w:rPr>
      <w:rFonts w:ascii="Arial" w:eastAsiaTheme="majorEastAsia" w:hAnsi="Arial" w:cstheme="majorBidi"/>
      <w:color w:val="595959" w:themeColor="text1" w:themeTint="A6"/>
      <w:spacing w:val="15"/>
      <w:sz w:val="28"/>
      <w:szCs w:val="28"/>
      <w:u w:color="000000"/>
      <w:bdr w:val="nil"/>
      <w:lang w:val="es-ES" w:eastAsia="es-ES_tradnl"/>
      <w14:ligatures w14:val="standardContextual"/>
    </w:rPr>
  </w:style>
  <w:style w:type="paragraph" w:styleId="Cita">
    <w:name w:val="Quote"/>
    <w:basedOn w:val="Normal"/>
    <w:next w:val="Normal"/>
    <w:link w:val="CitaCar"/>
    <w:uiPriority w:val="29"/>
    <w:qFormat/>
    <w:rsid w:val="0021610B"/>
    <w:pPr>
      <w:spacing w:before="160"/>
      <w:jc w:val="center"/>
    </w:pPr>
    <w:rPr>
      <w:i/>
      <w:iCs/>
      <w:color w:val="404040" w:themeColor="text1" w:themeTint="BF"/>
      <w14:ligatures w14:val="standardContextual"/>
    </w:rPr>
  </w:style>
  <w:style w:type="character" w:customStyle="1" w:styleId="CitaCar">
    <w:name w:val="Cita Car"/>
    <w:basedOn w:val="Fuentedeprrafopredeter"/>
    <w:link w:val="Cita"/>
    <w:uiPriority w:val="29"/>
    <w:rsid w:val="0021610B"/>
    <w:rPr>
      <w:rFonts w:ascii="Arial" w:eastAsia="Cambria" w:hAnsi="Arial" w:cs="Arial"/>
      <w:i/>
      <w:iCs/>
      <w:color w:val="404040" w:themeColor="text1" w:themeTint="BF"/>
      <w:u w:color="000000"/>
      <w:bdr w:val="nil"/>
      <w:lang w:val="es-ES" w:eastAsia="es-ES_tradnl"/>
      <w14:ligatures w14:val="standardContextual"/>
    </w:rPr>
  </w:style>
  <w:style w:type="character" w:styleId="nfasisintenso">
    <w:name w:val="Intense Emphasis"/>
    <w:basedOn w:val="Fuentedeprrafopredeter"/>
    <w:uiPriority w:val="21"/>
    <w:qFormat/>
    <w:rsid w:val="0021610B"/>
    <w:rPr>
      <w:i/>
      <w:iCs/>
      <w:color w:val="2F5496" w:themeColor="accent1" w:themeShade="BF"/>
    </w:rPr>
  </w:style>
  <w:style w:type="paragraph" w:styleId="Citadestacada">
    <w:name w:val="Intense Quote"/>
    <w:basedOn w:val="Normal"/>
    <w:next w:val="Normal"/>
    <w:link w:val="CitadestacadaCar"/>
    <w:uiPriority w:val="30"/>
    <w:qFormat/>
    <w:rsid w:val="00216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CitadestacadaCar">
    <w:name w:val="Cita destacada Car"/>
    <w:basedOn w:val="Fuentedeprrafopredeter"/>
    <w:link w:val="Citadestacada"/>
    <w:uiPriority w:val="30"/>
    <w:rsid w:val="0021610B"/>
    <w:rPr>
      <w:rFonts w:ascii="Arial" w:eastAsia="Cambria" w:hAnsi="Arial" w:cs="Arial"/>
      <w:i/>
      <w:iCs/>
      <w:color w:val="2F5496" w:themeColor="accent1" w:themeShade="BF"/>
      <w:u w:color="000000"/>
      <w:bdr w:val="nil"/>
      <w:lang w:val="es-ES" w:eastAsia="es-ES_tradnl"/>
      <w14:ligatures w14:val="standardContextual"/>
    </w:rPr>
  </w:style>
  <w:style w:type="character" w:styleId="Referenciaintensa">
    <w:name w:val="Intense Reference"/>
    <w:basedOn w:val="Fuentedeprrafopredeter"/>
    <w:uiPriority w:val="32"/>
    <w:qFormat/>
    <w:rsid w:val="0021610B"/>
    <w:rPr>
      <w:b/>
      <w:bCs/>
      <w:smallCaps/>
      <w:color w:val="2F5496" w:themeColor="accent1" w:themeShade="BF"/>
      <w:spacing w:val="5"/>
    </w:rPr>
  </w:style>
  <w:style w:type="paragraph" w:customStyle="1" w:styleId="Default">
    <w:name w:val="Default"/>
    <w:rsid w:val="0021610B"/>
    <w:pPr>
      <w:autoSpaceDE w:val="0"/>
      <w:autoSpaceDN w:val="0"/>
      <w:adjustRightInd w:val="0"/>
    </w:pPr>
    <w:rPr>
      <w:rFonts w:ascii="Calibri" w:hAnsi="Calibri" w:cs="Calibri"/>
      <w:color w:val="000000"/>
      <w:lang w:val="es-ES"/>
      <w14:ligatures w14:val="standardContextual"/>
    </w:rPr>
  </w:style>
  <w:style w:type="paragraph" w:styleId="Revisin">
    <w:name w:val="Revision"/>
    <w:hidden/>
    <w:uiPriority w:val="99"/>
    <w:semiHidden/>
    <w:rsid w:val="0021610B"/>
    <w:rPr>
      <w:rFonts w:ascii="Arial" w:eastAsia="Cambria" w:hAnsi="Arial" w:cs="Arial"/>
      <w:color w:val="000000"/>
      <w:u w:color="000000"/>
      <w:bdr w:val="nil"/>
      <w:lang w:val="es-ES" w:eastAsia="es-ES_trad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76">
      <w:bodyDiv w:val="1"/>
      <w:marLeft w:val="0"/>
      <w:marRight w:val="0"/>
      <w:marTop w:val="0"/>
      <w:marBottom w:val="0"/>
      <w:divBdr>
        <w:top w:val="none" w:sz="0" w:space="0" w:color="auto"/>
        <w:left w:val="none" w:sz="0" w:space="0" w:color="auto"/>
        <w:bottom w:val="none" w:sz="0" w:space="0" w:color="auto"/>
        <w:right w:val="none" w:sz="0" w:space="0" w:color="auto"/>
      </w:divBdr>
    </w:div>
    <w:div w:id="4597197">
      <w:bodyDiv w:val="1"/>
      <w:marLeft w:val="0"/>
      <w:marRight w:val="0"/>
      <w:marTop w:val="0"/>
      <w:marBottom w:val="0"/>
      <w:divBdr>
        <w:top w:val="none" w:sz="0" w:space="0" w:color="auto"/>
        <w:left w:val="none" w:sz="0" w:space="0" w:color="auto"/>
        <w:bottom w:val="none" w:sz="0" w:space="0" w:color="auto"/>
        <w:right w:val="none" w:sz="0" w:space="0" w:color="auto"/>
      </w:divBdr>
    </w:div>
    <w:div w:id="15547321">
      <w:bodyDiv w:val="1"/>
      <w:marLeft w:val="0"/>
      <w:marRight w:val="0"/>
      <w:marTop w:val="0"/>
      <w:marBottom w:val="0"/>
      <w:divBdr>
        <w:top w:val="none" w:sz="0" w:space="0" w:color="auto"/>
        <w:left w:val="none" w:sz="0" w:space="0" w:color="auto"/>
        <w:bottom w:val="none" w:sz="0" w:space="0" w:color="auto"/>
        <w:right w:val="none" w:sz="0" w:space="0" w:color="auto"/>
      </w:divBdr>
    </w:div>
    <w:div w:id="21521823">
      <w:bodyDiv w:val="1"/>
      <w:marLeft w:val="0"/>
      <w:marRight w:val="0"/>
      <w:marTop w:val="0"/>
      <w:marBottom w:val="0"/>
      <w:divBdr>
        <w:top w:val="none" w:sz="0" w:space="0" w:color="auto"/>
        <w:left w:val="none" w:sz="0" w:space="0" w:color="auto"/>
        <w:bottom w:val="none" w:sz="0" w:space="0" w:color="auto"/>
        <w:right w:val="none" w:sz="0" w:space="0" w:color="auto"/>
      </w:divBdr>
    </w:div>
    <w:div w:id="40205571">
      <w:bodyDiv w:val="1"/>
      <w:marLeft w:val="0"/>
      <w:marRight w:val="0"/>
      <w:marTop w:val="0"/>
      <w:marBottom w:val="0"/>
      <w:divBdr>
        <w:top w:val="none" w:sz="0" w:space="0" w:color="auto"/>
        <w:left w:val="none" w:sz="0" w:space="0" w:color="auto"/>
        <w:bottom w:val="none" w:sz="0" w:space="0" w:color="auto"/>
        <w:right w:val="none" w:sz="0" w:space="0" w:color="auto"/>
      </w:divBdr>
    </w:div>
    <w:div w:id="41446437">
      <w:bodyDiv w:val="1"/>
      <w:marLeft w:val="0"/>
      <w:marRight w:val="0"/>
      <w:marTop w:val="0"/>
      <w:marBottom w:val="0"/>
      <w:divBdr>
        <w:top w:val="none" w:sz="0" w:space="0" w:color="auto"/>
        <w:left w:val="none" w:sz="0" w:space="0" w:color="auto"/>
        <w:bottom w:val="none" w:sz="0" w:space="0" w:color="auto"/>
        <w:right w:val="none" w:sz="0" w:space="0" w:color="auto"/>
      </w:divBdr>
    </w:div>
    <w:div w:id="42103521">
      <w:bodyDiv w:val="1"/>
      <w:marLeft w:val="0"/>
      <w:marRight w:val="0"/>
      <w:marTop w:val="0"/>
      <w:marBottom w:val="0"/>
      <w:divBdr>
        <w:top w:val="none" w:sz="0" w:space="0" w:color="auto"/>
        <w:left w:val="none" w:sz="0" w:space="0" w:color="auto"/>
        <w:bottom w:val="none" w:sz="0" w:space="0" w:color="auto"/>
        <w:right w:val="none" w:sz="0" w:space="0" w:color="auto"/>
      </w:divBdr>
    </w:div>
    <w:div w:id="44985060">
      <w:bodyDiv w:val="1"/>
      <w:marLeft w:val="0"/>
      <w:marRight w:val="0"/>
      <w:marTop w:val="0"/>
      <w:marBottom w:val="0"/>
      <w:divBdr>
        <w:top w:val="none" w:sz="0" w:space="0" w:color="auto"/>
        <w:left w:val="none" w:sz="0" w:space="0" w:color="auto"/>
        <w:bottom w:val="none" w:sz="0" w:space="0" w:color="auto"/>
        <w:right w:val="none" w:sz="0" w:space="0" w:color="auto"/>
      </w:divBdr>
    </w:div>
    <w:div w:id="49156575">
      <w:bodyDiv w:val="1"/>
      <w:marLeft w:val="0"/>
      <w:marRight w:val="0"/>
      <w:marTop w:val="0"/>
      <w:marBottom w:val="0"/>
      <w:divBdr>
        <w:top w:val="none" w:sz="0" w:space="0" w:color="auto"/>
        <w:left w:val="none" w:sz="0" w:space="0" w:color="auto"/>
        <w:bottom w:val="none" w:sz="0" w:space="0" w:color="auto"/>
        <w:right w:val="none" w:sz="0" w:space="0" w:color="auto"/>
      </w:divBdr>
    </w:div>
    <w:div w:id="49498102">
      <w:bodyDiv w:val="1"/>
      <w:marLeft w:val="0"/>
      <w:marRight w:val="0"/>
      <w:marTop w:val="0"/>
      <w:marBottom w:val="0"/>
      <w:divBdr>
        <w:top w:val="none" w:sz="0" w:space="0" w:color="auto"/>
        <w:left w:val="none" w:sz="0" w:space="0" w:color="auto"/>
        <w:bottom w:val="none" w:sz="0" w:space="0" w:color="auto"/>
        <w:right w:val="none" w:sz="0" w:space="0" w:color="auto"/>
      </w:divBdr>
    </w:div>
    <w:div w:id="59325712">
      <w:bodyDiv w:val="1"/>
      <w:marLeft w:val="0"/>
      <w:marRight w:val="0"/>
      <w:marTop w:val="0"/>
      <w:marBottom w:val="0"/>
      <w:divBdr>
        <w:top w:val="none" w:sz="0" w:space="0" w:color="auto"/>
        <w:left w:val="none" w:sz="0" w:space="0" w:color="auto"/>
        <w:bottom w:val="none" w:sz="0" w:space="0" w:color="auto"/>
        <w:right w:val="none" w:sz="0" w:space="0" w:color="auto"/>
      </w:divBdr>
    </w:div>
    <w:div w:id="71972529">
      <w:bodyDiv w:val="1"/>
      <w:marLeft w:val="0"/>
      <w:marRight w:val="0"/>
      <w:marTop w:val="0"/>
      <w:marBottom w:val="0"/>
      <w:divBdr>
        <w:top w:val="none" w:sz="0" w:space="0" w:color="auto"/>
        <w:left w:val="none" w:sz="0" w:space="0" w:color="auto"/>
        <w:bottom w:val="none" w:sz="0" w:space="0" w:color="auto"/>
        <w:right w:val="none" w:sz="0" w:space="0" w:color="auto"/>
      </w:divBdr>
    </w:div>
    <w:div w:id="89937074">
      <w:bodyDiv w:val="1"/>
      <w:marLeft w:val="0"/>
      <w:marRight w:val="0"/>
      <w:marTop w:val="0"/>
      <w:marBottom w:val="0"/>
      <w:divBdr>
        <w:top w:val="none" w:sz="0" w:space="0" w:color="auto"/>
        <w:left w:val="none" w:sz="0" w:space="0" w:color="auto"/>
        <w:bottom w:val="none" w:sz="0" w:space="0" w:color="auto"/>
        <w:right w:val="none" w:sz="0" w:space="0" w:color="auto"/>
      </w:divBdr>
    </w:div>
    <w:div w:id="93062503">
      <w:bodyDiv w:val="1"/>
      <w:marLeft w:val="0"/>
      <w:marRight w:val="0"/>
      <w:marTop w:val="0"/>
      <w:marBottom w:val="0"/>
      <w:divBdr>
        <w:top w:val="none" w:sz="0" w:space="0" w:color="auto"/>
        <w:left w:val="none" w:sz="0" w:space="0" w:color="auto"/>
        <w:bottom w:val="none" w:sz="0" w:space="0" w:color="auto"/>
        <w:right w:val="none" w:sz="0" w:space="0" w:color="auto"/>
      </w:divBdr>
    </w:div>
    <w:div w:id="98181892">
      <w:bodyDiv w:val="1"/>
      <w:marLeft w:val="0"/>
      <w:marRight w:val="0"/>
      <w:marTop w:val="0"/>
      <w:marBottom w:val="0"/>
      <w:divBdr>
        <w:top w:val="none" w:sz="0" w:space="0" w:color="auto"/>
        <w:left w:val="none" w:sz="0" w:space="0" w:color="auto"/>
        <w:bottom w:val="none" w:sz="0" w:space="0" w:color="auto"/>
        <w:right w:val="none" w:sz="0" w:space="0" w:color="auto"/>
      </w:divBdr>
    </w:div>
    <w:div w:id="103111514">
      <w:bodyDiv w:val="1"/>
      <w:marLeft w:val="0"/>
      <w:marRight w:val="0"/>
      <w:marTop w:val="0"/>
      <w:marBottom w:val="0"/>
      <w:divBdr>
        <w:top w:val="none" w:sz="0" w:space="0" w:color="auto"/>
        <w:left w:val="none" w:sz="0" w:space="0" w:color="auto"/>
        <w:bottom w:val="none" w:sz="0" w:space="0" w:color="auto"/>
        <w:right w:val="none" w:sz="0" w:space="0" w:color="auto"/>
      </w:divBdr>
    </w:div>
    <w:div w:id="110784573">
      <w:bodyDiv w:val="1"/>
      <w:marLeft w:val="0"/>
      <w:marRight w:val="0"/>
      <w:marTop w:val="0"/>
      <w:marBottom w:val="0"/>
      <w:divBdr>
        <w:top w:val="none" w:sz="0" w:space="0" w:color="auto"/>
        <w:left w:val="none" w:sz="0" w:space="0" w:color="auto"/>
        <w:bottom w:val="none" w:sz="0" w:space="0" w:color="auto"/>
        <w:right w:val="none" w:sz="0" w:space="0" w:color="auto"/>
      </w:divBdr>
    </w:div>
    <w:div w:id="117996566">
      <w:bodyDiv w:val="1"/>
      <w:marLeft w:val="0"/>
      <w:marRight w:val="0"/>
      <w:marTop w:val="0"/>
      <w:marBottom w:val="0"/>
      <w:divBdr>
        <w:top w:val="none" w:sz="0" w:space="0" w:color="auto"/>
        <w:left w:val="none" w:sz="0" w:space="0" w:color="auto"/>
        <w:bottom w:val="none" w:sz="0" w:space="0" w:color="auto"/>
        <w:right w:val="none" w:sz="0" w:space="0" w:color="auto"/>
      </w:divBdr>
    </w:div>
    <w:div w:id="127745470">
      <w:bodyDiv w:val="1"/>
      <w:marLeft w:val="0"/>
      <w:marRight w:val="0"/>
      <w:marTop w:val="0"/>
      <w:marBottom w:val="0"/>
      <w:divBdr>
        <w:top w:val="none" w:sz="0" w:space="0" w:color="auto"/>
        <w:left w:val="none" w:sz="0" w:space="0" w:color="auto"/>
        <w:bottom w:val="none" w:sz="0" w:space="0" w:color="auto"/>
        <w:right w:val="none" w:sz="0" w:space="0" w:color="auto"/>
      </w:divBdr>
    </w:div>
    <w:div w:id="134493680">
      <w:bodyDiv w:val="1"/>
      <w:marLeft w:val="0"/>
      <w:marRight w:val="0"/>
      <w:marTop w:val="0"/>
      <w:marBottom w:val="0"/>
      <w:divBdr>
        <w:top w:val="none" w:sz="0" w:space="0" w:color="auto"/>
        <w:left w:val="none" w:sz="0" w:space="0" w:color="auto"/>
        <w:bottom w:val="none" w:sz="0" w:space="0" w:color="auto"/>
        <w:right w:val="none" w:sz="0" w:space="0" w:color="auto"/>
      </w:divBdr>
    </w:div>
    <w:div w:id="137264719">
      <w:bodyDiv w:val="1"/>
      <w:marLeft w:val="0"/>
      <w:marRight w:val="0"/>
      <w:marTop w:val="0"/>
      <w:marBottom w:val="0"/>
      <w:divBdr>
        <w:top w:val="none" w:sz="0" w:space="0" w:color="auto"/>
        <w:left w:val="none" w:sz="0" w:space="0" w:color="auto"/>
        <w:bottom w:val="none" w:sz="0" w:space="0" w:color="auto"/>
        <w:right w:val="none" w:sz="0" w:space="0" w:color="auto"/>
      </w:divBdr>
    </w:div>
    <w:div w:id="143008840">
      <w:bodyDiv w:val="1"/>
      <w:marLeft w:val="0"/>
      <w:marRight w:val="0"/>
      <w:marTop w:val="0"/>
      <w:marBottom w:val="0"/>
      <w:divBdr>
        <w:top w:val="none" w:sz="0" w:space="0" w:color="auto"/>
        <w:left w:val="none" w:sz="0" w:space="0" w:color="auto"/>
        <w:bottom w:val="none" w:sz="0" w:space="0" w:color="auto"/>
        <w:right w:val="none" w:sz="0" w:space="0" w:color="auto"/>
      </w:divBdr>
    </w:div>
    <w:div w:id="147013387">
      <w:bodyDiv w:val="1"/>
      <w:marLeft w:val="0"/>
      <w:marRight w:val="0"/>
      <w:marTop w:val="0"/>
      <w:marBottom w:val="0"/>
      <w:divBdr>
        <w:top w:val="none" w:sz="0" w:space="0" w:color="auto"/>
        <w:left w:val="none" w:sz="0" w:space="0" w:color="auto"/>
        <w:bottom w:val="none" w:sz="0" w:space="0" w:color="auto"/>
        <w:right w:val="none" w:sz="0" w:space="0" w:color="auto"/>
      </w:divBdr>
    </w:div>
    <w:div w:id="174391435">
      <w:bodyDiv w:val="1"/>
      <w:marLeft w:val="0"/>
      <w:marRight w:val="0"/>
      <w:marTop w:val="0"/>
      <w:marBottom w:val="0"/>
      <w:divBdr>
        <w:top w:val="none" w:sz="0" w:space="0" w:color="auto"/>
        <w:left w:val="none" w:sz="0" w:space="0" w:color="auto"/>
        <w:bottom w:val="none" w:sz="0" w:space="0" w:color="auto"/>
        <w:right w:val="none" w:sz="0" w:space="0" w:color="auto"/>
      </w:divBdr>
    </w:div>
    <w:div w:id="175001121">
      <w:bodyDiv w:val="1"/>
      <w:marLeft w:val="0"/>
      <w:marRight w:val="0"/>
      <w:marTop w:val="0"/>
      <w:marBottom w:val="0"/>
      <w:divBdr>
        <w:top w:val="none" w:sz="0" w:space="0" w:color="auto"/>
        <w:left w:val="none" w:sz="0" w:space="0" w:color="auto"/>
        <w:bottom w:val="none" w:sz="0" w:space="0" w:color="auto"/>
        <w:right w:val="none" w:sz="0" w:space="0" w:color="auto"/>
      </w:divBdr>
    </w:div>
    <w:div w:id="175921146">
      <w:bodyDiv w:val="1"/>
      <w:marLeft w:val="0"/>
      <w:marRight w:val="0"/>
      <w:marTop w:val="0"/>
      <w:marBottom w:val="0"/>
      <w:divBdr>
        <w:top w:val="none" w:sz="0" w:space="0" w:color="auto"/>
        <w:left w:val="none" w:sz="0" w:space="0" w:color="auto"/>
        <w:bottom w:val="none" w:sz="0" w:space="0" w:color="auto"/>
        <w:right w:val="none" w:sz="0" w:space="0" w:color="auto"/>
      </w:divBdr>
    </w:div>
    <w:div w:id="180050049">
      <w:bodyDiv w:val="1"/>
      <w:marLeft w:val="0"/>
      <w:marRight w:val="0"/>
      <w:marTop w:val="0"/>
      <w:marBottom w:val="0"/>
      <w:divBdr>
        <w:top w:val="none" w:sz="0" w:space="0" w:color="auto"/>
        <w:left w:val="none" w:sz="0" w:space="0" w:color="auto"/>
        <w:bottom w:val="none" w:sz="0" w:space="0" w:color="auto"/>
        <w:right w:val="none" w:sz="0" w:space="0" w:color="auto"/>
      </w:divBdr>
    </w:div>
    <w:div w:id="182984604">
      <w:bodyDiv w:val="1"/>
      <w:marLeft w:val="0"/>
      <w:marRight w:val="0"/>
      <w:marTop w:val="0"/>
      <w:marBottom w:val="0"/>
      <w:divBdr>
        <w:top w:val="none" w:sz="0" w:space="0" w:color="auto"/>
        <w:left w:val="none" w:sz="0" w:space="0" w:color="auto"/>
        <w:bottom w:val="none" w:sz="0" w:space="0" w:color="auto"/>
        <w:right w:val="none" w:sz="0" w:space="0" w:color="auto"/>
      </w:divBdr>
    </w:div>
    <w:div w:id="186260786">
      <w:bodyDiv w:val="1"/>
      <w:marLeft w:val="0"/>
      <w:marRight w:val="0"/>
      <w:marTop w:val="0"/>
      <w:marBottom w:val="0"/>
      <w:divBdr>
        <w:top w:val="none" w:sz="0" w:space="0" w:color="auto"/>
        <w:left w:val="none" w:sz="0" w:space="0" w:color="auto"/>
        <w:bottom w:val="none" w:sz="0" w:space="0" w:color="auto"/>
        <w:right w:val="none" w:sz="0" w:space="0" w:color="auto"/>
      </w:divBdr>
    </w:div>
    <w:div w:id="195435538">
      <w:bodyDiv w:val="1"/>
      <w:marLeft w:val="0"/>
      <w:marRight w:val="0"/>
      <w:marTop w:val="0"/>
      <w:marBottom w:val="0"/>
      <w:divBdr>
        <w:top w:val="none" w:sz="0" w:space="0" w:color="auto"/>
        <w:left w:val="none" w:sz="0" w:space="0" w:color="auto"/>
        <w:bottom w:val="none" w:sz="0" w:space="0" w:color="auto"/>
        <w:right w:val="none" w:sz="0" w:space="0" w:color="auto"/>
      </w:divBdr>
    </w:div>
    <w:div w:id="201091674">
      <w:bodyDiv w:val="1"/>
      <w:marLeft w:val="0"/>
      <w:marRight w:val="0"/>
      <w:marTop w:val="0"/>
      <w:marBottom w:val="0"/>
      <w:divBdr>
        <w:top w:val="none" w:sz="0" w:space="0" w:color="auto"/>
        <w:left w:val="none" w:sz="0" w:space="0" w:color="auto"/>
        <w:bottom w:val="none" w:sz="0" w:space="0" w:color="auto"/>
        <w:right w:val="none" w:sz="0" w:space="0" w:color="auto"/>
      </w:divBdr>
    </w:div>
    <w:div w:id="207110310">
      <w:bodyDiv w:val="1"/>
      <w:marLeft w:val="0"/>
      <w:marRight w:val="0"/>
      <w:marTop w:val="0"/>
      <w:marBottom w:val="0"/>
      <w:divBdr>
        <w:top w:val="none" w:sz="0" w:space="0" w:color="auto"/>
        <w:left w:val="none" w:sz="0" w:space="0" w:color="auto"/>
        <w:bottom w:val="none" w:sz="0" w:space="0" w:color="auto"/>
        <w:right w:val="none" w:sz="0" w:space="0" w:color="auto"/>
      </w:divBdr>
    </w:div>
    <w:div w:id="210581528">
      <w:bodyDiv w:val="1"/>
      <w:marLeft w:val="0"/>
      <w:marRight w:val="0"/>
      <w:marTop w:val="0"/>
      <w:marBottom w:val="0"/>
      <w:divBdr>
        <w:top w:val="none" w:sz="0" w:space="0" w:color="auto"/>
        <w:left w:val="none" w:sz="0" w:space="0" w:color="auto"/>
        <w:bottom w:val="none" w:sz="0" w:space="0" w:color="auto"/>
        <w:right w:val="none" w:sz="0" w:space="0" w:color="auto"/>
      </w:divBdr>
    </w:div>
    <w:div w:id="217515558">
      <w:bodyDiv w:val="1"/>
      <w:marLeft w:val="0"/>
      <w:marRight w:val="0"/>
      <w:marTop w:val="0"/>
      <w:marBottom w:val="0"/>
      <w:divBdr>
        <w:top w:val="none" w:sz="0" w:space="0" w:color="auto"/>
        <w:left w:val="none" w:sz="0" w:space="0" w:color="auto"/>
        <w:bottom w:val="none" w:sz="0" w:space="0" w:color="auto"/>
        <w:right w:val="none" w:sz="0" w:space="0" w:color="auto"/>
      </w:divBdr>
    </w:div>
    <w:div w:id="218707284">
      <w:bodyDiv w:val="1"/>
      <w:marLeft w:val="0"/>
      <w:marRight w:val="0"/>
      <w:marTop w:val="0"/>
      <w:marBottom w:val="0"/>
      <w:divBdr>
        <w:top w:val="none" w:sz="0" w:space="0" w:color="auto"/>
        <w:left w:val="none" w:sz="0" w:space="0" w:color="auto"/>
        <w:bottom w:val="none" w:sz="0" w:space="0" w:color="auto"/>
        <w:right w:val="none" w:sz="0" w:space="0" w:color="auto"/>
      </w:divBdr>
    </w:div>
    <w:div w:id="222330195">
      <w:bodyDiv w:val="1"/>
      <w:marLeft w:val="0"/>
      <w:marRight w:val="0"/>
      <w:marTop w:val="0"/>
      <w:marBottom w:val="0"/>
      <w:divBdr>
        <w:top w:val="none" w:sz="0" w:space="0" w:color="auto"/>
        <w:left w:val="none" w:sz="0" w:space="0" w:color="auto"/>
        <w:bottom w:val="none" w:sz="0" w:space="0" w:color="auto"/>
        <w:right w:val="none" w:sz="0" w:space="0" w:color="auto"/>
      </w:divBdr>
    </w:div>
    <w:div w:id="227305868">
      <w:bodyDiv w:val="1"/>
      <w:marLeft w:val="0"/>
      <w:marRight w:val="0"/>
      <w:marTop w:val="0"/>
      <w:marBottom w:val="0"/>
      <w:divBdr>
        <w:top w:val="none" w:sz="0" w:space="0" w:color="auto"/>
        <w:left w:val="none" w:sz="0" w:space="0" w:color="auto"/>
        <w:bottom w:val="none" w:sz="0" w:space="0" w:color="auto"/>
        <w:right w:val="none" w:sz="0" w:space="0" w:color="auto"/>
      </w:divBdr>
    </w:div>
    <w:div w:id="234318622">
      <w:bodyDiv w:val="1"/>
      <w:marLeft w:val="0"/>
      <w:marRight w:val="0"/>
      <w:marTop w:val="0"/>
      <w:marBottom w:val="0"/>
      <w:divBdr>
        <w:top w:val="none" w:sz="0" w:space="0" w:color="auto"/>
        <w:left w:val="none" w:sz="0" w:space="0" w:color="auto"/>
        <w:bottom w:val="none" w:sz="0" w:space="0" w:color="auto"/>
        <w:right w:val="none" w:sz="0" w:space="0" w:color="auto"/>
      </w:divBdr>
    </w:div>
    <w:div w:id="250088759">
      <w:bodyDiv w:val="1"/>
      <w:marLeft w:val="0"/>
      <w:marRight w:val="0"/>
      <w:marTop w:val="0"/>
      <w:marBottom w:val="0"/>
      <w:divBdr>
        <w:top w:val="none" w:sz="0" w:space="0" w:color="auto"/>
        <w:left w:val="none" w:sz="0" w:space="0" w:color="auto"/>
        <w:bottom w:val="none" w:sz="0" w:space="0" w:color="auto"/>
        <w:right w:val="none" w:sz="0" w:space="0" w:color="auto"/>
      </w:divBdr>
    </w:div>
    <w:div w:id="287663619">
      <w:bodyDiv w:val="1"/>
      <w:marLeft w:val="0"/>
      <w:marRight w:val="0"/>
      <w:marTop w:val="0"/>
      <w:marBottom w:val="0"/>
      <w:divBdr>
        <w:top w:val="none" w:sz="0" w:space="0" w:color="auto"/>
        <w:left w:val="none" w:sz="0" w:space="0" w:color="auto"/>
        <w:bottom w:val="none" w:sz="0" w:space="0" w:color="auto"/>
        <w:right w:val="none" w:sz="0" w:space="0" w:color="auto"/>
      </w:divBdr>
    </w:div>
    <w:div w:id="297420128">
      <w:bodyDiv w:val="1"/>
      <w:marLeft w:val="0"/>
      <w:marRight w:val="0"/>
      <w:marTop w:val="0"/>
      <w:marBottom w:val="0"/>
      <w:divBdr>
        <w:top w:val="none" w:sz="0" w:space="0" w:color="auto"/>
        <w:left w:val="none" w:sz="0" w:space="0" w:color="auto"/>
        <w:bottom w:val="none" w:sz="0" w:space="0" w:color="auto"/>
        <w:right w:val="none" w:sz="0" w:space="0" w:color="auto"/>
      </w:divBdr>
    </w:div>
    <w:div w:id="302317671">
      <w:bodyDiv w:val="1"/>
      <w:marLeft w:val="0"/>
      <w:marRight w:val="0"/>
      <w:marTop w:val="0"/>
      <w:marBottom w:val="0"/>
      <w:divBdr>
        <w:top w:val="none" w:sz="0" w:space="0" w:color="auto"/>
        <w:left w:val="none" w:sz="0" w:space="0" w:color="auto"/>
        <w:bottom w:val="none" w:sz="0" w:space="0" w:color="auto"/>
        <w:right w:val="none" w:sz="0" w:space="0" w:color="auto"/>
      </w:divBdr>
    </w:div>
    <w:div w:id="308247441">
      <w:bodyDiv w:val="1"/>
      <w:marLeft w:val="0"/>
      <w:marRight w:val="0"/>
      <w:marTop w:val="0"/>
      <w:marBottom w:val="0"/>
      <w:divBdr>
        <w:top w:val="none" w:sz="0" w:space="0" w:color="auto"/>
        <w:left w:val="none" w:sz="0" w:space="0" w:color="auto"/>
        <w:bottom w:val="none" w:sz="0" w:space="0" w:color="auto"/>
        <w:right w:val="none" w:sz="0" w:space="0" w:color="auto"/>
      </w:divBdr>
    </w:div>
    <w:div w:id="312418355">
      <w:bodyDiv w:val="1"/>
      <w:marLeft w:val="0"/>
      <w:marRight w:val="0"/>
      <w:marTop w:val="0"/>
      <w:marBottom w:val="0"/>
      <w:divBdr>
        <w:top w:val="none" w:sz="0" w:space="0" w:color="auto"/>
        <w:left w:val="none" w:sz="0" w:space="0" w:color="auto"/>
        <w:bottom w:val="none" w:sz="0" w:space="0" w:color="auto"/>
        <w:right w:val="none" w:sz="0" w:space="0" w:color="auto"/>
      </w:divBdr>
    </w:div>
    <w:div w:id="314187385">
      <w:bodyDiv w:val="1"/>
      <w:marLeft w:val="0"/>
      <w:marRight w:val="0"/>
      <w:marTop w:val="0"/>
      <w:marBottom w:val="0"/>
      <w:divBdr>
        <w:top w:val="none" w:sz="0" w:space="0" w:color="auto"/>
        <w:left w:val="none" w:sz="0" w:space="0" w:color="auto"/>
        <w:bottom w:val="none" w:sz="0" w:space="0" w:color="auto"/>
        <w:right w:val="none" w:sz="0" w:space="0" w:color="auto"/>
      </w:divBdr>
    </w:div>
    <w:div w:id="358045690">
      <w:bodyDiv w:val="1"/>
      <w:marLeft w:val="0"/>
      <w:marRight w:val="0"/>
      <w:marTop w:val="0"/>
      <w:marBottom w:val="0"/>
      <w:divBdr>
        <w:top w:val="none" w:sz="0" w:space="0" w:color="auto"/>
        <w:left w:val="none" w:sz="0" w:space="0" w:color="auto"/>
        <w:bottom w:val="none" w:sz="0" w:space="0" w:color="auto"/>
        <w:right w:val="none" w:sz="0" w:space="0" w:color="auto"/>
      </w:divBdr>
    </w:div>
    <w:div w:id="366295798">
      <w:bodyDiv w:val="1"/>
      <w:marLeft w:val="0"/>
      <w:marRight w:val="0"/>
      <w:marTop w:val="0"/>
      <w:marBottom w:val="0"/>
      <w:divBdr>
        <w:top w:val="none" w:sz="0" w:space="0" w:color="auto"/>
        <w:left w:val="none" w:sz="0" w:space="0" w:color="auto"/>
        <w:bottom w:val="none" w:sz="0" w:space="0" w:color="auto"/>
        <w:right w:val="none" w:sz="0" w:space="0" w:color="auto"/>
      </w:divBdr>
    </w:div>
    <w:div w:id="373313305">
      <w:bodyDiv w:val="1"/>
      <w:marLeft w:val="0"/>
      <w:marRight w:val="0"/>
      <w:marTop w:val="0"/>
      <w:marBottom w:val="0"/>
      <w:divBdr>
        <w:top w:val="none" w:sz="0" w:space="0" w:color="auto"/>
        <w:left w:val="none" w:sz="0" w:space="0" w:color="auto"/>
        <w:bottom w:val="none" w:sz="0" w:space="0" w:color="auto"/>
        <w:right w:val="none" w:sz="0" w:space="0" w:color="auto"/>
      </w:divBdr>
    </w:div>
    <w:div w:id="380254945">
      <w:bodyDiv w:val="1"/>
      <w:marLeft w:val="0"/>
      <w:marRight w:val="0"/>
      <w:marTop w:val="0"/>
      <w:marBottom w:val="0"/>
      <w:divBdr>
        <w:top w:val="none" w:sz="0" w:space="0" w:color="auto"/>
        <w:left w:val="none" w:sz="0" w:space="0" w:color="auto"/>
        <w:bottom w:val="none" w:sz="0" w:space="0" w:color="auto"/>
        <w:right w:val="none" w:sz="0" w:space="0" w:color="auto"/>
      </w:divBdr>
    </w:div>
    <w:div w:id="385418441">
      <w:bodyDiv w:val="1"/>
      <w:marLeft w:val="0"/>
      <w:marRight w:val="0"/>
      <w:marTop w:val="0"/>
      <w:marBottom w:val="0"/>
      <w:divBdr>
        <w:top w:val="none" w:sz="0" w:space="0" w:color="auto"/>
        <w:left w:val="none" w:sz="0" w:space="0" w:color="auto"/>
        <w:bottom w:val="none" w:sz="0" w:space="0" w:color="auto"/>
        <w:right w:val="none" w:sz="0" w:space="0" w:color="auto"/>
      </w:divBdr>
    </w:div>
    <w:div w:id="424427077">
      <w:bodyDiv w:val="1"/>
      <w:marLeft w:val="0"/>
      <w:marRight w:val="0"/>
      <w:marTop w:val="0"/>
      <w:marBottom w:val="0"/>
      <w:divBdr>
        <w:top w:val="none" w:sz="0" w:space="0" w:color="auto"/>
        <w:left w:val="none" w:sz="0" w:space="0" w:color="auto"/>
        <w:bottom w:val="none" w:sz="0" w:space="0" w:color="auto"/>
        <w:right w:val="none" w:sz="0" w:space="0" w:color="auto"/>
      </w:divBdr>
    </w:div>
    <w:div w:id="425881409">
      <w:bodyDiv w:val="1"/>
      <w:marLeft w:val="0"/>
      <w:marRight w:val="0"/>
      <w:marTop w:val="0"/>
      <w:marBottom w:val="0"/>
      <w:divBdr>
        <w:top w:val="none" w:sz="0" w:space="0" w:color="auto"/>
        <w:left w:val="none" w:sz="0" w:space="0" w:color="auto"/>
        <w:bottom w:val="none" w:sz="0" w:space="0" w:color="auto"/>
        <w:right w:val="none" w:sz="0" w:space="0" w:color="auto"/>
      </w:divBdr>
    </w:div>
    <w:div w:id="446698353">
      <w:bodyDiv w:val="1"/>
      <w:marLeft w:val="0"/>
      <w:marRight w:val="0"/>
      <w:marTop w:val="0"/>
      <w:marBottom w:val="0"/>
      <w:divBdr>
        <w:top w:val="none" w:sz="0" w:space="0" w:color="auto"/>
        <w:left w:val="none" w:sz="0" w:space="0" w:color="auto"/>
        <w:bottom w:val="none" w:sz="0" w:space="0" w:color="auto"/>
        <w:right w:val="none" w:sz="0" w:space="0" w:color="auto"/>
      </w:divBdr>
    </w:div>
    <w:div w:id="447626168">
      <w:bodyDiv w:val="1"/>
      <w:marLeft w:val="0"/>
      <w:marRight w:val="0"/>
      <w:marTop w:val="0"/>
      <w:marBottom w:val="0"/>
      <w:divBdr>
        <w:top w:val="none" w:sz="0" w:space="0" w:color="auto"/>
        <w:left w:val="none" w:sz="0" w:space="0" w:color="auto"/>
        <w:bottom w:val="none" w:sz="0" w:space="0" w:color="auto"/>
        <w:right w:val="none" w:sz="0" w:space="0" w:color="auto"/>
      </w:divBdr>
    </w:div>
    <w:div w:id="461843836">
      <w:bodyDiv w:val="1"/>
      <w:marLeft w:val="0"/>
      <w:marRight w:val="0"/>
      <w:marTop w:val="0"/>
      <w:marBottom w:val="0"/>
      <w:divBdr>
        <w:top w:val="none" w:sz="0" w:space="0" w:color="auto"/>
        <w:left w:val="none" w:sz="0" w:space="0" w:color="auto"/>
        <w:bottom w:val="none" w:sz="0" w:space="0" w:color="auto"/>
        <w:right w:val="none" w:sz="0" w:space="0" w:color="auto"/>
      </w:divBdr>
    </w:div>
    <w:div w:id="462777295">
      <w:bodyDiv w:val="1"/>
      <w:marLeft w:val="0"/>
      <w:marRight w:val="0"/>
      <w:marTop w:val="0"/>
      <w:marBottom w:val="0"/>
      <w:divBdr>
        <w:top w:val="none" w:sz="0" w:space="0" w:color="auto"/>
        <w:left w:val="none" w:sz="0" w:space="0" w:color="auto"/>
        <w:bottom w:val="none" w:sz="0" w:space="0" w:color="auto"/>
        <w:right w:val="none" w:sz="0" w:space="0" w:color="auto"/>
      </w:divBdr>
    </w:div>
    <w:div w:id="467667307">
      <w:bodyDiv w:val="1"/>
      <w:marLeft w:val="0"/>
      <w:marRight w:val="0"/>
      <w:marTop w:val="0"/>
      <w:marBottom w:val="0"/>
      <w:divBdr>
        <w:top w:val="none" w:sz="0" w:space="0" w:color="auto"/>
        <w:left w:val="none" w:sz="0" w:space="0" w:color="auto"/>
        <w:bottom w:val="none" w:sz="0" w:space="0" w:color="auto"/>
        <w:right w:val="none" w:sz="0" w:space="0" w:color="auto"/>
      </w:divBdr>
    </w:div>
    <w:div w:id="471486281">
      <w:bodyDiv w:val="1"/>
      <w:marLeft w:val="0"/>
      <w:marRight w:val="0"/>
      <w:marTop w:val="0"/>
      <w:marBottom w:val="0"/>
      <w:divBdr>
        <w:top w:val="none" w:sz="0" w:space="0" w:color="auto"/>
        <w:left w:val="none" w:sz="0" w:space="0" w:color="auto"/>
        <w:bottom w:val="none" w:sz="0" w:space="0" w:color="auto"/>
        <w:right w:val="none" w:sz="0" w:space="0" w:color="auto"/>
      </w:divBdr>
    </w:div>
    <w:div w:id="488642943">
      <w:bodyDiv w:val="1"/>
      <w:marLeft w:val="0"/>
      <w:marRight w:val="0"/>
      <w:marTop w:val="0"/>
      <w:marBottom w:val="0"/>
      <w:divBdr>
        <w:top w:val="none" w:sz="0" w:space="0" w:color="auto"/>
        <w:left w:val="none" w:sz="0" w:space="0" w:color="auto"/>
        <w:bottom w:val="none" w:sz="0" w:space="0" w:color="auto"/>
        <w:right w:val="none" w:sz="0" w:space="0" w:color="auto"/>
      </w:divBdr>
    </w:div>
    <w:div w:id="489518645">
      <w:bodyDiv w:val="1"/>
      <w:marLeft w:val="0"/>
      <w:marRight w:val="0"/>
      <w:marTop w:val="0"/>
      <w:marBottom w:val="0"/>
      <w:divBdr>
        <w:top w:val="none" w:sz="0" w:space="0" w:color="auto"/>
        <w:left w:val="none" w:sz="0" w:space="0" w:color="auto"/>
        <w:bottom w:val="none" w:sz="0" w:space="0" w:color="auto"/>
        <w:right w:val="none" w:sz="0" w:space="0" w:color="auto"/>
      </w:divBdr>
    </w:div>
    <w:div w:id="490633422">
      <w:bodyDiv w:val="1"/>
      <w:marLeft w:val="0"/>
      <w:marRight w:val="0"/>
      <w:marTop w:val="0"/>
      <w:marBottom w:val="0"/>
      <w:divBdr>
        <w:top w:val="none" w:sz="0" w:space="0" w:color="auto"/>
        <w:left w:val="none" w:sz="0" w:space="0" w:color="auto"/>
        <w:bottom w:val="none" w:sz="0" w:space="0" w:color="auto"/>
        <w:right w:val="none" w:sz="0" w:space="0" w:color="auto"/>
      </w:divBdr>
    </w:div>
    <w:div w:id="508712563">
      <w:bodyDiv w:val="1"/>
      <w:marLeft w:val="0"/>
      <w:marRight w:val="0"/>
      <w:marTop w:val="0"/>
      <w:marBottom w:val="0"/>
      <w:divBdr>
        <w:top w:val="none" w:sz="0" w:space="0" w:color="auto"/>
        <w:left w:val="none" w:sz="0" w:space="0" w:color="auto"/>
        <w:bottom w:val="none" w:sz="0" w:space="0" w:color="auto"/>
        <w:right w:val="none" w:sz="0" w:space="0" w:color="auto"/>
      </w:divBdr>
    </w:div>
    <w:div w:id="511144908">
      <w:bodyDiv w:val="1"/>
      <w:marLeft w:val="0"/>
      <w:marRight w:val="0"/>
      <w:marTop w:val="0"/>
      <w:marBottom w:val="0"/>
      <w:divBdr>
        <w:top w:val="none" w:sz="0" w:space="0" w:color="auto"/>
        <w:left w:val="none" w:sz="0" w:space="0" w:color="auto"/>
        <w:bottom w:val="none" w:sz="0" w:space="0" w:color="auto"/>
        <w:right w:val="none" w:sz="0" w:space="0" w:color="auto"/>
      </w:divBdr>
    </w:div>
    <w:div w:id="511648065">
      <w:bodyDiv w:val="1"/>
      <w:marLeft w:val="0"/>
      <w:marRight w:val="0"/>
      <w:marTop w:val="0"/>
      <w:marBottom w:val="0"/>
      <w:divBdr>
        <w:top w:val="none" w:sz="0" w:space="0" w:color="auto"/>
        <w:left w:val="none" w:sz="0" w:space="0" w:color="auto"/>
        <w:bottom w:val="none" w:sz="0" w:space="0" w:color="auto"/>
        <w:right w:val="none" w:sz="0" w:space="0" w:color="auto"/>
      </w:divBdr>
    </w:div>
    <w:div w:id="520897231">
      <w:bodyDiv w:val="1"/>
      <w:marLeft w:val="0"/>
      <w:marRight w:val="0"/>
      <w:marTop w:val="0"/>
      <w:marBottom w:val="0"/>
      <w:divBdr>
        <w:top w:val="none" w:sz="0" w:space="0" w:color="auto"/>
        <w:left w:val="none" w:sz="0" w:space="0" w:color="auto"/>
        <w:bottom w:val="none" w:sz="0" w:space="0" w:color="auto"/>
        <w:right w:val="none" w:sz="0" w:space="0" w:color="auto"/>
      </w:divBdr>
    </w:div>
    <w:div w:id="522520944">
      <w:bodyDiv w:val="1"/>
      <w:marLeft w:val="0"/>
      <w:marRight w:val="0"/>
      <w:marTop w:val="0"/>
      <w:marBottom w:val="0"/>
      <w:divBdr>
        <w:top w:val="none" w:sz="0" w:space="0" w:color="auto"/>
        <w:left w:val="none" w:sz="0" w:space="0" w:color="auto"/>
        <w:bottom w:val="none" w:sz="0" w:space="0" w:color="auto"/>
        <w:right w:val="none" w:sz="0" w:space="0" w:color="auto"/>
      </w:divBdr>
    </w:div>
    <w:div w:id="532577356">
      <w:bodyDiv w:val="1"/>
      <w:marLeft w:val="0"/>
      <w:marRight w:val="0"/>
      <w:marTop w:val="0"/>
      <w:marBottom w:val="0"/>
      <w:divBdr>
        <w:top w:val="none" w:sz="0" w:space="0" w:color="auto"/>
        <w:left w:val="none" w:sz="0" w:space="0" w:color="auto"/>
        <w:bottom w:val="none" w:sz="0" w:space="0" w:color="auto"/>
        <w:right w:val="none" w:sz="0" w:space="0" w:color="auto"/>
      </w:divBdr>
    </w:div>
    <w:div w:id="534392341">
      <w:bodyDiv w:val="1"/>
      <w:marLeft w:val="0"/>
      <w:marRight w:val="0"/>
      <w:marTop w:val="0"/>
      <w:marBottom w:val="0"/>
      <w:divBdr>
        <w:top w:val="none" w:sz="0" w:space="0" w:color="auto"/>
        <w:left w:val="none" w:sz="0" w:space="0" w:color="auto"/>
        <w:bottom w:val="none" w:sz="0" w:space="0" w:color="auto"/>
        <w:right w:val="none" w:sz="0" w:space="0" w:color="auto"/>
      </w:divBdr>
    </w:div>
    <w:div w:id="537277121">
      <w:bodyDiv w:val="1"/>
      <w:marLeft w:val="0"/>
      <w:marRight w:val="0"/>
      <w:marTop w:val="0"/>
      <w:marBottom w:val="0"/>
      <w:divBdr>
        <w:top w:val="none" w:sz="0" w:space="0" w:color="auto"/>
        <w:left w:val="none" w:sz="0" w:space="0" w:color="auto"/>
        <w:bottom w:val="none" w:sz="0" w:space="0" w:color="auto"/>
        <w:right w:val="none" w:sz="0" w:space="0" w:color="auto"/>
      </w:divBdr>
    </w:div>
    <w:div w:id="538320229">
      <w:bodyDiv w:val="1"/>
      <w:marLeft w:val="0"/>
      <w:marRight w:val="0"/>
      <w:marTop w:val="0"/>
      <w:marBottom w:val="0"/>
      <w:divBdr>
        <w:top w:val="none" w:sz="0" w:space="0" w:color="auto"/>
        <w:left w:val="none" w:sz="0" w:space="0" w:color="auto"/>
        <w:bottom w:val="none" w:sz="0" w:space="0" w:color="auto"/>
        <w:right w:val="none" w:sz="0" w:space="0" w:color="auto"/>
      </w:divBdr>
    </w:div>
    <w:div w:id="551504551">
      <w:bodyDiv w:val="1"/>
      <w:marLeft w:val="0"/>
      <w:marRight w:val="0"/>
      <w:marTop w:val="0"/>
      <w:marBottom w:val="0"/>
      <w:divBdr>
        <w:top w:val="none" w:sz="0" w:space="0" w:color="auto"/>
        <w:left w:val="none" w:sz="0" w:space="0" w:color="auto"/>
        <w:bottom w:val="none" w:sz="0" w:space="0" w:color="auto"/>
        <w:right w:val="none" w:sz="0" w:space="0" w:color="auto"/>
      </w:divBdr>
    </w:div>
    <w:div w:id="551965782">
      <w:bodyDiv w:val="1"/>
      <w:marLeft w:val="0"/>
      <w:marRight w:val="0"/>
      <w:marTop w:val="0"/>
      <w:marBottom w:val="0"/>
      <w:divBdr>
        <w:top w:val="none" w:sz="0" w:space="0" w:color="auto"/>
        <w:left w:val="none" w:sz="0" w:space="0" w:color="auto"/>
        <w:bottom w:val="none" w:sz="0" w:space="0" w:color="auto"/>
        <w:right w:val="none" w:sz="0" w:space="0" w:color="auto"/>
      </w:divBdr>
    </w:div>
    <w:div w:id="576787527">
      <w:bodyDiv w:val="1"/>
      <w:marLeft w:val="0"/>
      <w:marRight w:val="0"/>
      <w:marTop w:val="0"/>
      <w:marBottom w:val="0"/>
      <w:divBdr>
        <w:top w:val="none" w:sz="0" w:space="0" w:color="auto"/>
        <w:left w:val="none" w:sz="0" w:space="0" w:color="auto"/>
        <w:bottom w:val="none" w:sz="0" w:space="0" w:color="auto"/>
        <w:right w:val="none" w:sz="0" w:space="0" w:color="auto"/>
      </w:divBdr>
    </w:div>
    <w:div w:id="592780101">
      <w:bodyDiv w:val="1"/>
      <w:marLeft w:val="0"/>
      <w:marRight w:val="0"/>
      <w:marTop w:val="0"/>
      <w:marBottom w:val="0"/>
      <w:divBdr>
        <w:top w:val="none" w:sz="0" w:space="0" w:color="auto"/>
        <w:left w:val="none" w:sz="0" w:space="0" w:color="auto"/>
        <w:bottom w:val="none" w:sz="0" w:space="0" w:color="auto"/>
        <w:right w:val="none" w:sz="0" w:space="0" w:color="auto"/>
      </w:divBdr>
    </w:div>
    <w:div w:id="624118292">
      <w:bodyDiv w:val="1"/>
      <w:marLeft w:val="0"/>
      <w:marRight w:val="0"/>
      <w:marTop w:val="0"/>
      <w:marBottom w:val="0"/>
      <w:divBdr>
        <w:top w:val="none" w:sz="0" w:space="0" w:color="auto"/>
        <w:left w:val="none" w:sz="0" w:space="0" w:color="auto"/>
        <w:bottom w:val="none" w:sz="0" w:space="0" w:color="auto"/>
        <w:right w:val="none" w:sz="0" w:space="0" w:color="auto"/>
      </w:divBdr>
    </w:div>
    <w:div w:id="624703698">
      <w:bodyDiv w:val="1"/>
      <w:marLeft w:val="0"/>
      <w:marRight w:val="0"/>
      <w:marTop w:val="0"/>
      <w:marBottom w:val="0"/>
      <w:divBdr>
        <w:top w:val="none" w:sz="0" w:space="0" w:color="auto"/>
        <w:left w:val="none" w:sz="0" w:space="0" w:color="auto"/>
        <w:bottom w:val="none" w:sz="0" w:space="0" w:color="auto"/>
        <w:right w:val="none" w:sz="0" w:space="0" w:color="auto"/>
      </w:divBdr>
    </w:div>
    <w:div w:id="632096378">
      <w:bodyDiv w:val="1"/>
      <w:marLeft w:val="0"/>
      <w:marRight w:val="0"/>
      <w:marTop w:val="0"/>
      <w:marBottom w:val="0"/>
      <w:divBdr>
        <w:top w:val="none" w:sz="0" w:space="0" w:color="auto"/>
        <w:left w:val="none" w:sz="0" w:space="0" w:color="auto"/>
        <w:bottom w:val="none" w:sz="0" w:space="0" w:color="auto"/>
        <w:right w:val="none" w:sz="0" w:space="0" w:color="auto"/>
      </w:divBdr>
    </w:div>
    <w:div w:id="646252326">
      <w:bodyDiv w:val="1"/>
      <w:marLeft w:val="0"/>
      <w:marRight w:val="0"/>
      <w:marTop w:val="0"/>
      <w:marBottom w:val="0"/>
      <w:divBdr>
        <w:top w:val="none" w:sz="0" w:space="0" w:color="auto"/>
        <w:left w:val="none" w:sz="0" w:space="0" w:color="auto"/>
        <w:bottom w:val="none" w:sz="0" w:space="0" w:color="auto"/>
        <w:right w:val="none" w:sz="0" w:space="0" w:color="auto"/>
      </w:divBdr>
    </w:div>
    <w:div w:id="659387856">
      <w:bodyDiv w:val="1"/>
      <w:marLeft w:val="0"/>
      <w:marRight w:val="0"/>
      <w:marTop w:val="0"/>
      <w:marBottom w:val="0"/>
      <w:divBdr>
        <w:top w:val="none" w:sz="0" w:space="0" w:color="auto"/>
        <w:left w:val="none" w:sz="0" w:space="0" w:color="auto"/>
        <w:bottom w:val="none" w:sz="0" w:space="0" w:color="auto"/>
        <w:right w:val="none" w:sz="0" w:space="0" w:color="auto"/>
      </w:divBdr>
    </w:div>
    <w:div w:id="679310329">
      <w:bodyDiv w:val="1"/>
      <w:marLeft w:val="0"/>
      <w:marRight w:val="0"/>
      <w:marTop w:val="0"/>
      <w:marBottom w:val="0"/>
      <w:divBdr>
        <w:top w:val="none" w:sz="0" w:space="0" w:color="auto"/>
        <w:left w:val="none" w:sz="0" w:space="0" w:color="auto"/>
        <w:bottom w:val="none" w:sz="0" w:space="0" w:color="auto"/>
        <w:right w:val="none" w:sz="0" w:space="0" w:color="auto"/>
      </w:divBdr>
    </w:div>
    <w:div w:id="687802372">
      <w:bodyDiv w:val="1"/>
      <w:marLeft w:val="0"/>
      <w:marRight w:val="0"/>
      <w:marTop w:val="0"/>
      <w:marBottom w:val="0"/>
      <w:divBdr>
        <w:top w:val="none" w:sz="0" w:space="0" w:color="auto"/>
        <w:left w:val="none" w:sz="0" w:space="0" w:color="auto"/>
        <w:bottom w:val="none" w:sz="0" w:space="0" w:color="auto"/>
        <w:right w:val="none" w:sz="0" w:space="0" w:color="auto"/>
      </w:divBdr>
    </w:div>
    <w:div w:id="690423761">
      <w:bodyDiv w:val="1"/>
      <w:marLeft w:val="0"/>
      <w:marRight w:val="0"/>
      <w:marTop w:val="0"/>
      <w:marBottom w:val="0"/>
      <w:divBdr>
        <w:top w:val="none" w:sz="0" w:space="0" w:color="auto"/>
        <w:left w:val="none" w:sz="0" w:space="0" w:color="auto"/>
        <w:bottom w:val="none" w:sz="0" w:space="0" w:color="auto"/>
        <w:right w:val="none" w:sz="0" w:space="0" w:color="auto"/>
      </w:divBdr>
    </w:div>
    <w:div w:id="697504897">
      <w:bodyDiv w:val="1"/>
      <w:marLeft w:val="0"/>
      <w:marRight w:val="0"/>
      <w:marTop w:val="0"/>
      <w:marBottom w:val="0"/>
      <w:divBdr>
        <w:top w:val="none" w:sz="0" w:space="0" w:color="auto"/>
        <w:left w:val="none" w:sz="0" w:space="0" w:color="auto"/>
        <w:bottom w:val="none" w:sz="0" w:space="0" w:color="auto"/>
        <w:right w:val="none" w:sz="0" w:space="0" w:color="auto"/>
      </w:divBdr>
    </w:div>
    <w:div w:id="701899531">
      <w:bodyDiv w:val="1"/>
      <w:marLeft w:val="0"/>
      <w:marRight w:val="0"/>
      <w:marTop w:val="0"/>
      <w:marBottom w:val="0"/>
      <w:divBdr>
        <w:top w:val="none" w:sz="0" w:space="0" w:color="auto"/>
        <w:left w:val="none" w:sz="0" w:space="0" w:color="auto"/>
        <w:bottom w:val="none" w:sz="0" w:space="0" w:color="auto"/>
        <w:right w:val="none" w:sz="0" w:space="0" w:color="auto"/>
      </w:divBdr>
    </w:div>
    <w:div w:id="701900191">
      <w:bodyDiv w:val="1"/>
      <w:marLeft w:val="0"/>
      <w:marRight w:val="0"/>
      <w:marTop w:val="0"/>
      <w:marBottom w:val="0"/>
      <w:divBdr>
        <w:top w:val="none" w:sz="0" w:space="0" w:color="auto"/>
        <w:left w:val="none" w:sz="0" w:space="0" w:color="auto"/>
        <w:bottom w:val="none" w:sz="0" w:space="0" w:color="auto"/>
        <w:right w:val="none" w:sz="0" w:space="0" w:color="auto"/>
      </w:divBdr>
    </w:div>
    <w:div w:id="706835806">
      <w:bodyDiv w:val="1"/>
      <w:marLeft w:val="0"/>
      <w:marRight w:val="0"/>
      <w:marTop w:val="0"/>
      <w:marBottom w:val="0"/>
      <w:divBdr>
        <w:top w:val="none" w:sz="0" w:space="0" w:color="auto"/>
        <w:left w:val="none" w:sz="0" w:space="0" w:color="auto"/>
        <w:bottom w:val="none" w:sz="0" w:space="0" w:color="auto"/>
        <w:right w:val="none" w:sz="0" w:space="0" w:color="auto"/>
      </w:divBdr>
    </w:div>
    <w:div w:id="709034170">
      <w:bodyDiv w:val="1"/>
      <w:marLeft w:val="0"/>
      <w:marRight w:val="0"/>
      <w:marTop w:val="0"/>
      <w:marBottom w:val="0"/>
      <w:divBdr>
        <w:top w:val="none" w:sz="0" w:space="0" w:color="auto"/>
        <w:left w:val="none" w:sz="0" w:space="0" w:color="auto"/>
        <w:bottom w:val="none" w:sz="0" w:space="0" w:color="auto"/>
        <w:right w:val="none" w:sz="0" w:space="0" w:color="auto"/>
      </w:divBdr>
    </w:div>
    <w:div w:id="720714937">
      <w:bodyDiv w:val="1"/>
      <w:marLeft w:val="0"/>
      <w:marRight w:val="0"/>
      <w:marTop w:val="0"/>
      <w:marBottom w:val="0"/>
      <w:divBdr>
        <w:top w:val="none" w:sz="0" w:space="0" w:color="auto"/>
        <w:left w:val="none" w:sz="0" w:space="0" w:color="auto"/>
        <w:bottom w:val="none" w:sz="0" w:space="0" w:color="auto"/>
        <w:right w:val="none" w:sz="0" w:space="0" w:color="auto"/>
      </w:divBdr>
    </w:div>
    <w:div w:id="723338305">
      <w:bodyDiv w:val="1"/>
      <w:marLeft w:val="0"/>
      <w:marRight w:val="0"/>
      <w:marTop w:val="0"/>
      <w:marBottom w:val="0"/>
      <w:divBdr>
        <w:top w:val="none" w:sz="0" w:space="0" w:color="auto"/>
        <w:left w:val="none" w:sz="0" w:space="0" w:color="auto"/>
        <w:bottom w:val="none" w:sz="0" w:space="0" w:color="auto"/>
        <w:right w:val="none" w:sz="0" w:space="0" w:color="auto"/>
      </w:divBdr>
    </w:div>
    <w:div w:id="739594485">
      <w:bodyDiv w:val="1"/>
      <w:marLeft w:val="0"/>
      <w:marRight w:val="0"/>
      <w:marTop w:val="0"/>
      <w:marBottom w:val="0"/>
      <w:divBdr>
        <w:top w:val="none" w:sz="0" w:space="0" w:color="auto"/>
        <w:left w:val="none" w:sz="0" w:space="0" w:color="auto"/>
        <w:bottom w:val="none" w:sz="0" w:space="0" w:color="auto"/>
        <w:right w:val="none" w:sz="0" w:space="0" w:color="auto"/>
      </w:divBdr>
    </w:div>
    <w:div w:id="741677823">
      <w:bodyDiv w:val="1"/>
      <w:marLeft w:val="0"/>
      <w:marRight w:val="0"/>
      <w:marTop w:val="0"/>
      <w:marBottom w:val="0"/>
      <w:divBdr>
        <w:top w:val="none" w:sz="0" w:space="0" w:color="auto"/>
        <w:left w:val="none" w:sz="0" w:space="0" w:color="auto"/>
        <w:bottom w:val="none" w:sz="0" w:space="0" w:color="auto"/>
        <w:right w:val="none" w:sz="0" w:space="0" w:color="auto"/>
      </w:divBdr>
    </w:div>
    <w:div w:id="742988126">
      <w:bodyDiv w:val="1"/>
      <w:marLeft w:val="0"/>
      <w:marRight w:val="0"/>
      <w:marTop w:val="0"/>
      <w:marBottom w:val="0"/>
      <w:divBdr>
        <w:top w:val="none" w:sz="0" w:space="0" w:color="auto"/>
        <w:left w:val="none" w:sz="0" w:space="0" w:color="auto"/>
        <w:bottom w:val="none" w:sz="0" w:space="0" w:color="auto"/>
        <w:right w:val="none" w:sz="0" w:space="0" w:color="auto"/>
      </w:divBdr>
    </w:div>
    <w:div w:id="778257284">
      <w:bodyDiv w:val="1"/>
      <w:marLeft w:val="0"/>
      <w:marRight w:val="0"/>
      <w:marTop w:val="0"/>
      <w:marBottom w:val="0"/>
      <w:divBdr>
        <w:top w:val="none" w:sz="0" w:space="0" w:color="auto"/>
        <w:left w:val="none" w:sz="0" w:space="0" w:color="auto"/>
        <w:bottom w:val="none" w:sz="0" w:space="0" w:color="auto"/>
        <w:right w:val="none" w:sz="0" w:space="0" w:color="auto"/>
      </w:divBdr>
    </w:div>
    <w:div w:id="787314342">
      <w:bodyDiv w:val="1"/>
      <w:marLeft w:val="0"/>
      <w:marRight w:val="0"/>
      <w:marTop w:val="0"/>
      <w:marBottom w:val="0"/>
      <w:divBdr>
        <w:top w:val="none" w:sz="0" w:space="0" w:color="auto"/>
        <w:left w:val="none" w:sz="0" w:space="0" w:color="auto"/>
        <w:bottom w:val="none" w:sz="0" w:space="0" w:color="auto"/>
        <w:right w:val="none" w:sz="0" w:space="0" w:color="auto"/>
      </w:divBdr>
    </w:div>
    <w:div w:id="819079063">
      <w:bodyDiv w:val="1"/>
      <w:marLeft w:val="0"/>
      <w:marRight w:val="0"/>
      <w:marTop w:val="0"/>
      <w:marBottom w:val="0"/>
      <w:divBdr>
        <w:top w:val="none" w:sz="0" w:space="0" w:color="auto"/>
        <w:left w:val="none" w:sz="0" w:space="0" w:color="auto"/>
        <w:bottom w:val="none" w:sz="0" w:space="0" w:color="auto"/>
        <w:right w:val="none" w:sz="0" w:space="0" w:color="auto"/>
      </w:divBdr>
    </w:div>
    <w:div w:id="831144050">
      <w:bodyDiv w:val="1"/>
      <w:marLeft w:val="0"/>
      <w:marRight w:val="0"/>
      <w:marTop w:val="0"/>
      <w:marBottom w:val="0"/>
      <w:divBdr>
        <w:top w:val="none" w:sz="0" w:space="0" w:color="auto"/>
        <w:left w:val="none" w:sz="0" w:space="0" w:color="auto"/>
        <w:bottom w:val="none" w:sz="0" w:space="0" w:color="auto"/>
        <w:right w:val="none" w:sz="0" w:space="0" w:color="auto"/>
      </w:divBdr>
    </w:div>
    <w:div w:id="835001940">
      <w:bodyDiv w:val="1"/>
      <w:marLeft w:val="0"/>
      <w:marRight w:val="0"/>
      <w:marTop w:val="0"/>
      <w:marBottom w:val="0"/>
      <w:divBdr>
        <w:top w:val="none" w:sz="0" w:space="0" w:color="auto"/>
        <w:left w:val="none" w:sz="0" w:space="0" w:color="auto"/>
        <w:bottom w:val="none" w:sz="0" w:space="0" w:color="auto"/>
        <w:right w:val="none" w:sz="0" w:space="0" w:color="auto"/>
      </w:divBdr>
    </w:div>
    <w:div w:id="836725504">
      <w:bodyDiv w:val="1"/>
      <w:marLeft w:val="0"/>
      <w:marRight w:val="0"/>
      <w:marTop w:val="0"/>
      <w:marBottom w:val="0"/>
      <w:divBdr>
        <w:top w:val="none" w:sz="0" w:space="0" w:color="auto"/>
        <w:left w:val="none" w:sz="0" w:space="0" w:color="auto"/>
        <w:bottom w:val="none" w:sz="0" w:space="0" w:color="auto"/>
        <w:right w:val="none" w:sz="0" w:space="0" w:color="auto"/>
      </w:divBdr>
    </w:div>
    <w:div w:id="860361771">
      <w:bodyDiv w:val="1"/>
      <w:marLeft w:val="0"/>
      <w:marRight w:val="0"/>
      <w:marTop w:val="0"/>
      <w:marBottom w:val="0"/>
      <w:divBdr>
        <w:top w:val="none" w:sz="0" w:space="0" w:color="auto"/>
        <w:left w:val="none" w:sz="0" w:space="0" w:color="auto"/>
        <w:bottom w:val="none" w:sz="0" w:space="0" w:color="auto"/>
        <w:right w:val="none" w:sz="0" w:space="0" w:color="auto"/>
      </w:divBdr>
    </w:div>
    <w:div w:id="885800635">
      <w:bodyDiv w:val="1"/>
      <w:marLeft w:val="0"/>
      <w:marRight w:val="0"/>
      <w:marTop w:val="0"/>
      <w:marBottom w:val="0"/>
      <w:divBdr>
        <w:top w:val="none" w:sz="0" w:space="0" w:color="auto"/>
        <w:left w:val="none" w:sz="0" w:space="0" w:color="auto"/>
        <w:bottom w:val="none" w:sz="0" w:space="0" w:color="auto"/>
        <w:right w:val="none" w:sz="0" w:space="0" w:color="auto"/>
      </w:divBdr>
    </w:div>
    <w:div w:id="891037181">
      <w:bodyDiv w:val="1"/>
      <w:marLeft w:val="0"/>
      <w:marRight w:val="0"/>
      <w:marTop w:val="0"/>
      <w:marBottom w:val="0"/>
      <w:divBdr>
        <w:top w:val="none" w:sz="0" w:space="0" w:color="auto"/>
        <w:left w:val="none" w:sz="0" w:space="0" w:color="auto"/>
        <w:bottom w:val="none" w:sz="0" w:space="0" w:color="auto"/>
        <w:right w:val="none" w:sz="0" w:space="0" w:color="auto"/>
      </w:divBdr>
    </w:div>
    <w:div w:id="895554475">
      <w:bodyDiv w:val="1"/>
      <w:marLeft w:val="0"/>
      <w:marRight w:val="0"/>
      <w:marTop w:val="0"/>
      <w:marBottom w:val="0"/>
      <w:divBdr>
        <w:top w:val="none" w:sz="0" w:space="0" w:color="auto"/>
        <w:left w:val="none" w:sz="0" w:space="0" w:color="auto"/>
        <w:bottom w:val="none" w:sz="0" w:space="0" w:color="auto"/>
        <w:right w:val="none" w:sz="0" w:space="0" w:color="auto"/>
      </w:divBdr>
    </w:div>
    <w:div w:id="916749494">
      <w:bodyDiv w:val="1"/>
      <w:marLeft w:val="0"/>
      <w:marRight w:val="0"/>
      <w:marTop w:val="0"/>
      <w:marBottom w:val="0"/>
      <w:divBdr>
        <w:top w:val="none" w:sz="0" w:space="0" w:color="auto"/>
        <w:left w:val="none" w:sz="0" w:space="0" w:color="auto"/>
        <w:bottom w:val="none" w:sz="0" w:space="0" w:color="auto"/>
        <w:right w:val="none" w:sz="0" w:space="0" w:color="auto"/>
      </w:divBdr>
    </w:div>
    <w:div w:id="917516213">
      <w:bodyDiv w:val="1"/>
      <w:marLeft w:val="0"/>
      <w:marRight w:val="0"/>
      <w:marTop w:val="0"/>
      <w:marBottom w:val="0"/>
      <w:divBdr>
        <w:top w:val="none" w:sz="0" w:space="0" w:color="auto"/>
        <w:left w:val="none" w:sz="0" w:space="0" w:color="auto"/>
        <w:bottom w:val="none" w:sz="0" w:space="0" w:color="auto"/>
        <w:right w:val="none" w:sz="0" w:space="0" w:color="auto"/>
      </w:divBdr>
    </w:div>
    <w:div w:id="920944268">
      <w:bodyDiv w:val="1"/>
      <w:marLeft w:val="0"/>
      <w:marRight w:val="0"/>
      <w:marTop w:val="0"/>
      <w:marBottom w:val="0"/>
      <w:divBdr>
        <w:top w:val="none" w:sz="0" w:space="0" w:color="auto"/>
        <w:left w:val="none" w:sz="0" w:space="0" w:color="auto"/>
        <w:bottom w:val="none" w:sz="0" w:space="0" w:color="auto"/>
        <w:right w:val="none" w:sz="0" w:space="0" w:color="auto"/>
      </w:divBdr>
    </w:div>
    <w:div w:id="932711906">
      <w:bodyDiv w:val="1"/>
      <w:marLeft w:val="0"/>
      <w:marRight w:val="0"/>
      <w:marTop w:val="0"/>
      <w:marBottom w:val="0"/>
      <w:divBdr>
        <w:top w:val="none" w:sz="0" w:space="0" w:color="auto"/>
        <w:left w:val="none" w:sz="0" w:space="0" w:color="auto"/>
        <w:bottom w:val="none" w:sz="0" w:space="0" w:color="auto"/>
        <w:right w:val="none" w:sz="0" w:space="0" w:color="auto"/>
      </w:divBdr>
    </w:div>
    <w:div w:id="934097338">
      <w:bodyDiv w:val="1"/>
      <w:marLeft w:val="0"/>
      <w:marRight w:val="0"/>
      <w:marTop w:val="0"/>
      <w:marBottom w:val="0"/>
      <w:divBdr>
        <w:top w:val="none" w:sz="0" w:space="0" w:color="auto"/>
        <w:left w:val="none" w:sz="0" w:space="0" w:color="auto"/>
        <w:bottom w:val="none" w:sz="0" w:space="0" w:color="auto"/>
        <w:right w:val="none" w:sz="0" w:space="0" w:color="auto"/>
      </w:divBdr>
    </w:div>
    <w:div w:id="940574113">
      <w:bodyDiv w:val="1"/>
      <w:marLeft w:val="0"/>
      <w:marRight w:val="0"/>
      <w:marTop w:val="0"/>
      <w:marBottom w:val="0"/>
      <w:divBdr>
        <w:top w:val="none" w:sz="0" w:space="0" w:color="auto"/>
        <w:left w:val="none" w:sz="0" w:space="0" w:color="auto"/>
        <w:bottom w:val="none" w:sz="0" w:space="0" w:color="auto"/>
        <w:right w:val="none" w:sz="0" w:space="0" w:color="auto"/>
      </w:divBdr>
    </w:div>
    <w:div w:id="942689450">
      <w:bodyDiv w:val="1"/>
      <w:marLeft w:val="0"/>
      <w:marRight w:val="0"/>
      <w:marTop w:val="0"/>
      <w:marBottom w:val="0"/>
      <w:divBdr>
        <w:top w:val="none" w:sz="0" w:space="0" w:color="auto"/>
        <w:left w:val="none" w:sz="0" w:space="0" w:color="auto"/>
        <w:bottom w:val="none" w:sz="0" w:space="0" w:color="auto"/>
        <w:right w:val="none" w:sz="0" w:space="0" w:color="auto"/>
      </w:divBdr>
    </w:div>
    <w:div w:id="951130088">
      <w:bodyDiv w:val="1"/>
      <w:marLeft w:val="0"/>
      <w:marRight w:val="0"/>
      <w:marTop w:val="0"/>
      <w:marBottom w:val="0"/>
      <w:divBdr>
        <w:top w:val="none" w:sz="0" w:space="0" w:color="auto"/>
        <w:left w:val="none" w:sz="0" w:space="0" w:color="auto"/>
        <w:bottom w:val="none" w:sz="0" w:space="0" w:color="auto"/>
        <w:right w:val="none" w:sz="0" w:space="0" w:color="auto"/>
      </w:divBdr>
    </w:div>
    <w:div w:id="952903798">
      <w:bodyDiv w:val="1"/>
      <w:marLeft w:val="0"/>
      <w:marRight w:val="0"/>
      <w:marTop w:val="0"/>
      <w:marBottom w:val="0"/>
      <w:divBdr>
        <w:top w:val="none" w:sz="0" w:space="0" w:color="auto"/>
        <w:left w:val="none" w:sz="0" w:space="0" w:color="auto"/>
        <w:bottom w:val="none" w:sz="0" w:space="0" w:color="auto"/>
        <w:right w:val="none" w:sz="0" w:space="0" w:color="auto"/>
      </w:divBdr>
    </w:div>
    <w:div w:id="955671744">
      <w:bodyDiv w:val="1"/>
      <w:marLeft w:val="0"/>
      <w:marRight w:val="0"/>
      <w:marTop w:val="0"/>
      <w:marBottom w:val="0"/>
      <w:divBdr>
        <w:top w:val="none" w:sz="0" w:space="0" w:color="auto"/>
        <w:left w:val="none" w:sz="0" w:space="0" w:color="auto"/>
        <w:bottom w:val="none" w:sz="0" w:space="0" w:color="auto"/>
        <w:right w:val="none" w:sz="0" w:space="0" w:color="auto"/>
      </w:divBdr>
    </w:div>
    <w:div w:id="961494090">
      <w:bodyDiv w:val="1"/>
      <w:marLeft w:val="0"/>
      <w:marRight w:val="0"/>
      <w:marTop w:val="0"/>
      <w:marBottom w:val="0"/>
      <w:divBdr>
        <w:top w:val="none" w:sz="0" w:space="0" w:color="auto"/>
        <w:left w:val="none" w:sz="0" w:space="0" w:color="auto"/>
        <w:bottom w:val="none" w:sz="0" w:space="0" w:color="auto"/>
        <w:right w:val="none" w:sz="0" w:space="0" w:color="auto"/>
      </w:divBdr>
    </w:div>
    <w:div w:id="967007102">
      <w:bodyDiv w:val="1"/>
      <w:marLeft w:val="0"/>
      <w:marRight w:val="0"/>
      <w:marTop w:val="0"/>
      <w:marBottom w:val="0"/>
      <w:divBdr>
        <w:top w:val="none" w:sz="0" w:space="0" w:color="auto"/>
        <w:left w:val="none" w:sz="0" w:space="0" w:color="auto"/>
        <w:bottom w:val="none" w:sz="0" w:space="0" w:color="auto"/>
        <w:right w:val="none" w:sz="0" w:space="0" w:color="auto"/>
      </w:divBdr>
    </w:div>
    <w:div w:id="984043794">
      <w:bodyDiv w:val="1"/>
      <w:marLeft w:val="0"/>
      <w:marRight w:val="0"/>
      <w:marTop w:val="0"/>
      <w:marBottom w:val="0"/>
      <w:divBdr>
        <w:top w:val="none" w:sz="0" w:space="0" w:color="auto"/>
        <w:left w:val="none" w:sz="0" w:space="0" w:color="auto"/>
        <w:bottom w:val="none" w:sz="0" w:space="0" w:color="auto"/>
        <w:right w:val="none" w:sz="0" w:space="0" w:color="auto"/>
      </w:divBdr>
    </w:div>
    <w:div w:id="991635684">
      <w:bodyDiv w:val="1"/>
      <w:marLeft w:val="0"/>
      <w:marRight w:val="0"/>
      <w:marTop w:val="0"/>
      <w:marBottom w:val="0"/>
      <w:divBdr>
        <w:top w:val="none" w:sz="0" w:space="0" w:color="auto"/>
        <w:left w:val="none" w:sz="0" w:space="0" w:color="auto"/>
        <w:bottom w:val="none" w:sz="0" w:space="0" w:color="auto"/>
        <w:right w:val="none" w:sz="0" w:space="0" w:color="auto"/>
      </w:divBdr>
    </w:div>
    <w:div w:id="993528235">
      <w:bodyDiv w:val="1"/>
      <w:marLeft w:val="0"/>
      <w:marRight w:val="0"/>
      <w:marTop w:val="0"/>
      <w:marBottom w:val="0"/>
      <w:divBdr>
        <w:top w:val="none" w:sz="0" w:space="0" w:color="auto"/>
        <w:left w:val="none" w:sz="0" w:space="0" w:color="auto"/>
        <w:bottom w:val="none" w:sz="0" w:space="0" w:color="auto"/>
        <w:right w:val="none" w:sz="0" w:space="0" w:color="auto"/>
      </w:divBdr>
    </w:div>
    <w:div w:id="995956131">
      <w:bodyDiv w:val="1"/>
      <w:marLeft w:val="0"/>
      <w:marRight w:val="0"/>
      <w:marTop w:val="0"/>
      <w:marBottom w:val="0"/>
      <w:divBdr>
        <w:top w:val="none" w:sz="0" w:space="0" w:color="auto"/>
        <w:left w:val="none" w:sz="0" w:space="0" w:color="auto"/>
        <w:bottom w:val="none" w:sz="0" w:space="0" w:color="auto"/>
        <w:right w:val="none" w:sz="0" w:space="0" w:color="auto"/>
      </w:divBdr>
    </w:div>
    <w:div w:id="995963115">
      <w:bodyDiv w:val="1"/>
      <w:marLeft w:val="0"/>
      <w:marRight w:val="0"/>
      <w:marTop w:val="0"/>
      <w:marBottom w:val="0"/>
      <w:divBdr>
        <w:top w:val="none" w:sz="0" w:space="0" w:color="auto"/>
        <w:left w:val="none" w:sz="0" w:space="0" w:color="auto"/>
        <w:bottom w:val="none" w:sz="0" w:space="0" w:color="auto"/>
        <w:right w:val="none" w:sz="0" w:space="0" w:color="auto"/>
      </w:divBdr>
    </w:div>
    <w:div w:id="999620755">
      <w:bodyDiv w:val="1"/>
      <w:marLeft w:val="0"/>
      <w:marRight w:val="0"/>
      <w:marTop w:val="0"/>
      <w:marBottom w:val="0"/>
      <w:divBdr>
        <w:top w:val="none" w:sz="0" w:space="0" w:color="auto"/>
        <w:left w:val="none" w:sz="0" w:space="0" w:color="auto"/>
        <w:bottom w:val="none" w:sz="0" w:space="0" w:color="auto"/>
        <w:right w:val="none" w:sz="0" w:space="0" w:color="auto"/>
      </w:divBdr>
    </w:div>
    <w:div w:id="1003705428">
      <w:bodyDiv w:val="1"/>
      <w:marLeft w:val="0"/>
      <w:marRight w:val="0"/>
      <w:marTop w:val="0"/>
      <w:marBottom w:val="0"/>
      <w:divBdr>
        <w:top w:val="none" w:sz="0" w:space="0" w:color="auto"/>
        <w:left w:val="none" w:sz="0" w:space="0" w:color="auto"/>
        <w:bottom w:val="none" w:sz="0" w:space="0" w:color="auto"/>
        <w:right w:val="none" w:sz="0" w:space="0" w:color="auto"/>
      </w:divBdr>
    </w:div>
    <w:div w:id="1009599115">
      <w:bodyDiv w:val="1"/>
      <w:marLeft w:val="0"/>
      <w:marRight w:val="0"/>
      <w:marTop w:val="0"/>
      <w:marBottom w:val="0"/>
      <w:divBdr>
        <w:top w:val="none" w:sz="0" w:space="0" w:color="auto"/>
        <w:left w:val="none" w:sz="0" w:space="0" w:color="auto"/>
        <w:bottom w:val="none" w:sz="0" w:space="0" w:color="auto"/>
        <w:right w:val="none" w:sz="0" w:space="0" w:color="auto"/>
      </w:divBdr>
    </w:div>
    <w:div w:id="1037631514">
      <w:bodyDiv w:val="1"/>
      <w:marLeft w:val="0"/>
      <w:marRight w:val="0"/>
      <w:marTop w:val="0"/>
      <w:marBottom w:val="0"/>
      <w:divBdr>
        <w:top w:val="none" w:sz="0" w:space="0" w:color="auto"/>
        <w:left w:val="none" w:sz="0" w:space="0" w:color="auto"/>
        <w:bottom w:val="none" w:sz="0" w:space="0" w:color="auto"/>
        <w:right w:val="none" w:sz="0" w:space="0" w:color="auto"/>
      </w:divBdr>
    </w:div>
    <w:div w:id="1041056872">
      <w:bodyDiv w:val="1"/>
      <w:marLeft w:val="0"/>
      <w:marRight w:val="0"/>
      <w:marTop w:val="0"/>
      <w:marBottom w:val="0"/>
      <w:divBdr>
        <w:top w:val="none" w:sz="0" w:space="0" w:color="auto"/>
        <w:left w:val="none" w:sz="0" w:space="0" w:color="auto"/>
        <w:bottom w:val="none" w:sz="0" w:space="0" w:color="auto"/>
        <w:right w:val="none" w:sz="0" w:space="0" w:color="auto"/>
      </w:divBdr>
    </w:div>
    <w:div w:id="1045174885">
      <w:bodyDiv w:val="1"/>
      <w:marLeft w:val="0"/>
      <w:marRight w:val="0"/>
      <w:marTop w:val="0"/>
      <w:marBottom w:val="0"/>
      <w:divBdr>
        <w:top w:val="none" w:sz="0" w:space="0" w:color="auto"/>
        <w:left w:val="none" w:sz="0" w:space="0" w:color="auto"/>
        <w:bottom w:val="none" w:sz="0" w:space="0" w:color="auto"/>
        <w:right w:val="none" w:sz="0" w:space="0" w:color="auto"/>
      </w:divBdr>
    </w:div>
    <w:div w:id="1051156533">
      <w:bodyDiv w:val="1"/>
      <w:marLeft w:val="0"/>
      <w:marRight w:val="0"/>
      <w:marTop w:val="0"/>
      <w:marBottom w:val="0"/>
      <w:divBdr>
        <w:top w:val="none" w:sz="0" w:space="0" w:color="auto"/>
        <w:left w:val="none" w:sz="0" w:space="0" w:color="auto"/>
        <w:bottom w:val="none" w:sz="0" w:space="0" w:color="auto"/>
        <w:right w:val="none" w:sz="0" w:space="0" w:color="auto"/>
      </w:divBdr>
    </w:div>
    <w:div w:id="1055741483">
      <w:bodyDiv w:val="1"/>
      <w:marLeft w:val="0"/>
      <w:marRight w:val="0"/>
      <w:marTop w:val="0"/>
      <w:marBottom w:val="0"/>
      <w:divBdr>
        <w:top w:val="none" w:sz="0" w:space="0" w:color="auto"/>
        <w:left w:val="none" w:sz="0" w:space="0" w:color="auto"/>
        <w:bottom w:val="none" w:sz="0" w:space="0" w:color="auto"/>
        <w:right w:val="none" w:sz="0" w:space="0" w:color="auto"/>
      </w:divBdr>
    </w:div>
    <w:div w:id="1062409542">
      <w:bodyDiv w:val="1"/>
      <w:marLeft w:val="0"/>
      <w:marRight w:val="0"/>
      <w:marTop w:val="0"/>
      <w:marBottom w:val="0"/>
      <w:divBdr>
        <w:top w:val="none" w:sz="0" w:space="0" w:color="auto"/>
        <w:left w:val="none" w:sz="0" w:space="0" w:color="auto"/>
        <w:bottom w:val="none" w:sz="0" w:space="0" w:color="auto"/>
        <w:right w:val="none" w:sz="0" w:space="0" w:color="auto"/>
      </w:divBdr>
    </w:div>
    <w:div w:id="1068646569">
      <w:bodyDiv w:val="1"/>
      <w:marLeft w:val="0"/>
      <w:marRight w:val="0"/>
      <w:marTop w:val="0"/>
      <w:marBottom w:val="0"/>
      <w:divBdr>
        <w:top w:val="none" w:sz="0" w:space="0" w:color="auto"/>
        <w:left w:val="none" w:sz="0" w:space="0" w:color="auto"/>
        <w:bottom w:val="none" w:sz="0" w:space="0" w:color="auto"/>
        <w:right w:val="none" w:sz="0" w:space="0" w:color="auto"/>
      </w:divBdr>
    </w:div>
    <w:div w:id="1073432030">
      <w:bodyDiv w:val="1"/>
      <w:marLeft w:val="0"/>
      <w:marRight w:val="0"/>
      <w:marTop w:val="0"/>
      <w:marBottom w:val="0"/>
      <w:divBdr>
        <w:top w:val="none" w:sz="0" w:space="0" w:color="auto"/>
        <w:left w:val="none" w:sz="0" w:space="0" w:color="auto"/>
        <w:bottom w:val="none" w:sz="0" w:space="0" w:color="auto"/>
        <w:right w:val="none" w:sz="0" w:space="0" w:color="auto"/>
      </w:divBdr>
    </w:div>
    <w:div w:id="1114596825">
      <w:bodyDiv w:val="1"/>
      <w:marLeft w:val="0"/>
      <w:marRight w:val="0"/>
      <w:marTop w:val="0"/>
      <w:marBottom w:val="0"/>
      <w:divBdr>
        <w:top w:val="none" w:sz="0" w:space="0" w:color="auto"/>
        <w:left w:val="none" w:sz="0" w:space="0" w:color="auto"/>
        <w:bottom w:val="none" w:sz="0" w:space="0" w:color="auto"/>
        <w:right w:val="none" w:sz="0" w:space="0" w:color="auto"/>
      </w:divBdr>
    </w:div>
    <w:div w:id="1130709583">
      <w:bodyDiv w:val="1"/>
      <w:marLeft w:val="0"/>
      <w:marRight w:val="0"/>
      <w:marTop w:val="0"/>
      <w:marBottom w:val="0"/>
      <w:divBdr>
        <w:top w:val="none" w:sz="0" w:space="0" w:color="auto"/>
        <w:left w:val="none" w:sz="0" w:space="0" w:color="auto"/>
        <w:bottom w:val="none" w:sz="0" w:space="0" w:color="auto"/>
        <w:right w:val="none" w:sz="0" w:space="0" w:color="auto"/>
      </w:divBdr>
    </w:div>
    <w:div w:id="1141194674">
      <w:bodyDiv w:val="1"/>
      <w:marLeft w:val="0"/>
      <w:marRight w:val="0"/>
      <w:marTop w:val="0"/>
      <w:marBottom w:val="0"/>
      <w:divBdr>
        <w:top w:val="none" w:sz="0" w:space="0" w:color="auto"/>
        <w:left w:val="none" w:sz="0" w:space="0" w:color="auto"/>
        <w:bottom w:val="none" w:sz="0" w:space="0" w:color="auto"/>
        <w:right w:val="none" w:sz="0" w:space="0" w:color="auto"/>
      </w:divBdr>
    </w:div>
    <w:div w:id="1142188181">
      <w:bodyDiv w:val="1"/>
      <w:marLeft w:val="0"/>
      <w:marRight w:val="0"/>
      <w:marTop w:val="0"/>
      <w:marBottom w:val="0"/>
      <w:divBdr>
        <w:top w:val="none" w:sz="0" w:space="0" w:color="auto"/>
        <w:left w:val="none" w:sz="0" w:space="0" w:color="auto"/>
        <w:bottom w:val="none" w:sz="0" w:space="0" w:color="auto"/>
        <w:right w:val="none" w:sz="0" w:space="0" w:color="auto"/>
      </w:divBdr>
    </w:div>
    <w:div w:id="1143035543">
      <w:bodyDiv w:val="1"/>
      <w:marLeft w:val="0"/>
      <w:marRight w:val="0"/>
      <w:marTop w:val="0"/>
      <w:marBottom w:val="0"/>
      <w:divBdr>
        <w:top w:val="none" w:sz="0" w:space="0" w:color="auto"/>
        <w:left w:val="none" w:sz="0" w:space="0" w:color="auto"/>
        <w:bottom w:val="none" w:sz="0" w:space="0" w:color="auto"/>
        <w:right w:val="none" w:sz="0" w:space="0" w:color="auto"/>
      </w:divBdr>
    </w:div>
    <w:div w:id="1144815442">
      <w:bodyDiv w:val="1"/>
      <w:marLeft w:val="0"/>
      <w:marRight w:val="0"/>
      <w:marTop w:val="0"/>
      <w:marBottom w:val="0"/>
      <w:divBdr>
        <w:top w:val="none" w:sz="0" w:space="0" w:color="auto"/>
        <w:left w:val="none" w:sz="0" w:space="0" w:color="auto"/>
        <w:bottom w:val="none" w:sz="0" w:space="0" w:color="auto"/>
        <w:right w:val="none" w:sz="0" w:space="0" w:color="auto"/>
      </w:divBdr>
    </w:div>
    <w:div w:id="1150515454">
      <w:bodyDiv w:val="1"/>
      <w:marLeft w:val="0"/>
      <w:marRight w:val="0"/>
      <w:marTop w:val="0"/>
      <w:marBottom w:val="0"/>
      <w:divBdr>
        <w:top w:val="none" w:sz="0" w:space="0" w:color="auto"/>
        <w:left w:val="none" w:sz="0" w:space="0" w:color="auto"/>
        <w:bottom w:val="none" w:sz="0" w:space="0" w:color="auto"/>
        <w:right w:val="none" w:sz="0" w:space="0" w:color="auto"/>
      </w:divBdr>
    </w:div>
    <w:div w:id="1158378731">
      <w:bodyDiv w:val="1"/>
      <w:marLeft w:val="0"/>
      <w:marRight w:val="0"/>
      <w:marTop w:val="0"/>
      <w:marBottom w:val="0"/>
      <w:divBdr>
        <w:top w:val="none" w:sz="0" w:space="0" w:color="auto"/>
        <w:left w:val="none" w:sz="0" w:space="0" w:color="auto"/>
        <w:bottom w:val="none" w:sz="0" w:space="0" w:color="auto"/>
        <w:right w:val="none" w:sz="0" w:space="0" w:color="auto"/>
      </w:divBdr>
    </w:div>
    <w:div w:id="1161846614">
      <w:bodyDiv w:val="1"/>
      <w:marLeft w:val="0"/>
      <w:marRight w:val="0"/>
      <w:marTop w:val="0"/>
      <w:marBottom w:val="0"/>
      <w:divBdr>
        <w:top w:val="none" w:sz="0" w:space="0" w:color="auto"/>
        <w:left w:val="none" w:sz="0" w:space="0" w:color="auto"/>
        <w:bottom w:val="none" w:sz="0" w:space="0" w:color="auto"/>
        <w:right w:val="none" w:sz="0" w:space="0" w:color="auto"/>
      </w:divBdr>
    </w:div>
    <w:div w:id="1167477316">
      <w:bodyDiv w:val="1"/>
      <w:marLeft w:val="0"/>
      <w:marRight w:val="0"/>
      <w:marTop w:val="0"/>
      <w:marBottom w:val="0"/>
      <w:divBdr>
        <w:top w:val="none" w:sz="0" w:space="0" w:color="auto"/>
        <w:left w:val="none" w:sz="0" w:space="0" w:color="auto"/>
        <w:bottom w:val="none" w:sz="0" w:space="0" w:color="auto"/>
        <w:right w:val="none" w:sz="0" w:space="0" w:color="auto"/>
      </w:divBdr>
    </w:div>
    <w:div w:id="1171070356">
      <w:bodyDiv w:val="1"/>
      <w:marLeft w:val="0"/>
      <w:marRight w:val="0"/>
      <w:marTop w:val="0"/>
      <w:marBottom w:val="0"/>
      <w:divBdr>
        <w:top w:val="none" w:sz="0" w:space="0" w:color="auto"/>
        <w:left w:val="none" w:sz="0" w:space="0" w:color="auto"/>
        <w:bottom w:val="none" w:sz="0" w:space="0" w:color="auto"/>
        <w:right w:val="none" w:sz="0" w:space="0" w:color="auto"/>
      </w:divBdr>
    </w:div>
    <w:div w:id="1174420374">
      <w:bodyDiv w:val="1"/>
      <w:marLeft w:val="0"/>
      <w:marRight w:val="0"/>
      <w:marTop w:val="0"/>
      <w:marBottom w:val="0"/>
      <w:divBdr>
        <w:top w:val="none" w:sz="0" w:space="0" w:color="auto"/>
        <w:left w:val="none" w:sz="0" w:space="0" w:color="auto"/>
        <w:bottom w:val="none" w:sz="0" w:space="0" w:color="auto"/>
        <w:right w:val="none" w:sz="0" w:space="0" w:color="auto"/>
      </w:divBdr>
    </w:div>
    <w:div w:id="1177618169">
      <w:bodyDiv w:val="1"/>
      <w:marLeft w:val="0"/>
      <w:marRight w:val="0"/>
      <w:marTop w:val="0"/>
      <w:marBottom w:val="0"/>
      <w:divBdr>
        <w:top w:val="none" w:sz="0" w:space="0" w:color="auto"/>
        <w:left w:val="none" w:sz="0" w:space="0" w:color="auto"/>
        <w:bottom w:val="none" w:sz="0" w:space="0" w:color="auto"/>
        <w:right w:val="none" w:sz="0" w:space="0" w:color="auto"/>
      </w:divBdr>
    </w:div>
    <w:div w:id="1188174603">
      <w:bodyDiv w:val="1"/>
      <w:marLeft w:val="0"/>
      <w:marRight w:val="0"/>
      <w:marTop w:val="0"/>
      <w:marBottom w:val="0"/>
      <w:divBdr>
        <w:top w:val="none" w:sz="0" w:space="0" w:color="auto"/>
        <w:left w:val="none" w:sz="0" w:space="0" w:color="auto"/>
        <w:bottom w:val="none" w:sz="0" w:space="0" w:color="auto"/>
        <w:right w:val="none" w:sz="0" w:space="0" w:color="auto"/>
      </w:divBdr>
    </w:div>
    <w:div w:id="1191265417">
      <w:bodyDiv w:val="1"/>
      <w:marLeft w:val="0"/>
      <w:marRight w:val="0"/>
      <w:marTop w:val="0"/>
      <w:marBottom w:val="0"/>
      <w:divBdr>
        <w:top w:val="none" w:sz="0" w:space="0" w:color="auto"/>
        <w:left w:val="none" w:sz="0" w:space="0" w:color="auto"/>
        <w:bottom w:val="none" w:sz="0" w:space="0" w:color="auto"/>
        <w:right w:val="none" w:sz="0" w:space="0" w:color="auto"/>
      </w:divBdr>
    </w:div>
    <w:div w:id="1197737540">
      <w:bodyDiv w:val="1"/>
      <w:marLeft w:val="0"/>
      <w:marRight w:val="0"/>
      <w:marTop w:val="0"/>
      <w:marBottom w:val="0"/>
      <w:divBdr>
        <w:top w:val="none" w:sz="0" w:space="0" w:color="auto"/>
        <w:left w:val="none" w:sz="0" w:space="0" w:color="auto"/>
        <w:bottom w:val="none" w:sz="0" w:space="0" w:color="auto"/>
        <w:right w:val="none" w:sz="0" w:space="0" w:color="auto"/>
      </w:divBdr>
    </w:div>
    <w:div w:id="1198466361">
      <w:bodyDiv w:val="1"/>
      <w:marLeft w:val="0"/>
      <w:marRight w:val="0"/>
      <w:marTop w:val="0"/>
      <w:marBottom w:val="0"/>
      <w:divBdr>
        <w:top w:val="none" w:sz="0" w:space="0" w:color="auto"/>
        <w:left w:val="none" w:sz="0" w:space="0" w:color="auto"/>
        <w:bottom w:val="none" w:sz="0" w:space="0" w:color="auto"/>
        <w:right w:val="none" w:sz="0" w:space="0" w:color="auto"/>
      </w:divBdr>
    </w:div>
    <w:div w:id="1204442688">
      <w:bodyDiv w:val="1"/>
      <w:marLeft w:val="0"/>
      <w:marRight w:val="0"/>
      <w:marTop w:val="0"/>
      <w:marBottom w:val="0"/>
      <w:divBdr>
        <w:top w:val="none" w:sz="0" w:space="0" w:color="auto"/>
        <w:left w:val="none" w:sz="0" w:space="0" w:color="auto"/>
        <w:bottom w:val="none" w:sz="0" w:space="0" w:color="auto"/>
        <w:right w:val="none" w:sz="0" w:space="0" w:color="auto"/>
      </w:divBdr>
    </w:div>
    <w:div w:id="1212576595">
      <w:bodyDiv w:val="1"/>
      <w:marLeft w:val="0"/>
      <w:marRight w:val="0"/>
      <w:marTop w:val="0"/>
      <w:marBottom w:val="0"/>
      <w:divBdr>
        <w:top w:val="none" w:sz="0" w:space="0" w:color="auto"/>
        <w:left w:val="none" w:sz="0" w:space="0" w:color="auto"/>
        <w:bottom w:val="none" w:sz="0" w:space="0" w:color="auto"/>
        <w:right w:val="none" w:sz="0" w:space="0" w:color="auto"/>
      </w:divBdr>
    </w:div>
    <w:div w:id="1220820127">
      <w:bodyDiv w:val="1"/>
      <w:marLeft w:val="0"/>
      <w:marRight w:val="0"/>
      <w:marTop w:val="0"/>
      <w:marBottom w:val="0"/>
      <w:divBdr>
        <w:top w:val="none" w:sz="0" w:space="0" w:color="auto"/>
        <w:left w:val="none" w:sz="0" w:space="0" w:color="auto"/>
        <w:bottom w:val="none" w:sz="0" w:space="0" w:color="auto"/>
        <w:right w:val="none" w:sz="0" w:space="0" w:color="auto"/>
      </w:divBdr>
    </w:div>
    <w:div w:id="1224830096">
      <w:bodyDiv w:val="1"/>
      <w:marLeft w:val="0"/>
      <w:marRight w:val="0"/>
      <w:marTop w:val="0"/>
      <w:marBottom w:val="0"/>
      <w:divBdr>
        <w:top w:val="none" w:sz="0" w:space="0" w:color="auto"/>
        <w:left w:val="none" w:sz="0" w:space="0" w:color="auto"/>
        <w:bottom w:val="none" w:sz="0" w:space="0" w:color="auto"/>
        <w:right w:val="none" w:sz="0" w:space="0" w:color="auto"/>
      </w:divBdr>
    </w:div>
    <w:div w:id="1229612300">
      <w:bodyDiv w:val="1"/>
      <w:marLeft w:val="0"/>
      <w:marRight w:val="0"/>
      <w:marTop w:val="0"/>
      <w:marBottom w:val="0"/>
      <w:divBdr>
        <w:top w:val="none" w:sz="0" w:space="0" w:color="auto"/>
        <w:left w:val="none" w:sz="0" w:space="0" w:color="auto"/>
        <w:bottom w:val="none" w:sz="0" w:space="0" w:color="auto"/>
        <w:right w:val="none" w:sz="0" w:space="0" w:color="auto"/>
      </w:divBdr>
    </w:div>
    <w:div w:id="1233348651">
      <w:bodyDiv w:val="1"/>
      <w:marLeft w:val="0"/>
      <w:marRight w:val="0"/>
      <w:marTop w:val="0"/>
      <w:marBottom w:val="0"/>
      <w:divBdr>
        <w:top w:val="none" w:sz="0" w:space="0" w:color="auto"/>
        <w:left w:val="none" w:sz="0" w:space="0" w:color="auto"/>
        <w:bottom w:val="none" w:sz="0" w:space="0" w:color="auto"/>
        <w:right w:val="none" w:sz="0" w:space="0" w:color="auto"/>
      </w:divBdr>
    </w:div>
    <w:div w:id="1236282277">
      <w:bodyDiv w:val="1"/>
      <w:marLeft w:val="0"/>
      <w:marRight w:val="0"/>
      <w:marTop w:val="0"/>
      <w:marBottom w:val="0"/>
      <w:divBdr>
        <w:top w:val="none" w:sz="0" w:space="0" w:color="auto"/>
        <w:left w:val="none" w:sz="0" w:space="0" w:color="auto"/>
        <w:bottom w:val="none" w:sz="0" w:space="0" w:color="auto"/>
        <w:right w:val="none" w:sz="0" w:space="0" w:color="auto"/>
      </w:divBdr>
    </w:div>
    <w:div w:id="1254824750">
      <w:bodyDiv w:val="1"/>
      <w:marLeft w:val="0"/>
      <w:marRight w:val="0"/>
      <w:marTop w:val="0"/>
      <w:marBottom w:val="0"/>
      <w:divBdr>
        <w:top w:val="none" w:sz="0" w:space="0" w:color="auto"/>
        <w:left w:val="none" w:sz="0" w:space="0" w:color="auto"/>
        <w:bottom w:val="none" w:sz="0" w:space="0" w:color="auto"/>
        <w:right w:val="none" w:sz="0" w:space="0" w:color="auto"/>
      </w:divBdr>
    </w:div>
    <w:div w:id="1262420931">
      <w:bodyDiv w:val="1"/>
      <w:marLeft w:val="0"/>
      <w:marRight w:val="0"/>
      <w:marTop w:val="0"/>
      <w:marBottom w:val="0"/>
      <w:divBdr>
        <w:top w:val="none" w:sz="0" w:space="0" w:color="auto"/>
        <w:left w:val="none" w:sz="0" w:space="0" w:color="auto"/>
        <w:bottom w:val="none" w:sz="0" w:space="0" w:color="auto"/>
        <w:right w:val="none" w:sz="0" w:space="0" w:color="auto"/>
      </w:divBdr>
    </w:div>
    <w:div w:id="1273395119">
      <w:bodyDiv w:val="1"/>
      <w:marLeft w:val="0"/>
      <w:marRight w:val="0"/>
      <w:marTop w:val="0"/>
      <w:marBottom w:val="0"/>
      <w:divBdr>
        <w:top w:val="none" w:sz="0" w:space="0" w:color="auto"/>
        <w:left w:val="none" w:sz="0" w:space="0" w:color="auto"/>
        <w:bottom w:val="none" w:sz="0" w:space="0" w:color="auto"/>
        <w:right w:val="none" w:sz="0" w:space="0" w:color="auto"/>
      </w:divBdr>
    </w:div>
    <w:div w:id="1276252945">
      <w:bodyDiv w:val="1"/>
      <w:marLeft w:val="0"/>
      <w:marRight w:val="0"/>
      <w:marTop w:val="0"/>
      <w:marBottom w:val="0"/>
      <w:divBdr>
        <w:top w:val="none" w:sz="0" w:space="0" w:color="auto"/>
        <w:left w:val="none" w:sz="0" w:space="0" w:color="auto"/>
        <w:bottom w:val="none" w:sz="0" w:space="0" w:color="auto"/>
        <w:right w:val="none" w:sz="0" w:space="0" w:color="auto"/>
      </w:divBdr>
    </w:div>
    <w:div w:id="1282300765">
      <w:bodyDiv w:val="1"/>
      <w:marLeft w:val="0"/>
      <w:marRight w:val="0"/>
      <w:marTop w:val="0"/>
      <w:marBottom w:val="0"/>
      <w:divBdr>
        <w:top w:val="none" w:sz="0" w:space="0" w:color="auto"/>
        <w:left w:val="none" w:sz="0" w:space="0" w:color="auto"/>
        <w:bottom w:val="none" w:sz="0" w:space="0" w:color="auto"/>
        <w:right w:val="none" w:sz="0" w:space="0" w:color="auto"/>
      </w:divBdr>
    </w:div>
    <w:div w:id="1296368876">
      <w:bodyDiv w:val="1"/>
      <w:marLeft w:val="0"/>
      <w:marRight w:val="0"/>
      <w:marTop w:val="0"/>
      <w:marBottom w:val="0"/>
      <w:divBdr>
        <w:top w:val="none" w:sz="0" w:space="0" w:color="auto"/>
        <w:left w:val="none" w:sz="0" w:space="0" w:color="auto"/>
        <w:bottom w:val="none" w:sz="0" w:space="0" w:color="auto"/>
        <w:right w:val="none" w:sz="0" w:space="0" w:color="auto"/>
      </w:divBdr>
    </w:div>
    <w:div w:id="1303347016">
      <w:bodyDiv w:val="1"/>
      <w:marLeft w:val="0"/>
      <w:marRight w:val="0"/>
      <w:marTop w:val="0"/>
      <w:marBottom w:val="0"/>
      <w:divBdr>
        <w:top w:val="none" w:sz="0" w:space="0" w:color="auto"/>
        <w:left w:val="none" w:sz="0" w:space="0" w:color="auto"/>
        <w:bottom w:val="none" w:sz="0" w:space="0" w:color="auto"/>
        <w:right w:val="none" w:sz="0" w:space="0" w:color="auto"/>
      </w:divBdr>
    </w:div>
    <w:div w:id="1307391601">
      <w:bodyDiv w:val="1"/>
      <w:marLeft w:val="0"/>
      <w:marRight w:val="0"/>
      <w:marTop w:val="0"/>
      <w:marBottom w:val="0"/>
      <w:divBdr>
        <w:top w:val="none" w:sz="0" w:space="0" w:color="auto"/>
        <w:left w:val="none" w:sz="0" w:space="0" w:color="auto"/>
        <w:bottom w:val="none" w:sz="0" w:space="0" w:color="auto"/>
        <w:right w:val="none" w:sz="0" w:space="0" w:color="auto"/>
      </w:divBdr>
    </w:div>
    <w:div w:id="1310287048">
      <w:bodyDiv w:val="1"/>
      <w:marLeft w:val="0"/>
      <w:marRight w:val="0"/>
      <w:marTop w:val="0"/>
      <w:marBottom w:val="0"/>
      <w:divBdr>
        <w:top w:val="none" w:sz="0" w:space="0" w:color="auto"/>
        <w:left w:val="none" w:sz="0" w:space="0" w:color="auto"/>
        <w:bottom w:val="none" w:sz="0" w:space="0" w:color="auto"/>
        <w:right w:val="none" w:sz="0" w:space="0" w:color="auto"/>
      </w:divBdr>
    </w:div>
    <w:div w:id="1329482664">
      <w:bodyDiv w:val="1"/>
      <w:marLeft w:val="0"/>
      <w:marRight w:val="0"/>
      <w:marTop w:val="0"/>
      <w:marBottom w:val="0"/>
      <w:divBdr>
        <w:top w:val="none" w:sz="0" w:space="0" w:color="auto"/>
        <w:left w:val="none" w:sz="0" w:space="0" w:color="auto"/>
        <w:bottom w:val="none" w:sz="0" w:space="0" w:color="auto"/>
        <w:right w:val="none" w:sz="0" w:space="0" w:color="auto"/>
      </w:divBdr>
    </w:div>
    <w:div w:id="1332372928">
      <w:bodyDiv w:val="1"/>
      <w:marLeft w:val="0"/>
      <w:marRight w:val="0"/>
      <w:marTop w:val="0"/>
      <w:marBottom w:val="0"/>
      <w:divBdr>
        <w:top w:val="none" w:sz="0" w:space="0" w:color="auto"/>
        <w:left w:val="none" w:sz="0" w:space="0" w:color="auto"/>
        <w:bottom w:val="none" w:sz="0" w:space="0" w:color="auto"/>
        <w:right w:val="none" w:sz="0" w:space="0" w:color="auto"/>
      </w:divBdr>
    </w:div>
    <w:div w:id="1352493784">
      <w:bodyDiv w:val="1"/>
      <w:marLeft w:val="0"/>
      <w:marRight w:val="0"/>
      <w:marTop w:val="0"/>
      <w:marBottom w:val="0"/>
      <w:divBdr>
        <w:top w:val="none" w:sz="0" w:space="0" w:color="auto"/>
        <w:left w:val="none" w:sz="0" w:space="0" w:color="auto"/>
        <w:bottom w:val="none" w:sz="0" w:space="0" w:color="auto"/>
        <w:right w:val="none" w:sz="0" w:space="0" w:color="auto"/>
      </w:divBdr>
    </w:div>
    <w:div w:id="1354649196">
      <w:bodyDiv w:val="1"/>
      <w:marLeft w:val="0"/>
      <w:marRight w:val="0"/>
      <w:marTop w:val="0"/>
      <w:marBottom w:val="0"/>
      <w:divBdr>
        <w:top w:val="none" w:sz="0" w:space="0" w:color="auto"/>
        <w:left w:val="none" w:sz="0" w:space="0" w:color="auto"/>
        <w:bottom w:val="none" w:sz="0" w:space="0" w:color="auto"/>
        <w:right w:val="none" w:sz="0" w:space="0" w:color="auto"/>
      </w:divBdr>
    </w:div>
    <w:div w:id="1370955216">
      <w:bodyDiv w:val="1"/>
      <w:marLeft w:val="0"/>
      <w:marRight w:val="0"/>
      <w:marTop w:val="0"/>
      <w:marBottom w:val="0"/>
      <w:divBdr>
        <w:top w:val="none" w:sz="0" w:space="0" w:color="auto"/>
        <w:left w:val="none" w:sz="0" w:space="0" w:color="auto"/>
        <w:bottom w:val="none" w:sz="0" w:space="0" w:color="auto"/>
        <w:right w:val="none" w:sz="0" w:space="0" w:color="auto"/>
      </w:divBdr>
    </w:div>
    <w:div w:id="1379165371">
      <w:bodyDiv w:val="1"/>
      <w:marLeft w:val="0"/>
      <w:marRight w:val="0"/>
      <w:marTop w:val="0"/>
      <w:marBottom w:val="0"/>
      <w:divBdr>
        <w:top w:val="none" w:sz="0" w:space="0" w:color="auto"/>
        <w:left w:val="none" w:sz="0" w:space="0" w:color="auto"/>
        <w:bottom w:val="none" w:sz="0" w:space="0" w:color="auto"/>
        <w:right w:val="none" w:sz="0" w:space="0" w:color="auto"/>
      </w:divBdr>
    </w:div>
    <w:div w:id="1388067476">
      <w:bodyDiv w:val="1"/>
      <w:marLeft w:val="0"/>
      <w:marRight w:val="0"/>
      <w:marTop w:val="0"/>
      <w:marBottom w:val="0"/>
      <w:divBdr>
        <w:top w:val="none" w:sz="0" w:space="0" w:color="auto"/>
        <w:left w:val="none" w:sz="0" w:space="0" w:color="auto"/>
        <w:bottom w:val="none" w:sz="0" w:space="0" w:color="auto"/>
        <w:right w:val="none" w:sz="0" w:space="0" w:color="auto"/>
      </w:divBdr>
    </w:div>
    <w:div w:id="1390956722">
      <w:bodyDiv w:val="1"/>
      <w:marLeft w:val="0"/>
      <w:marRight w:val="0"/>
      <w:marTop w:val="0"/>
      <w:marBottom w:val="0"/>
      <w:divBdr>
        <w:top w:val="none" w:sz="0" w:space="0" w:color="auto"/>
        <w:left w:val="none" w:sz="0" w:space="0" w:color="auto"/>
        <w:bottom w:val="none" w:sz="0" w:space="0" w:color="auto"/>
        <w:right w:val="none" w:sz="0" w:space="0" w:color="auto"/>
      </w:divBdr>
    </w:div>
    <w:div w:id="1391229877">
      <w:bodyDiv w:val="1"/>
      <w:marLeft w:val="0"/>
      <w:marRight w:val="0"/>
      <w:marTop w:val="0"/>
      <w:marBottom w:val="0"/>
      <w:divBdr>
        <w:top w:val="none" w:sz="0" w:space="0" w:color="auto"/>
        <w:left w:val="none" w:sz="0" w:space="0" w:color="auto"/>
        <w:bottom w:val="none" w:sz="0" w:space="0" w:color="auto"/>
        <w:right w:val="none" w:sz="0" w:space="0" w:color="auto"/>
      </w:divBdr>
    </w:div>
    <w:div w:id="1395201361">
      <w:bodyDiv w:val="1"/>
      <w:marLeft w:val="0"/>
      <w:marRight w:val="0"/>
      <w:marTop w:val="0"/>
      <w:marBottom w:val="0"/>
      <w:divBdr>
        <w:top w:val="none" w:sz="0" w:space="0" w:color="auto"/>
        <w:left w:val="none" w:sz="0" w:space="0" w:color="auto"/>
        <w:bottom w:val="none" w:sz="0" w:space="0" w:color="auto"/>
        <w:right w:val="none" w:sz="0" w:space="0" w:color="auto"/>
      </w:divBdr>
    </w:div>
    <w:div w:id="1402024100">
      <w:bodyDiv w:val="1"/>
      <w:marLeft w:val="0"/>
      <w:marRight w:val="0"/>
      <w:marTop w:val="0"/>
      <w:marBottom w:val="0"/>
      <w:divBdr>
        <w:top w:val="none" w:sz="0" w:space="0" w:color="auto"/>
        <w:left w:val="none" w:sz="0" w:space="0" w:color="auto"/>
        <w:bottom w:val="none" w:sz="0" w:space="0" w:color="auto"/>
        <w:right w:val="none" w:sz="0" w:space="0" w:color="auto"/>
      </w:divBdr>
    </w:div>
    <w:div w:id="1403530266">
      <w:bodyDiv w:val="1"/>
      <w:marLeft w:val="0"/>
      <w:marRight w:val="0"/>
      <w:marTop w:val="0"/>
      <w:marBottom w:val="0"/>
      <w:divBdr>
        <w:top w:val="none" w:sz="0" w:space="0" w:color="auto"/>
        <w:left w:val="none" w:sz="0" w:space="0" w:color="auto"/>
        <w:bottom w:val="none" w:sz="0" w:space="0" w:color="auto"/>
        <w:right w:val="none" w:sz="0" w:space="0" w:color="auto"/>
      </w:divBdr>
    </w:div>
    <w:div w:id="1407603633">
      <w:bodyDiv w:val="1"/>
      <w:marLeft w:val="0"/>
      <w:marRight w:val="0"/>
      <w:marTop w:val="0"/>
      <w:marBottom w:val="0"/>
      <w:divBdr>
        <w:top w:val="none" w:sz="0" w:space="0" w:color="auto"/>
        <w:left w:val="none" w:sz="0" w:space="0" w:color="auto"/>
        <w:bottom w:val="none" w:sz="0" w:space="0" w:color="auto"/>
        <w:right w:val="none" w:sz="0" w:space="0" w:color="auto"/>
      </w:divBdr>
    </w:div>
    <w:div w:id="1418943068">
      <w:bodyDiv w:val="1"/>
      <w:marLeft w:val="0"/>
      <w:marRight w:val="0"/>
      <w:marTop w:val="0"/>
      <w:marBottom w:val="0"/>
      <w:divBdr>
        <w:top w:val="none" w:sz="0" w:space="0" w:color="auto"/>
        <w:left w:val="none" w:sz="0" w:space="0" w:color="auto"/>
        <w:bottom w:val="none" w:sz="0" w:space="0" w:color="auto"/>
        <w:right w:val="none" w:sz="0" w:space="0" w:color="auto"/>
      </w:divBdr>
    </w:div>
    <w:div w:id="1445077452">
      <w:bodyDiv w:val="1"/>
      <w:marLeft w:val="0"/>
      <w:marRight w:val="0"/>
      <w:marTop w:val="0"/>
      <w:marBottom w:val="0"/>
      <w:divBdr>
        <w:top w:val="none" w:sz="0" w:space="0" w:color="auto"/>
        <w:left w:val="none" w:sz="0" w:space="0" w:color="auto"/>
        <w:bottom w:val="none" w:sz="0" w:space="0" w:color="auto"/>
        <w:right w:val="none" w:sz="0" w:space="0" w:color="auto"/>
      </w:divBdr>
    </w:div>
    <w:div w:id="1448161728">
      <w:bodyDiv w:val="1"/>
      <w:marLeft w:val="0"/>
      <w:marRight w:val="0"/>
      <w:marTop w:val="0"/>
      <w:marBottom w:val="0"/>
      <w:divBdr>
        <w:top w:val="none" w:sz="0" w:space="0" w:color="auto"/>
        <w:left w:val="none" w:sz="0" w:space="0" w:color="auto"/>
        <w:bottom w:val="none" w:sz="0" w:space="0" w:color="auto"/>
        <w:right w:val="none" w:sz="0" w:space="0" w:color="auto"/>
      </w:divBdr>
    </w:div>
    <w:div w:id="1463960147">
      <w:bodyDiv w:val="1"/>
      <w:marLeft w:val="0"/>
      <w:marRight w:val="0"/>
      <w:marTop w:val="0"/>
      <w:marBottom w:val="0"/>
      <w:divBdr>
        <w:top w:val="none" w:sz="0" w:space="0" w:color="auto"/>
        <w:left w:val="none" w:sz="0" w:space="0" w:color="auto"/>
        <w:bottom w:val="none" w:sz="0" w:space="0" w:color="auto"/>
        <w:right w:val="none" w:sz="0" w:space="0" w:color="auto"/>
      </w:divBdr>
    </w:div>
    <w:div w:id="1484663673">
      <w:bodyDiv w:val="1"/>
      <w:marLeft w:val="0"/>
      <w:marRight w:val="0"/>
      <w:marTop w:val="0"/>
      <w:marBottom w:val="0"/>
      <w:divBdr>
        <w:top w:val="none" w:sz="0" w:space="0" w:color="auto"/>
        <w:left w:val="none" w:sz="0" w:space="0" w:color="auto"/>
        <w:bottom w:val="none" w:sz="0" w:space="0" w:color="auto"/>
        <w:right w:val="none" w:sz="0" w:space="0" w:color="auto"/>
      </w:divBdr>
    </w:div>
    <w:div w:id="1487237024">
      <w:bodyDiv w:val="1"/>
      <w:marLeft w:val="0"/>
      <w:marRight w:val="0"/>
      <w:marTop w:val="0"/>
      <w:marBottom w:val="0"/>
      <w:divBdr>
        <w:top w:val="none" w:sz="0" w:space="0" w:color="auto"/>
        <w:left w:val="none" w:sz="0" w:space="0" w:color="auto"/>
        <w:bottom w:val="none" w:sz="0" w:space="0" w:color="auto"/>
        <w:right w:val="none" w:sz="0" w:space="0" w:color="auto"/>
      </w:divBdr>
      <w:divsChild>
        <w:div w:id="545290831">
          <w:marLeft w:val="0"/>
          <w:marRight w:val="0"/>
          <w:marTop w:val="0"/>
          <w:marBottom w:val="0"/>
          <w:divBdr>
            <w:top w:val="none" w:sz="0" w:space="0" w:color="auto"/>
            <w:left w:val="none" w:sz="0" w:space="0" w:color="auto"/>
            <w:bottom w:val="none" w:sz="0" w:space="0" w:color="auto"/>
            <w:right w:val="none" w:sz="0" w:space="0" w:color="auto"/>
          </w:divBdr>
        </w:div>
      </w:divsChild>
    </w:div>
    <w:div w:id="1489592988">
      <w:bodyDiv w:val="1"/>
      <w:marLeft w:val="0"/>
      <w:marRight w:val="0"/>
      <w:marTop w:val="0"/>
      <w:marBottom w:val="0"/>
      <w:divBdr>
        <w:top w:val="none" w:sz="0" w:space="0" w:color="auto"/>
        <w:left w:val="none" w:sz="0" w:space="0" w:color="auto"/>
        <w:bottom w:val="none" w:sz="0" w:space="0" w:color="auto"/>
        <w:right w:val="none" w:sz="0" w:space="0" w:color="auto"/>
      </w:divBdr>
    </w:div>
    <w:div w:id="1491676362">
      <w:bodyDiv w:val="1"/>
      <w:marLeft w:val="0"/>
      <w:marRight w:val="0"/>
      <w:marTop w:val="0"/>
      <w:marBottom w:val="0"/>
      <w:divBdr>
        <w:top w:val="none" w:sz="0" w:space="0" w:color="auto"/>
        <w:left w:val="none" w:sz="0" w:space="0" w:color="auto"/>
        <w:bottom w:val="none" w:sz="0" w:space="0" w:color="auto"/>
        <w:right w:val="none" w:sz="0" w:space="0" w:color="auto"/>
      </w:divBdr>
    </w:div>
    <w:div w:id="1492334149">
      <w:bodyDiv w:val="1"/>
      <w:marLeft w:val="0"/>
      <w:marRight w:val="0"/>
      <w:marTop w:val="0"/>
      <w:marBottom w:val="0"/>
      <w:divBdr>
        <w:top w:val="none" w:sz="0" w:space="0" w:color="auto"/>
        <w:left w:val="none" w:sz="0" w:space="0" w:color="auto"/>
        <w:bottom w:val="none" w:sz="0" w:space="0" w:color="auto"/>
        <w:right w:val="none" w:sz="0" w:space="0" w:color="auto"/>
      </w:divBdr>
    </w:div>
    <w:div w:id="1508785011">
      <w:bodyDiv w:val="1"/>
      <w:marLeft w:val="0"/>
      <w:marRight w:val="0"/>
      <w:marTop w:val="0"/>
      <w:marBottom w:val="0"/>
      <w:divBdr>
        <w:top w:val="none" w:sz="0" w:space="0" w:color="auto"/>
        <w:left w:val="none" w:sz="0" w:space="0" w:color="auto"/>
        <w:bottom w:val="none" w:sz="0" w:space="0" w:color="auto"/>
        <w:right w:val="none" w:sz="0" w:space="0" w:color="auto"/>
      </w:divBdr>
    </w:div>
    <w:div w:id="1512062022">
      <w:bodyDiv w:val="1"/>
      <w:marLeft w:val="0"/>
      <w:marRight w:val="0"/>
      <w:marTop w:val="0"/>
      <w:marBottom w:val="0"/>
      <w:divBdr>
        <w:top w:val="none" w:sz="0" w:space="0" w:color="auto"/>
        <w:left w:val="none" w:sz="0" w:space="0" w:color="auto"/>
        <w:bottom w:val="none" w:sz="0" w:space="0" w:color="auto"/>
        <w:right w:val="none" w:sz="0" w:space="0" w:color="auto"/>
      </w:divBdr>
    </w:div>
    <w:div w:id="1522888943">
      <w:bodyDiv w:val="1"/>
      <w:marLeft w:val="0"/>
      <w:marRight w:val="0"/>
      <w:marTop w:val="0"/>
      <w:marBottom w:val="0"/>
      <w:divBdr>
        <w:top w:val="none" w:sz="0" w:space="0" w:color="auto"/>
        <w:left w:val="none" w:sz="0" w:space="0" w:color="auto"/>
        <w:bottom w:val="none" w:sz="0" w:space="0" w:color="auto"/>
        <w:right w:val="none" w:sz="0" w:space="0" w:color="auto"/>
      </w:divBdr>
    </w:div>
    <w:div w:id="1534074536">
      <w:bodyDiv w:val="1"/>
      <w:marLeft w:val="0"/>
      <w:marRight w:val="0"/>
      <w:marTop w:val="0"/>
      <w:marBottom w:val="0"/>
      <w:divBdr>
        <w:top w:val="none" w:sz="0" w:space="0" w:color="auto"/>
        <w:left w:val="none" w:sz="0" w:space="0" w:color="auto"/>
        <w:bottom w:val="none" w:sz="0" w:space="0" w:color="auto"/>
        <w:right w:val="none" w:sz="0" w:space="0" w:color="auto"/>
      </w:divBdr>
    </w:div>
    <w:div w:id="1541552513">
      <w:bodyDiv w:val="1"/>
      <w:marLeft w:val="0"/>
      <w:marRight w:val="0"/>
      <w:marTop w:val="0"/>
      <w:marBottom w:val="0"/>
      <w:divBdr>
        <w:top w:val="none" w:sz="0" w:space="0" w:color="auto"/>
        <w:left w:val="none" w:sz="0" w:space="0" w:color="auto"/>
        <w:bottom w:val="none" w:sz="0" w:space="0" w:color="auto"/>
        <w:right w:val="none" w:sz="0" w:space="0" w:color="auto"/>
      </w:divBdr>
    </w:div>
    <w:div w:id="1557935791">
      <w:bodyDiv w:val="1"/>
      <w:marLeft w:val="0"/>
      <w:marRight w:val="0"/>
      <w:marTop w:val="0"/>
      <w:marBottom w:val="0"/>
      <w:divBdr>
        <w:top w:val="none" w:sz="0" w:space="0" w:color="auto"/>
        <w:left w:val="none" w:sz="0" w:space="0" w:color="auto"/>
        <w:bottom w:val="none" w:sz="0" w:space="0" w:color="auto"/>
        <w:right w:val="none" w:sz="0" w:space="0" w:color="auto"/>
      </w:divBdr>
    </w:div>
    <w:div w:id="1563565484">
      <w:bodyDiv w:val="1"/>
      <w:marLeft w:val="0"/>
      <w:marRight w:val="0"/>
      <w:marTop w:val="0"/>
      <w:marBottom w:val="0"/>
      <w:divBdr>
        <w:top w:val="none" w:sz="0" w:space="0" w:color="auto"/>
        <w:left w:val="none" w:sz="0" w:space="0" w:color="auto"/>
        <w:bottom w:val="none" w:sz="0" w:space="0" w:color="auto"/>
        <w:right w:val="none" w:sz="0" w:space="0" w:color="auto"/>
      </w:divBdr>
    </w:div>
    <w:div w:id="1573393395">
      <w:bodyDiv w:val="1"/>
      <w:marLeft w:val="0"/>
      <w:marRight w:val="0"/>
      <w:marTop w:val="0"/>
      <w:marBottom w:val="0"/>
      <w:divBdr>
        <w:top w:val="none" w:sz="0" w:space="0" w:color="auto"/>
        <w:left w:val="none" w:sz="0" w:space="0" w:color="auto"/>
        <w:bottom w:val="none" w:sz="0" w:space="0" w:color="auto"/>
        <w:right w:val="none" w:sz="0" w:space="0" w:color="auto"/>
      </w:divBdr>
    </w:div>
    <w:div w:id="1575703662">
      <w:bodyDiv w:val="1"/>
      <w:marLeft w:val="0"/>
      <w:marRight w:val="0"/>
      <w:marTop w:val="0"/>
      <w:marBottom w:val="0"/>
      <w:divBdr>
        <w:top w:val="none" w:sz="0" w:space="0" w:color="auto"/>
        <w:left w:val="none" w:sz="0" w:space="0" w:color="auto"/>
        <w:bottom w:val="none" w:sz="0" w:space="0" w:color="auto"/>
        <w:right w:val="none" w:sz="0" w:space="0" w:color="auto"/>
      </w:divBdr>
    </w:div>
    <w:div w:id="1588922247">
      <w:bodyDiv w:val="1"/>
      <w:marLeft w:val="0"/>
      <w:marRight w:val="0"/>
      <w:marTop w:val="0"/>
      <w:marBottom w:val="0"/>
      <w:divBdr>
        <w:top w:val="none" w:sz="0" w:space="0" w:color="auto"/>
        <w:left w:val="none" w:sz="0" w:space="0" w:color="auto"/>
        <w:bottom w:val="none" w:sz="0" w:space="0" w:color="auto"/>
        <w:right w:val="none" w:sz="0" w:space="0" w:color="auto"/>
      </w:divBdr>
    </w:div>
    <w:div w:id="1594050960">
      <w:bodyDiv w:val="1"/>
      <w:marLeft w:val="0"/>
      <w:marRight w:val="0"/>
      <w:marTop w:val="0"/>
      <w:marBottom w:val="0"/>
      <w:divBdr>
        <w:top w:val="none" w:sz="0" w:space="0" w:color="auto"/>
        <w:left w:val="none" w:sz="0" w:space="0" w:color="auto"/>
        <w:bottom w:val="none" w:sz="0" w:space="0" w:color="auto"/>
        <w:right w:val="none" w:sz="0" w:space="0" w:color="auto"/>
      </w:divBdr>
    </w:div>
    <w:div w:id="1601716966">
      <w:bodyDiv w:val="1"/>
      <w:marLeft w:val="0"/>
      <w:marRight w:val="0"/>
      <w:marTop w:val="0"/>
      <w:marBottom w:val="0"/>
      <w:divBdr>
        <w:top w:val="none" w:sz="0" w:space="0" w:color="auto"/>
        <w:left w:val="none" w:sz="0" w:space="0" w:color="auto"/>
        <w:bottom w:val="none" w:sz="0" w:space="0" w:color="auto"/>
        <w:right w:val="none" w:sz="0" w:space="0" w:color="auto"/>
      </w:divBdr>
    </w:div>
    <w:div w:id="1602110129">
      <w:bodyDiv w:val="1"/>
      <w:marLeft w:val="0"/>
      <w:marRight w:val="0"/>
      <w:marTop w:val="0"/>
      <w:marBottom w:val="0"/>
      <w:divBdr>
        <w:top w:val="none" w:sz="0" w:space="0" w:color="auto"/>
        <w:left w:val="none" w:sz="0" w:space="0" w:color="auto"/>
        <w:bottom w:val="none" w:sz="0" w:space="0" w:color="auto"/>
        <w:right w:val="none" w:sz="0" w:space="0" w:color="auto"/>
      </w:divBdr>
    </w:div>
    <w:div w:id="1608154838">
      <w:bodyDiv w:val="1"/>
      <w:marLeft w:val="0"/>
      <w:marRight w:val="0"/>
      <w:marTop w:val="0"/>
      <w:marBottom w:val="0"/>
      <w:divBdr>
        <w:top w:val="none" w:sz="0" w:space="0" w:color="auto"/>
        <w:left w:val="none" w:sz="0" w:space="0" w:color="auto"/>
        <w:bottom w:val="none" w:sz="0" w:space="0" w:color="auto"/>
        <w:right w:val="none" w:sz="0" w:space="0" w:color="auto"/>
      </w:divBdr>
    </w:div>
    <w:div w:id="1620407039">
      <w:bodyDiv w:val="1"/>
      <w:marLeft w:val="0"/>
      <w:marRight w:val="0"/>
      <w:marTop w:val="0"/>
      <w:marBottom w:val="0"/>
      <w:divBdr>
        <w:top w:val="none" w:sz="0" w:space="0" w:color="auto"/>
        <w:left w:val="none" w:sz="0" w:space="0" w:color="auto"/>
        <w:bottom w:val="none" w:sz="0" w:space="0" w:color="auto"/>
        <w:right w:val="none" w:sz="0" w:space="0" w:color="auto"/>
      </w:divBdr>
    </w:div>
    <w:div w:id="1620839273">
      <w:bodyDiv w:val="1"/>
      <w:marLeft w:val="0"/>
      <w:marRight w:val="0"/>
      <w:marTop w:val="0"/>
      <w:marBottom w:val="0"/>
      <w:divBdr>
        <w:top w:val="none" w:sz="0" w:space="0" w:color="auto"/>
        <w:left w:val="none" w:sz="0" w:space="0" w:color="auto"/>
        <w:bottom w:val="none" w:sz="0" w:space="0" w:color="auto"/>
        <w:right w:val="none" w:sz="0" w:space="0" w:color="auto"/>
      </w:divBdr>
    </w:div>
    <w:div w:id="1622498765">
      <w:bodyDiv w:val="1"/>
      <w:marLeft w:val="0"/>
      <w:marRight w:val="0"/>
      <w:marTop w:val="0"/>
      <w:marBottom w:val="0"/>
      <w:divBdr>
        <w:top w:val="none" w:sz="0" w:space="0" w:color="auto"/>
        <w:left w:val="none" w:sz="0" w:space="0" w:color="auto"/>
        <w:bottom w:val="none" w:sz="0" w:space="0" w:color="auto"/>
        <w:right w:val="none" w:sz="0" w:space="0" w:color="auto"/>
      </w:divBdr>
    </w:div>
    <w:div w:id="1622690614">
      <w:bodyDiv w:val="1"/>
      <w:marLeft w:val="0"/>
      <w:marRight w:val="0"/>
      <w:marTop w:val="0"/>
      <w:marBottom w:val="0"/>
      <w:divBdr>
        <w:top w:val="none" w:sz="0" w:space="0" w:color="auto"/>
        <w:left w:val="none" w:sz="0" w:space="0" w:color="auto"/>
        <w:bottom w:val="none" w:sz="0" w:space="0" w:color="auto"/>
        <w:right w:val="none" w:sz="0" w:space="0" w:color="auto"/>
      </w:divBdr>
    </w:div>
    <w:div w:id="1627813574">
      <w:bodyDiv w:val="1"/>
      <w:marLeft w:val="0"/>
      <w:marRight w:val="0"/>
      <w:marTop w:val="0"/>
      <w:marBottom w:val="0"/>
      <w:divBdr>
        <w:top w:val="none" w:sz="0" w:space="0" w:color="auto"/>
        <w:left w:val="none" w:sz="0" w:space="0" w:color="auto"/>
        <w:bottom w:val="none" w:sz="0" w:space="0" w:color="auto"/>
        <w:right w:val="none" w:sz="0" w:space="0" w:color="auto"/>
      </w:divBdr>
    </w:div>
    <w:div w:id="1632202968">
      <w:bodyDiv w:val="1"/>
      <w:marLeft w:val="0"/>
      <w:marRight w:val="0"/>
      <w:marTop w:val="0"/>
      <w:marBottom w:val="0"/>
      <w:divBdr>
        <w:top w:val="none" w:sz="0" w:space="0" w:color="auto"/>
        <w:left w:val="none" w:sz="0" w:space="0" w:color="auto"/>
        <w:bottom w:val="none" w:sz="0" w:space="0" w:color="auto"/>
        <w:right w:val="none" w:sz="0" w:space="0" w:color="auto"/>
      </w:divBdr>
    </w:div>
    <w:div w:id="1650552291">
      <w:bodyDiv w:val="1"/>
      <w:marLeft w:val="0"/>
      <w:marRight w:val="0"/>
      <w:marTop w:val="0"/>
      <w:marBottom w:val="0"/>
      <w:divBdr>
        <w:top w:val="none" w:sz="0" w:space="0" w:color="auto"/>
        <w:left w:val="none" w:sz="0" w:space="0" w:color="auto"/>
        <w:bottom w:val="none" w:sz="0" w:space="0" w:color="auto"/>
        <w:right w:val="none" w:sz="0" w:space="0" w:color="auto"/>
      </w:divBdr>
    </w:div>
    <w:div w:id="1651977196">
      <w:bodyDiv w:val="1"/>
      <w:marLeft w:val="0"/>
      <w:marRight w:val="0"/>
      <w:marTop w:val="0"/>
      <w:marBottom w:val="0"/>
      <w:divBdr>
        <w:top w:val="none" w:sz="0" w:space="0" w:color="auto"/>
        <w:left w:val="none" w:sz="0" w:space="0" w:color="auto"/>
        <w:bottom w:val="none" w:sz="0" w:space="0" w:color="auto"/>
        <w:right w:val="none" w:sz="0" w:space="0" w:color="auto"/>
      </w:divBdr>
    </w:div>
    <w:div w:id="1654407249">
      <w:bodyDiv w:val="1"/>
      <w:marLeft w:val="0"/>
      <w:marRight w:val="0"/>
      <w:marTop w:val="0"/>
      <w:marBottom w:val="0"/>
      <w:divBdr>
        <w:top w:val="none" w:sz="0" w:space="0" w:color="auto"/>
        <w:left w:val="none" w:sz="0" w:space="0" w:color="auto"/>
        <w:bottom w:val="none" w:sz="0" w:space="0" w:color="auto"/>
        <w:right w:val="none" w:sz="0" w:space="0" w:color="auto"/>
      </w:divBdr>
    </w:div>
    <w:div w:id="1654524425">
      <w:bodyDiv w:val="1"/>
      <w:marLeft w:val="0"/>
      <w:marRight w:val="0"/>
      <w:marTop w:val="0"/>
      <w:marBottom w:val="0"/>
      <w:divBdr>
        <w:top w:val="none" w:sz="0" w:space="0" w:color="auto"/>
        <w:left w:val="none" w:sz="0" w:space="0" w:color="auto"/>
        <w:bottom w:val="none" w:sz="0" w:space="0" w:color="auto"/>
        <w:right w:val="none" w:sz="0" w:space="0" w:color="auto"/>
      </w:divBdr>
    </w:div>
    <w:div w:id="1662466438">
      <w:bodyDiv w:val="1"/>
      <w:marLeft w:val="0"/>
      <w:marRight w:val="0"/>
      <w:marTop w:val="0"/>
      <w:marBottom w:val="0"/>
      <w:divBdr>
        <w:top w:val="none" w:sz="0" w:space="0" w:color="auto"/>
        <w:left w:val="none" w:sz="0" w:space="0" w:color="auto"/>
        <w:bottom w:val="none" w:sz="0" w:space="0" w:color="auto"/>
        <w:right w:val="none" w:sz="0" w:space="0" w:color="auto"/>
      </w:divBdr>
    </w:div>
    <w:div w:id="1665745899">
      <w:bodyDiv w:val="1"/>
      <w:marLeft w:val="0"/>
      <w:marRight w:val="0"/>
      <w:marTop w:val="0"/>
      <w:marBottom w:val="0"/>
      <w:divBdr>
        <w:top w:val="none" w:sz="0" w:space="0" w:color="auto"/>
        <w:left w:val="none" w:sz="0" w:space="0" w:color="auto"/>
        <w:bottom w:val="none" w:sz="0" w:space="0" w:color="auto"/>
        <w:right w:val="none" w:sz="0" w:space="0" w:color="auto"/>
      </w:divBdr>
    </w:div>
    <w:div w:id="1672292326">
      <w:bodyDiv w:val="1"/>
      <w:marLeft w:val="0"/>
      <w:marRight w:val="0"/>
      <w:marTop w:val="0"/>
      <w:marBottom w:val="0"/>
      <w:divBdr>
        <w:top w:val="none" w:sz="0" w:space="0" w:color="auto"/>
        <w:left w:val="none" w:sz="0" w:space="0" w:color="auto"/>
        <w:bottom w:val="none" w:sz="0" w:space="0" w:color="auto"/>
        <w:right w:val="none" w:sz="0" w:space="0" w:color="auto"/>
      </w:divBdr>
    </w:div>
    <w:div w:id="1672294183">
      <w:bodyDiv w:val="1"/>
      <w:marLeft w:val="0"/>
      <w:marRight w:val="0"/>
      <w:marTop w:val="0"/>
      <w:marBottom w:val="0"/>
      <w:divBdr>
        <w:top w:val="none" w:sz="0" w:space="0" w:color="auto"/>
        <w:left w:val="none" w:sz="0" w:space="0" w:color="auto"/>
        <w:bottom w:val="none" w:sz="0" w:space="0" w:color="auto"/>
        <w:right w:val="none" w:sz="0" w:space="0" w:color="auto"/>
      </w:divBdr>
    </w:div>
    <w:div w:id="1681665400">
      <w:bodyDiv w:val="1"/>
      <w:marLeft w:val="0"/>
      <w:marRight w:val="0"/>
      <w:marTop w:val="0"/>
      <w:marBottom w:val="0"/>
      <w:divBdr>
        <w:top w:val="none" w:sz="0" w:space="0" w:color="auto"/>
        <w:left w:val="none" w:sz="0" w:space="0" w:color="auto"/>
        <w:bottom w:val="none" w:sz="0" w:space="0" w:color="auto"/>
        <w:right w:val="none" w:sz="0" w:space="0" w:color="auto"/>
      </w:divBdr>
    </w:div>
    <w:div w:id="1682660790">
      <w:bodyDiv w:val="1"/>
      <w:marLeft w:val="0"/>
      <w:marRight w:val="0"/>
      <w:marTop w:val="0"/>
      <w:marBottom w:val="0"/>
      <w:divBdr>
        <w:top w:val="none" w:sz="0" w:space="0" w:color="auto"/>
        <w:left w:val="none" w:sz="0" w:space="0" w:color="auto"/>
        <w:bottom w:val="none" w:sz="0" w:space="0" w:color="auto"/>
        <w:right w:val="none" w:sz="0" w:space="0" w:color="auto"/>
      </w:divBdr>
    </w:div>
    <w:div w:id="1684357429">
      <w:bodyDiv w:val="1"/>
      <w:marLeft w:val="0"/>
      <w:marRight w:val="0"/>
      <w:marTop w:val="0"/>
      <w:marBottom w:val="0"/>
      <w:divBdr>
        <w:top w:val="none" w:sz="0" w:space="0" w:color="auto"/>
        <w:left w:val="none" w:sz="0" w:space="0" w:color="auto"/>
        <w:bottom w:val="none" w:sz="0" w:space="0" w:color="auto"/>
        <w:right w:val="none" w:sz="0" w:space="0" w:color="auto"/>
      </w:divBdr>
    </w:div>
    <w:div w:id="1698118572">
      <w:bodyDiv w:val="1"/>
      <w:marLeft w:val="0"/>
      <w:marRight w:val="0"/>
      <w:marTop w:val="0"/>
      <w:marBottom w:val="0"/>
      <w:divBdr>
        <w:top w:val="none" w:sz="0" w:space="0" w:color="auto"/>
        <w:left w:val="none" w:sz="0" w:space="0" w:color="auto"/>
        <w:bottom w:val="none" w:sz="0" w:space="0" w:color="auto"/>
        <w:right w:val="none" w:sz="0" w:space="0" w:color="auto"/>
      </w:divBdr>
    </w:div>
    <w:div w:id="1706901806">
      <w:bodyDiv w:val="1"/>
      <w:marLeft w:val="0"/>
      <w:marRight w:val="0"/>
      <w:marTop w:val="0"/>
      <w:marBottom w:val="0"/>
      <w:divBdr>
        <w:top w:val="none" w:sz="0" w:space="0" w:color="auto"/>
        <w:left w:val="none" w:sz="0" w:space="0" w:color="auto"/>
        <w:bottom w:val="none" w:sz="0" w:space="0" w:color="auto"/>
        <w:right w:val="none" w:sz="0" w:space="0" w:color="auto"/>
      </w:divBdr>
    </w:div>
    <w:div w:id="1734617819">
      <w:bodyDiv w:val="1"/>
      <w:marLeft w:val="0"/>
      <w:marRight w:val="0"/>
      <w:marTop w:val="0"/>
      <w:marBottom w:val="0"/>
      <w:divBdr>
        <w:top w:val="none" w:sz="0" w:space="0" w:color="auto"/>
        <w:left w:val="none" w:sz="0" w:space="0" w:color="auto"/>
        <w:bottom w:val="none" w:sz="0" w:space="0" w:color="auto"/>
        <w:right w:val="none" w:sz="0" w:space="0" w:color="auto"/>
      </w:divBdr>
    </w:div>
    <w:div w:id="1734618178">
      <w:bodyDiv w:val="1"/>
      <w:marLeft w:val="0"/>
      <w:marRight w:val="0"/>
      <w:marTop w:val="0"/>
      <w:marBottom w:val="0"/>
      <w:divBdr>
        <w:top w:val="none" w:sz="0" w:space="0" w:color="auto"/>
        <w:left w:val="none" w:sz="0" w:space="0" w:color="auto"/>
        <w:bottom w:val="none" w:sz="0" w:space="0" w:color="auto"/>
        <w:right w:val="none" w:sz="0" w:space="0" w:color="auto"/>
      </w:divBdr>
    </w:div>
    <w:div w:id="1795295527">
      <w:bodyDiv w:val="1"/>
      <w:marLeft w:val="0"/>
      <w:marRight w:val="0"/>
      <w:marTop w:val="0"/>
      <w:marBottom w:val="0"/>
      <w:divBdr>
        <w:top w:val="none" w:sz="0" w:space="0" w:color="auto"/>
        <w:left w:val="none" w:sz="0" w:space="0" w:color="auto"/>
        <w:bottom w:val="none" w:sz="0" w:space="0" w:color="auto"/>
        <w:right w:val="none" w:sz="0" w:space="0" w:color="auto"/>
      </w:divBdr>
    </w:div>
    <w:div w:id="1795515526">
      <w:bodyDiv w:val="1"/>
      <w:marLeft w:val="0"/>
      <w:marRight w:val="0"/>
      <w:marTop w:val="0"/>
      <w:marBottom w:val="0"/>
      <w:divBdr>
        <w:top w:val="none" w:sz="0" w:space="0" w:color="auto"/>
        <w:left w:val="none" w:sz="0" w:space="0" w:color="auto"/>
        <w:bottom w:val="none" w:sz="0" w:space="0" w:color="auto"/>
        <w:right w:val="none" w:sz="0" w:space="0" w:color="auto"/>
      </w:divBdr>
    </w:div>
    <w:div w:id="1796097993">
      <w:bodyDiv w:val="1"/>
      <w:marLeft w:val="0"/>
      <w:marRight w:val="0"/>
      <w:marTop w:val="0"/>
      <w:marBottom w:val="0"/>
      <w:divBdr>
        <w:top w:val="none" w:sz="0" w:space="0" w:color="auto"/>
        <w:left w:val="none" w:sz="0" w:space="0" w:color="auto"/>
        <w:bottom w:val="none" w:sz="0" w:space="0" w:color="auto"/>
        <w:right w:val="none" w:sz="0" w:space="0" w:color="auto"/>
      </w:divBdr>
    </w:div>
    <w:div w:id="1799256605">
      <w:bodyDiv w:val="1"/>
      <w:marLeft w:val="0"/>
      <w:marRight w:val="0"/>
      <w:marTop w:val="0"/>
      <w:marBottom w:val="0"/>
      <w:divBdr>
        <w:top w:val="none" w:sz="0" w:space="0" w:color="auto"/>
        <w:left w:val="none" w:sz="0" w:space="0" w:color="auto"/>
        <w:bottom w:val="none" w:sz="0" w:space="0" w:color="auto"/>
        <w:right w:val="none" w:sz="0" w:space="0" w:color="auto"/>
      </w:divBdr>
    </w:div>
    <w:div w:id="1813988031">
      <w:bodyDiv w:val="1"/>
      <w:marLeft w:val="0"/>
      <w:marRight w:val="0"/>
      <w:marTop w:val="0"/>
      <w:marBottom w:val="0"/>
      <w:divBdr>
        <w:top w:val="none" w:sz="0" w:space="0" w:color="auto"/>
        <w:left w:val="none" w:sz="0" w:space="0" w:color="auto"/>
        <w:bottom w:val="none" w:sz="0" w:space="0" w:color="auto"/>
        <w:right w:val="none" w:sz="0" w:space="0" w:color="auto"/>
      </w:divBdr>
    </w:div>
    <w:div w:id="1818960703">
      <w:bodyDiv w:val="1"/>
      <w:marLeft w:val="0"/>
      <w:marRight w:val="0"/>
      <w:marTop w:val="0"/>
      <w:marBottom w:val="0"/>
      <w:divBdr>
        <w:top w:val="none" w:sz="0" w:space="0" w:color="auto"/>
        <w:left w:val="none" w:sz="0" w:space="0" w:color="auto"/>
        <w:bottom w:val="none" w:sz="0" w:space="0" w:color="auto"/>
        <w:right w:val="none" w:sz="0" w:space="0" w:color="auto"/>
      </w:divBdr>
    </w:div>
    <w:div w:id="1826437058">
      <w:bodyDiv w:val="1"/>
      <w:marLeft w:val="0"/>
      <w:marRight w:val="0"/>
      <w:marTop w:val="0"/>
      <w:marBottom w:val="0"/>
      <w:divBdr>
        <w:top w:val="none" w:sz="0" w:space="0" w:color="auto"/>
        <w:left w:val="none" w:sz="0" w:space="0" w:color="auto"/>
        <w:bottom w:val="none" w:sz="0" w:space="0" w:color="auto"/>
        <w:right w:val="none" w:sz="0" w:space="0" w:color="auto"/>
      </w:divBdr>
    </w:div>
    <w:div w:id="1835611363">
      <w:bodyDiv w:val="1"/>
      <w:marLeft w:val="0"/>
      <w:marRight w:val="0"/>
      <w:marTop w:val="0"/>
      <w:marBottom w:val="0"/>
      <w:divBdr>
        <w:top w:val="none" w:sz="0" w:space="0" w:color="auto"/>
        <w:left w:val="none" w:sz="0" w:space="0" w:color="auto"/>
        <w:bottom w:val="none" w:sz="0" w:space="0" w:color="auto"/>
        <w:right w:val="none" w:sz="0" w:space="0" w:color="auto"/>
      </w:divBdr>
    </w:div>
    <w:div w:id="1855455865">
      <w:bodyDiv w:val="1"/>
      <w:marLeft w:val="0"/>
      <w:marRight w:val="0"/>
      <w:marTop w:val="0"/>
      <w:marBottom w:val="0"/>
      <w:divBdr>
        <w:top w:val="none" w:sz="0" w:space="0" w:color="auto"/>
        <w:left w:val="none" w:sz="0" w:space="0" w:color="auto"/>
        <w:bottom w:val="none" w:sz="0" w:space="0" w:color="auto"/>
        <w:right w:val="none" w:sz="0" w:space="0" w:color="auto"/>
      </w:divBdr>
    </w:div>
    <w:div w:id="1863202926">
      <w:bodyDiv w:val="1"/>
      <w:marLeft w:val="0"/>
      <w:marRight w:val="0"/>
      <w:marTop w:val="0"/>
      <w:marBottom w:val="0"/>
      <w:divBdr>
        <w:top w:val="none" w:sz="0" w:space="0" w:color="auto"/>
        <w:left w:val="none" w:sz="0" w:space="0" w:color="auto"/>
        <w:bottom w:val="none" w:sz="0" w:space="0" w:color="auto"/>
        <w:right w:val="none" w:sz="0" w:space="0" w:color="auto"/>
      </w:divBdr>
    </w:div>
    <w:div w:id="1866866186">
      <w:bodyDiv w:val="1"/>
      <w:marLeft w:val="0"/>
      <w:marRight w:val="0"/>
      <w:marTop w:val="0"/>
      <w:marBottom w:val="0"/>
      <w:divBdr>
        <w:top w:val="none" w:sz="0" w:space="0" w:color="auto"/>
        <w:left w:val="none" w:sz="0" w:space="0" w:color="auto"/>
        <w:bottom w:val="none" w:sz="0" w:space="0" w:color="auto"/>
        <w:right w:val="none" w:sz="0" w:space="0" w:color="auto"/>
      </w:divBdr>
    </w:div>
    <w:div w:id="1875195056">
      <w:bodyDiv w:val="1"/>
      <w:marLeft w:val="0"/>
      <w:marRight w:val="0"/>
      <w:marTop w:val="0"/>
      <w:marBottom w:val="0"/>
      <w:divBdr>
        <w:top w:val="none" w:sz="0" w:space="0" w:color="auto"/>
        <w:left w:val="none" w:sz="0" w:space="0" w:color="auto"/>
        <w:bottom w:val="none" w:sz="0" w:space="0" w:color="auto"/>
        <w:right w:val="none" w:sz="0" w:space="0" w:color="auto"/>
      </w:divBdr>
    </w:div>
    <w:div w:id="1925603618">
      <w:bodyDiv w:val="1"/>
      <w:marLeft w:val="0"/>
      <w:marRight w:val="0"/>
      <w:marTop w:val="0"/>
      <w:marBottom w:val="0"/>
      <w:divBdr>
        <w:top w:val="none" w:sz="0" w:space="0" w:color="auto"/>
        <w:left w:val="none" w:sz="0" w:space="0" w:color="auto"/>
        <w:bottom w:val="none" w:sz="0" w:space="0" w:color="auto"/>
        <w:right w:val="none" w:sz="0" w:space="0" w:color="auto"/>
      </w:divBdr>
    </w:div>
    <w:div w:id="1934236846">
      <w:bodyDiv w:val="1"/>
      <w:marLeft w:val="0"/>
      <w:marRight w:val="0"/>
      <w:marTop w:val="0"/>
      <w:marBottom w:val="0"/>
      <w:divBdr>
        <w:top w:val="none" w:sz="0" w:space="0" w:color="auto"/>
        <w:left w:val="none" w:sz="0" w:space="0" w:color="auto"/>
        <w:bottom w:val="none" w:sz="0" w:space="0" w:color="auto"/>
        <w:right w:val="none" w:sz="0" w:space="0" w:color="auto"/>
      </w:divBdr>
    </w:div>
    <w:div w:id="1946498651">
      <w:bodyDiv w:val="1"/>
      <w:marLeft w:val="0"/>
      <w:marRight w:val="0"/>
      <w:marTop w:val="0"/>
      <w:marBottom w:val="0"/>
      <w:divBdr>
        <w:top w:val="none" w:sz="0" w:space="0" w:color="auto"/>
        <w:left w:val="none" w:sz="0" w:space="0" w:color="auto"/>
        <w:bottom w:val="none" w:sz="0" w:space="0" w:color="auto"/>
        <w:right w:val="none" w:sz="0" w:space="0" w:color="auto"/>
      </w:divBdr>
    </w:div>
    <w:div w:id="1950425270">
      <w:bodyDiv w:val="1"/>
      <w:marLeft w:val="0"/>
      <w:marRight w:val="0"/>
      <w:marTop w:val="0"/>
      <w:marBottom w:val="0"/>
      <w:divBdr>
        <w:top w:val="none" w:sz="0" w:space="0" w:color="auto"/>
        <w:left w:val="none" w:sz="0" w:space="0" w:color="auto"/>
        <w:bottom w:val="none" w:sz="0" w:space="0" w:color="auto"/>
        <w:right w:val="none" w:sz="0" w:space="0" w:color="auto"/>
      </w:divBdr>
    </w:div>
    <w:div w:id="1952937882">
      <w:bodyDiv w:val="1"/>
      <w:marLeft w:val="0"/>
      <w:marRight w:val="0"/>
      <w:marTop w:val="0"/>
      <w:marBottom w:val="0"/>
      <w:divBdr>
        <w:top w:val="none" w:sz="0" w:space="0" w:color="auto"/>
        <w:left w:val="none" w:sz="0" w:space="0" w:color="auto"/>
        <w:bottom w:val="none" w:sz="0" w:space="0" w:color="auto"/>
        <w:right w:val="none" w:sz="0" w:space="0" w:color="auto"/>
      </w:divBdr>
    </w:div>
    <w:div w:id="1958180016">
      <w:bodyDiv w:val="1"/>
      <w:marLeft w:val="0"/>
      <w:marRight w:val="0"/>
      <w:marTop w:val="0"/>
      <w:marBottom w:val="0"/>
      <w:divBdr>
        <w:top w:val="none" w:sz="0" w:space="0" w:color="auto"/>
        <w:left w:val="none" w:sz="0" w:space="0" w:color="auto"/>
        <w:bottom w:val="none" w:sz="0" w:space="0" w:color="auto"/>
        <w:right w:val="none" w:sz="0" w:space="0" w:color="auto"/>
      </w:divBdr>
    </w:div>
    <w:div w:id="1960185361">
      <w:bodyDiv w:val="1"/>
      <w:marLeft w:val="0"/>
      <w:marRight w:val="0"/>
      <w:marTop w:val="0"/>
      <w:marBottom w:val="0"/>
      <w:divBdr>
        <w:top w:val="none" w:sz="0" w:space="0" w:color="auto"/>
        <w:left w:val="none" w:sz="0" w:space="0" w:color="auto"/>
        <w:bottom w:val="none" w:sz="0" w:space="0" w:color="auto"/>
        <w:right w:val="none" w:sz="0" w:space="0" w:color="auto"/>
      </w:divBdr>
    </w:div>
    <w:div w:id="1968000027">
      <w:bodyDiv w:val="1"/>
      <w:marLeft w:val="0"/>
      <w:marRight w:val="0"/>
      <w:marTop w:val="0"/>
      <w:marBottom w:val="0"/>
      <w:divBdr>
        <w:top w:val="none" w:sz="0" w:space="0" w:color="auto"/>
        <w:left w:val="none" w:sz="0" w:space="0" w:color="auto"/>
        <w:bottom w:val="none" w:sz="0" w:space="0" w:color="auto"/>
        <w:right w:val="none" w:sz="0" w:space="0" w:color="auto"/>
      </w:divBdr>
    </w:div>
    <w:div w:id="1972782751">
      <w:bodyDiv w:val="1"/>
      <w:marLeft w:val="0"/>
      <w:marRight w:val="0"/>
      <w:marTop w:val="0"/>
      <w:marBottom w:val="0"/>
      <w:divBdr>
        <w:top w:val="none" w:sz="0" w:space="0" w:color="auto"/>
        <w:left w:val="none" w:sz="0" w:space="0" w:color="auto"/>
        <w:bottom w:val="none" w:sz="0" w:space="0" w:color="auto"/>
        <w:right w:val="none" w:sz="0" w:space="0" w:color="auto"/>
      </w:divBdr>
    </w:div>
    <w:div w:id="1975258520">
      <w:bodyDiv w:val="1"/>
      <w:marLeft w:val="0"/>
      <w:marRight w:val="0"/>
      <w:marTop w:val="0"/>
      <w:marBottom w:val="0"/>
      <w:divBdr>
        <w:top w:val="none" w:sz="0" w:space="0" w:color="auto"/>
        <w:left w:val="none" w:sz="0" w:space="0" w:color="auto"/>
        <w:bottom w:val="none" w:sz="0" w:space="0" w:color="auto"/>
        <w:right w:val="none" w:sz="0" w:space="0" w:color="auto"/>
      </w:divBdr>
    </w:div>
    <w:div w:id="1995375929">
      <w:bodyDiv w:val="1"/>
      <w:marLeft w:val="0"/>
      <w:marRight w:val="0"/>
      <w:marTop w:val="0"/>
      <w:marBottom w:val="0"/>
      <w:divBdr>
        <w:top w:val="none" w:sz="0" w:space="0" w:color="auto"/>
        <w:left w:val="none" w:sz="0" w:space="0" w:color="auto"/>
        <w:bottom w:val="none" w:sz="0" w:space="0" w:color="auto"/>
        <w:right w:val="none" w:sz="0" w:space="0" w:color="auto"/>
      </w:divBdr>
    </w:div>
    <w:div w:id="1999653552">
      <w:bodyDiv w:val="1"/>
      <w:marLeft w:val="0"/>
      <w:marRight w:val="0"/>
      <w:marTop w:val="0"/>
      <w:marBottom w:val="0"/>
      <w:divBdr>
        <w:top w:val="none" w:sz="0" w:space="0" w:color="auto"/>
        <w:left w:val="none" w:sz="0" w:space="0" w:color="auto"/>
        <w:bottom w:val="none" w:sz="0" w:space="0" w:color="auto"/>
        <w:right w:val="none" w:sz="0" w:space="0" w:color="auto"/>
      </w:divBdr>
    </w:div>
    <w:div w:id="2002077733">
      <w:bodyDiv w:val="1"/>
      <w:marLeft w:val="0"/>
      <w:marRight w:val="0"/>
      <w:marTop w:val="0"/>
      <w:marBottom w:val="0"/>
      <w:divBdr>
        <w:top w:val="none" w:sz="0" w:space="0" w:color="auto"/>
        <w:left w:val="none" w:sz="0" w:space="0" w:color="auto"/>
        <w:bottom w:val="none" w:sz="0" w:space="0" w:color="auto"/>
        <w:right w:val="none" w:sz="0" w:space="0" w:color="auto"/>
      </w:divBdr>
    </w:div>
    <w:div w:id="2043552221">
      <w:bodyDiv w:val="1"/>
      <w:marLeft w:val="0"/>
      <w:marRight w:val="0"/>
      <w:marTop w:val="0"/>
      <w:marBottom w:val="0"/>
      <w:divBdr>
        <w:top w:val="none" w:sz="0" w:space="0" w:color="auto"/>
        <w:left w:val="none" w:sz="0" w:space="0" w:color="auto"/>
        <w:bottom w:val="none" w:sz="0" w:space="0" w:color="auto"/>
        <w:right w:val="none" w:sz="0" w:space="0" w:color="auto"/>
      </w:divBdr>
    </w:div>
    <w:div w:id="2063869672">
      <w:bodyDiv w:val="1"/>
      <w:marLeft w:val="0"/>
      <w:marRight w:val="0"/>
      <w:marTop w:val="0"/>
      <w:marBottom w:val="0"/>
      <w:divBdr>
        <w:top w:val="none" w:sz="0" w:space="0" w:color="auto"/>
        <w:left w:val="none" w:sz="0" w:space="0" w:color="auto"/>
        <w:bottom w:val="none" w:sz="0" w:space="0" w:color="auto"/>
        <w:right w:val="none" w:sz="0" w:space="0" w:color="auto"/>
      </w:divBdr>
    </w:div>
    <w:div w:id="2065635450">
      <w:bodyDiv w:val="1"/>
      <w:marLeft w:val="0"/>
      <w:marRight w:val="0"/>
      <w:marTop w:val="0"/>
      <w:marBottom w:val="0"/>
      <w:divBdr>
        <w:top w:val="none" w:sz="0" w:space="0" w:color="auto"/>
        <w:left w:val="none" w:sz="0" w:space="0" w:color="auto"/>
        <w:bottom w:val="none" w:sz="0" w:space="0" w:color="auto"/>
        <w:right w:val="none" w:sz="0" w:space="0" w:color="auto"/>
      </w:divBdr>
    </w:div>
    <w:div w:id="2073578254">
      <w:bodyDiv w:val="1"/>
      <w:marLeft w:val="0"/>
      <w:marRight w:val="0"/>
      <w:marTop w:val="0"/>
      <w:marBottom w:val="0"/>
      <w:divBdr>
        <w:top w:val="none" w:sz="0" w:space="0" w:color="auto"/>
        <w:left w:val="none" w:sz="0" w:space="0" w:color="auto"/>
        <w:bottom w:val="none" w:sz="0" w:space="0" w:color="auto"/>
        <w:right w:val="none" w:sz="0" w:space="0" w:color="auto"/>
      </w:divBdr>
    </w:div>
    <w:div w:id="2075883867">
      <w:bodyDiv w:val="1"/>
      <w:marLeft w:val="0"/>
      <w:marRight w:val="0"/>
      <w:marTop w:val="0"/>
      <w:marBottom w:val="0"/>
      <w:divBdr>
        <w:top w:val="none" w:sz="0" w:space="0" w:color="auto"/>
        <w:left w:val="none" w:sz="0" w:space="0" w:color="auto"/>
        <w:bottom w:val="none" w:sz="0" w:space="0" w:color="auto"/>
        <w:right w:val="none" w:sz="0" w:space="0" w:color="auto"/>
      </w:divBdr>
    </w:div>
    <w:div w:id="2090614293">
      <w:bodyDiv w:val="1"/>
      <w:marLeft w:val="0"/>
      <w:marRight w:val="0"/>
      <w:marTop w:val="0"/>
      <w:marBottom w:val="0"/>
      <w:divBdr>
        <w:top w:val="none" w:sz="0" w:space="0" w:color="auto"/>
        <w:left w:val="none" w:sz="0" w:space="0" w:color="auto"/>
        <w:bottom w:val="none" w:sz="0" w:space="0" w:color="auto"/>
        <w:right w:val="none" w:sz="0" w:space="0" w:color="auto"/>
      </w:divBdr>
    </w:div>
    <w:div w:id="2095281216">
      <w:bodyDiv w:val="1"/>
      <w:marLeft w:val="0"/>
      <w:marRight w:val="0"/>
      <w:marTop w:val="0"/>
      <w:marBottom w:val="0"/>
      <w:divBdr>
        <w:top w:val="none" w:sz="0" w:space="0" w:color="auto"/>
        <w:left w:val="none" w:sz="0" w:space="0" w:color="auto"/>
        <w:bottom w:val="none" w:sz="0" w:space="0" w:color="auto"/>
        <w:right w:val="none" w:sz="0" w:space="0" w:color="auto"/>
      </w:divBdr>
    </w:div>
    <w:div w:id="2099711903">
      <w:bodyDiv w:val="1"/>
      <w:marLeft w:val="0"/>
      <w:marRight w:val="0"/>
      <w:marTop w:val="0"/>
      <w:marBottom w:val="0"/>
      <w:divBdr>
        <w:top w:val="none" w:sz="0" w:space="0" w:color="auto"/>
        <w:left w:val="none" w:sz="0" w:space="0" w:color="auto"/>
        <w:bottom w:val="none" w:sz="0" w:space="0" w:color="auto"/>
        <w:right w:val="none" w:sz="0" w:space="0" w:color="auto"/>
      </w:divBdr>
    </w:div>
    <w:div w:id="2102483187">
      <w:bodyDiv w:val="1"/>
      <w:marLeft w:val="0"/>
      <w:marRight w:val="0"/>
      <w:marTop w:val="0"/>
      <w:marBottom w:val="0"/>
      <w:divBdr>
        <w:top w:val="none" w:sz="0" w:space="0" w:color="auto"/>
        <w:left w:val="none" w:sz="0" w:space="0" w:color="auto"/>
        <w:bottom w:val="none" w:sz="0" w:space="0" w:color="auto"/>
        <w:right w:val="none" w:sz="0" w:space="0" w:color="auto"/>
      </w:divBdr>
    </w:div>
    <w:div w:id="2117284342">
      <w:bodyDiv w:val="1"/>
      <w:marLeft w:val="0"/>
      <w:marRight w:val="0"/>
      <w:marTop w:val="0"/>
      <w:marBottom w:val="0"/>
      <w:divBdr>
        <w:top w:val="none" w:sz="0" w:space="0" w:color="auto"/>
        <w:left w:val="none" w:sz="0" w:space="0" w:color="auto"/>
        <w:bottom w:val="none" w:sz="0" w:space="0" w:color="auto"/>
        <w:right w:val="none" w:sz="0" w:space="0" w:color="auto"/>
      </w:divBdr>
    </w:div>
    <w:div w:id="2118601317">
      <w:bodyDiv w:val="1"/>
      <w:marLeft w:val="0"/>
      <w:marRight w:val="0"/>
      <w:marTop w:val="0"/>
      <w:marBottom w:val="0"/>
      <w:divBdr>
        <w:top w:val="none" w:sz="0" w:space="0" w:color="auto"/>
        <w:left w:val="none" w:sz="0" w:space="0" w:color="auto"/>
        <w:bottom w:val="none" w:sz="0" w:space="0" w:color="auto"/>
        <w:right w:val="none" w:sz="0" w:space="0" w:color="auto"/>
      </w:divBdr>
    </w:div>
    <w:div w:id="2133934186">
      <w:bodyDiv w:val="1"/>
      <w:marLeft w:val="0"/>
      <w:marRight w:val="0"/>
      <w:marTop w:val="0"/>
      <w:marBottom w:val="0"/>
      <w:divBdr>
        <w:top w:val="none" w:sz="0" w:space="0" w:color="auto"/>
        <w:left w:val="none" w:sz="0" w:space="0" w:color="auto"/>
        <w:bottom w:val="none" w:sz="0" w:space="0" w:color="auto"/>
        <w:right w:val="none" w:sz="0" w:space="0" w:color="auto"/>
      </w:divBdr>
    </w:div>
    <w:div w:id="2139447680">
      <w:bodyDiv w:val="1"/>
      <w:marLeft w:val="0"/>
      <w:marRight w:val="0"/>
      <w:marTop w:val="0"/>
      <w:marBottom w:val="0"/>
      <w:divBdr>
        <w:top w:val="none" w:sz="0" w:space="0" w:color="auto"/>
        <w:left w:val="none" w:sz="0" w:space="0" w:color="auto"/>
        <w:bottom w:val="none" w:sz="0" w:space="0" w:color="auto"/>
        <w:right w:val="none" w:sz="0" w:space="0" w:color="auto"/>
      </w:divBdr>
    </w:div>
    <w:div w:id="2143188789">
      <w:bodyDiv w:val="1"/>
      <w:marLeft w:val="0"/>
      <w:marRight w:val="0"/>
      <w:marTop w:val="0"/>
      <w:marBottom w:val="0"/>
      <w:divBdr>
        <w:top w:val="none" w:sz="0" w:space="0" w:color="auto"/>
        <w:left w:val="none" w:sz="0" w:space="0" w:color="auto"/>
        <w:bottom w:val="none" w:sz="0" w:space="0" w:color="auto"/>
        <w:right w:val="none" w:sz="0" w:space="0" w:color="auto"/>
      </w:divBdr>
    </w:div>
    <w:div w:id="21473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G\Documents\Plantillas%20personalizadas%20de%20Office\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11B9-1724-44F9-940E-FC36C2B7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CARTA</Template>
  <TotalTime>8</TotalTime>
  <Pages>48</Pages>
  <Words>16376</Words>
  <Characters>90068</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Marlene Pérez Alfonso</cp:lastModifiedBy>
  <cp:revision>4</cp:revision>
  <cp:lastPrinted>2024-03-15T12:36:00Z</cp:lastPrinted>
  <dcterms:created xsi:type="dcterms:W3CDTF">2024-03-18T11:03:00Z</dcterms:created>
  <dcterms:modified xsi:type="dcterms:W3CDTF">2024-03-19T18:58:00Z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5fde9-74cf-49ff-9960-41566d3a7fed_Enabled">
    <vt:lpwstr>true</vt:lpwstr>
  </property>
  <property fmtid="{D5CDD505-2E9C-101B-9397-08002B2CF9AE}" pid="3" name="MSIP_Label_3c45fde9-74cf-49ff-9960-41566d3a7fed_SetDate">
    <vt:lpwstr>2024-02-29T09:15:22Z</vt:lpwstr>
  </property>
  <property fmtid="{D5CDD505-2E9C-101B-9397-08002B2CF9AE}" pid="4" name="MSIP_Label_3c45fde9-74cf-49ff-9960-41566d3a7fed_Method">
    <vt:lpwstr>Standard</vt:lpwstr>
  </property>
  <property fmtid="{D5CDD505-2E9C-101B-9397-08002B2CF9AE}" pid="5" name="MSIP_Label_3c45fde9-74cf-49ff-9960-41566d3a7fed_Name">
    <vt:lpwstr>Confidencial</vt:lpwstr>
  </property>
  <property fmtid="{D5CDD505-2E9C-101B-9397-08002B2CF9AE}" pid="6" name="MSIP_Label_3c45fde9-74cf-49ff-9960-41566d3a7fed_SiteId">
    <vt:lpwstr>2dae7158-6067-4a93-a649-046ad8031e8a</vt:lpwstr>
  </property>
  <property fmtid="{D5CDD505-2E9C-101B-9397-08002B2CF9AE}" pid="7" name="MSIP_Label_3c45fde9-74cf-49ff-9960-41566d3a7fed_ActionId">
    <vt:lpwstr>c21472fa-35d7-4c57-805b-025c644ed3bf</vt:lpwstr>
  </property>
  <property fmtid="{D5CDD505-2E9C-101B-9397-08002B2CF9AE}" pid="8" name="MSIP_Label_3c45fde9-74cf-49ff-9960-41566d3a7fed_ContentBits">
    <vt:lpwstr>0</vt:lpwstr>
  </property>
</Properties>
</file>